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70B4">
      <w:pPr>
        <w:spacing w:before="312" w:beforeLines="100" w:after="156" w:afterLines="50" w:line="600" w:lineRule="exact"/>
        <w:rPr>
          <w:rFonts w:hint="eastAsia" w:ascii="宋体" w:hAnsi="宋体" w:cs="宋体"/>
          <w:color w:val="auto"/>
          <w:sz w:val="72"/>
          <w:szCs w:val="72"/>
        </w:rPr>
      </w:pPr>
    </w:p>
    <w:p w14:paraId="08960CF0">
      <w:pPr>
        <w:pStyle w:val="2"/>
        <w:rPr>
          <w:rFonts w:hint="eastAsia"/>
          <w:color w:val="auto"/>
        </w:rPr>
      </w:pPr>
    </w:p>
    <w:p w14:paraId="1B759B46">
      <w:pPr>
        <w:spacing w:before="312" w:beforeLines="100" w:after="156" w:afterLines="50" w:line="600" w:lineRule="exact"/>
        <w:jc w:val="center"/>
        <w:rPr>
          <w:rFonts w:hint="eastAsia" w:ascii="宋体" w:hAnsi="宋体" w:cs="宋体"/>
          <w:b/>
          <w:color w:val="auto"/>
          <w:sz w:val="72"/>
          <w:szCs w:val="72"/>
        </w:rPr>
      </w:pPr>
      <w:r>
        <w:rPr>
          <w:rFonts w:hint="eastAsia" w:ascii="宋体" w:hAnsi="宋体" w:cs="宋体"/>
          <w:b/>
          <w:color w:val="auto"/>
          <w:sz w:val="72"/>
          <w:szCs w:val="72"/>
        </w:rPr>
        <w:t>院内</w:t>
      </w:r>
      <w:r>
        <w:rPr>
          <w:rFonts w:hint="eastAsia" w:ascii="宋体" w:hAnsi="宋体" w:cs="宋体"/>
          <w:b/>
          <w:color w:val="auto"/>
          <w:sz w:val="72"/>
          <w:szCs w:val="72"/>
          <w:lang w:eastAsia="zh-CN"/>
        </w:rPr>
        <w:t>遴选</w:t>
      </w:r>
      <w:r>
        <w:rPr>
          <w:rFonts w:hint="eastAsia" w:ascii="宋体" w:hAnsi="宋体" w:cs="宋体"/>
          <w:b/>
          <w:color w:val="auto"/>
          <w:sz w:val="72"/>
          <w:szCs w:val="72"/>
        </w:rPr>
        <w:t>文件</w:t>
      </w:r>
    </w:p>
    <w:p w14:paraId="10C3725B">
      <w:pPr>
        <w:spacing w:before="312" w:beforeLines="100" w:after="156" w:afterLines="50" w:line="600" w:lineRule="exact"/>
        <w:jc w:val="center"/>
        <w:rPr>
          <w:rFonts w:hint="eastAsia" w:ascii="宋体" w:hAnsi="宋体" w:cs="宋体"/>
          <w:b/>
          <w:color w:val="auto"/>
          <w:sz w:val="72"/>
          <w:szCs w:val="72"/>
        </w:rPr>
      </w:pPr>
    </w:p>
    <w:p w14:paraId="37D2903F">
      <w:pPr>
        <w:spacing w:line="400" w:lineRule="exact"/>
        <w:rPr>
          <w:rFonts w:hint="eastAsia" w:ascii="宋体" w:hAnsi="宋体" w:cs="宋体"/>
          <w:b/>
          <w:bCs/>
          <w:color w:val="auto"/>
          <w:sz w:val="32"/>
          <w:szCs w:val="32"/>
        </w:rPr>
      </w:pPr>
      <w:r>
        <w:rPr>
          <w:rFonts w:hint="eastAsia" w:ascii="宋体" w:hAnsi="宋体" w:cs="宋体"/>
          <w:b/>
          <w:bCs/>
          <w:color w:val="auto"/>
          <w:sz w:val="32"/>
          <w:szCs w:val="32"/>
        </w:rPr>
        <w:t xml:space="preserve"> </w:t>
      </w:r>
    </w:p>
    <w:p w14:paraId="1BC2B561">
      <w:pPr>
        <w:spacing w:line="400" w:lineRule="exact"/>
        <w:rPr>
          <w:rFonts w:hint="eastAsia" w:ascii="宋体" w:hAnsi="宋体" w:cs="宋体"/>
          <w:b/>
          <w:bCs/>
          <w:color w:val="auto"/>
          <w:sz w:val="32"/>
          <w:szCs w:val="32"/>
        </w:rPr>
      </w:pPr>
    </w:p>
    <w:p w14:paraId="3BC0BA01">
      <w:pPr>
        <w:spacing w:line="400" w:lineRule="exact"/>
        <w:jc w:val="left"/>
        <w:rPr>
          <w:rFonts w:hint="eastAsia" w:ascii="宋体" w:hAnsi="宋体" w:cs="宋体"/>
          <w:b/>
          <w:color w:val="auto"/>
          <w:sz w:val="32"/>
          <w:szCs w:val="32"/>
        </w:rPr>
      </w:pPr>
    </w:p>
    <w:p w14:paraId="18E90FF1">
      <w:pPr>
        <w:spacing w:line="400" w:lineRule="exact"/>
        <w:jc w:val="left"/>
        <w:rPr>
          <w:rFonts w:hint="eastAsia" w:ascii="宋体" w:hAnsi="宋体" w:cs="宋体"/>
          <w:b/>
          <w:color w:val="auto"/>
          <w:sz w:val="30"/>
          <w:szCs w:val="30"/>
        </w:rPr>
      </w:pPr>
    </w:p>
    <w:p w14:paraId="52D1AA40">
      <w:pPr>
        <w:spacing w:line="400" w:lineRule="exact"/>
        <w:jc w:val="left"/>
        <w:rPr>
          <w:rFonts w:hint="eastAsia" w:ascii="宋体" w:hAnsi="宋体" w:cs="宋体"/>
          <w:b/>
          <w:color w:val="auto"/>
          <w:sz w:val="30"/>
          <w:szCs w:val="30"/>
        </w:rPr>
      </w:pPr>
    </w:p>
    <w:p w14:paraId="0EA17AEE">
      <w:pPr>
        <w:spacing w:line="400" w:lineRule="exact"/>
        <w:jc w:val="center"/>
        <w:rPr>
          <w:rFonts w:hint="eastAsia" w:ascii="宋体" w:hAnsi="宋体" w:cs="宋体"/>
          <w:b/>
          <w:color w:val="auto"/>
          <w:sz w:val="28"/>
          <w:szCs w:val="28"/>
        </w:rPr>
      </w:pPr>
      <w:r>
        <w:rPr>
          <w:rFonts w:hint="eastAsia" w:ascii="宋体" w:hAnsi="宋体" w:cs="宋体"/>
          <w:b/>
          <w:color w:val="auto"/>
          <w:sz w:val="28"/>
          <w:szCs w:val="28"/>
        </w:rPr>
        <w:t>项目名称：防城港市第一人民医院</w:t>
      </w:r>
      <w:r>
        <w:rPr>
          <w:rFonts w:hint="eastAsia" w:ascii="宋体" w:hAnsi="宋体" w:eastAsia="宋体" w:cs="宋体"/>
          <w:b/>
          <w:color w:val="auto"/>
          <w:sz w:val="28"/>
          <w:szCs w:val="28"/>
        </w:rPr>
        <w:t>食堂</w:t>
      </w:r>
      <w:r>
        <w:rPr>
          <w:rFonts w:hint="eastAsia" w:ascii="宋体" w:hAnsi="宋体" w:eastAsia="宋体" w:cs="宋体"/>
          <w:b/>
          <w:color w:val="auto"/>
          <w:sz w:val="28"/>
          <w:szCs w:val="28"/>
          <w:lang w:val="en-US" w:eastAsia="zh-CN"/>
        </w:rPr>
        <w:t>蔬菜和水果类</w:t>
      </w:r>
      <w:r>
        <w:rPr>
          <w:rFonts w:hint="eastAsia" w:ascii="宋体" w:hAnsi="宋体" w:eastAsia="宋体" w:cs="宋体"/>
          <w:b/>
          <w:color w:val="auto"/>
          <w:sz w:val="28"/>
          <w:szCs w:val="28"/>
        </w:rPr>
        <w:t>食材配送服务</w:t>
      </w:r>
      <w:r>
        <w:rPr>
          <w:rFonts w:hint="eastAsia" w:ascii="宋体" w:hAnsi="宋体" w:eastAsia="宋体" w:cs="宋体"/>
          <w:b/>
          <w:color w:val="auto"/>
          <w:sz w:val="28"/>
          <w:szCs w:val="28"/>
          <w:lang w:eastAsia="zh-CN"/>
        </w:rPr>
        <w:t>供应商遴选</w:t>
      </w:r>
      <w:r>
        <w:rPr>
          <w:rFonts w:hint="eastAsia" w:ascii="宋体" w:hAnsi="宋体" w:cs="宋体"/>
          <w:b/>
          <w:color w:val="auto"/>
          <w:sz w:val="28"/>
          <w:szCs w:val="28"/>
        </w:rPr>
        <w:t>（项目编号：ZCBHT202500</w:t>
      </w:r>
      <w:r>
        <w:rPr>
          <w:rFonts w:hint="eastAsia" w:ascii="宋体" w:hAnsi="宋体" w:eastAsia="宋体" w:cs="宋体"/>
          <w:b/>
          <w:color w:val="auto"/>
          <w:sz w:val="28"/>
          <w:szCs w:val="28"/>
          <w:lang w:val="en-US" w:eastAsia="zh-CN"/>
        </w:rPr>
        <w:t>14</w:t>
      </w:r>
      <w:r>
        <w:rPr>
          <w:rFonts w:hint="eastAsia" w:ascii="宋体" w:hAnsi="宋体" w:cs="宋体"/>
          <w:b/>
          <w:color w:val="auto"/>
          <w:sz w:val="28"/>
          <w:szCs w:val="28"/>
        </w:rPr>
        <w:t>）</w:t>
      </w:r>
    </w:p>
    <w:p w14:paraId="4B81413A">
      <w:pPr>
        <w:spacing w:line="400" w:lineRule="exact"/>
        <w:ind w:firstLine="1186" w:firstLineChars="395"/>
        <w:rPr>
          <w:rFonts w:hint="eastAsia" w:ascii="宋体" w:hAnsi="宋体" w:cs="宋体"/>
          <w:b/>
          <w:color w:val="auto"/>
          <w:sz w:val="30"/>
          <w:szCs w:val="30"/>
        </w:rPr>
      </w:pPr>
    </w:p>
    <w:p w14:paraId="3D6D352E">
      <w:pPr>
        <w:spacing w:line="400" w:lineRule="exact"/>
        <w:ind w:firstLine="640" w:firstLineChars="200"/>
        <w:rPr>
          <w:rFonts w:hint="eastAsia" w:ascii="宋体" w:hAnsi="宋体" w:cs="宋体"/>
          <w:b/>
          <w:color w:val="auto"/>
          <w:sz w:val="32"/>
          <w:szCs w:val="32"/>
        </w:rPr>
      </w:pPr>
    </w:p>
    <w:p w14:paraId="4B08F550">
      <w:pPr>
        <w:spacing w:line="400" w:lineRule="exact"/>
        <w:ind w:firstLine="640" w:firstLineChars="200"/>
        <w:rPr>
          <w:rFonts w:hint="eastAsia" w:ascii="宋体" w:hAnsi="宋体" w:cs="宋体"/>
          <w:b/>
          <w:color w:val="auto"/>
          <w:sz w:val="32"/>
          <w:szCs w:val="32"/>
        </w:rPr>
      </w:pPr>
    </w:p>
    <w:p w14:paraId="006CE696">
      <w:pPr>
        <w:spacing w:line="400" w:lineRule="exact"/>
        <w:ind w:firstLine="640" w:firstLineChars="200"/>
        <w:rPr>
          <w:rFonts w:hint="eastAsia" w:ascii="宋体" w:hAnsi="宋体" w:cs="宋体"/>
          <w:b/>
          <w:color w:val="auto"/>
          <w:sz w:val="32"/>
          <w:szCs w:val="32"/>
        </w:rPr>
      </w:pPr>
    </w:p>
    <w:p w14:paraId="6C6944CA">
      <w:pPr>
        <w:spacing w:line="400" w:lineRule="exact"/>
        <w:rPr>
          <w:rFonts w:hint="eastAsia" w:ascii="宋体" w:hAnsi="宋体" w:cs="宋体"/>
          <w:b/>
          <w:color w:val="auto"/>
          <w:sz w:val="32"/>
          <w:szCs w:val="32"/>
        </w:rPr>
      </w:pPr>
      <w:r>
        <w:rPr>
          <w:rFonts w:hint="eastAsia" w:ascii="宋体" w:hAnsi="宋体" w:cs="宋体"/>
          <w:b/>
          <w:color w:val="auto"/>
          <w:sz w:val="32"/>
          <w:szCs w:val="32"/>
        </w:rPr>
        <w:t xml:space="preserve"> </w:t>
      </w:r>
    </w:p>
    <w:p w14:paraId="0B6C64F9">
      <w:pPr>
        <w:spacing w:line="400" w:lineRule="exact"/>
        <w:ind w:firstLine="640" w:firstLineChars="200"/>
        <w:rPr>
          <w:rFonts w:hint="eastAsia" w:ascii="宋体" w:hAnsi="宋体" w:cs="宋体"/>
          <w:b/>
          <w:color w:val="auto"/>
          <w:sz w:val="32"/>
          <w:szCs w:val="32"/>
        </w:rPr>
      </w:pPr>
    </w:p>
    <w:p w14:paraId="2EE09DA8">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采购单位：防城港市第一人民医院</w:t>
      </w:r>
    </w:p>
    <w:p w14:paraId="2DB4A7EC">
      <w:pPr>
        <w:spacing w:line="400" w:lineRule="exact"/>
        <w:rPr>
          <w:rFonts w:hint="eastAsia" w:ascii="宋体" w:hAnsi="宋体" w:cs="宋体"/>
          <w:b/>
          <w:color w:val="auto"/>
          <w:sz w:val="32"/>
          <w:szCs w:val="32"/>
        </w:rPr>
      </w:pPr>
    </w:p>
    <w:p w14:paraId="2D6B5FEC">
      <w:pPr>
        <w:spacing w:line="400" w:lineRule="exact"/>
        <w:rPr>
          <w:rFonts w:hint="eastAsia" w:ascii="宋体" w:hAnsi="宋体" w:cs="宋体"/>
          <w:b/>
          <w:color w:val="auto"/>
          <w:sz w:val="32"/>
          <w:szCs w:val="32"/>
        </w:rPr>
      </w:pPr>
    </w:p>
    <w:p w14:paraId="53C6A2CB">
      <w:pPr>
        <w:spacing w:line="400" w:lineRule="exact"/>
        <w:jc w:val="center"/>
        <w:rPr>
          <w:rFonts w:hint="eastAsia" w:ascii="宋体" w:hAnsi="宋体" w:cs="宋体"/>
          <w:b/>
          <w:color w:val="auto"/>
          <w:sz w:val="32"/>
          <w:szCs w:val="32"/>
        </w:rPr>
      </w:pPr>
      <w:r>
        <w:rPr>
          <w:rFonts w:hint="eastAsia" w:ascii="宋体" w:hAnsi="宋体" w:cs="宋体"/>
          <w:b/>
          <w:color w:val="auto"/>
          <w:sz w:val="32"/>
          <w:szCs w:val="32"/>
        </w:rPr>
        <w:t>2025年 月</w:t>
      </w:r>
    </w:p>
    <w:p w14:paraId="32040F68">
      <w:pPr>
        <w:pStyle w:val="13"/>
        <w:spacing w:before="0" w:beforeAutospacing="0" w:after="0" w:afterAutospacing="0" w:line="540" w:lineRule="exact"/>
        <w:jc w:val="both"/>
        <w:rPr>
          <w:rFonts w:hint="eastAsia"/>
          <w:b/>
          <w:bCs/>
          <w:color w:val="auto"/>
          <w:sz w:val="36"/>
          <w:szCs w:val="36"/>
        </w:rPr>
      </w:pPr>
      <w:r>
        <w:rPr>
          <w:rFonts w:hint="eastAsia"/>
          <w:b/>
          <w:bCs/>
          <w:color w:val="auto"/>
          <w:sz w:val="36"/>
          <w:szCs w:val="36"/>
        </w:rPr>
        <w:t xml:space="preserve"> </w:t>
      </w:r>
    </w:p>
    <w:p w14:paraId="17FD57A6">
      <w:pPr>
        <w:pStyle w:val="13"/>
        <w:spacing w:before="0" w:beforeAutospacing="0" w:after="0" w:afterAutospacing="0" w:line="540" w:lineRule="exact"/>
        <w:jc w:val="center"/>
        <w:rPr>
          <w:rFonts w:hint="eastAsia"/>
          <w:color w:val="auto"/>
          <w:sz w:val="44"/>
          <w:szCs w:val="44"/>
        </w:rPr>
      </w:pPr>
    </w:p>
    <w:p w14:paraId="370341C7">
      <w:pPr>
        <w:pStyle w:val="13"/>
        <w:spacing w:before="0" w:beforeAutospacing="0" w:after="0" w:afterAutospacing="0" w:line="540" w:lineRule="exact"/>
        <w:jc w:val="center"/>
        <w:rPr>
          <w:rFonts w:hint="eastAsia"/>
          <w:color w:val="auto"/>
          <w:sz w:val="44"/>
          <w:szCs w:val="44"/>
        </w:rPr>
      </w:pPr>
    </w:p>
    <w:p w14:paraId="69BB9FFE">
      <w:pPr>
        <w:pStyle w:val="13"/>
        <w:spacing w:before="0" w:beforeAutospacing="0" w:after="0" w:afterAutospacing="0" w:line="540" w:lineRule="exact"/>
        <w:jc w:val="center"/>
        <w:rPr>
          <w:rFonts w:hint="eastAsia"/>
          <w:color w:val="auto"/>
          <w:sz w:val="44"/>
          <w:szCs w:val="44"/>
        </w:rPr>
      </w:pPr>
    </w:p>
    <w:p w14:paraId="279878AA">
      <w:pPr>
        <w:pStyle w:val="13"/>
        <w:spacing w:before="0" w:beforeAutospacing="0" w:after="0" w:afterAutospacing="0" w:line="540" w:lineRule="exact"/>
        <w:jc w:val="center"/>
        <w:rPr>
          <w:rFonts w:hint="eastAsia"/>
          <w:color w:val="auto"/>
          <w:sz w:val="44"/>
          <w:szCs w:val="44"/>
        </w:rPr>
      </w:pPr>
    </w:p>
    <w:p w14:paraId="3FD3EFC7">
      <w:pPr>
        <w:pStyle w:val="13"/>
        <w:spacing w:before="0" w:beforeAutospacing="0" w:after="0" w:afterAutospacing="0" w:line="540" w:lineRule="exact"/>
        <w:jc w:val="center"/>
        <w:rPr>
          <w:rFonts w:hint="eastAsia"/>
          <w:color w:val="auto"/>
          <w:sz w:val="44"/>
          <w:szCs w:val="44"/>
        </w:rPr>
      </w:pPr>
    </w:p>
    <w:p w14:paraId="760B5408">
      <w:pPr>
        <w:pStyle w:val="13"/>
        <w:spacing w:before="0" w:beforeAutospacing="0" w:after="0" w:afterAutospacing="0" w:line="540" w:lineRule="exact"/>
        <w:jc w:val="center"/>
        <w:rPr>
          <w:rFonts w:hint="eastAsia"/>
          <w:color w:val="auto"/>
          <w:sz w:val="44"/>
          <w:szCs w:val="44"/>
        </w:rPr>
      </w:pPr>
    </w:p>
    <w:p w14:paraId="5189D7A9">
      <w:pPr>
        <w:spacing w:line="320" w:lineRule="exact"/>
        <w:rPr>
          <w:rFonts w:hint="eastAsia" w:ascii="宋体" w:hAnsi="宋体" w:cs="宋体"/>
          <w:color w:val="auto"/>
          <w:szCs w:val="21"/>
        </w:rPr>
      </w:pPr>
    </w:p>
    <w:p w14:paraId="7DF0BD1B">
      <w:pPr>
        <w:spacing w:line="320" w:lineRule="exact"/>
        <w:rPr>
          <w:rFonts w:hint="eastAsia" w:ascii="宋体" w:hAnsi="宋体" w:cs="宋体"/>
          <w:color w:val="auto"/>
          <w:szCs w:val="21"/>
        </w:rPr>
      </w:pPr>
    </w:p>
    <w:p w14:paraId="448B592B">
      <w:pPr>
        <w:spacing w:line="320" w:lineRule="exact"/>
        <w:rPr>
          <w:rFonts w:hint="eastAsia" w:ascii="宋体" w:hAnsi="宋体" w:cs="宋体"/>
          <w:color w:val="auto"/>
          <w:szCs w:val="21"/>
        </w:rPr>
      </w:pPr>
    </w:p>
    <w:p w14:paraId="477B969C">
      <w:pPr>
        <w:spacing w:line="320" w:lineRule="exact"/>
        <w:rPr>
          <w:rFonts w:hint="eastAsia" w:ascii="宋体" w:hAnsi="宋体" w:cs="宋体"/>
          <w:color w:val="auto"/>
          <w:szCs w:val="21"/>
        </w:rPr>
      </w:pPr>
    </w:p>
    <w:p w14:paraId="40D8D046">
      <w:pPr>
        <w:spacing w:line="320" w:lineRule="exact"/>
        <w:rPr>
          <w:rFonts w:hint="eastAsia" w:ascii="宋体" w:hAnsi="宋体" w:cs="宋体"/>
          <w:color w:val="auto"/>
          <w:szCs w:val="21"/>
        </w:rPr>
      </w:pPr>
    </w:p>
    <w:p w14:paraId="758315BC">
      <w:pPr>
        <w:spacing w:line="320" w:lineRule="exact"/>
        <w:jc w:val="center"/>
        <w:rPr>
          <w:rFonts w:hint="eastAsia" w:ascii="宋体" w:hAnsi="宋体" w:cs="宋体"/>
          <w:b/>
          <w:color w:val="auto"/>
          <w:sz w:val="32"/>
          <w:szCs w:val="32"/>
        </w:rPr>
      </w:pPr>
      <w:r>
        <w:rPr>
          <w:rFonts w:hint="eastAsia" w:ascii="宋体" w:hAnsi="宋体" w:cs="宋体"/>
          <w:b/>
          <w:color w:val="auto"/>
          <w:sz w:val="32"/>
          <w:szCs w:val="32"/>
        </w:rPr>
        <w:t>一</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评审程序和评定成交的标准</w:t>
      </w:r>
    </w:p>
    <w:p w14:paraId="60FD882A">
      <w:pPr>
        <w:spacing w:line="320" w:lineRule="exact"/>
        <w:ind w:left="420" w:firstLine="420"/>
        <w:rPr>
          <w:rFonts w:hint="eastAsia" w:ascii="宋体" w:hAnsi="宋体" w:eastAsia="Times New Roman" w:cs="Times New Roman"/>
          <w:bCs/>
          <w:color w:val="auto"/>
          <w:kern w:val="0"/>
          <w:sz w:val="21"/>
          <w:szCs w:val="20"/>
          <w:lang w:val="en-US" w:eastAsia="zh-CN" w:bidi="ar-SA"/>
        </w:rPr>
      </w:pPr>
    </w:p>
    <w:p w14:paraId="2A8AE8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（一）</w:t>
      </w:r>
      <w:r>
        <w:rPr>
          <w:rFonts w:hint="eastAsia" w:ascii="宋体" w:hAnsi="宋体" w:eastAsia="Times New Roman" w:cs="Times New Roman"/>
          <w:bCs/>
          <w:color w:val="auto"/>
          <w:kern w:val="0"/>
          <w:sz w:val="21"/>
          <w:szCs w:val="20"/>
          <w:lang w:val="en-US" w:eastAsia="zh-CN" w:bidi="ar-SA"/>
        </w:rPr>
        <w:t>遴选小组成立</w:t>
      </w:r>
    </w:p>
    <w:p w14:paraId="219F16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color w:val="auto"/>
          <w:kern w:val="0"/>
          <w:sz w:val="21"/>
          <w:szCs w:val="20"/>
          <w:lang w:val="en-US" w:eastAsia="zh-CN" w:bidi="ar-SA"/>
        </w:rPr>
        <w:t>遴选小组由采购人负责组织，成员应包括院内相关专家，且人数为3人以上的单数，以确保决策的客观性和公正性。</w:t>
      </w:r>
    </w:p>
    <w:p w14:paraId="72B9C3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（二）</w:t>
      </w:r>
      <w:r>
        <w:rPr>
          <w:rFonts w:hint="eastAsia" w:ascii="宋体" w:hAnsi="宋体" w:eastAsia="Times New Roman" w:cs="Times New Roman"/>
          <w:bCs/>
          <w:color w:val="auto"/>
          <w:kern w:val="0"/>
          <w:sz w:val="21"/>
          <w:szCs w:val="20"/>
          <w:lang w:val="en-US" w:eastAsia="zh-CN" w:bidi="ar-SA"/>
        </w:rPr>
        <w:t>遴选程序</w:t>
      </w:r>
    </w:p>
    <w:p w14:paraId="507999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1.</w:t>
      </w:r>
      <w:r>
        <w:rPr>
          <w:rFonts w:hint="eastAsia" w:ascii="宋体" w:hAnsi="宋体" w:eastAsia="Times New Roman" w:cs="Times New Roman"/>
          <w:bCs/>
          <w:color w:val="auto"/>
          <w:kern w:val="0"/>
          <w:sz w:val="21"/>
          <w:szCs w:val="20"/>
          <w:lang w:val="en-US" w:eastAsia="zh-CN" w:bidi="ar-SA"/>
        </w:rPr>
        <w:t>供应商资格审查：对参与遴选的供应商进行资格审查，确保其符合采购项目的要求。</w:t>
      </w:r>
    </w:p>
    <w:p w14:paraId="070D1D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2.</w:t>
      </w:r>
      <w:r>
        <w:rPr>
          <w:rFonts w:hint="eastAsia" w:ascii="宋体" w:hAnsi="宋体" w:eastAsia="Times New Roman" w:cs="Times New Roman"/>
          <w:bCs/>
          <w:color w:val="auto"/>
          <w:kern w:val="0"/>
          <w:sz w:val="21"/>
          <w:szCs w:val="20"/>
          <w:lang w:val="en-US" w:eastAsia="zh-CN" w:bidi="ar-SA"/>
        </w:rPr>
        <w:t>符合性审查：对通过资格审查的供应商提交的遴选报价文件进行符合性审查，确保其响应文件满足采购需求。</w:t>
      </w:r>
    </w:p>
    <w:p w14:paraId="4FFD01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3.</w:t>
      </w:r>
      <w:r>
        <w:rPr>
          <w:rFonts w:hint="eastAsia" w:ascii="宋体" w:hAnsi="宋体" w:eastAsia="Times New Roman" w:cs="Times New Roman"/>
          <w:bCs/>
          <w:color w:val="auto"/>
          <w:kern w:val="0"/>
          <w:sz w:val="21"/>
          <w:szCs w:val="20"/>
          <w:lang w:val="en-US" w:eastAsia="zh-CN" w:bidi="ar-SA"/>
        </w:rPr>
        <w:t>遴选评审：对符合要求且达到3家以上的供应商提交的遴选报价进行评审。评审过程中，以按照评审因素的量化指标评审得分作为评审，并按照总分从低到高进行排序。</w:t>
      </w:r>
    </w:p>
    <w:p w14:paraId="196ACD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4.</w:t>
      </w:r>
      <w:r>
        <w:rPr>
          <w:rFonts w:hint="eastAsia" w:ascii="宋体" w:hAnsi="宋体" w:eastAsia="Times New Roman" w:cs="Times New Roman"/>
          <w:bCs/>
          <w:color w:val="auto"/>
          <w:kern w:val="0"/>
          <w:sz w:val="21"/>
          <w:szCs w:val="20"/>
          <w:lang w:val="en-US" w:eastAsia="zh-CN" w:bidi="ar-SA"/>
        </w:rPr>
        <w:t>信息保密：遴选过程中，遴选小组成员不得透露与遴选有关的任何供应商的技术资料、价格和其他信息，以保证遴选的公正性。</w:t>
      </w:r>
    </w:p>
    <w:p w14:paraId="11A33C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5.</w:t>
      </w:r>
      <w:r>
        <w:rPr>
          <w:rFonts w:hint="eastAsia" w:ascii="宋体" w:hAnsi="宋体" w:eastAsia="Times New Roman" w:cs="Times New Roman"/>
          <w:bCs/>
          <w:color w:val="auto"/>
          <w:kern w:val="0"/>
          <w:sz w:val="21"/>
          <w:szCs w:val="20"/>
          <w:lang w:val="en-US" w:eastAsia="zh-CN" w:bidi="ar-SA"/>
        </w:rPr>
        <w:t>遴选记录：遴选过程全程影音记录，确保遴选过程的透明性和可追溯性。</w:t>
      </w:r>
    </w:p>
    <w:p w14:paraId="3BCE1F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6.</w:t>
      </w:r>
      <w:r>
        <w:rPr>
          <w:rFonts w:hint="eastAsia" w:ascii="宋体" w:hAnsi="宋体" w:eastAsia="Times New Roman" w:cs="Times New Roman"/>
          <w:bCs/>
          <w:color w:val="auto"/>
          <w:kern w:val="0"/>
          <w:sz w:val="21"/>
          <w:szCs w:val="20"/>
          <w:lang w:val="en-US" w:eastAsia="zh-CN" w:bidi="ar-SA"/>
        </w:rPr>
        <w:t>遴选结束后的约束：遴选结束后，遴选小组不得再与供应商进行任何形式的商谈，以避免影响评审结果的公正性。</w:t>
      </w:r>
    </w:p>
    <w:p w14:paraId="73EA1E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Times New Roman"/>
          <w:bCs/>
          <w:color w:val="auto"/>
          <w:kern w:val="0"/>
          <w:sz w:val="21"/>
          <w:szCs w:val="20"/>
          <w:lang w:val="en-US" w:eastAsia="zh-CN" w:bidi="ar-SA"/>
        </w:rPr>
      </w:pPr>
      <w:r>
        <w:rPr>
          <w:rFonts w:hint="eastAsia" w:ascii="宋体" w:hAnsi="宋体" w:eastAsia="Times New Roman" w:cs="Times New Roman"/>
          <w:bCs/>
          <w:snapToGrid w:val="0"/>
          <w:color w:val="auto"/>
          <w:kern w:val="0"/>
          <w:sz w:val="21"/>
          <w:szCs w:val="20"/>
          <w:lang w:val="en-US" w:eastAsia="zh-CN" w:bidi="ar-SA"/>
        </w:rPr>
        <w:t>（三）</w:t>
      </w:r>
      <w:r>
        <w:rPr>
          <w:rFonts w:hint="eastAsia" w:ascii="宋体" w:hAnsi="宋体" w:eastAsia="Times New Roman" w:cs="Times New Roman"/>
          <w:bCs/>
          <w:color w:val="auto"/>
          <w:kern w:val="0"/>
          <w:sz w:val="21"/>
          <w:szCs w:val="20"/>
          <w:lang w:val="en-US" w:eastAsia="zh-CN" w:bidi="ar-SA"/>
        </w:rPr>
        <w:t>成交候选人推荐原则</w:t>
      </w:r>
    </w:p>
    <w:p w14:paraId="19DC691A">
      <w:pPr>
        <w:pStyle w:val="9"/>
        <w:spacing w:line="360" w:lineRule="auto"/>
        <w:ind w:firstLine="422"/>
        <w:rPr>
          <w:rFonts w:hint="eastAsia" w:ascii="宋体" w:hAnsi="宋体" w:cs="宋体"/>
          <w:color w:val="auto"/>
        </w:rPr>
      </w:pPr>
      <w:r>
        <w:rPr>
          <w:rFonts w:hint="eastAsia" w:ascii="宋体" w:hAnsi="宋体" w:eastAsia="Times New Roman" w:cs="Times New Roman"/>
          <w:bCs/>
          <w:color w:val="auto"/>
          <w:kern w:val="0"/>
          <w:sz w:val="21"/>
          <w:szCs w:val="20"/>
          <w:lang w:val="en-US" w:eastAsia="zh-CN" w:bidi="ar-SA"/>
        </w:rPr>
        <w:t>遴选小组根据总得分由高到低排列次序并推荐中标候选人。得分相同的，以投标</w:t>
      </w:r>
      <w:r>
        <w:rPr>
          <w:rFonts w:hint="eastAsia" w:hAnsi="宋体"/>
          <w:bCs/>
          <w:color w:val="auto"/>
          <w:sz w:val="21"/>
        </w:rPr>
        <w:t>报价得分由高到低顺序排列；若报价得分也相同，以商务部分得分由高到低顺序排列；若报价得分和商务得分均相同，以技术部分得分由高到低顺序排列。</w:t>
      </w:r>
      <w:r>
        <w:rPr>
          <w:rFonts w:hint="eastAsia" w:hAnsi="宋体"/>
          <w:color w:val="auto"/>
          <w:sz w:val="21"/>
        </w:rPr>
        <w:t>所有得分均相同时，由评标委员会随机抽取。</w:t>
      </w:r>
      <w:r>
        <w:rPr>
          <w:rFonts w:hint="eastAsia" w:hAnsi="宋体"/>
          <w:bCs/>
          <w:color w:val="auto"/>
          <w:sz w:val="21"/>
        </w:rPr>
        <w:t>投标文件满足招标文件全部实质性要求，且按照评审因素的量化指标评审得分排名前</w:t>
      </w:r>
      <w:r>
        <w:rPr>
          <w:rFonts w:hint="eastAsia" w:hAnsi="宋体" w:eastAsia="宋体"/>
          <w:bCs/>
          <w:color w:val="auto"/>
          <w:sz w:val="21"/>
          <w:lang w:val="en-US" w:eastAsia="zh-CN"/>
        </w:rPr>
        <w:t>2</w:t>
      </w:r>
      <w:r>
        <w:rPr>
          <w:rFonts w:hint="eastAsia" w:hAnsi="宋体"/>
          <w:bCs/>
          <w:color w:val="auto"/>
          <w:sz w:val="21"/>
        </w:rPr>
        <w:t>名的投标人推荐为本项目的中标候选人。</w:t>
      </w:r>
    </w:p>
    <w:p w14:paraId="1949D8F8">
      <w:pPr>
        <w:rPr>
          <w:rFonts w:hint="eastAsia" w:ascii="宋体" w:hAnsi="宋体" w:cs="宋体"/>
          <w:color w:val="auto"/>
        </w:rPr>
      </w:pPr>
    </w:p>
    <w:p w14:paraId="4EABA327">
      <w:pPr>
        <w:rPr>
          <w:rFonts w:hint="eastAsia" w:ascii="宋体" w:hAnsi="宋体" w:cs="宋体"/>
          <w:color w:val="auto"/>
        </w:rPr>
      </w:pPr>
    </w:p>
    <w:p w14:paraId="4B3C1EA7">
      <w:pPr>
        <w:rPr>
          <w:rFonts w:hint="eastAsia" w:ascii="宋体" w:hAnsi="宋体" w:cs="宋体"/>
          <w:color w:val="auto"/>
        </w:rPr>
      </w:pPr>
    </w:p>
    <w:p w14:paraId="62310B9A">
      <w:pPr>
        <w:rPr>
          <w:rFonts w:hint="eastAsia" w:ascii="宋体" w:hAnsi="宋体" w:cs="宋体"/>
          <w:color w:val="auto"/>
        </w:rPr>
      </w:pPr>
    </w:p>
    <w:p w14:paraId="775DB26D">
      <w:pPr>
        <w:rPr>
          <w:rFonts w:hint="eastAsia" w:ascii="宋体" w:hAnsi="宋体" w:cs="宋体"/>
          <w:color w:val="auto"/>
        </w:rPr>
      </w:pPr>
    </w:p>
    <w:p w14:paraId="378308A9">
      <w:pPr>
        <w:rPr>
          <w:rFonts w:hint="eastAsia" w:ascii="宋体" w:hAnsi="宋体" w:cs="宋体"/>
          <w:color w:val="auto"/>
        </w:rPr>
      </w:pPr>
    </w:p>
    <w:p w14:paraId="30EB9EBC">
      <w:pPr>
        <w:rPr>
          <w:rFonts w:hint="eastAsia" w:ascii="宋体" w:hAnsi="宋体" w:cs="宋体"/>
          <w:color w:val="auto"/>
        </w:rPr>
      </w:pPr>
    </w:p>
    <w:p w14:paraId="58EB2E0B">
      <w:pPr>
        <w:rPr>
          <w:rFonts w:hint="eastAsia" w:ascii="宋体" w:hAnsi="宋体" w:cs="宋体"/>
          <w:color w:val="auto"/>
        </w:rPr>
      </w:pPr>
    </w:p>
    <w:p w14:paraId="6FC0AF13">
      <w:pPr>
        <w:rPr>
          <w:rFonts w:hint="eastAsia" w:ascii="宋体" w:hAnsi="宋体" w:cs="宋体"/>
          <w:color w:val="auto"/>
        </w:rPr>
      </w:pPr>
    </w:p>
    <w:p w14:paraId="52616738">
      <w:pPr>
        <w:rPr>
          <w:rFonts w:hint="eastAsia" w:ascii="宋体" w:hAnsi="宋体" w:cs="宋体"/>
          <w:color w:val="auto"/>
        </w:rPr>
      </w:pPr>
    </w:p>
    <w:p w14:paraId="5F21EB68">
      <w:pPr>
        <w:rPr>
          <w:rFonts w:hint="eastAsia" w:ascii="宋体" w:hAnsi="宋体" w:cs="宋体"/>
          <w:color w:val="auto"/>
        </w:rPr>
      </w:pPr>
    </w:p>
    <w:p w14:paraId="080BB5E0">
      <w:pPr>
        <w:rPr>
          <w:rFonts w:hint="eastAsia" w:ascii="宋体" w:hAnsi="宋体" w:cs="宋体"/>
          <w:color w:val="auto"/>
        </w:rPr>
      </w:pPr>
    </w:p>
    <w:p w14:paraId="4EB612BA">
      <w:pPr>
        <w:rPr>
          <w:rFonts w:hint="eastAsia" w:ascii="宋体" w:hAnsi="宋体" w:cs="宋体"/>
          <w:color w:val="auto"/>
        </w:rPr>
      </w:pPr>
    </w:p>
    <w:p w14:paraId="672A1E68">
      <w:pPr>
        <w:rPr>
          <w:rFonts w:hint="eastAsia" w:ascii="宋体" w:hAnsi="宋体" w:cs="宋体"/>
          <w:color w:val="auto"/>
        </w:rPr>
      </w:pPr>
    </w:p>
    <w:p w14:paraId="6F12B0E5">
      <w:pPr>
        <w:rPr>
          <w:rFonts w:hint="eastAsia" w:ascii="宋体" w:hAnsi="宋体" w:cs="宋体"/>
          <w:color w:val="auto"/>
        </w:rPr>
      </w:pPr>
    </w:p>
    <w:p w14:paraId="175BB8DF">
      <w:pPr>
        <w:rPr>
          <w:rFonts w:hint="eastAsia" w:ascii="宋体" w:hAnsi="宋体" w:cs="宋体"/>
          <w:color w:val="auto"/>
        </w:rPr>
      </w:pPr>
    </w:p>
    <w:p w14:paraId="6F34EE1E">
      <w:pPr>
        <w:rPr>
          <w:rFonts w:hint="eastAsia" w:ascii="宋体" w:hAnsi="宋体" w:cs="宋体"/>
          <w:color w:val="auto"/>
        </w:rPr>
      </w:pPr>
    </w:p>
    <w:p w14:paraId="7F078F56">
      <w:pPr>
        <w:rPr>
          <w:rFonts w:hint="eastAsia" w:ascii="宋体" w:hAnsi="宋体" w:cs="宋体"/>
          <w:color w:val="auto"/>
        </w:rPr>
      </w:pPr>
    </w:p>
    <w:p w14:paraId="2DE72EEF">
      <w:pPr>
        <w:rPr>
          <w:rFonts w:hint="eastAsia" w:ascii="宋体" w:hAnsi="宋体" w:cs="宋体"/>
          <w:color w:val="auto"/>
        </w:rPr>
      </w:pPr>
    </w:p>
    <w:p w14:paraId="2F894B5B">
      <w:pPr>
        <w:rPr>
          <w:rFonts w:hint="eastAsia" w:ascii="宋体" w:hAnsi="宋体" w:cs="宋体"/>
          <w:color w:val="auto"/>
        </w:rPr>
      </w:pPr>
    </w:p>
    <w:p w14:paraId="06F6FDD5">
      <w:pPr>
        <w:spacing w:line="320" w:lineRule="exact"/>
        <w:jc w:val="center"/>
        <w:rPr>
          <w:rFonts w:ascii="宋体" w:hAnsi="宋体" w:eastAsia="宋体" w:cs="宋体"/>
          <w:color w:val="auto"/>
          <w:spacing w:val="4"/>
          <w:sz w:val="43"/>
          <w:szCs w:val="43"/>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采购需求</w:t>
      </w:r>
    </w:p>
    <w:p w14:paraId="731F23AB">
      <w:pPr>
        <w:spacing w:line="320" w:lineRule="auto"/>
        <w:rPr>
          <w:rFonts w:ascii="Arial"/>
          <w:color w:val="auto"/>
          <w:sz w:val="21"/>
        </w:rPr>
      </w:pPr>
    </w:p>
    <w:p w14:paraId="29623BF5">
      <w:pPr>
        <w:spacing w:line="321" w:lineRule="auto"/>
        <w:rPr>
          <w:rFonts w:ascii="Arial"/>
          <w:color w:val="auto"/>
          <w:sz w:val="21"/>
        </w:rPr>
      </w:pPr>
    </w:p>
    <w:p w14:paraId="4CE8FDBB">
      <w:pPr>
        <w:spacing w:before="65" w:line="228" w:lineRule="auto"/>
        <w:ind w:left="14"/>
        <w:rPr>
          <w:rFonts w:ascii="宋体" w:hAnsi="宋体" w:eastAsia="宋体" w:cs="宋体"/>
          <w:color w:val="auto"/>
          <w:sz w:val="20"/>
          <w:szCs w:val="20"/>
        </w:rPr>
      </w:pPr>
      <w:r>
        <w:rPr>
          <w:rFonts w:ascii="宋体" w:hAnsi="宋体" w:eastAsia="宋体" w:cs="宋体"/>
          <w:color w:val="auto"/>
          <w:spacing w:val="2"/>
          <w:sz w:val="20"/>
          <w:szCs w:val="20"/>
        </w:rPr>
        <w:t>说明：</w:t>
      </w:r>
    </w:p>
    <w:p w14:paraId="6111A4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1.</w:t>
      </w:r>
      <w:r>
        <w:rPr>
          <w:rFonts w:hint="eastAsia" w:ascii="宋体" w:hAnsi="宋体" w:eastAsia="Times New Roman" w:cs="Times New Roman"/>
          <w:bCs/>
          <w:snapToGrid w:val="0"/>
          <w:color w:val="auto"/>
          <w:kern w:val="0"/>
          <w:sz w:val="21"/>
          <w:szCs w:val="20"/>
          <w:lang w:val="en-US" w:eastAsia="zh-CN" w:bidi="ar-SA"/>
        </w:rPr>
        <w:t>“实质性要求 ”是指招标文件中已经指明不满足则投标无效的条款，或者不能负偏离的条款，或者采购需求中带“▲ ”的条款。</w:t>
      </w:r>
    </w:p>
    <w:p w14:paraId="724C31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2.</w:t>
      </w:r>
      <w:r>
        <w:rPr>
          <w:rFonts w:hint="eastAsia" w:ascii="宋体" w:hAnsi="宋体" w:eastAsia="Times New Roman" w:cs="Times New Roman"/>
          <w:bCs/>
          <w:snapToGrid w:val="0"/>
          <w:color w:val="auto"/>
          <w:kern w:val="0"/>
          <w:sz w:val="21"/>
          <w:szCs w:val="20"/>
          <w:lang w:val="en-US" w:eastAsia="zh-CN" w:bidi="ar-SA"/>
        </w:rPr>
        <w:t>采购需求中出现的品牌、型号或者生产厂家仅起参考作用，不属于指定品牌、型号或者生产厂家的情形。投标人可参照或者选用其他相当的品牌、型号或者生产厂家替代。</w:t>
      </w:r>
    </w:p>
    <w:p w14:paraId="52ED77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3.</w:t>
      </w:r>
      <w:r>
        <w:rPr>
          <w:rFonts w:hint="eastAsia" w:ascii="宋体" w:hAnsi="宋体" w:eastAsia="Times New Roman" w:cs="Times New Roman"/>
          <w:bCs/>
          <w:snapToGrid w:val="0"/>
          <w:color w:val="auto"/>
          <w:kern w:val="0"/>
          <w:sz w:val="21"/>
          <w:szCs w:val="20"/>
          <w:lang w:val="en-US" w:eastAsia="zh-CN" w:bidi="ar-SA"/>
        </w:rPr>
        <w:t>投标人应根据自身实际情况如实响应招标文件，对招标文件提出的要求和条件作出明确响应，否则将作无效响应处理。对于重要技术条款或技术参数应当在投标文件中提供技术支持资料，技术支持资料以招标文件中规定的形式为准，否则将视为无效技术支持资料。</w:t>
      </w:r>
    </w:p>
    <w:p w14:paraId="599289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4.</w:t>
      </w:r>
      <w:r>
        <w:rPr>
          <w:rFonts w:hint="eastAsia" w:ascii="宋体" w:hAnsi="宋体" w:eastAsia="Times New Roman" w:cs="Times New Roman"/>
          <w:bCs/>
          <w:snapToGrid w:val="0"/>
          <w:color w:val="auto"/>
          <w:kern w:val="0"/>
          <w:sz w:val="21"/>
          <w:szCs w:val="20"/>
          <w:lang w:val="en-US" w:eastAsia="zh-CN" w:bidi="ar-SA"/>
        </w:rPr>
        <w:t>标人必须自行为其投标产品侵犯他人的知识产权或者专利成果的行为承担相应法律责任。</w:t>
      </w:r>
    </w:p>
    <w:p w14:paraId="6404AA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Times New Roman" w:cs="Times New Roman"/>
          <w:bCs/>
          <w:snapToGrid w:val="0"/>
          <w:color w:val="auto"/>
          <w:kern w:val="0"/>
          <w:sz w:val="21"/>
          <w:szCs w:val="20"/>
          <w:lang w:val="en-US" w:eastAsia="zh-CN" w:bidi="ar-SA"/>
        </w:rPr>
      </w:pPr>
      <w:r>
        <w:rPr>
          <w:rFonts w:hint="default" w:ascii="宋体" w:hAnsi="宋体" w:eastAsia="Times New Roman" w:cs="Times New Roman"/>
          <w:bCs/>
          <w:snapToGrid w:val="0"/>
          <w:color w:val="auto"/>
          <w:kern w:val="0"/>
          <w:sz w:val="21"/>
          <w:szCs w:val="20"/>
          <w:lang w:val="en-US" w:eastAsia="en-US" w:bidi="ar-SA"/>
        </w:rPr>
        <w:t>5.</w:t>
      </w:r>
      <w:r>
        <w:rPr>
          <w:rFonts w:hint="eastAsia" w:ascii="宋体" w:hAnsi="宋体" w:eastAsia="Times New Roman" w:cs="Times New Roman"/>
          <w:bCs/>
          <w:snapToGrid w:val="0"/>
          <w:color w:val="auto"/>
          <w:kern w:val="0"/>
          <w:sz w:val="21"/>
          <w:szCs w:val="20"/>
          <w:lang w:val="en-US" w:eastAsia="zh-CN" w:bidi="ar-SA"/>
        </w:rPr>
        <w:t>采购需求中出现的相关国家标准、行业标准、地方标准，若项目执行后续出现新标准的，以新标准代替旧标准。</w:t>
      </w:r>
    </w:p>
    <w:p w14:paraId="3F80F668">
      <w:pPr>
        <w:numPr>
          <w:ilvl w:val="0"/>
          <w:numId w:val="0"/>
        </w:numPr>
        <w:ind w:left="0" w:leftChars="0" w:firstLine="0" w:firstLineChars="0"/>
        <w:rPr>
          <w:rFonts w:hint="eastAsia" w:eastAsia="宋体"/>
          <w:color w:val="auto"/>
          <w:lang w:val="en-US" w:eastAsia="zh-CN"/>
        </w:rPr>
      </w:pP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一</w:t>
      </w:r>
      <w:r>
        <w:rPr>
          <w:rFonts w:hint="eastAsia" w:ascii="宋体" w:hAnsi="宋体" w:eastAsia="宋体"/>
          <w:b/>
          <w:bCs/>
          <w:color w:val="auto"/>
          <w:sz w:val="24"/>
          <w:szCs w:val="24"/>
          <w:highlight w:val="none"/>
          <w:lang w:eastAsia="zh-CN"/>
        </w:rPr>
        <w:t>）采购预算</w:t>
      </w:r>
    </w:p>
    <w:tbl>
      <w:tblPr>
        <w:tblStyle w:val="16"/>
        <w:tblW w:w="10052"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918"/>
        <w:gridCol w:w="729"/>
        <w:gridCol w:w="739"/>
        <w:gridCol w:w="2013"/>
        <w:gridCol w:w="3166"/>
      </w:tblGrid>
      <w:tr w14:paraId="2A7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noWrap w:val="0"/>
            <w:vAlign w:val="center"/>
          </w:tcPr>
          <w:p w14:paraId="258E1CE8">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序号</w:t>
            </w:r>
          </w:p>
        </w:tc>
        <w:tc>
          <w:tcPr>
            <w:tcW w:w="1918" w:type="dxa"/>
            <w:noWrap w:val="0"/>
            <w:vAlign w:val="center"/>
          </w:tcPr>
          <w:p w14:paraId="4A5EBE8D">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项目内容</w:t>
            </w:r>
          </w:p>
        </w:tc>
        <w:tc>
          <w:tcPr>
            <w:tcW w:w="729" w:type="dxa"/>
            <w:noWrap w:val="0"/>
            <w:vAlign w:val="center"/>
          </w:tcPr>
          <w:p w14:paraId="5DA5DDAE">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数量</w:t>
            </w:r>
          </w:p>
        </w:tc>
        <w:tc>
          <w:tcPr>
            <w:tcW w:w="739" w:type="dxa"/>
            <w:noWrap w:val="0"/>
            <w:vAlign w:val="center"/>
          </w:tcPr>
          <w:p w14:paraId="00F16EB0">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单位</w:t>
            </w:r>
          </w:p>
        </w:tc>
        <w:tc>
          <w:tcPr>
            <w:tcW w:w="2013" w:type="dxa"/>
            <w:noWrap w:val="0"/>
            <w:vAlign w:val="center"/>
          </w:tcPr>
          <w:p w14:paraId="6EC6DA29">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预计年采购金额（</w:t>
            </w:r>
            <w:r>
              <w:rPr>
                <w:rFonts w:hint="eastAsia" w:eastAsia="宋体"/>
                <w:color w:val="auto"/>
                <w:sz w:val="24"/>
                <w:szCs w:val="24"/>
                <w:highlight w:val="none"/>
                <w:vertAlign w:val="baseline"/>
                <w:lang w:val="en-US" w:eastAsia="zh-CN"/>
              </w:rPr>
              <w:t>万</w:t>
            </w:r>
            <w:r>
              <w:rPr>
                <w:rFonts w:hint="eastAsia" w:ascii="宋体" w:hAnsi="宋体" w:eastAsia="宋体"/>
                <w:color w:val="auto"/>
                <w:sz w:val="24"/>
                <w:szCs w:val="24"/>
                <w:highlight w:val="none"/>
                <w:vertAlign w:val="baseline"/>
                <w:lang w:eastAsia="zh-CN"/>
              </w:rPr>
              <w:t>元）</w:t>
            </w:r>
          </w:p>
        </w:tc>
        <w:tc>
          <w:tcPr>
            <w:tcW w:w="3166" w:type="dxa"/>
            <w:noWrap w:val="0"/>
            <w:vAlign w:val="center"/>
          </w:tcPr>
          <w:p w14:paraId="40D41752">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拟入围供应商数量（个）</w:t>
            </w:r>
          </w:p>
        </w:tc>
      </w:tr>
      <w:tr w14:paraId="4E86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87" w:type="dxa"/>
            <w:noWrap w:val="0"/>
            <w:vAlign w:val="center"/>
          </w:tcPr>
          <w:p w14:paraId="2DE1D83C">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1918" w:type="dxa"/>
            <w:noWrap w:val="0"/>
            <w:vAlign w:val="center"/>
          </w:tcPr>
          <w:p w14:paraId="5609D674">
            <w:pPr>
              <w:pStyle w:val="13"/>
              <w:spacing w:line="360" w:lineRule="exact"/>
              <w:jc w:val="center"/>
              <w:rPr>
                <w:rFonts w:hint="eastAsia" w:ascii="宋体" w:hAnsi="宋体" w:eastAsia="宋体"/>
                <w:color w:val="auto"/>
                <w:sz w:val="24"/>
                <w:szCs w:val="24"/>
                <w:highlight w:val="none"/>
                <w:vertAlign w:val="baseline"/>
                <w:lang w:eastAsia="zh-CN"/>
              </w:rPr>
            </w:pPr>
            <w:r>
              <w:rPr>
                <w:color w:val="auto"/>
                <w:spacing w:val="8"/>
              </w:rPr>
              <w:t>食堂</w:t>
            </w:r>
            <w:r>
              <w:rPr>
                <w:rFonts w:hint="eastAsia" w:eastAsia="宋体"/>
                <w:color w:val="auto"/>
                <w:spacing w:val="8"/>
                <w:lang w:val="en-US" w:eastAsia="zh-CN"/>
              </w:rPr>
              <w:t>蔬菜和水果类</w:t>
            </w:r>
            <w:r>
              <w:rPr>
                <w:color w:val="auto"/>
                <w:spacing w:val="8"/>
              </w:rPr>
              <w:t>食材</w:t>
            </w:r>
          </w:p>
        </w:tc>
        <w:tc>
          <w:tcPr>
            <w:tcW w:w="729" w:type="dxa"/>
            <w:noWrap w:val="0"/>
            <w:vAlign w:val="center"/>
          </w:tcPr>
          <w:p w14:paraId="5B33D7B9">
            <w:pPr>
              <w:pStyle w:val="13"/>
              <w:spacing w:line="360" w:lineRule="exact"/>
              <w:jc w:val="center"/>
              <w:rPr>
                <w:rFonts w:hint="eastAsia"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1</w:t>
            </w:r>
          </w:p>
        </w:tc>
        <w:tc>
          <w:tcPr>
            <w:tcW w:w="739" w:type="dxa"/>
            <w:noWrap w:val="0"/>
            <w:vAlign w:val="center"/>
          </w:tcPr>
          <w:p w14:paraId="5E4E29EC">
            <w:pPr>
              <w:pStyle w:val="13"/>
              <w:spacing w:line="360" w:lineRule="exact"/>
              <w:jc w:val="center"/>
              <w:rPr>
                <w:rFonts w:hint="eastAsia" w:ascii="宋体" w:hAnsi="宋体" w:eastAsia="宋体"/>
                <w:color w:val="auto"/>
                <w:sz w:val="24"/>
                <w:szCs w:val="24"/>
                <w:highlight w:val="none"/>
                <w:vertAlign w:val="baseline"/>
                <w:lang w:eastAsia="zh-CN"/>
              </w:rPr>
            </w:pPr>
            <w:r>
              <w:rPr>
                <w:rFonts w:hint="eastAsia" w:ascii="宋体" w:hAnsi="宋体" w:eastAsia="宋体"/>
                <w:color w:val="auto"/>
                <w:sz w:val="24"/>
                <w:szCs w:val="24"/>
                <w:highlight w:val="none"/>
                <w:vertAlign w:val="baseline"/>
                <w:lang w:eastAsia="zh-CN"/>
              </w:rPr>
              <w:t>批</w:t>
            </w:r>
          </w:p>
        </w:tc>
        <w:tc>
          <w:tcPr>
            <w:tcW w:w="2013" w:type="dxa"/>
            <w:noWrap w:val="0"/>
            <w:vAlign w:val="center"/>
          </w:tcPr>
          <w:p w14:paraId="0E877A0E">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ascii="宋体" w:hAnsi="宋体" w:eastAsia="宋体"/>
                <w:color w:val="auto"/>
                <w:sz w:val="24"/>
                <w:szCs w:val="24"/>
                <w:highlight w:val="none"/>
                <w:vertAlign w:val="baseline"/>
                <w:lang w:val="en-US" w:eastAsia="zh-CN"/>
              </w:rPr>
              <w:t>4</w:t>
            </w:r>
            <w:r>
              <w:rPr>
                <w:rFonts w:hint="eastAsia" w:eastAsia="宋体"/>
                <w:color w:val="auto"/>
                <w:sz w:val="24"/>
                <w:szCs w:val="24"/>
                <w:highlight w:val="none"/>
                <w:vertAlign w:val="baseline"/>
                <w:lang w:val="en-US" w:eastAsia="zh-CN"/>
              </w:rPr>
              <w:t>3</w:t>
            </w:r>
          </w:p>
        </w:tc>
        <w:tc>
          <w:tcPr>
            <w:tcW w:w="3166" w:type="dxa"/>
            <w:noWrap w:val="0"/>
            <w:vAlign w:val="center"/>
          </w:tcPr>
          <w:p w14:paraId="33E608BC">
            <w:pPr>
              <w:pStyle w:val="13"/>
              <w:spacing w:line="360" w:lineRule="exact"/>
              <w:jc w:val="center"/>
              <w:rPr>
                <w:rFonts w:hint="default" w:ascii="宋体" w:hAnsi="宋体" w:eastAsia="宋体"/>
                <w:color w:val="auto"/>
                <w:sz w:val="24"/>
                <w:szCs w:val="24"/>
                <w:highlight w:val="none"/>
                <w:vertAlign w:val="baseline"/>
                <w:lang w:val="en-US" w:eastAsia="zh-CN"/>
              </w:rPr>
            </w:pPr>
            <w:r>
              <w:rPr>
                <w:rFonts w:hint="eastAsia" w:eastAsia="宋体"/>
                <w:color w:val="auto"/>
                <w:sz w:val="24"/>
                <w:szCs w:val="24"/>
                <w:highlight w:val="none"/>
                <w:vertAlign w:val="baseline"/>
                <w:lang w:val="en-US" w:eastAsia="zh-CN"/>
              </w:rPr>
              <w:t>2</w:t>
            </w:r>
          </w:p>
        </w:tc>
      </w:tr>
      <w:tr w14:paraId="1CC2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052" w:type="dxa"/>
            <w:gridSpan w:val="6"/>
            <w:noWrap w:val="0"/>
            <w:vAlign w:val="top"/>
          </w:tcPr>
          <w:p w14:paraId="41BB17B6">
            <w:pPr>
              <w:pStyle w:val="13"/>
              <w:spacing w:line="360" w:lineRule="exact"/>
              <w:jc w:val="center"/>
              <w:rPr>
                <w:rFonts w:hint="eastAsia" w:ascii="宋体" w:hAnsi="宋体" w:eastAsia="宋体"/>
                <w:color w:val="auto"/>
                <w:sz w:val="24"/>
                <w:szCs w:val="24"/>
                <w:highlight w:val="none"/>
                <w:vertAlign w:val="baseline"/>
              </w:rPr>
            </w:pPr>
            <w:r>
              <w:rPr>
                <w:rFonts w:hint="eastAsia" w:ascii="宋体" w:hAnsi="宋体" w:eastAsia="宋体" w:cs="宋体"/>
                <w:color w:val="auto"/>
                <w:kern w:val="0"/>
                <w:sz w:val="24"/>
                <w:highlight w:val="none"/>
              </w:rPr>
              <w:t>备注：具体内容详见</w:t>
            </w:r>
            <w:r>
              <w:rPr>
                <w:rFonts w:hint="eastAsia" w:ascii="宋体" w:hAnsi="宋体" w:eastAsia="宋体" w:cs="宋体"/>
                <w:color w:val="auto"/>
                <w:kern w:val="0"/>
                <w:sz w:val="24"/>
                <w:highlight w:val="none"/>
                <w:lang w:val="en-US" w:eastAsia="zh-CN"/>
              </w:rPr>
              <w:t>下表</w:t>
            </w:r>
            <w:r>
              <w:rPr>
                <w:rFonts w:hint="eastAsia" w:ascii="宋体" w:hAnsi="宋体" w:eastAsia="宋体" w:cs="宋体"/>
                <w:color w:val="auto"/>
                <w:kern w:val="0"/>
                <w:sz w:val="24"/>
                <w:highlight w:val="none"/>
              </w:rPr>
              <w:t>。</w:t>
            </w:r>
          </w:p>
        </w:tc>
      </w:tr>
    </w:tbl>
    <w:p w14:paraId="45D0F15D">
      <w:pPr>
        <w:tabs>
          <w:tab w:val="left" w:pos="816"/>
        </w:tabs>
        <w:bidi w:val="0"/>
        <w:jc w:val="left"/>
        <w:rPr>
          <w:rFonts w:hint="eastAsia" w:eastAsia="宋体"/>
          <w:color w:val="auto"/>
          <w:lang w:val="en-US" w:eastAsia="zh-CN"/>
        </w:rPr>
        <w:sectPr>
          <w:footerReference r:id="rId5" w:type="default"/>
          <w:pgSz w:w="11910" w:h="16840"/>
          <w:pgMar w:top="1431" w:right="1345" w:bottom="1088" w:left="1676" w:header="0" w:footer="929" w:gutter="0"/>
          <w:cols w:space="720" w:num="1"/>
        </w:sectPr>
      </w:pPr>
    </w:p>
    <w:p w14:paraId="5750A13F">
      <w:pPr>
        <w:bidi w:val="0"/>
        <w:ind w:left="0" w:leftChars="0" w:firstLine="422" w:firstLineChars="175"/>
        <w:rPr>
          <w:rFonts w:hint="default" w:eastAsia="宋体"/>
          <w:color w:val="auto"/>
          <w:lang w:val="en-US" w:eastAsia="zh-CN"/>
        </w:rPr>
      </w:pPr>
      <w:r>
        <w:rPr>
          <w:rFonts w:hint="eastAsia" w:ascii="宋体" w:hAnsi="宋体" w:eastAsia="宋体"/>
          <w:b/>
          <w:bCs/>
          <w:color w:val="auto"/>
          <w:sz w:val="24"/>
          <w:szCs w:val="24"/>
          <w:highlight w:val="none"/>
          <w:lang w:val="en-US" w:eastAsia="zh-CN"/>
        </w:rPr>
        <w:t>（二）采购需求</w:t>
      </w:r>
    </w:p>
    <w:tbl>
      <w:tblPr>
        <w:tblStyle w:val="20"/>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330"/>
        <w:gridCol w:w="850"/>
        <w:gridCol w:w="7101"/>
      </w:tblGrid>
      <w:tr w14:paraId="1900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71" w:type="dxa"/>
            <w:vAlign w:val="top"/>
          </w:tcPr>
          <w:p w14:paraId="4633F99E">
            <w:pPr>
              <w:pStyle w:val="19"/>
              <w:spacing w:before="36" w:line="229" w:lineRule="auto"/>
              <w:ind w:left="232"/>
              <w:rPr>
                <w:color w:val="auto"/>
              </w:rPr>
            </w:pPr>
            <w:r>
              <w:rPr>
                <w:b/>
                <w:bCs/>
                <w:color w:val="auto"/>
                <w:spacing w:val="2"/>
              </w:rPr>
              <w:t>项号</w:t>
            </w:r>
          </w:p>
        </w:tc>
        <w:tc>
          <w:tcPr>
            <w:tcW w:w="1330" w:type="dxa"/>
            <w:vAlign w:val="top"/>
          </w:tcPr>
          <w:p w14:paraId="4B59FE98">
            <w:pPr>
              <w:pStyle w:val="19"/>
              <w:spacing w:before="36" w:line="229" w:lineRule="auto"/>
              <w:ind w:left="249"/>
              <w:rPr>
                <w:color w:val="auto"/>
              </w:rPr>
            </w:pPr>
            <w:r>
              <w:rPr>
                <w:b/>
                <w:bCs/>
                <w:color w:val="auto"/>
                <w:spacing w:val="6"/>
              </w:rPr>
              <w:t>标的名称</w:t>
            </w:r>
          </w:p>
        </w:tc>
        <w:tc>
          <w:tcPr>
            <w:tcW w:w="850" w:type="dxa"/>
            <w:vAlign w:val="top"/>
          </w:tcPr>
          <w:p w14:paraId="1908E20A">
            <w:pPr>
              <w:pStyle w:val="19"/>
              <w:spacing w:before="36" w:line="228" w:lineRule="auto"/>
              <w:ind w:left="221"/>
              <w:rPr>
                <w:color w:val="auto"/>
              </w:rPr>
            </w:pPr>
            <w:r>
              <w:rPr>
                <w:b/>
                <w:bCs/>
                <w:color w:val="auto"/>
                <w:spacing w:val="3"/>
              </w:rPr>
              <w:t>数量</w:t>
            </w:r>
          </w:p>
        </w:tc>
        <w:tc>
          <w:tcPr>
            <w:tcW w:w="7101" w:type="dxa"/>
            <w:vAlign w:val="top"/>
          </w:tcPr>
          <w:p w14:paraId="01AE2CF0">
            <w:pPr>
              <w:pStyle w:val="19"/>
              <w:spacing w:before="36" w:line="228" w:lineRule="auto"/>
              <w:ind w:left="3034"/>
              <w:rPr>
                <w:color w:val="auto"/>
              </w:rPr>
            </w:pPr>
            <w:r>
              <w:rPr>
                <w:b/>
                <w:bCs/>
                <w:color w:val="auto"/>
                <w:spacing w:val="5"/>
              </w:rPr>
              <w:t>▲服务要求</w:t>
            </w:r>
          </w:p>
        </w:tc>
      </w:tr>
      <w:tr w14:paraId="1096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6" w:hRule="atLeast"/>
        </w:trPr>
        <w:tc>
          <w:tcPr>
            <w:tcW w:w="871" w:type="dxa"/>
            <w:vAlign w:val="top"/>
          </w:tcPr>
          <w:p w14:paraId="251ADA42">
            <w:pPr>
              <w:rPr>
                <w:rFonts w:ascii="Arial"/>
                <w:color w:val="auto"/>
                <w:sz w:val="21"/>
              </w:rPr>
            </w:pPr>
          </w:p>
          <w:p w14:paraId="4A267615">
            <w:pPr>
              <w:rPr>
                <w:rFonts w:ascii="Arial"/>
                <w:color w:val="auto"/>
                <w:sz w:val="21"/>
              </w:rPr>
            </w:pPr>
          </w:p>
          <w:p w14:paraId="43C01F87">
            <w:pPr>
              <w:rPr>
                <w:rFonts w:ascii="Arial"/>
                <w:color w:val="auto"/>
                <w:sz w:val="21"/>
              </w:rPr>
            </w:pPr>
          </w:p>
          <w:p w14:paraId="3EE0D8ED">
            <w:pPr>
              <w:rPr>
                <w:rFonts w:ascii="Arial"/>
                <w:color w:val="auto"/>
                <w:sz w:val="21"/>
              </w:rPr>
            </w:pPr>
          </w:p>
          <w:p w14:paraId="2FC9DF2E">
            <w:pPr>
              <w:rPr>
                <w:rFonts w:ascii="Arial"/>
                <w:color w:val="auto"/>
                <w:sz w:val="21"/>
              </w:rPr>
            </w:pPr>
          </w:p>
          <w:p w14:paraId="52BF903B">
            <w:pPr>
              <w:rPr>
                <w:rFonts w:ascii="Arial"/>
                <w:color w:val="auto"/>
                <w:sz w:val="21"/>
              </w:rPr>
            </w:pPr>
          </w:p>
          <w:p w14:paraId="29FCB353">
            <w:pPr>
              <w:rPr>
                <w:rFonts w:ascii="Arial"/>
                <w:color w:val="auto"/>
                <w:sz w:val="21"/>
              </w:rPr>
            </w:pPr>
          </w:p>
          <w:p w14:paraId="33D1A318">
            <w:pPr>
              <w:spacing w:line="241" w:lineRule="auto"/>
              <w:rPr>
                <w:rFonts w:ascii="Arial"/>
                <w:color w:val="auto"/>
                <w:sz w:val="21"/>
              </w:rPr>
            </w:pPr>
          </w:p>
          <w:p w14:paraId="7A88CBC4">
            <w:pPr>
              <w:spacing w:line="241" w:lineRule="auto"/>
              <w:rPr>
                <w:rFonts w:ascii="Arial"/>
                <w:color w:val="auto"/>
                <w:sz w:val="21"/>
              </w:rPr>
            </w:pPr>
          </w:p>
          <w:p w14:paraId="50C91634">
            <w:pPr>
              <w:spacing w:line="241" w:lineRule="auto"/>
              <w:rPr>
                <w:rFonts w:ascii="Arial"/>
                <w:color w:val="auto"/>
                <w:sz w:val="21"/>
              </w:rPr>
            </w:pPr>
          </w:p>
          <w:p w14:paraId="236CC4A4">
            <w:pPr>
              <w:spacing w:line="241" w:lineRule="auto"/>
              <w:rPr>
                <w:rFonts w:ascii="Arial"/>
                <w:color w:val="auto"/>
                <w:sz w:val="21"/>
              </w:rPr>
            </w:pPr>
          </w:p>
          <w:p w14:paraId="3DB6A519">
            <w:pPr>
              <w:spacing w:line="241" w:lineRule="auto"/>
              <w:rPr>
                <w:rFonts w:ascii="Arial"/>
                <w:color w:val="auto"/>
                <w:sz w:val="21"/>
              </w:rPr>
            </w:pPr>
          </w:p>
          <w:p w14:paraId="0EE25425">
            <w:pPr>
              <w:spacing w:line="241" w:lineRule="auto"/>
              <w:rPr>
                <w:rFonts w:ascii="Arial"/>
                <w:color w:val="auto"/>
                <w:sz w:val="21"/>
              </w:rPr>
            </w:pPr>
          </w:p>
          <w:p w14:paraId="7B51018B">
            <w:pPr>
              <w:spacing w:line="241" w:lineRule="auto"/>
              <w:rPr>
                <w:rFonts w:ascii="Arial"/>
                <w:color w:val="auto"/>
                <w:sz w:val="21"/>
              </w:rPr>
            </w:pPr>
          </w:p>
          <w:p w14:paraId="389C8CAE">
            <w:pPr>
              <w:spacing w:line="241" w:lineRule="auto"/>
              <w:rPr>
                <w:rFonts w:ascii="Arial"/>
                <w:color w:val="auto"/>
                <w:sz w:val="21"/>
              </w:rPr>
            </w:pPr>
          </w:p>
          <w:p w14:paraId="5C1B252B">
            <w:pPr>
              <w:spacing w:line="241" w:lineRule="auto"/>
              <w:rPr>
                <w:rFonts w:ascii="Arial"/>
                <w:color w:val="auto"/>
                <w:sz w:val="21"/>
              </w:rPr>
            </w:pPr>
          </w:p>
          <w:p w14:paraId="2AFD5851">
            <w:pPr>
              <w:spacing w:line="241" w:lineRule="auto"/>
              <w:rPr>
                <w:rFonts w:ascii="Arial"/>
                <w:color w:val="auto"/>
                <w:sz w:val="21"/>
              </w:rPr>
            </w:pPr>
          </w:p>
          <w:p w14:paraId="7CECA3FC">
            <w:pPr>
              <w:spacing w:line="241" w:lineRule="auto"/>
              <w:rPr>
                <w:rFonts w:ascii="Arial"/>
                <w:color w:val="auto"/>
                <w:sz w:val="21"/>
              </w:rPr>
            </w:pPr>
          </w:p>
          <w:p w14:paraId="787CDA9E">
            <w:pPr>
              <w:spacing w:line="241" w:lineRule="auto"/>
              <w:rPr>
                <w:rFonts w:ascii="Arial"/>
                <w:color w:val="auto"/>
                <w:sz w:val="21"/>
              </w:rPr>
            </w:pPr>
          </w:p>
          <w:p w14:paraId="3EA3BB1F">
            <w:pPr>
              <w:spacing w:line="241" w:lineRule="auto"/>
              <w:rPr>
                <w:rFonts w:ascii="Arial"/>
                <w:color w:val="auto"/>
                <w:sz w:val="21"/>
              </w:rPr>
            </w:pPr>
          </w:p>
          <w:p w14:paraId="62AC858B">
            <w:pPr>
              <w:spacing w:line="241" w:lineRule="auto"/>
              <w:rPr>
                <w:rFonts w:ascii="Arial"/>
                <w:color w:val="auto"/>
                <w:sz w:val="21"/>
              </w:rPr>
            </w:pPr>
          </w:p>
          <w:p w14:paraId="03E2BB14">
            <w:pPr>
              <w:spacing w:line="241" w:lineRule="auto"/>
              <w:rPr>
                <w:rFonts w:ascii="Arial"/>
                <w:color w:val="auto"/>
                <w:sz w:val="21"/>
              </w:rPr>
            </w:pPr>
          </w:p>
          <w:p w14:paraId="3DA3C2DE">
            <w:pPr>
              <w:spacing w:line="241" w:lineRule="auto"/>
              <w:rPr>
                <w:rFonts w:ascii="Arial"/>
                <w:color w:val="auto"/>
                <w:sz w:val="21"/>
              </w:rPr>
            </w:pPr>
          </w:p>
          <w:p w14:paraId="10D97537">
            <w:pPr>
              <w:spacing w:line="241" w:lineRule="auto"/>
              <w:rPr>
                <w:rFonts w:ascii="Arial"/>
                <w:color w:val="auto"/>
                <w:sz w:val="21"/>
              </w:rPr>
            </w:pPr>
          </w:p>
          <w:p w14:paraId="64072AA2">
            <w:pPr>
              <w:spacing w:line="241" w:lineRule="auto"/>
              <w:rPr>
                <w:rFonts w:ascii="Arial"/>
                <w:color w:val="auto"/>
                <w:sz w:val="21"/>
              </w:rPr>
            </w:pPr>
          </w:p>
          <w:p w14:paraId="05F52C23">
            <w:pPr>
              <w:spacing w:line="241" w:lineRule="auto"/>
              <w:rPr>
                <w:rFonts w:ascii="Arial"/>
                <w:color w:val="auto"/>
                <w:sz w:val="21"/>
              </w:rPr>
            </w:pPr>
          </w:p>
          <w:p w14:paraId="5DFD3FDD">
            <w:pPr>
              <w:pStyle w:val="19"/>
              <w:spacing w:before="65" w:line="271" w:lineRule="exact"/>
              <w:ind w:left="403"/>
              <w:rPr>
                <w:color w:val="auto"/>
              </w:rPr>
            </w:pPr>
            <w:r>
              <w:rPr>
                <w:color w:val="auto"/>
                <w:position w:val="1"/>
              </w:rPr>
              <w:t>1</w:t>
            </w:r>
          </w:p>
        </w:tc>
        <w:tc>
          <w:tcPr>
            <w:tcW w:w="1330" w:type="dxa"/>
            <w:vAlign w:val="top"/>
          </w:tcPr>
          <w:p w14:paraId="26516A02">
            <w:pPr>
              <w:spacing w:line="242" w:lineRule="auto"/>
              <w:rPr>
                <w:rFonts w:ascii="Arial"/>
                <w:color w:val="auto"/>
                <w:sz w:val="21"/>
              </w:rPr>
            </w:pPr>
          </w:p>
          <w:p w14:paraId="7EB59423">
            <w:pPr>
              <w:spacing w:line="242" w:lineRule="auto"/>
              <w:rPr>
                <w:rFonts w:ascii="Arial"/>
                <w:color w:val="auto"/>
                <w:sz w:val="21"/>
              </w:rPr>
            </w:pPr>
          </w:p>
          <w:p w14:paraId="00076FB6">
            <w:pPr>
              <w:spacing w:line="242" w:lineRule="auto"/>
              <w:rPr>
                <w:rFonts w:ascii="Arial"/>
                <w:color w:val="auto"/>
                <w:sz w:val="21"/>
              </w:rPr>
            </w:pPr>
          </w:p>
          <w:p w14:paraId="4746135F">
            <w:pPr>
              <w:spacing w:line="242" w:lineRule="auto"/>
              <w:rPr>
                <w:rFonts w:ascii="Arial"/>
                <w:color w:val="auto"/>
                <w:sz w:val="21"/>
              </w:rPr>
            </w:pPr>
          </w:p>
          <w:p w14:paraId="4794724D">
            <w:pPr>
              <w:spacing w:line="242" w:lineRule="auto"/>
              <w:rPr>
                <w:rFonts w:ascii="Arial"/>
                <w:color w:val="auto"/>
                <w:sz w:val="21"/>
              </w:rPr>
            </w:pPr>
          </w:p>
          <w:p w14:paraId="0A62AA81">
            <w:pPr>
              <w:spacing w:line="242" w:lineRule="auto"/>
              <w:rPr>
                <w:rFonts w:ascii="Arial"/>
                <w:color w:val="auto"/>
                <w:sz w:val="21"/>
              </w:rPr>
            </w:pPr>
          </w:p>
          <w:p w14:paraId="198021DE">
            <w:pPr>
              <w:spacing w:line="242" w:lineRule="auto"/>
              <w:rPr>
                <w:rFonts w:ascii="Arial"/>
                <w:color w:val="auto"/>
                <w:sz w:val="21"/>
              </w:rPr>
            </w:pPr>
          </w:p>
          <w:p w14:paraId="4A33D7CD">
            <w:pPr>
              <w:spacing w:line="242" w:lineRule="auto"/>
              <w:rPr>
                <w:rFonts w:ascii="Arial"/>
                <w:color w:val="auto"/>
                <w:sz w:val="21"/>
              </w:rPr>
            </w:pPr>
          </w:p>
          <w:p w14:paraId="78D54314">
            <w:pPr>
              <w:spacing w:line="242" w:lineRule="auto"/>
              <w:rPr>
                <w:rFonts w:ascii="Arial"/>
                <w:color w:val="auto"/>
                <w:sz w:val="21"/>
              </w:rPr>
            </w:pPr>
          </w:p>
          <w:p w14:paraId="4F7E66B0">
            <w:pPr>
              <w:spacing w:line="242" w:lineRule="auto"/>
              <w:rPr>
                <w:rFonts w:ascii="Arial"/>
                <w:color w:val="auto"/>
                <w:sz w:val="21"/>
              </w:rPr>
            </w:pPr>
          </w:p>
          <w:p w14:paraId="248A82A4">
            <w:pPr>
              <w:spacing w:line="242" w:lineRule="auto"/>
              <w:rPr>
                <w:rFonts w:ascii="Arial"/>
                <w:color w:val="auto"/>
                <w:sz w:val="21"/>
              </w:rPr>
            </w:pPr>
          </w:p>
          <w:p w14:paraId="518D1C52">
            <w:pPr>
              <w:spacing w:line="242" w:lineRule="auto"/>
              <w:rPr>
                <w:rFonts w:ascii="Arial"/>
                <w:color w:val="auto"/>
                <w:sz w:val="21"/>
              </w:rPr>
            </w:pPr>
          </w:p>
          <w:p w14:paraId="7E6F3C23">
            <w:pPr>
              <w:spacing w:line="242" w:lineRule="auto"/>
              <w:rPr>
                <w:rFonts w:ascii="Arial"/>
                <w:color w:val="auto"/>
                <w:sz w:val="21"/>
              </w:rPr>
            </w:pPr>
          </w:p>
          <w:p w14:paraId="0E086FD8">
            <w:pPr>
              <w:spacing w:line="242" w:lineRule="auto"/>
              <w:rPr>
                <w:rFonts w:ascii="Arial"/>
                <w:color w:val="auto"/>
                <w:sz w:val="21"/>
              </w:rPr>
            </w:pPr>
          </w:p>
          <w:p w14:paraId="2C9857FE">
            <w:pPr>
              <w:spacing w:line="242" w:lineRule="auto"/>
              <w:rPr>
                <w:rFonts w:ascii="Arial"/>
                <w:color w:val="auto"/>
                <w:sz w:val="21"/>
              </w:rPr>
            </w:pPr>
          </w:p>
          <w:p w14:paraId="0D5ACD26">
            <w:pPr>
              <w:spacing w:line="242" w:lineRule="auto"/>
              <w:rPr>
                <w:rFonts w:ascii="Arial"/>
                <w:color w:val="auto"/>
                <w:sz w:val="21"/>
              </w:rPr>
            </w:pPr>
          </w:p>
          <w:p w14:paraId="77E48F78">
            <w:pPr>
              <w:spacing w:line="242" w:lineRule="auto"/>
              <w:rPr>
                <w:rFonts w:ascii="Arial"/>
                <w:color w:val="auto"/>
                <w:sz w:val="21"/>
              </w:rPr>
            </w:pPr>
          </w:p>
          <w:p w14:paraId="183B5DB4">
            <w:pPr>
              <w:spacing w:line="242" w:lineRule="auto"/>
              <w:rPr>
                <w:rFonts w:ascii="Arial"/>
                <w:color w:val="auto"/>
                <w:sz w:val="21"/>
              </w:rPr>
            </w:pPr>
          </w:p>
          <w:p w14:paraId="3C3C32E4">
            <w:pPr>
              <w:spacing w:line="242" w:lineRule="auto"/>
              <w:rPr>
                <w:rFonts w:ascii="Arial"/>
                <w:color w:val="auto"/>
                <w:sz w:val="21"/>
              </w:rPr>
            </w:pPr>
          </w:p>
          <w:p w14:paraId="364EDF3E">
            <w:pPr>
              <w:spacing w:line="243" w:lineRule="auto"/>
              <w:rPr>
                <w:rFonts w:ascii="Arial"/>
                <w:color w:val="auto"/>
                <w:sz w:val="21"/>
              </w:rPr>
            </w:pPr>
          </w:p>
          <w:p w14:paraId="67957F07">
            <w:pPr>
              <w:spacing w:line="243" w:lineRule="auto"/>
              <w:rPr>
                <w:rFonts w:ascii="Arial"/>
                <w:color w:val="auto"/>
                <w:sz w:val="21"/>
              </w:rPr>
            </w:pPr>
          </w:p>
          <w:p w14:paraId="08A7DD6D">
            <w:pPr>
              <w:spacing w:line="243" w:lineRule="auto"/>
              <w:rPr>
                <w:rFonts w:ascii="Arial"/>
                <w:color w:val="auto"/>
                <w:sz w:val="21"/>
              </w:rPr>
            </w:pPr>
          </w:p>
          <w:p w14:paraId="230119B4">
            <w:pPr>
              <w:spacing w:line="243" w:lineRule="auto"/>
              <w:rPr>
                <w:rFonts w:ascii="Arial"/>
                <w:color w:val="auto"/>
                <w:sz w:val="21"/>
              </w:rPr>
            </w:pPr>
          </w:p>
          <w:p w14:paraId="6A85CCCA">
            <w:pPr>
              <w:spacing w:line="243" w:lineRule="auto"/>
              <w:rPr>
                <w:rFonts w:ascii="Arial"/>
                <w:color w:val="auto"/>
                <w:sz w:val="21"/>
              </w:rPr>
            </w:pPr>
          </w:p>
          <w:p w14:paraId="4E347309">
            <w:pPr>
              <w:spacing w:line="243" w:lineRule="auto"/>
              <w:rPr>
                <w:rFonts w:ascii="Arial"/>
                <w:color w:val="auto"/>
                <w:sz w:val="21"/>
              </w:rPr>
            </w:pPr>
          </w:p>
          <w:p w14:paraId="25CE8E31">
            <w:pPr>
              <w:pStyle w:val="19"/>
              <w:spacing w:before="65" w:line="378" w:lineRule="auto"/>
              <w:ind w:left="143" w:right="141"/>
              <w:rPr>
                <w:color w:val="auto"/>
              </w:rPr>
            </w:pPr>
            <w:r>
              <w:rPr>
                <w:rFonts w:hint="eastAsia"/>
                <w:color w:val="auto"/>
                <w:spacing w:val="8"/>
                <w:lang w:val="en-US" w:eastAsia="zh-CN"/>
              </w:rPr>
              <w:t>蔬菜和水果类</w:t>
            </w:r>
            <w:r>
              <w:rPr>
                <w:color w:val="auto"/>
                <w:spacing w:val="8"/>
              </w:rPr>
              <w:t>食材配送服务</w:t>
            </w:r>
          </w:p>
        </w:tc>
        <w:tc>
          <w:tcPr>
            <w:tcW w:w="850" w:type="dxa"/>
            <w:vAlign w:val="top"/>
          </w:tcPr>
          <w:p w14:paraId="56848A31">
            <w:pPr>
              <w:rPr>
                <w:rFonts w:ascii="Arial"/>
                <w:color w:val="auto"/>
                <w:sz w:val="21"/>
              </w:rPr>
            </w:pPr>
          </w:p>
          <w:p w14:paraId="63C66FA2">
            <w:pPr>
              <w:rPr>
                <w:rFonts w:ascii="Arial"/>
                <w:color w:val="auto"/>
                <w:sz w:val="21"/>
              </w:rPr>
            </w:pPr>
          </w:p>
          <w:p w14:paraId="2B01A822">
            <w:pPr>
              <w:rPr>
                <w:rFonts w:ascii="Arial"/>
                <w:color w:val="auto"/>
                <w:sz w:val="21"/>
              </w:rPr>
            </w:pPr>
          </w:p>
          <w:p w14:paraId="61F4E37E">
            <w:pPr>
              <w:rPr>
                <w:rFonts w:ascii="Arial"/>
                <w:color w:val="auto"/>
                <w:sz w:val="21"/>
              </w:rPr>
            </w:pPr>
          </w:p>
          <w:p w14:paraId="6C6E2782">
            <w:pPr>
              <w:rPr>
                <w:rFonts w:ascii="Arial"/>
                <w:color w:val="auto"/>
                <w:sz w:val="21"/>
              </w:rPr>
            </w:pPr>
          </w:p>
          <w:p w14:paraId="065ED5E4">
            <w:pPr>
              <w:rPr>
                <w:rFonts w:ascii="Arial"/>
                <w:color w:val="auto"/>
                <w:sz w:val="21"/>
              </w:rPr>
            </w:pPr>
          </w:p>
          <w:p w14:paraId="132E7216">
            <w:pPr>
              <w:rPr>
                <w:rFonts w:ascii="Arial"/>
                <w:color w:val="auto"/>
                <w:sz w:val="21"/>
              </w:rPr>
            </w:pPr>
          </w:p>
          <w:p w14:paraId="560FA20E">
            <w:pPr>
              <w:spacing w:line="241" w:lineRule="auto"/>
              <w:rPr>
                <w:rFonts w:ascii="Arial"/>
                <w:color w:val="auto"/>
                <w:sz w:val="21"/>
              </w:rPr>
            </w:pPr>
          </w:p>
          <w:p w14:paraId="6F1DF6EA">
            <w:pPr>
              <w:spacing w:line="241" w:lineRule="auto"/>
              <w:rPr>
                <w:rFonts w:ascii="Arial"/>
                <w:color w:val="auto"/>
                <w:sz w:val="21"/>
              </w:rPr>
            </w:pPr>
          </w:p>
          <w:p w14:paraId="27DD431D">
            <w:pPr>
              <w:spacing w:line="241" w:lineRule="auto"/>
              <w:rPr>
                <w:rFonts w:ascii="Arial"/>
                <w:color w:val="auto"/>
                <w:sz w:val="21"/>
              </w:rPr>
            </w:pPr>
          </w:p>
          <w:p w14:paraId="33024CC0">
            <w:pPr>
              <w:spacing w:line="241" w:lineRule="auto"/>
              <w:rPr>
                <w:rFonts w:ascii="Arial"/>
                <w:color w:val="auto"/>
                <w:sz w:val="21"/>
              </w:rPr>
            </w:pPr>
          </w:p>
          <w:p w14:paraId="0F57C3DD">
            <w:pPr>
              <w:spacing w:line="241" w:lineRule="auto"/>
              <w:rPr>
                <w:rFonts w:ascii="Arial"/>
                <w:color w:val="auto"/>
                <w:sz w:val="21"/>
              </w:rPr>
            </w:pPr>
          </w:p>
          <w:p w14:paraId="4A1184D9">
            <w:pPr>
              <w:spacing w:line="241" w:lineRule="auto"/>
              <w:rPr>
                <w:rFonts w:ascii="Arial"/>
                <w:color w:val="auto"/>
                <w:sz w:val="21"/>
              </w:rPr>
            </w:pPr>
          </w:p>
          <w:p w14:paraId="560C34DF">
            <w:pPr>
              <w:spacing w:line="241" w:lineRule="auto"/>
              <w:rPr>
                <w:rFonts w:ascii="Arial"/>
                <w:color w:val="auto"/>
                <w:sz w:val="21"/>
              </w:rPr>
            </w:pPr>
          </w:p>
          <w:p w14:paraId="148CA77F">
            <w:pPr>
              <w:spacing w:line="241" w:lineRule="auto"/>
              <w:rPr>
                <w:rFonts w:ascii="Arial"/>
                <w:color w:val="auto"/>
                <w:sz w:val="21"/>
              </w:rPr>
            </w:pPr>
          </w:p>
          <w:p w14:paraId="15DE614A">
            <w:pPr>
              <w:spacing w:line="241" w:lineRule="auto"/>
              <w:rPr>
                <w:rFonts w:ascii="Arial"/>
                <w:color w:val="auto"/>
                <w:sz w:val="21"/>
              </w:rPr>
            </w:pPr>
          </w:p>
          <w:p w14:paraId="34A41BDB">
            <w:pPr>
              <w:spacing w:line="241" w:lineRule="auto"/>
              <w:rPr>
                <w:rFonts w:ascii="Arial"/>
                <w:color w:val="auto"/>
                <w:sz w:val="21"/>
              </w:rPr>
            </w:pPr>
          </w:p>
          <w:p w14:paraId="4971BACB">
            <w:pPr>
              <w:spacing w:line="241" w:lineRule="auto"/>
              <w:rPr>
                <w:rFonts w:ascii="Arial"/>
                <w:color w:val="auto"/>
                <w:sz w:val="21"/>
              </w:rPr>
            </w:pPr>
          </w:p>
          <w:p w14:paraId="3793970E">
            <w:pPr>
              <w:spacing w:line="241" w:lineRule="auto"/>
              <w:rPr>
                <w:rFonts w:ascii="Arial"/>
                <w:color w:val="auto"/>
                <w:sz w:val="21"/>
              </w:rPr>
            </w:pPr>
          </w:p>
          <w:p w14:paraId="4EDDD4D9">
            <w:pPr>
              <w:spacing w:line="241" w:lineRule="auto"/>
              <w:rPr>
                <w:rFonts w:ascii="Arial"/>
                <w:color w:val="auto"/>
                <w:sz w:val="21"/>
              </w:rPr>
            </w:pPr>
          </w:p>
          <w:p w14:paraId="68CCA00E">
            <w:pPr>
              <w:spacing w:line="241" w:lineRule="auto"/>
              <w:rPr>
                <w:rFonts w:ascii="Arial"/>
                <w:color w:val="auto"/>
                <w:sz w:val="21"/>
              </w:rPr>
            </w:pPr>
          </w:p>
          <w:p w14:paraId="1443ACFE">
            <w:pPr>
              <w:spacing w:line="241" w:lineRule="auto"/>
              <w:rPr>
                <w:rFonts w:ascii="Arial"/>
                <w:color w:val="auto"/>
                <w:sz w:val="21"/>
              </w:rPr>
            </w:pPr>
          </w:p>
          <w:p w14:paraId="443962E6">
            <w:pPr>
              <w:spacing w:line="241" w:lineRule="auto"/>
              <w:rPr>
                <w:rFonts w:ascii="Arial"/>
                <w:color w:val="auto"/>
                <w:sz w:val="21"/>
              </w:rPr>
            </w:pPr>
          </w:p>
          <w:p w14:paraId="3DB74B0F">
            <w:pPr>
              <w:spacing w:line="241" w:lineRule="auto"/>
              <w:rPr>
                <w:rFonts w:ascii="Arial"/>
                <w:color w:val="auto"/>
                <w:sz w:val="21"/>
              </w:rPr>
            </w:pPr>
          </w:p>
          <w:p w14:paraId="1C7048DB">
            <w:pPr>
              <w:spacing w:line="241" w:lineRule="auto"/>
              <w:rPr>
                <w:rFonts w:ascii="Arial"/>
                <w:color w:val="auto"/>
                <w:sz w:val="21"/>
              </w:rPr>
            </w:pPr>
          </w:p>
          <w:p w14:paraId="10D0C36D">
            <w:pPr>
              <w:spacing w:line="241" w:lineRule="auto"/>
              <w:rPr>
                <w:rFonts w:ascii="Arial"/>
                <w:color w:val="auto"/>
                <w:sz w:val="21"/>
              </w:rPr>
            </w:pPr>
          </w:p>
          <w:p w14:paraId="1B4BBA3E">
            <w:pPr>
              <w:pStyle w:val="19"/>
              <w:spacing w:before="65" w:line="229" w:lineRule="auto"/>
              <w:ind w:left="261"/>
              <w:rPr>
                <w:color w:val="auto"/>
              </w:rPr>
            </w:pPr>
            <w:r>
              <w:rPr>
                <w:color w:val="auto"/>
                <w:spacing w:val="-10"/>
              </w:rPr>
              <w:t>1</w:t>
            </w:r>
            <w:r>
              <w:rPr>
                <w:color w:val="auto"/>
                <w:spacing w:val="-38"/>
              </w:rPr>
              <w:t xml:space="preserve"> </w:t>
            </w:r>
            <w:r>
              <w:rPr>
                <w:color w:val="auto"/>
                <w:spacing w:val="-10"/>
              </w:rPr>
              <w:t>项</w:t>
            </w:r>
          </w:p>
        </w:tc>
        <w:tc>
          <w:tcPr>
            <w:tcW w:w="7101" w:type="dxa"/>
            <w:vAlign w:val="top"/>
          </w:tcPr>
          <w:p w14:paraId="13314254">
            <w:pPr>
              <w:pStyle w:val="19"/>
              <w:spacing w:before="31" w:line="228" w:lineRule="auto"/>
              <w:ind w:left="116"/>
              <w:rPr>
                <w:color w:val="auto"/>
              </w:rPr>
            </w:pPr>
            <w:r>
              <w:rPr>
                <w:b/>
                <w:bCs/>
                <w:color w:val="auto"/>
                <w:spacing w:val="8"/>
              </w:rPr>
              <w:t>一、服务内容（生鲜食材配送包括但不限于以下</w:t>
            </w:r>
            <w:r>
              <w:rPr>
                <w:b/>
                <w:bCs/>
                <w:color w:val="auto"/>
                <w:spacing w:val="7"/>
              </w:rPr>
              <w:t>）</w:t>
            </w:r>
          </w:p>
          <w:p w14:paraId="55A90107">
            <w:pPr>
              <w:pStyle w:val="19"/>
              <w:spacing w:before="161" w:line="340" w:lineRule="auto"/>
              <w:ind w:left="112" w:right="107" w:firstLine="16"/>
              <w:rPr>
                <w:rFonts w:hint="eastAsia"/>
                <w:color w:val="auto"/>
                <w:spacing w:val="8"/>
                <w:lang w:eastAsia="zh-CN"/>
              </w:rPr>
            </w:pPr>
            <w:r>
              <w:rPr>
                <w:b/>
                <w:bCs/>
                <w:color w:val="auto"/>
                <w:spacing w:val="7"/>
              </w:rPr>
              <w:t>1.</w:t>
            </w:r>
            <w:r>
              <w:rPr>
                <w:rFonts w:hint="eastAsia"/>
                <w:b/>
                <w:bCs/>
                <w:color w:val="auto"/>
                <w:spacing w:val="7"/>
                <w:lang w:val="en-US" w:eastAsia="zh-CN"/>
              </w:rPr>
              <w:t>蛋</w:t>
            </w:r>
            <w:r>
              <w:rPr>
                <w:b/>
                <w:bCs/>
                <w:color w:val="auto"/>
                <w:spacing w:val="7"/>
              </w:rPr>
              <w:t>类：</w:t>
            </w:r>
            <w:r>
              <w:rPr>
                <w:rFonts w:hint="eastAsia"/>
                <w:color w:val="auto"/>
                <w:spacing w:val="7"/>
              </w:rPr>
              <w:t>普通鸡蛋</w:t>
            </w:r>
            <w:r>
              <w:rPr>
                <w:rFonts w:hint="eastAsia"/>
                <w:color w:val="auto"/>
                <w:spacing w:val="7"/>
                <w:lang w:eastAsia="zh-CN"/>
              </w:rPr>
              <w:t>、</w:t>
            </w:r>
            <w:r>
              <w:rPr>
                <w:rFonts w:hint="eastAsia"/>
                <w:color w:val="auto"/>
                <w:spacing w:val="7"/>
              </w:rPr>
              <w:t>普通鸭蛋</w:t>
            </w:r>
            <w:r>
              <w:rPr>
                <w:rFonts w:hint="eastAsia"/>
                <w:color w:val="auto"/>
                <w:spacing w:val="7"/>
                <w:lang w:eastAsia="zh-CN"/>
              </w:rPr>
              <w:t>、</w:t>
            </w:r>
            <w:r>
              <w:rPr>
                <w:rFonts w:hint="eastAsia"/>
                <w:color w:val="auto"/>
                <w:spacing w:val="7"/>
              </w:rPr>
              <w:t>土鸡蛋</w:t>
            </w:r>
            <w:r>
              <w:rPr>
                <w:rFonts w:hint="eastAsia"/>
                <w:color w:val="auto"/>
                <w:spacing w:val="7"/>
                <w:lang w:eastAsia="zh-CN"/>
              </w:rPr>
              <w:t>、</w:t>
            </w:r>
            <w:r>
              <w:rPr>
                <w:rFonts w:hint="eastAsia"/>
                <w:color w:val="auto"/>
                <w:spacing w:val="7"/>
              </w:rPr>
              <w:t>海鸭蛋</w:t>
            </w:r>
            <w:r>
              <w:rPr>
                <w:rFonts w:hint="eastAsia"/>
                <w:color w:val="auto"/>
                <w:spacing w:val="7"/>
                <w:lang w:eastAsia="zh-CN"/>
              </w:rPr>
              <w:t>、</w:t>
            </w:r>
            <w:r>
              <w:rPr>
                <w:rFonts w:hint="eastAsia"/>
                <w:color w:val="auto"/>
                <w:spacing w:val="7"/>
              </w:rPr>
              <w:t>鹌鹑蛋</w:t>
            </w:r>
            <w:r>
              <w:rPr>
                <w:color w:val="auto"/>
                <w:spacing w:val="8"/>
              </w:rPr>
              <w:t>等</w:t>
            </w:r>
            <w:r>
              <w:rPr>
                <w:rFonts w:hint="eastAsia"/>
                <w:color w:val="auto"/>
                <w:spacing w:val="8"/>
                <w:lang w:eastAsia="zh-CN"/>
              </w:rPr>
              <w:t>、</w:t>
            </w:r>
          </w:p>
          <w:p w14:paraId="7CA67E70">
            <w:pPr>
              <w:pStyle w:val="19"/>
              <w:spacing w:before="161" w:line="340" w:lineRule="auto"/>
              <w:ind w:left="112" w:right="107" w:firstLine="16"/>
              <w:rPr>
                <w:rFonts w:hint="eastAsia"/>
                <w:color w:val="auto"/>
                <w:spacing w:val="8"/>
                <w:lang w:val="en-US" w:eastAsia="zh-CN"/>
              </w:rPr>
            </w:pPr>
            <w:r>
              <w:rPr>
                <w:rFonts w:hint="eastAsia"/>
                <w:b/>
                <w:bCs/>
                <w:color w:val="auto"/>
                <w:spacing w:val="8"/>
                <w:lang w:val="en-US" w:eastAsia="zh-CN"/>
              </w:rPr>
              <w:t>蔬菜类</w:t>
            </w:r>
            <w:r>
              <w:rPr>
                <w:rFonts w:hint="eastAsia"/>
                <w:color w:val="auto"/>
                <w:spacing w:val="8"/>
                <w:lang w:val="en-US" w:eastAsia="zh-CN"/>
              </w:rPr>
              <w:t>：大白菜、广东菜心、油麦菜、上海青、小芥菜、娃娃菜、空心菜、芥菜、包菜、生菜、黄豆芽、蒜苗、鲜香菇、柠檬、青豆角、韭菜、茄子、甜笋、酸菜、大葱、凤尾菇、四季豆、葱花、芹蒜、蒜米、生姜、沙姜、紫苏、香菜、水豆腐、干豆腐、云吞皮、莴笋、红薯、苦瓜、甜豆、冬瓜、南瓜、丝瓜、西兰花、土豆、青美人椒、红美人椒、洋葱、蕃茄、红萝卜、白萝卜、嫩藕、粉藕、玉米棒、玉米粒、金针菇、油果等</w:t>
            </w:r>
          </w:p>
          <w:p w14:paraId="6F60C588">
            <w:pPr>
              <w:pStyle w:val="19"/>
              <w:spacing w:before="161" w:line="340" w:lineRule="auto"/>
              <w:ind w:left="112" w:right="107" w:firstLine="16"/>
              <w:rPr>
                <w:rFonts w:hint="default"/>
                <w:color w:val="auto"/>
                <w:spacing w:val="8"/>
                <w:lang w:val="en-US" w:eastAsia="zh-CN"/>
              </w:rPr>
            </w:pPr>
            <w:r>
              <w:rPr>
                <w:rFonts w:hint="eastAsia"/>
                <w:b/>
                <w:bCs/>
                <w:color w:val="auto"/>
                <w:spacing w:val="8"/>
                <w:lang w:val="en-US" w:eastAsia="zh-CN"/>
              </w:rPr>
              <w:t>水果类</w:t>
            </w:r>
            <w:r>
              <w:rPr>
                <w:rFonts w:hint="eastAsia"/>
                <w:color w:val="auto"/>
                <w:spacing w:val="8"/>
                <w:lang w:val="en-US" w:eastAsia="zh-CN"/>
              </w:rPr>
              <w:t>：苹果、雪梨、香蕉、西瓜、香蕉、油桃、柑果、芒果、提子、甜橙、沃柑等</w:t>
            </w:r>
          </w:p>
          <w:p w14:paraId="00DB3DCD">
            <w:pPr>
              <w:pStyle w:val="19"/>
              <w:spacing w:before="1" w:line="227" w:lineRule="auto"/>
              <w:ind w:left="116"/>
              <w:rPr>
                <w:color w:val="auto"/>
              </w:rPr>
            </w:pPr>
            <w:r>
              <w:rPr>
                <w:b/>
                <w:bCs/>
                <w:color w:val="auto"/>
                <w:spacing w:val="6"/>
              </w:rPr>
              <w:t>二、送货要求</w:t>
            </w:r>
          </w:p>
          <w:p w14:paraId="2C747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1.实际供货数量以采购人每次提供的订单为准。</w:t>
            </w:r>
          </w:p>
          <w:p w14:paraId="2788AE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2.采购人提前一天以电话或邮箱、微信等方式向中标供应商下订单，订单内容包括名称、规格、数量等。</w:t>
            </w:r>
          </w:p>
          <w:p w14:paraId="268458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 xml:space="preserve">3.中标供应商须在接到采购人订单之日的第二天 </w:t>
            </w:r>
            <w:r>
              <w:rPr>
                <w:rFonts w:hint="eastAsia" w:ascii="宋体" w:hAnsi="宋体" w:eastAsia="Times New Roman" w:cs="Times New Roman"/>
                <w:bCs/>
                <w:snapToGrid w:val="0"/>
                <w:color w:val="auto"/>
                <w:kern w:val="0"/>
                <w:sz w:val="21"/>
                <w:szCs w:val="20"/>
                <w:lang w:val="en-US" w:eastAsia="zh-CN" w:bidi="ar-SA"/>
              </w:rPr>
              <w:t>6</w:t>
            </w:r>
            <w:r>
              <w:rPr>
                <w:rFonts w:hint="default" w:ascii="宋体" w:hAnsi="宋体" w:eastAsia="Times New Roman" w:cs="Times New Roman"/>
                <w:bCs/>
                <w:snapToGrid w:val="0"/>
                <w:color w:val="auto"/>
                <w:kern w:val="0"/>
                <w:sz w:val="21"/>
                <w:szCs w:val="20"/>
                <w:lang w:val="en-US" w:eastAsia="en-US" w:bidi="ar-SA"/>
              </w:rPr>
              <w:t>：30 前，将采购人所订购的货物送至采购人指定的地点【</w:t>
            </w:r>
            <w:r>
              <w:rPr>
                <w:rFonts w:hint="eastAsia" w:ascii="宋体" w:hAnsi="宋体" w:eastAsia="Times New Roman" w:cs="Times New Roman"/>
                <w:bCs/>
                <w:snapToGrid w:val="0"/>
                <w:color w:val="auto"/>
                <w:kern w:val="0"/>
                <w:sz w:val="21"/>
                <w:szCs w:val="20"/>
                <w:lang w:val="en-US" w:eastAsia="zh-CN" w:bidi="ar-SA"/>
              </w:rPr>
              <w:t>防城港市第一人民医院文昌院区和防城院区</w:t>
            </w:r>
            <w:r>
              <w:rPr>
                <w:rFonts w:hint="default" w:ascii="宋体" w:hAnsi="宋体" w:eastAsia="Times New Roman" w:cs="Times New Roman"/>
                <w:bCs/>
                <w:snapToGrid w:val="0"/>
                <w:color w:val="auto"/>
                <w:kern w:val="0"/>
                <w:sz w:val="21"/>
                <w:szCs w:val="20"/>
                <w:lang w:val="en-US" w:eastAsia="en-US" w:bidi="ar-SA"/>
              </w:rPr>
              <w:t xml:space="preserve"> 】。</w:t>
            </w:r>
          </w:p>
          <w:p w14:paraId="5871F3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4.中标供应商应当根据采购人实际情况，按与采购人的约定，在规定的时间内将预定的货物数量送到指定地点。紧急情况不论数量多少，不能以任何理由推脱，一旦影响到采购人的正常运转，中标供应商应承担相应的损失。除客观不可抗力外，中标供应商不得推迟送货。如确需延迟送货的，中标供应商应在得知情况的同时告知采购人并征得采购人同意。</w:t>
            </w:r>
          </w:p>
          <w:p w14:paraId="0604D4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5.中标供应商应根据采购人实际要求运送货物，负责进行简单处理。</w:t>
            </w:r>
          </w:p>
          <w:p w14:paraId="6B57B3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6.每次送货，中标供应商须委派一名专门负责人且配备食材配送车辆，负责货物的运输、过秤，并协助采购人验收货品，货品的品种和重量以采购人验收的结果为准，经验收合格后签字确认。</w:t>
            </w:r>
          </w:p>
          <w:p w14:paraId="357BE7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7.盛装容器必须清洁干净无破损，肉类容器必须加盖防渗漏。</w:t>
            </w:r>
          </w:p>
          <w:p w14:paraId="4AFFC3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color w:val="auto"/>
                <w:spacing w:val="8"/>
              </w:rPr>
            </w:pPr>
            <w:r>
              <w:rPr>
                <w:rFonts w:hint="default" w:ascii="宋体" w:hAnsi="宋体" w:eastAsia="Times New Roman" w:cs="Times New Roman"/>
                <w:bCs/>
                <w:snapToGrid w:val="0"/>
                <w:color w:val="auto"/>
                <w:kern w:val="0"/>
                <w:sz w:val="21"/>
                <w:szCs w:val="20"/>
                <w:lang w:val="en-US" w:eastAsia="en-US" w:bidi="ar-SA"/>
              </w:rPr>
              <w:t>8.中标供应商须严格按照各采购人的指令配送商品的数量，不得随意增减数量，否则，采购人有权拒收。如因市场流通问题确实需要变更的，应事先书面申请，并经采购人同意后方可改变。</w:t>
            </w:r>
          </w:p>
        </w:tc>
      </w:tr>
    </w:tbl>
    <w:p w14:paraId="297FE5B0">
      <w:pPr>
        <w:rPr>
          <w:rFonts w:ascii="Arial"/>
          <w:color w:val="auto"/>
          <w:sz w:val="21"/>
        </w:rPr>
      </w:pPr>
    </w:p>
    <w:p w14:paraId="2D06EE8E">
      <w:pPr>
        <w:rPr>
          <w:rFonts w:ascii="Arial" w:hAnsi="Arial" w:eastAsia="Arial" w:cs="Arial"/>
          <w:color w:val="auto"/>
          <w:sz w:val="21"/>
          <w:szCs w:val="21"/>
        </w:rPr>
        <w:sectPr>
          <w:footerReference r:id="rId6" w:type="default"/>
          <w:pgSz w:w="11911" w:h="16839"/>
          <w:pgMar w:top="1431" w:right="789" w:bottom="1142" w:left="964" w:header="0" w:footer="905" w:gutter="0"/>
          <w:cols w:space="720" w:num="1"/>
        </w:sectPr>
      </w:pPr>
    </w:p>
    <w:p w14:paraId="799603F7">
      <w:pPr>
        <w:spacing w:line="87" w:lineRule="exact"/>
        <w:rPr>
          <w:color w:val="auto"/>
        </w:rPr>
      </w:pPr>
    </w:p>
    <w:tbl>
      <w:tblPr>
        <w:tblStyle w:val="20"/>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917"/>
        <w:gridCol w:w="413"/>
        <w:gridCol w:w="850"/>
        <w:gridCol w:w="7101"/>
      </w:tblGrid>
      <w:tr w14:paraId="618D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8" w:hRule="atLeast"/>
        </w:trPr>
        <w:tc>
          <w:tcPr>
            <w:tcW w:w="871" w:type="dxa"/>
            <w:vAlign w:val="top"/>
          </w:tcPr>
          <w:p w14:paraId="6D5E1CCA">
            <w:pPr>
              <w:rPr>
                <w:rFonts w:ascii="Arial"/>
                <w:color w:val="auto"/>
                <w:sz w:val="21"/>
              </w:rPr>
            </w:pPr>
          </w:p>
        </w:tc>
        <w:tc>
          <w:tcPr>
            <w:tcW w:w="1330" w:type="dxa"/>
            <w:gridSpan w:val="2"/>
            <w:vAlign w:val="top"/>
          </w:tcPr>
          <w:p w14:paraId="2BC8224D">
            <w:pPr>
              <w:rPr>
                <w:rFonts w:ascii="Arial"/>
                <w:color w:val="auto"/>
                <w:sz w:val="21"/>
              </w:rPr>
            </w:pPr>
          </w:p>
        </w:tc>
        <w:tc>
          <w:tcPr>
            <w:tcW w:w="850" w:type="dxa"/>
            <w:vAlign w:val="top"/>
          </w:tcPr>
          <w:p w14:paraId="0CF94951">
            <w:pPr>
              <w:rPr>
                <w:rFonts w:ascii="Arial"/>
                <w:color w:val="auto"/>
                <w:sz w:val="21"/>
              </w:rPr>
            </w:pPr>
          </w:p>
        </w:tc>
        <w:tc>
          <w:tcPr>
            <w:tcW w:w="7101" w:type="dxa"/>
            <w:vAlign w:val="top"/>
          </w:tcPr>
          <w:p w14:paraId="53D153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9.采购人发现所采购货物不能正常使用的，中标供应商应无条件退换。中标供应商未能履行投标文件和合同所定事项,或供应不合格的、假冒伪劣、以次充好的商品，采购人退货后将记录在案，并对中标供应商予以处罚，要承担因此产生的一切损失和费用。</w:t>
            </w:r>
          </w:p>
          <w:p w14:paraId="612039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Times New Roman" w:cs="Times New Roman"/>
                <w:bCs/>
                <w:snapToGrid w:val="0"/>
                <w:color w:val="auto"/>
                <w:kern w:val="0"/>
                <w:sz w:val="21"/>
                <w:szCs w:val="20"/>
                <w:lang w:val="en-US" w:eastAsia="en-US" w:bidi="ar-SA"/>
              </w:rPr>
            </w:pPr>
            <w:r>
              <w:rPr>
                <w:rFonts w:hint="default" w:ascii="宋体" w:hAnsi="宋体" w:eastAsia="Times New Roman" w:cs="Times New Roman"/>
                <w:bCs/>
                <w:snapToGrid w:val="0"/>
                <w:color w:val="auto"/>
                <w:kern w:val="0"/>
                <w:sz w:val="21"/>
                <w:szCs w:val="20"/>
                <w:lang w:val="en-US" w:eastAsia="en-US" w:bidi="ar-SA"/>
              </w:rPr>
              <w:t>10.送货专员在医院活动必须严格遵守采购人各项规章制度，不得做出有损采购人形象和利益的事情。</w:t>
            </w:r>
          </w:p>
          <w:p w14:paraId="1BBD2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color w:val="auto"/>
              </w:rPr>
            </w:pPr>
            <w:r>
              <w:rPr>
                <w:rFonts w:hint="default" w:ascii="宋体" w:hAnsi="宋体" w:eastAsia="Times New Roman" w:cs="Times New Roman"/>
                <w:bCs/>
                <w:snapToGrid w:val="0"/>
                <w:color w:val="auto"/>
                <w:kern w:val="0"/>
                <w:sz w:val="21"/>
                <w:szCs w:val="20"/>
                <w:lang w:val="en-US" w:eastAsia="en-US" w:bidi="ar-SA"/>
              </w:rPr>
              <w:t>11.中标供应商不得泄露采购人的商业秘密。泄密造成采购人损失的，中标供应商将承担由此产生的一切损失和法律责任。</w:t>
            </w:r>
          </w:p>
          <w:p w14:paraId="03328EDA">
            <w:pPr>
              <w:pStyle w:val="19"/>
              <w:spacing w:before="160" w:line="228" w:lineRule="auto"/>
              <w:ind w:left="113"/>
              <w:rPr>
                <w:color w:val="auto"/>
              </w:rPr>
            </w:pPr>
            <w:r>
              <w:rPr>
                <w:b/>
                <w:bCs/>
                <w:color w:val="auto"/>
                <w:spacing w:val="7"/>
              </w:rPr>
              <w:t>三、商品供货要求</w:t>
            </w:r>
          </w:p>
          <w:p w14:paraId="0715FF2B">
            <w:pPr>
              <w:pStyle w:val="19"/>
              <w:spacing w:before="161" w:line="303" w:lineRule="auto"/>
              <w:ind w:left="114" w:right="109" w:firstLine="14"/>
              <w:rPr>
                <w:color w:val="auto"/>
              </w:rPr>
            </w:pPr>
            <w:r>
              <w:rPr>
                <w:color w:val="auto"/>
                <w:spacing w:val="8"/>
              </w:rPr>
              <w:t>1</w:t>
            </w:r>
            <w:r>
              <w:rPr>
                <w:color w:val="auto"/>
                <w:spacing w:val="3"/>
              </w:rPr>
              <w:t>：</w:t>
            </w:r>
            <w:r>
              <w:rPr>
                <w:color w:val="auto"/>
                <w:spacing w:val="8"/>
              </w:rPr>
              <w:t>《营业执</w:t>
            </w:r>
            <w:r>
              <w:rPr>
                <w:color w:val="auto"/>
                <w:spacing w:val="7"/>
              </w:rPr>
              <w:t>照》《食品生产许可证》</w:t>
            </w:r>
            <w:r>
              <w:rPr>
                <w:rFonts w:hint="eastAsia"/>
                <w:color w:val="auto"/>
                <w:spacing w:val="7"/>
                <w:lang w:val="en-US" w:eastAsia="zh-CN"/>
              </w:rPr>
              <w:t>等</w:t>
            </w:r>
            <w:r>
              <w:rPr>
                <w:color w:val="auto"/>
                <w:spacing w:val="7"/>
              </w:rPr>
              <w:t>。</w:t>
            </w:r>
          </w:p>
          <w:p w14:paraId="362B0258">
            <w:pPr>
              <w:pStyle w:val="19"/>
              <w:spacing w:before="159" w:line="328" w:lineRule="auto"/>
              <w:ind w:left="114" w:right="107" w:firstLine="1"/>
              <w:rPr>
                <w:color w:val="auto"/>
              </w:rPr>
            </w:pPr>
            <w:r>
              <w:rPr>
                <w:color w:val="auto"/>
                <w:spacing w:val="8"/>
              </w:rPr>
              <w:t>2.服从采购人的监督、协调、指导与管理。凡是《中华人民共和国食品安全法》禁止经营的食品一律不得采购和使用，严禁配送有毒、有害、过期、变质、假冒伪劣等不合格食品。</w:t>
            </w:r>
          </w:p>
        </w:tc>
      </w:tr>
      <w:tr w14:paraId="55D9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152" w:type="dxa"/>
            <w:gridSpan w:val="5"/>
            <w:vAlign w:val="top"/>
          </w:tcPr>
          <w:p w14:paraId="20815120">
            <w:pPr>
              <w:pStyle w:val="19"/>
              <w:spacing w:before="33" w:line="228" w:lineRule="auto"/>
              <w:ind w:left="123"/>
              <w:rPr>
                <w:color w:val="auto"/>
              </w:rPr>
            </w:pPr>
            <w:r>
              <w:rPr>
                <w:b/>
                <w:bCs/>
                <w:color w:val="auto"/>
                <w:spacing w:val="6"/>
              </w:rPr>
              <w:t>▲商务要求</w:t>
            </w:r>
          </w:p>
        </w:tc>
      </w:tr>
      <w:tr w14:paraId="7484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88" w:type="dxa"/>
            <w:gridSpan w:val="2"/>
            <w:vAlign w:val="top"/>
          </w:tcPr>
          <w:p w14:paraId="5BEFBB83">
            <w:pPr>
              <w:pStyle w:val="19"/>
              <w:spacing w:before="34" w:line="229" w:lineRule="auto"/>
              <w:ind w:left="691"/>
              <w:rPr>
                <w:color w:val="auto"/>
              </w:rPr>
            </w:pPr>
            <w:r>
              <w:rPr>
                <w:b/>
                <w:bCs/>
                <w:color w:val="auto"/>
                <w:spacing w:val="2"/>
              </w:rPr>
              <w:t>项目</w:t>
            </w:r>
          </w:p>
        </w:tc>
        <w:tc>
          <w:tcPr>
            <w:tcW w:w="8364" w:type="dxa"/>
            <w:gridSpan w:val="3"/>
            <w:vAlign w:val="top"/>
          </w:tcPr>
          <w:p w14:paraId="5D94739F">
            <w:pPr>
              <w:pStyle w:val="19"/>
              <w:spacing w:before="34" w:line="230" w:lineRule="auto"/>
              <w:ind w:left="3976"/>
              <w:rPr>
                <w:color w:val="auto"/>
              </w:rPr>
            </w:pPr>
            <w:r>
              <w:rPr>
                <w:b/>
                <w:bCs/>
                <w:color w:val="auto"/>
                <w:spacing w:val="3"/>
              </w:rPr>
              <w:t>要求</w:t>
            </w:r>
          </w:p>
        </w:tc>
      </w:tr>
      <w:tr w14:paraId="01A4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88" w:type="dxa"/>
            <w:gridSpan w:val="2"/>
            <w:vAlign w:val="top"/>
          </w:tcPr>
          <w:p w14:paraId="6D642E00">
            <w:pPr>
              <w:pStyle w:val="19"/>
              <w:spacing w:before="33" w:line="229" w:lineRule="auto"/>
              <w:ind w:left="376"/>
              <w:rPr>
                <w:color w:val="auto"/>
              </w:rPr>
            </w:pPr>
            <w:r>
              <w:rPr>
                <w:color w:val="auto"/>
                <w:spacing w:val="7"/>
              </w:rPr>
              <w:t>合同签订期</w:t>
            </w:r>
          </w:p>
        </w:tc>
        <w:tc>
          <w:tcPr>
            <w:tcW w:w="8364" w:type="dxa"/>
            <w:gridSpan w:val="3"/>
            <w:vAlign w:val="top"/>
          </w:tcPr>
          <w:p w14:paraId="1304EBD3">
            <w:pPr>
              <w:pStyle w:val="19"/>
              <w:spacing w:before="33" w:line="228" w:lineRule="auto"/>
              <w:ind w:left="146"/>
              <w:rPr>
                <w:color w:val="auto"/>
              </w:rPr>
            </w:pPr>
            <w:r>
              <w:rPr>
                <w:color w:val="auto"/>
                <w:spacing w:val="6"/>
              </w:rPr>
              <w:t>自中标通知书发出之日起</w:t>
            </w:r>
            <w:r>
              <w:rPr>
                <w:color w:val="auto"/>
                <w:spacing w:val="-27"/>
              </w:rPr>
              <w:t xml:space="preserve"> </w:t>
            </w:r>
            <w:r>
              <w:rPr>
                <w:color w:val="auto"/>
                <w:spacing w:val="6"/>
              </w:rPr>
              <w:t>25</w:t>
            </w:r>
            <w:r>
              <w:rPr>
                <w:color w:val="auto"/>
                <w:spacing w:val="-40"/>
              </w:rPr>
              <w:t xml:space="preserve"> </w:t>
            </w:r>
            <w:r>
              <w:rPr>
                <w:color w:val="auto"/>
                <w:spacing w:val="6"/>
              </w:rPr>
              <w:t>个日历日内签订合同。</w:t>
            </w:r>
          </w:p>
        </w:tc>
      </w:tr>
      <w:tr w14:paraId="45CB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88" w:type="dxa"/>
            <w:gridSpan w:val="2"/>
            <w:vAlign w:val="top"/>
          </w:tcPr>
          <w:p w14:paraId="62720B26">
            <w:pPr>
              <w:pStyle w:val="19"/>
              <w:spacing w:before="74" w:line="379" w:lineRule="auto"/>
              <w:ind w:left="689" w:right="157" w:hanging="525"/>
              <w:rPr>
                <w:color w:val="auto"/>
              </w:rPr>
            </w:pPr>
            <w:r>
              <w:rPr>
                <w:color w:val="auto"/>
                <w:spacing w:val="8"/>
              </w:rPr>
              <w:t>服务期限及服务</w:t>
            </w:r>
            <w:r>
              <w:rPr>
                <w:color w:val="auto"/>
                <w:spacing w:val="4"/>
              </w:rPr>
              <w:t>地点</w:t>
            </w:r>
          </w:p>
        </w:tc>
        <w:tc>
          <w:tcPr>
            <w:tcW w:w="8364" w:type="dxa"/>
            <w:gridSpan w:val="3"/>
            <w:vAlign w:val="top"/>
          </w:tcPr>
          <w:p w14:paraId="43042C9A">
            <w:pPr>
              <w:pStyle w:val="19"/>
              <w:spacing w:before="32" w:line="228" w:lineRule="auto"/>
              <w:ind w:left="127"/>
              <w:rPr>
                <w:color w:val="auto"/>
              </w:rPr>
            </w:pPr>
            <w:r>
              <w:rPr>
                <w:color w:val="auto"/>
                <w:spacing w:val="4"/>
              </w:rPr>
              <w:t>1.服务期限：</w:t>
            </w:r>
            <w:r>
              <w:rPr>
                <w:color w:val="auto"/>
                <w:spacing w:val="-37"/>
              </w:rPr>
              <w:t xml:space="preserve"> </w:t>
            </w:r>
            <w:r>
              <w:rPr>
                <w:color w:val="auto"/>
                <w:spacing w:val="4"/>
              </w:rPr>
              <w:t>自合同签订之日起</w:t>
            </w:r>
            <w:r>
              <w:rPr>
                <w:rFonts w:hint="eastAsia"/>
                <w:color w:val="auto"/>
                <w:spacing w:val="4"/>
                <w:lang w:val="en-US" w:eastAsia="zh-CN"/>
              </w:rPr>
              <w:t>一</w:t>
            </w:r>
            <w:r>
              <w:rPr>
                <w:color w:val="auto"/>
                <w:spacing w:val="4"/>
              </w:rPr>
              <w:t>年。</w:t>
            </w:r>
          </w:p>
          <w:p w14:paraId="7999A2F1">
            <w:pPr>
              <w:pStyle w:val="19"/>
              <w:spacing w:before="160" w:line="228" w:lineRule="auto"/>
              <w:ind w:left="114"/>
              <w:rPr>
                <w:color w:val="auto"/>
              </w:rPr>
            </w:pPr>
            <w:r>
              <w:rPr>
                <w:color w:val="auto"/>
                <w:spacing w:val="10"/>
              </w:rPr>
              <w:t>2.服务地点：</w:t>
            </w:r>
            <w:r>
              <w:rPr>
                <w:rFonts w:hint="eastAsia"/>
                <w:color w:val="auto"/>
                <w:spacing w:val="15"/>
                <w:lang w:val="en-US" w:eastAsia="zh-CN"/>
              </w:rPr>
              <w:t>防城港市第一人民医院文昌院区和防城院区</w:t>
            </w:r>
            <w:r>
              <w:rPr>
                <w:color w:val="auto"/>
                <w:spacing w:val="-55"/>
              </w:rPr>
              <w:t xml:space="preserve"> </w:t>
            </w:r>
            <w:r>
              <w:rPr>
                <w:color w:val="auto"/>
                <w:spacing w:val="10"/>
              </w:rPr>
              <w:t>。</w:t>
            </w:r>
          </w:p>
        </w:tc>
      </w:tr>
      <w:tr w14:paraId="4E44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788" w:type="dxa"/>
            <w:gridSpan w:val="2"/>
            <w:vAlign w:val="top"/>
          </w:tcPr>
          <w:p w14:paraId="6F9DE150">
            <w:pPr>
              <w:spacing w:line="246" w:lineRule="auto"/>
              <w:rPr>
                <w:rFonts w:ascii="Arial"/>
                <w:color w:val="auto"/>
                <w:sz w:val="21"/>
              </w:rPr>
            </w:pPr>
          </w:p>
          <w:p w14:paraId="68D5F684">
            <w:pPr>
              <w:spacing w:line="246" w:lineRule="auto"/>
              <w:rPr>
                <w:rFonts w:ascii="Arial"/>
                <w:color w:val="auto"/>
                <w:sz w:val="21"/>
              </w:rPr>
            </w:pPr>
          </w:p>
          <w:p w14:paraId="340337B7">
            <w:pPr>
              <w:spacing w:line="246" w:lineRule="auto"/>
              <w:rPr>
                <w:rFonts w:ascii="Arial"/>
                <w:color w:val="auto"/>
                <w:sz w:val="21"/>
              </w:rPr>
            </w:pPr>
          </w:p>
          <w:p w14:paraId="0E13717F">
            <w:pPr>
              <w:spacing w:line="247" w:lineRule="auto"/>
              <w:rPr>
                <w:rFonts w:ascii="Arial"/>
                <w:color w:val="auto"/>
                <w:sz w:val="21"/>
              </w:rPr>
            </w:pPr>
          </w:p>
          <w:p w14:paraId="7395E0D6">
            <w:pPr>
              <w:pStyle w:val="19"/>
              <w:spacing w:before="65" w:line="228" w:lineRule="auto"/>
              <w:ind w:left="164"/>
              <w:rPr>
                <w:color w:val="auto"/>
              </w:rPr>
            </w:pPr>
            <w:r>
              <w:rPr>
                <w:color w:val="auto"/>
                <w:spacing w:val="8"/>
              </w:rPr>
              <w:t>付款方式及条件</w:t>
            </w:r>
          </w:p>
        </w:tc>
        <w:tc>
          <w:tcPr>
            <w:tcW w:w="8364" w:type="dxa"/>
            <w:gridSpan w:val="3"/>
            <w:vAlign w:val="top"/>
          </w:tcPr>
          <w:p w14:paraId="2BF454F9">
            <w:pPr>
              <w:pStyle w:val="19"/>
              <w:spacing w:before="34" w:line="377" w:lineRule="auto"/>
              <w:ind w:left="111" w:right="37" w:firstLine="439"/>
              <w:jc w:val="both"/>
              <w:rPr>
                <w:color w:val="auto"/>
              </w:rPr>
            </w:pPr>
            <w:r>
              <w:rPr>
                <w:color w:val="auto"/>
                <w:spacing w:val="4"/>
              </w:rPr>
              <w:t>中标供应商的送货单必须详细注明商品的时间、品种、单价、数量、送货单不得涂改。</w:t>
            </w:r>
            <w:r>
              <w:rPr>
                <w:color w:val="auto"/>
                <w:spacing w:val="10"/>
              </w:rPr>
              <w:t>标记不清的，采购人将拒绝签收。结算期末中标供应商还应提供送货清单供采购人结算。</w:t>
            </w:r>
            <w:r>
              <w:rPr>
                <w:color w:val="auto"/>
                <w:spacing w:val="8"/>
              </w:rPr>
              <w:t>双方核对无误后签字确认。</w:t>
            </w:r>
          </w:p>
          <w:p w14:paraId="447BC79D">
            <w:pPr>
              <w:pStyle w:val="19"/>
              <w:spacing w:before="2" w:line="364" w:lineRule="auto"/>
              <w:ind w:left="119" w:right="107" w:firstLine="425"/>
              <w:jc w:val="both"/>
              <w:rPr>
                <w:color w:val="auto"/>
              </w:rPr>
            </w:pPr>
            <w:r>
              <w:rPr>
                <w:rFonts w:hint="eastAsia"/>
                <w:color w:val="auto"/>
                <w:spacing w:val="8"/>
              </w:rPr>
              <w:t>货款按月以采购人实际购买的种类及数量结算，中标供应商按月开具全额发票给采购人，采购人自收到发票之日起</w:t>
            </w:r>
            <w:r>
              <w:rPr>
                <w:rFonts w:hint="eastAsia"/>
                <w:color w:val="auto"/>
                <w:spacing w:val="8"/>
                <w:lang w:val="en-US" w:eastAsia="zh-CN"/>
              </w:rPr>
              <w:t>15</w:t>
            </w:r>
            <w:r>
              <w:rPr>
                <w:rFonts w:hint="eastAsia"/>
                <w:color w:val="auto"/>
                <w:spacing w:val="8"/>
              </w:rPr>
              <w:t>个工作日内付清货款。</w:t>
            </w:r>
          </w:p>
        </w:tc>
      </w:tr>
      <w:tr w14:paraId="2051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6" w:hRule="atLeast"/>
        </w:trPr>
        <w:tc>
          <w:tcPr>
            <w:tcW w:w="1788" w:type="dxa"/>
            <w:gridSpan w:val="2"/>
            <w:vAlign w:val="top"/>
          </w:tcPr>
          <w:p w14:paraId="677E27C4">
            <w:pPr>
              <w:spacing w:line="260" w:lineRule="auto"/>
              <w:rPr>
                <w:rFonts w:ascii="Arial"/>
                <w:color w:val="auto"/>
                <w:sz w:val="21"/>
              </w:rPr>
            </w:pPr>
          </w:p>
          <w:p w14:paraId="1762BF02">
            <w:pPr>
              <w:spacing w:line="260" w:lineRule="auto"/>
              <w:rPr>
                <w:rFonts w:ascii="Arial"/>
                <w:color w:val="auto"/>
                <w:sz w:val="21"/>
              </w:rPr>
            </w:pPr>
          </w:p>
          <w:p w14:paraId="3A367E02">
            <w:pPr>
              <w:spacing w:line="261" w:lineRule="auto"/>
              <w:rPr>
                <w:rFonts w:ascii="Arial"/>
                <w:color w:val="auto"/>
                <w:sz w:val="21"/>
              </w:rPr>
            </w:pPr>
          </w:p>
          <w:p w14:paraId="380B95F7">
            <w:pPr>
              <w:pStyle w:val="19"/>
              <w:spacing w:before="65" w:line="227" w:lineRule="auto"/>
              <w:ind w:left="272"/>
              <w:rPr>
                <w:color w:val="auto"/>
              </w:rPr>
            </w:pPr>
            <w:r>
              <w:rPr>
                <w:color w:val="auto"/>
                <w:spacing w:val="7"/>
              </w:rPr>
              <w:t>投标报价要求</w:t>
            </w:r>
          </w:p>
        </w:tc>
        <w:tc>
          <w:tcPr>
            <w:tcW w:w="8364" w:type="dxa"/>
            <w:gridSpan w:val="3"/>
            <w:vAlign w:val="top"/>
          </w:tcPr>
          <w:p w14:paraId="67823827">
            <w:pPr>
              <w:pStyle w:val="19"/>
              <w:numPr>
                <w:ilvl w:val="0"/>
                <w:numId w:val="1"/>
              </w:numPr>
              <w:spacing w:before="35" w:line="302" w:lineRule="auto"/>
              <w:ind w:left="113" w:firstLine="430"/>
              <w:rPr>
                <w:color w:val="auto"/>
                <w:spacing w:val="7"/>
              </w:rPr>
            </w:pPr>
            <w:r>
              <w:rPr>
                <w:color w:val="auto"/>
                <w:spacing w:val="3"/>
              </w:rPr>
              <w:t>投标报价按折扣报价。</w:t>
            </w:r>
            <w:r>
              <w:rPr>
                <w:color w:val="auto"/>
                <w:spacing w:val="7"/>
              </w:rPr>
              <w:t>折扣报价最高不超过</w:t>
            </w:r>
            <w:r>
              <w:rPr>
                <w:color w:val="auto"/>
                <w:spacing w:val="-35"/>
              </w:rPr>
              <w:t xml:space="preserve"> </w:t>
            </w:r>
            <w:r>
              <w:rPr>
                <w:color w:val="auto"/>
                <w:spacing w:val="7"/>
              </w:rPr>
              <w:t>9</w:t>
            </w:r>
            <w:r>
              <w:rPr>
                <w:rFonts w:hint="eastAsia"/>
                <w:color w:val="auto"/>
                <w:spacing w:val="7"/>
                <w:lang w:val="en-US" w:eastAsia="zh-CN"/>
              </w:rPr>
              <w:t>2</w:t>
            </w:r>
            <w:r>
              <w:rPr>
                <w:color w:val="auto"/>
                <w:spacing w:val="7"/>
              </w:rPr>
              <w:t>%，即要求折扣报价范围≤9</w:t>
            </w:r>
            <w:r>
              <w:rPr>
                <w:rFonts w:hint="eastAsia"/>
                <w:color w:val="auto"/>
                <w:spacing w:val="7"/>
                <w:lang w:val="en-US" w:eastAsia="zh-CN"/>
              </w:rPr>
              <w:t>2</w:t>
            </w:r>
            <w:r>
              <w:rPr>
                <w:color w:val="auto"/>
                <w:spacing w:val="7"/>
              </w:rPr>
              <w:t>%，否则，作无效报价处理。</w:t>
            </w:r>
          </w:p>
          <w:p w14:paraId="15C134E9">
            <w:pPr>
              <w:pStyle w:val="19"/>
              <w:spacing w:before="35" w:line="377" w:lineRule="auto"/>
              <w:ind w:left="110" w:right="109" w:firstLine="447" w:firstLineChars="207"/>
              <w:jc w:val="both"/>
              <w:rPr>
                <w:color w:val="auto"/>
              </w:rPr>
            </w:pPr>
            <w:r>
              <w:rPr>
                <w:rFonts w:hint="eastAsia"/>
                <w:color w:val="auto"/>
                <w:spacing w:val="8"/>
                <w:lang w:val="en-US" w:eastAsia="zh-CN"/>
              </w:rPr>
              <w:t>2.</w:t>
            </w:r>
            <w:r>
              <w:rPr>
                <w:color w:val="auto"/>
                <w:spacing w:val="8"/>
              </w:rPr>
              <w:t>投标中标折扣将作为食材或货物实际结算的合同折扣率，结算时以实际采购量进行</w:t>
            </w:r>
            <w:r>
              <w:rPr>
                <w:color w:val="auto"/>
                <w:spacing w:val="9"/>
              </w:rPr>
              <w:t>结算。基准价每</w:t>
            </w:r>
            <w:r>
              <w:rPr>
                <w:rFonts w:hint="eastAsia"/>
                <w:color w:val="auto"/>
                <w:spacing w:val="9"/>
                <w:lang w:val="en-US" w:eastAsia="zh-CN"/>
              </w:rPr>
              <w:t>一</w:t>
            </w:r>
            <w:r>
              <w:rPr>
                <w:color w:val="auto"/>
                <w:spacing w:val="9"/>
              </w:rPr>
              <w:t>个月更新一次，由采购人抽选</w:t>
            </w:r>
            <w:r>
              <w:rPr>
                <w:rFonts w:hint="eastAsia"/>
                <w:color w:val="auto"/>
                <w:spacing w:val="9"/>
                <w:lang w:val="en-US" w:eastAsia="zh-CN"/>
              </w:rPr>
              <w:t>防城港</w:t>
            </w:r>
            <w:r>
              <w:rPr>
                <w:color w:val="auto"/>
                <w:spacing w:val="8"/>
              </w:rPr>
              <w:t>市内各农贸市场、蔬菜批发市场、大型超市等三家（或以上）超市或商家，与中标供应商一起对需采购的食材进行市场询价</w:t>
            </w:r>
            <w:r>
              <w:rPr>
                <w:rFonts w:hint="eastAsia"/>
                <w:color w:val="auto"/>
                <w:spacing w:val="8"/>
                <w:lang w:eastAsia="zh-CN"/>
              </w:rPr>
              <w:t>，</w:t>
            </w:r>
            <w:r>
              <w:rPr>
                <w:color w:val="auto"/>
                <w:spacing w:val="8"/>
              </w:rPr>
              <w:t>中标供应商根据市场询价的最低价（特价、会员价除外）为基准价</w:t>
            </w:r>
            <w:r>
              <w:rPr>
                <w:rFonts w:hint="eastAsia"/>
                <w:color w:val="auto"/>
                <w:spacing w:val="8"/>
                <w:lang w:eastAsia="zh-CN"/>
              </w:rPr>
              <w:t>，</w:t>
            </w:r>
            <w:r>
              <w:rPr>
                <w:color w:val="auto"/>
                <w:spacing w:val="11"/>
              </w:rPr>
              <w:t>结算单价=</w:t>
            </w:r>
            <w:r>
              <w:rPr>
                <w:color w:val="auto"/>
                <w:spacing w:val="8"/>
              </w:rPr>
              <w:t>基准价</w:t>
            </w:r>
            <w:r>
              <w:rPr>
                <w:color w:val="auto"/>
                <w:spacing w:val="9"/>
              </w:rPr>
              <w:t>×中标折扣，作为下个月物品采</w:t>
            </w:r>
            <w:r>
              <w:rPr>
                <w:color w:val="auto"/>
                <w:spacing w:val="8"/>
              </w:rPr>
              <w:t>购价执行。结算价款按实际采购数</w:t>
            </w:r>
            <w:r>
              <w:rPr>
                <w:color w:val="auto"/>
                <w:spacing w:val="7"/>
              </w:rPr>
              <w:t>量乘以结算单价。</w:t>
            </w:r>
          </w:p>
          <w:p w14:paraId="06BA4D38">
            <w:pPr>
              <w:pStyle w:val="19"/>
              <w:numPr>
                <w:ilvl w:val="0"/>
                <w:numId w:val="0"/>
              </w:numPr>
              <w:spacing w:before="35" w:line="302" w:lineRule="auto"/>
              <w:ind w:left="543" w:leftChars="0"/>
              <w:rPr>
                <w:color w:val="auto"/>
              </w:rPr>
            </w:pPr>
            <w:r>
              <w:rPr>
                <w:rFonts w:hint="eastAsia"/>
                <w:color w:val="auto"/>
                <w:spacing w:val="8"/>
                <w:lang w:val="en-US" w:eastAsia="zh-CN"/>
              </w:rPr>
              <w:t>3.</w:t>
            </w:r>
            <w:r>
              <w:rPr>
                <w:color w:val="auto"/>
                <w:spacing w:val="8"/>
              </w:rPr>
              <w:t>中标供应商依据采购人提供的食品采购需求计划，在规定时间内向采购人食堂配送食品及食堂加工原料物品等。</w:t>
            </w:r>
          </w:p>
        </w:tc>
      </w:tr>
    </w:tbl>
    <w:p w14:paraId="6E100CB0">
      <w:pPr>
        <w:spacing w:line="167" w:lineRule="exact"/>
        <w:rPr>
          <w:rFonts w:ascii="Arial"/>
          <w:color w:val="auto"/>
          <w:sz w:val="14"/>
        </w:rPr>
      </w:pPr>
    </w:p>
    <w:p w14:paraId="3FC341E1">
      <w:pPr>
        <w:spacing w:line="167" w:lineRule="exact"/>
        <w:rPr>
          <w:rFonts w:ascii="Arial" w:hAnsi="Arial" w:eastAsia="Arial" w:cs="Arial"/>
          <w:color w:val="auto"/>
          <w:sz w:val="14"/>
          <w:szCs w:val="14"/>
        </w:rPr>
        <w:sectPr>
          <w:footerReference r:id="rId7" w:type="default"/>
          <w:pgSz w:w="11911" w:h="16839"/>
          <w:pgMar w:top="1431" w:right="789" w:bottom="1089" w:left="964" w:header="0" w:footer="929" w:gutter="0"/>
          <w:cols w:space="720" w:num="1"/>
        </w:sectPr>
      </w:pPr>
    </w:p>
    <w:p w14:paraId="51295BF2">
      <w:pPr>
        <w:spacing w:line="87" w:lineRule="exact"/>
        <w:rPr>
          <w:color w:val="auto"/>
        </w:rPr>
      </w:pPr>
    </w:p>
    <w:tbl>
      <w:tblPr>
        <w:tblStyle w:val="20"/>
        <w:tblW w:w="30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113"/>
        <w:gridCol w:w="1077"/>
        <w:gridCol w:w="4959"/>
        <w:gridCol w:w="2125"/>
        <w:gridCol w:w="239"/>
        <w:gridCol w:w="6469"/>
        <w:gridCol w:w="6619"/>
        <w:gridCol w:w="6619"/>
      </w:tblGrid>
      <w:tr w14:paraId="60E95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2197" w:hRule="atLeast"/>
        </w:trPr>
        <w:tc>
          <w:tcPr>
            <w:tcW w:w="1789" w:type="dxa"/>
            <w:vAlign w:val="top"/>
          </w:tcPr>
          <w:p w14:paraId="573A6F25">
            <w:pPr>
              <w:rPr>
                <w:rFonts w:ascii="Arial"/>
                <w:color w:val="auto"/>
                <w:sz w:val="21"/>
              </w:rPr>
            </w:pPr>
          </w:p>
        </w:tc>
        <w:tc>
          <w:tcPr>
            <w:tcW w:w="8513" w:type="dxa"/>
            <w:gridSpan w:val="5"/>
            <w:vAlign w:val="top"/>
          </w:tcPr>
          <w:p w14:paraId="6F7EB4CE">
            <w:pPr>
              <w:pStyle w:val="19"/>
              <w:spacing w:before="162" w:line="227" w:lineRule="auto"/>
              <w:ind w:firstLine="436" w:firstLineChars="200"/>
              <w:rPr>
                <w:color w:val="auto"/>
              </w:rPr>
            </w:pPr>
            <w:r>
              <w:rPr>
                <w:color w:val="auto"/>
                <w:spacing w:val="9"/>
              </w:rPr>
              <w:t>4.中标供应商的上述价格包含原料费、运输费、人工费、交货验收费、税费等。</w:t>
            </w:r>
          </w:p>
          <w:p w14:paraId="5E714FA4">
            <w:pPr>
              <w:pStyle w:val="19"/>
              <w:tabs>
                <w:tab w:val="left" w:pos="499"/>
              </w:tabs>
              <w:spacing w:before="161" w:line="228" w:lineRule="auto"/>
              <w:ind w:left="534"/>
              <w:rPr>
                <w:color w:val="auto"/>
              </w:rPr>
            </w:pPr>
            <w:r>
              <w:rPr>
                <w:color w:val="auto"/>
                <w:spacing w:val="8"/>
              </w:rPr>
              <w:t>5.中标供应商承诺给予采购人优惠，具体如下：</w:t>
            </w:r>
          </w:p>
          <w:p w14:paraId="12CAD724">
            <w:pPr>
              <w:pStyle w:val="19"/>
              <w:spacing w:before="161" w:line="227" w:lineRule="auto"/>
              <w:ind w:left="540"/>
              <w:rPr>
                <w:color w:val="auto"/>
              </w:rPr>
            </w:pPr>
            <w:r>
              <w:rPr>
                <w:color w:val="auto"/>
                <w:spacing w:val="8"/>
              </w:rPr>
              <w:t>（1）保证产品质量的同时，价格不得高于市场价格。</w:t>
            </w:r>
          </w:p>
          <w:p w14:paraId="2713B1D0">
            <w:pPr>
              <w:pStyle w:val="19"/>
              <w:spacing w:before="163" w:line="228" w:lineRule="auto"/>
              <w:ind w:left="540"/>
              <w:rPr>
                <w:color w:val="auto"/>
              </w:rPr>
            </w:pPr>
            <w:r>
              <w:rPr>
                <w:color w:val="auto"/>
                <w:spacing w:val="7"/>
              </w:rPr>
              <w:t>（2）如签收后</w:t>
            </w:r>
            <w:r>
              <w:rPr>
                <w:color w:val="auto"/>
                <w:spacing w:val="-7"/>
              </w:rPr>
              <w:t xml:space="preserve"> </w:t>
            </w:r>
            <w:r>
              <w:rPr>
                <w:color w:val="auto"/>
                <w:spacing w:val="7"/>
              </w:rPr>
              <w:t>12</w:t>
            </w:r>
            <w:r>
              <w:rPr>
                <w:color w:val="auto"/>
                <w:spacing w:val="-35"/>
              </w:rPr>
              <w:t xml:space="preserve"> </w:t>
            </w:r>
            <w:r>
              <w:rPr>
                <w:color w:val="auto"/>
                <w:spacing w:val="7"/>
              </w:rPr>
              <w:t>小时内发现出现质量问题，无条件一小时内完成更换。</w:t>
            </w:r>
          </w:p>
        </w:tc>
      </w:tr>
      <w:tr w14:paraId="5DF2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4177" w:hRule="atLeast"/>
        </w:trPr>
        <w:tc>
          <w:tcPr>
            <w:tcW w:w="1789" w:type="dxa"/>
            <w:vMerge w:val="restart"/>
            <w:tcBorders>
              <w:bottom w:val="nil"/>
            </w:tcBorders>
            <w:vAlign w:val="top"/>
          </w:tcPr>
          <w:p w14:paraId="526AA03B">
            <w:pPr>
              <w:spacing w:line="245" w:lineRule="auto"/>
              <w:rPr>
                <w:rFonts w:ascii="Arial"/>
                <w:color w:val="auto"/>
                <w:sz w:val="21"/>
              </w:rPr>
            </w:pPr>
          </w:p>
          <w:p w14:paraId="25D84D55">
            <w:pPr>
              <w:spacing w:line="245" w:lineRule="auto"/>
              <w:rPr>
                <w:rFonts w:ascii="Arial"/>
                <w:color w:val="auto"/>
                <w:sz w:val="21"/>
              </w:rPr>
            </w:pPr>
          </w:p>
          <w:p w14:paraId="70A06D35">
            <w:pPr>
              <w:spacing w:line="245" w:lineRule="auto"/>
              <w:rPr>
                <w:rFonts w:ascii="Arial"/>
                <w:color w:val="auto"/>
                <w:sz w:val="21"/>
              </w:rPr>
            </w:pPr>
          </w:p>
          <w:p w14:paraId="46E56163">
            <w:pPr>
              <w:spacing w:line="245" w:lineRule="auto"/>
              <w:rPr>
                <w:rFonts w:ascii="Arial"/>
                <w:color w:val="auto"/>
                <w:sz w:val="21"/>
              </w:rPr>
            </w:pPr>
          </w:p>
          <w:p w14:paraId="0BFD078A">
            <w:pPr>
              <w:spacing w:line="245" w:lineRule="auto"/>
              <w:rPr>
                <w:rFonts w:ascii="Arial"/>
                <w:color w:val="auto"/>
                <w:sz w:val="21"/>
              </w:rPr>
            </w:pPr>
          </w:p>
          <w:p w14:paraId="1C150FDE">
            <w:pPr>
              <w:spacing w:line="245" w:lineRule="auto"/>
              <w:rPr>
                <w:rFonts w:ascii="Arial"/>
                <w:color w:val="auto"/>
                <w:sz w:val="21"/>
              </w:rPr>
            </w:pPr>
          </w:p>
          <w:p w14:paraId="53029D5F">
            <w:pPr>
              <w:spacing w:line="245" w:lineRule="auto"/>
              <w:rPr>
                <w:rFonts w:ascii="Arial"/>
                <w:color w:val="auto"/>
                <w:sz w:val="21"/>
              </w:rPr>
            </w:pPr>
          </w:p>
          <w:p w14:paraId="29356DE5">
            <w:pPr>
              <w:spacing w:line="245" w:lineRule="auto"/>
              <w:rPr>
                <w:rFonts w:ascii="Arial"/>
                <w:color w:val="auto"/>
                <w:sz w:val="21"/>
              </w:rPr>
            </w:pPr>
          </w:p>
          <w:p w14:paraId="094ADAED">
            <w:pPr>
              <w:spacing w:line="245" w:lineRule="auto"/>
              <w:rPr>
                <w:rFonts w:ascii="Arial"/>
                <w:color w:val="auto"/>
                <w:sz w:val="21"/>
              </w:rPr>
            </w:pPr>
          </w:p>
          <w:p w14:paraId="369A94D8">
            <w:pPr>
              <w:spacing w:line="245" w:lineRule="auto"/>
              <w:rPr>
                <w:rFonts w:ascii="Arial"/>
                <w:color w:val="auto"/>
                <w:sz w:val="21"/>
              </w:rPr>
            </w:pPr>
          </w:p>
          <w:p w14:paraId="1969E678">
            <w:pPr>
              <w:spacing w:line="245" w:lineRule="auto"/>
              <w:rPr>
                <w:rFonts w:ascii="Arial"/>
                <w:color w:val="auto"/>
                <w:sz w:val="21"/>
              </w:rPr>
            </w:pPr>
          </w:p>
          <w:p w14:paraId="5EC691E4">
            <w:pPr>
              <w:spacing w:line="246" w:lineRule="auto"/>
              <w:rPr>
                <w:rFonts w:ascii="Arial"/>
                <w:color w:val="auto"/>
                <w:sz w:val="21"/>
              </w:rPr>
            </w:pPr>
          </w:p>
          <w:p w14:paraId="4F2A5CB8">
            <w:pPr>
              <w:spacing w:line="246" w:lineRule="auto"/>
              <w:rPr>
                <w:rFonts w:ascii="Arial"/>
                <w:color w:val="auto"/>
                <w:sz w:val="21"/>
              </w:rPr>
            </w:pPr>
          </w:p>
          <w:p w14:paraId="2AF129D1">
            <w:pPr>
              <w:spacing w:line="246" w:lineRule="auto"/>
              <w:rPr>
                <w:rFonts w:ascii="Arial"/>
                <w:color w:val="auto"/>
                <w:sz w:val="21"/>
              </w:rPr>
            </w:pPr>
          </w:p>
          <w:p w14:paraId="7BC18511">
            <w:pPr>
              <w:spacing w:line="246" w:lineRule="auto"/>
              <w:rPr>
                <w:rFonts w:ascii="Arial"/>
                <w:color w:val="auto"/>
                <w:sz w:val="21"/>
              </w:rPr>
            </w:pPr>
          </w:p>
          <w:p w14:paraId="038C09A5">
            <w:pPr>
              <w:spacing w:line="246" w:lineRule="auto"/>
              <w:rPr>
                <w:rFonts w:ascii="Arial"/>
                <w:color w:val="auto"/>
                <w:sz w:val="21"/>
              </w:rPr>
            </w:pPr>
          </w:p>
          <w:p w14:paraId="15F68D46">
            <w:pPr>
              <w:spacing w:line="246" w:lineRule="auto"/>
              <w:rPr>
                <w:rFonts w:ascii="Arial"/>
                <w:color w:val="auto"/>
                <w:sz w:val="21"/>
              </w:rPr>
            </w:pPr>
          </w:p>
          <w:p w14:paraId="1CD73078">
            <w:pPr>
              <w:spacing w:line="246" w:lineRule="auto"/>
              <w:rPr>
                <w:rFonts w:ascii="Arial"/>
                <w:color w:val="auto"/>
                <w:sz w:val="21"/>
              </w:rPr>
            </w:pPr>
          </w:p>
          <w:p w14:paraId="2DC0FB9F">
            <w:pPr>
              <w:spacing w:line="246" w:lineRule="auto"/>
              <w:rPr>
                <w:rFonts w:ascii="Arial"/>
                <w:color w:val="auto"/>
                <w:sz w:val="21"/>
              </w:rPr>
            </w:pPr>
          </w:p>
          <w:p w14:paraId="227AFF08">
            <w:pPr>
              <w:pStyle w:val="19"/>
              <w:spacing w:before="65" w:line="228" w:lineRule="auto"/>
              <w:ind w:left="478"/>
              <w:rPr>
                <w:color w:val="auto"/>
              </w:rPr>
            </w:pPr>
            <w:r>
              <w:rPr>
                <w:color w:val="auto"/>
                <w:spacing w:val="7"/>
              </w:rPr>
              <w:t>验收标准</w:t>
            </w:r>
          </w:p>
        </w:tc>
        <w:tc>
          <w:tcPr>
            <w:tcW w:w="8513" w:type="dxa"/>
            <w:gridSpan w:val="5"/>
            <w:vAlign w:val="top"/>
          </w:tcPr>
          <w:p w14:paraId="3C7C01C4">
            <w:pPr>
              <w:pStyle w:val="19"/>
              <w:spacing w:before="34" w:line="377" w:lineRule="auto"/>
              <w:ind w:left="110" w:right="107" w:firstLine="420"/>
              <w:jc w:val="both"/>
              <w:rPr>
                <w:color w:val="auto"/>
                <w:spacing w:val="8"/>
              </w:rPr>
            </w:pPr>
            <w:r>
              <w:rPr>
                <w:color w:val="auto"/>
                <w:spacing w:val="9"/>
              </w:rPr>
              <w:t>物料的验收工作由采购人和中标供应商共同进行。</w:t>
            </w:r>
            <w:r>
              <w:rPr>
                <w:color w:val="auto"/>
                <w:spacing w:val="8"/>
              </w:rPr>
              <w:t>中标供应商提供的产品须经过采购</w:t>
            </w:r>
            <w:r>
              <w:rPr>
                <w:color w:val="auto"/>
                <w:spacing w:val="9"/>
              </w:rPr>
              <w:t>人指定人的感官检验、外观检验和试用检验，若产品外</w:t>
            </w:r>
            <w:r>
              <w:rPr>
                <w:color w:val="auto"/>
                <w:spacing w:val="8"/>
              </w:rPr>
              <w:t>观、包装、形式不符合要求、感官</w:t>
            </w:r>
            <w:r>
              <w:rPr>
                <w:color w:val="auto"/>
                <w:spacing w:val="9"/>
              </w:rPr>
              <w:t>检验不能达到食品卫生要求，当即拒收；中标供应商不能满足</w:t>
            </w:r>
            <w:r>
              <w:rPr>
                <w:color w:val="auto"/>
                <w:spacing w:val="8"/>
              </w:rPr>
              <w:t>食品的质、量及售后服务要求时，采购人有权进行处罚。</w:t>
            </w:r>
          </w:p>
          <w:p w14:paraId="52D6690A">
            <w:pPr>
              <w:pStyle w:val="19"/>
              <w:spacing w:before="2" w:line="376" w:lineRule="auto"/>
              <w:ind w:right="107" w:firstLine="436" w:firstLineChars="200"/>
              <w:jc w:val="both"/>
              <w:rPr>
                <w:color w:val="auto"/>
                <w:spacing w:val="9"/>
              </w:rPr>
            </w:pPr>
            <w:r>
              <w:rPr>
                <w:color w:val="auto"/>
                <w:spacing w:val="9"/>
              </w:rPr>
              <w:t>验收工作的一般程序为：根据食品请购清单的具</w:t>
            </w:r>
            <w:r>
              <w:rPr>
                <w:color w:val="auto"/>
                <w:spacing w:val="8"/>
              </w:rPr>
              <w:t>体要求，对所购物料进行清点、外观</w:t>
            </w:r>
            <w:r>
              <w:rPr>
                <w:color w:val="auto"/>
                <w:spacing w:val="9"/>
              </w:rPr>
              <w:t>检查以及对物料的各项指标和性能进行实测，并逐项记录。检</w:t>
            </w:r>
            <w:r>
              <w:rPr>
                <w:color w:val="auto"/>
                <w:spacing w:val="8"/>
              </w:rPr>
              <w:t>测结束后，验收人员在验收</w:t>
            </w:r>
            <w:r>
              <w:rPr>
                <w:color w:val="auto"/>
                <w:spacing w:val="9"/>
              </w:rPr>
              <w:t>单上签字。对未能通过验收的，一律退货、更换直至验收合格。</w:t>
            </w:r>
          </w:p>
          <w:p w14:paraId="488BC5A0">
            <w:pPr>
              <w:pStyle w:val="19"/>
              <w:spacing w:before="1" w:line="376" w:lineRule="auto"/>
              <w:ind w:right="109" w:firstLine="436" w:firstLineChars="200"/>
              <w:rPr>
                <w:color w:val="auto"/>
              </w:rPr>
            </w:pPr>
            <w:r>
              <w:rPr>
                <w:color w:val="auto"/>
                <w:spacing w:val="9"/>
              </w:rPr>
              <w:t>来货量大于订货量时按订货量验收，来货量小于订货量</w:t>
            </w:r>
            <w:r>
              <w:rPr>
                <w:color w:val="auto"/>
                <w:spacing w:val="-27"/>
              </w:rPr>
              <w:t xml:space="preserve"> </w:t>
            </w:r>
            <w:r>
              <w:rPr>
                <w:color w:val="auto"/>
                <w:spacing w:val="9"/>
              </w:rPr>
              <w:t>85%，则告知中标供应商必须</w:t>
            </w:r>
            <w:r>
              <w:rPr>
                <w:color w:val="auto"/>
                <w:spacing w:val="7"/>
              </w:rPr>
              <w:t>在</w:t>
            </w:r>
            <w:r>
              <w:rPr>
                <w:color w:val="auto"/>
                <w:spacing w:val="-16"/>
              </w:rPr>
              <w:t xml:space="preserve"> </w:t>
            </w:r>
            <w:r>
              <w:rPr>
                <w:color w:val="auto"/>
                <w:spacing w:val="7"/>
              </w:rPr>
              <w:t>1</w:t>
            </w:r>
            <w:r>
              <w:rPr>
                <w:color w:val="auto"/>
                <w:spacing w:val="-34"/>
              </w:rPr>
              <w:t xml:space="preserve"> </w:t>
            </w:r>
            <w:r>
              <w:rPr>
                <w:color w:val="auto"/>
                <w:spacing w:val="7"/>
              </w:rPr>
              <w:t>小时内补齐，若无法补齐数量，则按缺货金额的</w:t>
            </w:r>
            <w:r>
              <w:rPr>
                <w:color w:val="auto"/>
                <w:spacing w:val="-22"/>
              </w:rPr>
              <w:t xml:space="preserve"> </w:t>
            </w:r>
            <w:r>
              <w:rPr>
                <w:color w:val="auto"/>
                <w:spacing w:val="7"/>
              </w:rPr>
              <w:t>10%在当月货款中进行扣罚</w:t>
            </w:r>
          </w:p>
        </w:tc>
      </w:tr>
      <w:tr w14:paraId="4FCF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415" w:hRule="atLeast"/>
        </w:trPr>
        <w:tc>
          <w:tcPr>
            <w:tcW w:w="1789" w:type="dxa"/>
            <w:vMerge w:val="continue"/>
            <w:tcBorders>
              <w:top w:val="nil"/>
              <w:bottom w:val="nil"/>
            </w:tcBorders>
            <w:vAlign w:val="top"/>
          </w:tcPr>
          <w:p w14:paraId="38533C7C">
            <w:pPr>
              <w:rPr>
                <w:rFonts w:ascii="Arial"/>
                <w:color w:val="auto"/>
                <w:sz w:val="21"/>
              </w:rPr>
            </w:pPr>
          </w:p>
        </w:tc>
        <w:tc>
          <w:tcPr>
            <w:tcW w:w="113" w:type="dxa"/>
            <w:tcBorders>
              <w:top w:val="nil"/>
              <w:bottom w:val="nil"/>
            </w:tcBorders>
            <w:vAlign w:val="top"/>
          </w:tcPr>
          <w:p w14:paraId="29D950DF">
            <w:pPr>
              <w:rPr>
                <w:rFonts w:ascii="Arial"/>
                <w:color w:val="auto"/>
                <w:sz w:val="21"/>
              </w:rPr>
            </w:pPr>
          </w:p>
        </w:tc>
        <w:tc>
          <w:tcPr>
            <w:tcW w:w="1077" w:type="dxa"/>
            <w:vAlign w:val="top"/>
          </w:tcPr>
          <w:p w14:paraId="7B88FDFD">
            <w:pPr>
              <w:pStyle w:val="19"/>
              <w:spacing w:before="34" w:line="232" w:lineRule="auto"/>
              <w:ind w:left="348"/>
              <w:rPr>
                <w:color w:val="auto"/>
              </w:rPr>
            </w:pPr>
            <w:r>
              <w:rPr>
                <w:color w:val="auto"/>
                <w:spacing w:val="-2"/>
              </w:rPr>
              <w:t>品名</w:t>
            </w:r>
          </w:p>
        </w:tc>
        <w:tc>
          <w:tcPr>
            <w:tcW w:w="4959" w:type="dxa"/>
            <w:vAlign w:val="top"/>
          </w:tcPr>
          <w:p w14:paraId="21E232CF">
            <w:pPr>
              <w:pStyle w:val="19"/>
              <w:spacing w:before="34" w:line="228" w:lineRule="auto"/>
              <w:ind w:left="1849"/>
              <w:rPr>
                <w:color w:val="auto"/>
              </w:rPr>
            </w:pPr>
            <w:r>
              <w:rPr>
                <w:color w:val="auto"/>
                <w:spacing w:val="10"/>
              </w:rPr>
              <w:t>质量验收标准</w:t>
            </w:r>
          </w:p>
        </w:tc>
        <w:tc>
          <w:tcPr>
            <w:tcW w:w="2125" w:type="dxa"/>
            <w:vAlign w:val="top"/>
          </w:tcPr>
          <w:p w14:paraId="10219A48">
            <w:pPr>
              <w:pStyle w:val="19"/>
              <w:spacing w:before="34" w:line="229" w:lineRule="auto"/>
              <w:ind w:left="699"/>
              <w:rPr>
                <w:color w:val="auto"/>
              </w:rPr>
            </w:pPr>
            <w:r>
              <w:rPr>
                <w:color w:val="auto"/>
                <w:spacing w:val="10"/>
              </w:rPr>
              <w:t>扣秤标准</w:t>
            </w:r>
          </w:p>
        </w:tc>
        <w:tc>
          <w:tcPr>
            <w:tcW w:w="239" w:type="dxa"/>
            <w:tcBorders>
              <w:top w:val="nil"/>
              <w:bottom w:val="nil"/>
            </w:tcBorders>
            <w:vAlign w:val="top"/>
          </w:tcPr>
          <w:p w14:paraId="18EE0BB9">
            <w:pPr>
              <w:rPr>
                <w:rFonts w:ascii="Arial"/>
                <w:color w:val="auto"/>
                <w:sz w:val="21"/>
              </w:rPr>
            </w:pPr>
          </w:p>
        </w:tc>
      </w:tr>
      <w:tr w14:paraId="3C22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1737" w:hRule="atLeast"/>
        </w:trPr>
        <w:tc>
          <w:tcPr>
            <w:tcW w:w="1789" w:type="dxa"/>
            <w:vMerge w:val="continue"/>
            <w:tcBorders>
              <w:top w:val="nil"/>
              <w:bottom w:val="nil"/>
            </w:tcBorders>
            <w:vAlign w:val="top"/>
          </w:tcPr>
          <w:p w14:paraId="48AFF395">
            <w:pPr>
              <w:rPr>
                <w:rFonts w:ascii="Arial"/>
                <w:color w:val="auto"/>
                <w:sz w:val="21"/>
              </w:rPr>
            </w:pPr>
          </w:p>
        </w:tc>
        <w:tc>
          <w:tcPr>
            <w:tcW w:w="113" w:type="dxa"/>
            <w:tcBorders>
              <w:top w:val="nil"/>
              <w:bottom w:val="nil"/>
            </w:tcBorders>
            <w:vAlign w:val="top"/>
          </w:tcPr>
          <w:p w14:paraId="16519C25">
            <w:pPr>
              <w:rPr>
                <w:rFonts w:ascii="Arial"/>
                <w:color w:val="auto"/>
                <w:sz w:val="21"/>
              </w:rPr>
            </w:pPr>
          </w:p>
        </w:tc>
        <w:tc>
          <w:tcPr>
            <w:tcW w:w="1077" w:type="dxa"/>
            <w:vAlign w:val="top"/>
          </w:tcPr>
          <w:p w14:paraId="4679096C">
            <w:pPr>
              <w:pStyle w:val="19"/>
              <w:spacing w:before="32" w:line="229" w:lineRule="auto"/>
              <w:ind w:left="540" w:leftChars="0"/>
              <w:rPr>
                <w:color w:val="auto"/>
              </w:rPr>
            </w:pPr>
            <w:r>
              <w:rPr>
                <w:color w:val="auto"/>
                <w:spacing w:val="5"/>
              </w:rPr>
              <w:t>鸡蛋</w:t>
            </w:r>
          </w:p>
        </w:tc>
        <w:tc>
          <w:tcPr>
            <w:tcW w:w="4959" w:type="dxa"/>
            <w:vAlign w:val="top"/>
          </w:tcPr>
          <w:p w14:paraId="0931C8A7">
            <w:pPr>
              <w:pStyle w:val="19"/>
              <w:spacing w:before="159" w:line="378" w:lineRule="auto"/>
              <w:ind w:left="114" w:right="37" w:firstLine="420"/>
              <w:rPr>
                <w:color w:val="auto"/>
              </w:rPr>
            </w:pPr>
            <w:r>
              <w:rPr>
                <w:color w:val="auto"/>
                <w:spacing w:val="8"/>
              </w:rPr>
              <w:t>正常鲜蛋的蛋壳应清洁完整，无裂纹，灯光透视呈微红色，气室小，看不见蛋黄或略</w:t>
            </w:r>
            <w:r>
              <w:rPr>
                <w:color w:val="auto"/>
                <w:spacing w:val="5"/>
              </w:rPr>
              <w:t>见阴影于中心。打开后蛋黄膜不破裂、凸起、完整并带有韧性，蛋黄蛋白分明，颜色鲜艳。</w:t>
            </w:r>
          </w:p>
          <w:p w14:paraId="69A31008">
            <w:pPr>
              <w:pStyle w:val="19"/>
              <w:spacing w:before="32" w:line="229" w:lineRule="auto"/>
              <w:ind w:left="540" w:leftChars="0" w:right="48" w:hanging="2"/>
              <w:jc w:val="both"/>
              <w:rPr>
                <w:color w:val="auto"/>
              </w:rPr>
            </w:pPr>
          </w:p>
        </w:tc>
        <w:tc>
          <w:tcPr>
            <w:tcW w:w="2125" w:type="dxa"/>
            <w:vMerge w:val="restart"/>
            <w:tcBorders>
              <w:bottom w:val="nil"/>
            </w:tcBorders>
            <w:vAlign w:val="top"/>
          </w:tcPr>
          <w:p w14:paraId="62D11975">
            <w:pPr>
              <w:spacing w:line="280" w:lineRule="auto"/>
              <w:rPr>
                <w:rFonts w:ascii="Arial"/>
                <w:color w:val="auto"/>
                <w:sz w:val="21"/>
              </w:rPr>
            </w:pPr>
          </w:p>
          <w:p w14:paraId="245DBB2C">
            <w:pPr>
              <w:spacing w:line="280" w:lineRule="auto"/>
              <w:rPr>
                <w:rFonts w:ascii="Arial"/>
                <w:color w:val="auto"/>
                <w:sz w:val="21"/>
              </w:rPr>
            </w:pPr>
          </w:p>
          <w:p w14:paraId="3306B8FA">
            <w:pPr>
              <w:spacing w:line="281" w:lineRule="auto"/>
              <w:rPr>
                <w:rFonts w:ascii="Arial"/>
                <w:color w:val="auto"/>
                <w:sz w:val="21"/>
              </w:rPr>
            </w:pPr>
          </w:p>
          <w:p w14:paraId="4DA0D2DD">
            <w:pPr>
              <w:spacing w:line="281" w:lineRule="auto"/>
              <w:rPr>
                <w:rFonts w:ascii="Arial"/>
                <w:color w:val="auto"/>
                <w:sz w:val="21"/>
              </w:rPr>
            </w:pPr>
          </w:p>
          <w:p w14:paraId="045396DA">
            <w:pPr>
              <w:spacing w:line="281" w:lineRule="auto"/>
              <w:rPr>
                <w:rFonts w:ascii="Arial"/>
                <w:color w:val="auto"/>
                <w:sz w:val="21"/>
              </w:rPr>
            </w:pPr>
          </w:p>
          <w:p w14:paraId="5736134C">
            <w:pPr>
              <w:pStyle w:val="19"/>
              <w:spacing w:before="65" w:line="378" w:lineRule="auto"/>
              <w:ind w:left="117"/>
              <w:jc w:val="both"/>
              <w:rPr>
                <w:color w:val="auto"/>
                <w:spacing w:val="22"/>
              </w:rPr>
            </w:pPr>
          </w:p>
          <w:p w14:paraId="050FC834">
            <w:pPr>
              <w:pStyle w:val="19"/>
              <w:spacing w:before="65" w:line="378" w:lineRule="auto"/>
              <w:ind w:left="117"/>
              <w:jc w:val="both"/>
              <w:rPr>
                <w:color w:val="auto"/>
                <w:spacing w:val="22"/>
              </w:rPr>
            </w:pPr>
          </w:p>
          <w:p w14:paraId="71251580">
            <w:pPr>
              <w:pStyle w:val="19"/>
              <w:spacing w:before="65" w:line="378" w:lineRule="auto"/>
              <w:jc w:val="both"/>
              <w:rPr>
                <w:color w:val="auto"/>
              </w:rPr>
            </w:pPr>
            <w:r>
              <w:rPr>
                <w:color w:val="auto"/>
                <w:spacing w:val="22"/>
              </w:rPr>
              <w:t>根据现场实际情况和</w:t>
            </w:r>
            <w:r>
              <w:rPr>
                <w:color w:val="auto"/>
              </w:rPr>
              <w:t>实际需求量，临场与中</w:t>
            </w:r>
            <w:r>
              <w:rPr>
                <w:color w:val="auto"/>
                <w:spacing w:val="18"/>
                <w:w w:val="116"/>
              </w:rPr>
              <w:t>标供应商协议扣秤</w:t>
            </w:r>
            <w:r>
              <w:rPr>
                <w:color w:val="auto"/>
              </w:rPr>
              <w:t>1-5%，严重不符合质量</w:t>
            </w:r>
            <w:r>
              <w:rPr>
                <w:color w:val="auto"/>
                <w:spacing w:val="6"/>
              </w:rPr>
              <w:t>标准者可拒收</w:t>
            </w:r>
          </w:p>
        </w:tc>
        <w:tc>
          <w:tcPr>
            <w:tcW w:w="239" w:type="dxa"/>
            <w:tcBorders>
              <w:top w:val="nil"/>
              <w:bottom w:val="nil"/>
            </w:tcBorders>
            <w:vAlign w:val="top"/>
          </w:tcPr>
          <w:p w14:paraId="6D19F141">
            <w:pPr>
              <w:rPr>
                <w:rFonts w:ascii="Arial"/>
                <w:color w:val="auto"/>
                <w:sz w:val="21"/>
              </w:rPr>
            </w:pPr>
          </w:p>
        </w:tc>
      </w:tr>
      <w:tr w14:paraId="4717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414" w:hRule="atLeast"/>
        </w:trPr>
        <w:tc>
          <w:tcPr>
            <w:tcW w:w="1789" w:type="dxa"/>
            <w:vMerge w:val="continue"/>
            <w:tcBorders>
              <w:top w:val="nil"/>
              <w:bottom w:val="nil"/>
            </w:tcBorders>
            <w:vAlign w:val="top"/>
          </w:tcPr>
          <w:p w14:paraId="7F333DEF">
            <w:pPr>
              <w:rPr>
                <w:rFonts w:ascii="Arial"/>
                <w:color w:val="auto"/>
                <w:sz w:val="21"/>
              </w:rPr>
            </w:pPr>
          </w:p>
        </w:tc>
        <w:tc>
          <w:tcPr>
            <w:tcW w:w="113" w:type="dxa"/>
            <w:tcBorders>
              <w:top w:val="nil"/>
              <w:bottom w:val="nil"/>
            </w:tcBorders>
            <w:vAlign w:val="top"/>
          </w:tcPr>
          <w:p w14:paraId="604EA728">
            <w:pPr>
              <w:rPr>
                <w:rFonts w:ascii="Arial"/>
                <w:color w:val="auto"/>
                <w:sz w:val="21"/>
              </w:rPr>
            </w:pPr>
          </w:p>
        </w:tc>
        <w:tc>
          <w:tcPr>
            <w:tcW w:w="1077" w:type="dxa"/>
            <w:vAlign w:val="top"/>
          </w:tcPr>
          <w:p w14:paraId="738007E3">
            <w:pPr>
              <w:pStyle w:val="19"/>
              <w:spacing w:before="57" w:line="230" w:lineRule="auto"/>
              <w:ind w:left="229"/>
              <w:rPr>
                <w:color w:val="auto"/>
              </w:rPr>
            </w:pPr>
            <w:r>
              <w:rPr>
                <w:color w:val="auto"/>
                <w:spacing w:val="7"/>
              </w:rPr>
              <w:t>新鲜蔬菜类</w:t>
            </w:r>
          </w:p>
        </w:tc>
        <w:tc>
          <w:tcPr>
            <w:tcW w:w="4959" w:type="dxa"/>
            <w:vAlign w:val="top"/>
          </w:tcPr>
          <w:p w14:paraId="017F5B03">
            <w:pPr>
              <w:pStyle w:val="19"/>
              <w:spacing w:before="160" w:line="377" w:lineRule="auto"/>
              <w:ind w:left="109" w:right="107" w:firstLine="423"/>
              <w:jc w:val="both"/>
              <w:rPr>
                <w:color w:val="auto"/>
                <w:spacing w:val="6"/>
              </w:rPr>
            </w:pPr>
            <w:r>
              <w:rPr>
                <w:color w:val="auto"/>
                <w:spacing w:val="9"/>
              </w:rPr>
              <w:t>各种蔬菜都具有本品种固有的颜色，有光泽，</w:t>
            </w:r>
            <w:r>
              <w:rPr>
                <w:color w:val="auto"/>
                <w:spacing w:val="8"/>
              </w:rPr>
              <w:t>显示蔬菜的成熟度及鲜嫩程度；多数蔬</w:t>
            </w:r>
            <w:r>
              <w:rPr>
                <w:color w:val="auto"/>
                <w:spacing w:val="9"/>
              </w:rPr>
              <w:t>菜具有清香、甘辛香、甜酸香等气味，不应有腐败味和其他异</w:t>
            </w:r>
            <w:r>
              <w:rPr>
                <w:color w:val="auto"/>
                <w:spacing w:val="8"/>
              </w:rPr>
              <w:t>味；多数蔬菜滋味甘淡、甜</w:t>
            </w:r>
            <w:r>
              <w:rPr>
                <w:color w:val="auto"/>
                <w:spacing w:val="9"/>
              </w:rPr>
              <w:t>酸、清爽鲜美，少数具有辛酸、苦涩的特殊味道；多数蔬菜具</w:t>
            </w:r>
            <w:r>
              <w:rPr>
                <w:color w:val="auto"/>
                <w:spacing w:val="8"/>
              </w:rPr>
              <w:t>有新鲜的状态，如蔫萎、干</w:t>
            </w:r>
            <w:r>
              <w:rPr>
                <w:color w:val="auto"/>
                <w:spacing w:val="9"/>
              </w:rPr>
              <w:t>枯、损伤、变色、病变、虫害侵蚀等，则为异常形态，还有的</w:t>
            </w:r>
            <w:r>
              <w:rPr>
                <w:color w:val="auto"/>
                <w:spacing w:val="8"/>
              </w:rPr>
              <w:t>蔬菜人为地使用了激素物质</w:t>
            </w:r>
            <w:r>
              <w:rPr>
                <w:color w:val="auto"/>
                <w:spacing w:val="6"/>
              </w:rPr>
              <w:t>会长成畸形。</w:t>
            </w:r>
          </w:p>
          <w:p w14:paraId="3404AAD9">
            <w:pPr>
              <w:pStyle w:val="19"/>
              <w:spacing w:before="1" w:line="302" w:lineRule="auto"/>
              <w:ind w:left="114" w:right="169" w:firstLine="426"/>
              <w:rPr>
                <w:color w:val="auto"/>
              </w:rPr>
            </w:pPr>
            <w:r>
              <w:rPr>
                <w:color w:val="auto"/>
                <w:spacing w:val="9"/>
              </w:rPr>
              <w:t>（1）根茎类：茎部不老化，个体均匀，外表圆滑，未发芽、变色。不良品质：叶子</w:t>
            </w:r>
            <w:r>
              <w:rPr>
                <w:color w:val="auto"/>
                <w:spacing w:val="6"/>
              </w:rPr>
              <w:t>发黄、变软</w:t>
            </w:r>
          </w:p>
          <w:p w14:paraId="29C5D3FD">
            <w:pPr>
              <w:pStyle w:val="19"/>
              <w:spacing w:before="162" w:line="303" w:lineRule="auto"/>
              <w:ind w:left="110" w:right="37" w:firstLine="430"/>
              <w:rPr>
                <w:color w:val="auto"/>
                <w:spacing w:val="9"/>
              </w:rPr>
            </w:pPr>
            <w:r>
              <w:rPr>
                <w:color w:val="auto"/>
                <w:spacing w:val="7"/>
              </w:rPr>
              <w:t>（2）叶菜类：色泽鲜亮，切口不变色，叶片挺而不干枯、不发黄；质地脆嫩、坚挺。</w:t>
            </w:r>
            <w:r>
              <w:rPr>
                <w:color w:val="auto"/>
                <w:spacing w:val="9"/>
              </w:rPr>
              <w:t>球形叶菜坚实、无老帮。不良品质：叶黄、水伤腐烂、有泥土、有虫及虫眼。</w:t>
            </w:r>
          </w:p>
          <w:p w14:paraId="775CDCFA">
            <w:pPr>
              <w:pStyle w:val="19"/>
              <w:spacing w:before="56" w:line="228" w:lineRule="auto"/>
              <w:ind w:left="119"/>
              <w:rPr>
                <w:color w:val="auto"/>
              </w:rPr>
            </w:pPr>
            <w:r>
              <w:rPr>
                <w:color w:val="auto"/>
                <w:spacing w:val="11"/>
              </w:rPr>
              <w:t>（3）花果类：允许果形有轻微缺点，但不得变形、过</w:t>
            </w:r>
            <w:r>
              <w:rPr>
                <w:color w:val="auto"/>
                <w:spacing w:val="10"/>
              </w:rPr>
              <w:t>熟。不良品质：变色、变软</w:t>
            </w:r>
            <w:r>
              <w:rPr>
                <w:rFonts w:hint="eastAsia"/>
                <w:color w:val="auto"/>
                <w:spacing w:val="10"/>
                <w:lang w:eastAsia="zh-CN"/>
              </w:rPr>
              <w:t>、</w:t>
            </w:r>
            <w:r>
              <w:rPr>
                <w:color w:val="auto"/>
                <w:spacing w:val="7"/>
              </w:rPr>
              <w:t>擦伤、枯萎。</w:t>
            </w:r>
          </w:p>
        </w:tc>
        <w:tc>
          <w:tcPr>
            <w:tcW w:w="2125" w:type="dxa"/>
            <w:vMerge w:val="continue"/>
            <w:tcBorders>
              <w:top w:val="nil"/>
              <w:bottom w:val="nil"/>
            </w:tcBorders>
            <w:vAlign w:val="top"/>
          </w:tcPr>
          <w:p w14:paraId="7FD96186">
            <w:pPr>
              <w:rPr>
                <w:rFonts w:ascii="Arial"/>
                <w:color w:val="auto"/>
                <w:sz w:val="21"/>
              </w:rPr>
            </w:pPr>
          </w:p>
        </w:tc>
        <w:tc>
          <w:tcPr>
            <w:tcW w:w="239" w:type="dxa"/>
            <w:tcBorders>
              <w:top w:val="nil"/>
              <w:bottom w:val="nil"/>
            </w:tcBorders>
            <w:vAlign w:val="top"/>
          </w:tcPr>
          <w:p w14:paraId="2D3D2763">
            <w:pPr>
              <w:rPr>
                <w:rFonts w:ascii="Arial"/>
                <w:color w:val="auto"/>
                <w:sz w:val="21"/>
              </w:rPr>
            </w:pPr>
          </w:p>
        </w:tc>
      </w:tr>
      <w:tr w14:paraId="6ACE4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9707" w:type="dxa"/>
          <w:trHeight w:val="11278" w:hRule="atLeast"/>
        </w:trPr>
        <w:tc>
          <w:tcPr>
            <w:tcW w:w="1789" w:type="dxa"/>
            <w:vMerge w:val="continue"/>
            <w:tcBorders>
              <w:top w:val="nil"/>
              <w:bottom w:val="nil"/>
            </w:tcBorders>
            <w:vAlign w:val="top"/>
          </w:tcPr>
          <w:p w14:paraId="00E43A90">
            <w:pPr>
              <w:rPr>
                <w:rFonts w:ascii="Arial"/>
                <w:color w:val="auto"/>
                <w:sz w:val="21"/>
              </w:rPr>
            </w:pPr>
          </w:p>
        </w:tc>
        <w:tc>
          <w:tcPr>
            <w:tcW w:w="113" w:type="dxa"/>
            <w:tcBorders>
              <w:top w:val="nil"/>
              <w:bottom w:val="nil"/>
            </w:tcBorders>
            <w:vAlign w:val="top"/>
          </w:tcPr>
          <w:p w14:paraId="475D92F1">
            <w:pPr>
              <w:rPr>
                <w:rFonts w:ascii="Arial"/>
                <w:color w:val="auto"/>
                <w:sz w:val="21"/>
              </w:rPr>
            </w:pPr>
          </w:p>
          <w:p w14:paraId="35F082EF">
            <w:pPr>
              <w:bidi w:val="0"/>
              <w:rPr>
                <w:rFonts w:ascii="Arial" w:hAnsi="Arial" w:eastAsia="Arial" w:cs="Arial"/>
                <w:snapToGrid w:val="0"/>
                <w:color w:val="auto"/>
                <w:kern w:val="0"/>
                <w:sz w:val="21"/>
                <w:szCs w:val="21"/>
                <w:lang w:val="en-US" w:eastAsia="en-US" w:bidi="ar-SA"/>
              </w:rPr>
            </w:pPr>
          </w:p>
          <w:p w14:paraId="6F5DC30B">
            <w:pPr>
              <w:bidi w:val="0"/>
              <w:rPr>
                <w:color w:val="auto"/>
                <w:lang w:val="en-US" w:eastAsia="en-US"/>
              </w:rPr>
            </w:pPr>
          </w:p>
          <w:p w14:paraId="1D0B2269">
            <w:pPr>
              <w:bidi w:val="0"/>
              <w:rPr>
                <w:color w:val="auto"/>
                <w:lang w:val="en-US" w:eastAsia="en-US"/>
              </w:rPr>
            </w:pPr>
          </w:p>
          <w:p w14:paraId="6868C8F1">
            <w:pPr>
              <w:bidi w:val="0"/>
              <w:rPr>
                <w:color w:val="auto"/>
                <w:lang w:val="en-US" w:eastAsia="en-US"/>
              </w:rPr>
            </w:pPr>
          </w:p>
          <w:p w14:paraId="15C61B73">
            <w:pPr>
              <w:bidi w:val="0"/>
              <w:rPr>
                <w:color w:val="auto"/>
                <w:lang w:val="en-US" w:eastAsia="en-US"/>
              </w:rPr>
            </w:pPr>
          </w:p>
          <w:p w14:paraId="16146880">
            <w:pPr>
              <w:bidi w:val="0"/>
              <w:rPr>
                <w:color w:val="auto"/>
                <w:lang w:val="en-US" w:eastAsia="en-US"/>
              </w:rPr>
            </w:pPr>
          </w:p>
          <w:p w14:paraId="456818DB">
            <w:pPr>
              <w:bidi w:val="0"/>
              <w:rPr>
                <w:color w:val="auto"/>
                <w:lang w:val="en-US" w:eastAsia="en-US"/>
              </w:rPr>
            </w:pPr>
          </w:p>
          <w:p w14:paraId="6DF5C217">
            <w:pPr>
              <w:bidi w:val="0"/>
              <w:rPr>
                <w:color w:val="auto"/>
                <w:lang w:val="en-US" w:eastAsia="en-US"/>
              </w:rPr>
            </w:pPr>
          </w:p>
          <w:p w14:paraId="2F8D79B3">
            <w:pPr>
              <w:bidi w:val="0"/>
              <w:rPr>
                <w:color w:val="auto"/>
                <w:lang w:val="en-US" w:eastAsia="en-US"/>
              </w:rPr>
            </w:pPr>
          </w:p>
          <w:p w14:paraId="096CEEC9">
            <w:pPr>
              <w:bidi w:val="0"/>
              <w:rPr>
                <w:color w:val="auto"/>
                <w:lang w:val="en-US" w:eastAsia="en-US"/>
              </w:rPr>
            </w:pPr>
          </w:p>
          <w:p w14:paraId="41AEBB61">
            <w:pPr>
              <w:bidi w:val="0"/>
              <w:rPr>
                <w:color w:val="auto"/>
                <w:lang w:val="en-US" w:eastAsia="en-US"/>
              </w:rPr>
            </w:pPr>
          </w:p>
          <w:p w14:paraId="4B7493B8">
            <w:pPr>
              <w:bidi w:val="0"/>
              <w:rPr>
                <w:color w:val="auto"/>
                <w:lang w:val="en-US" w:eastAsia="en-US"/>
              </w:rPr>
            </w:pPr>
          </w:p>
          <w:p w14:paraId="3540761D">
            <w:pPr>
              <w:bidi w:val="0"/>
              <w:rPr>
                <w:color w:val="auto"/>
                <w:lang w:val="en-US" w:eastAsia="en-US"/>
              </w:rPr>
            </w:pPr>
          </w:p>
          <w:p w14:paraId="3B4B6637">
            <w:pPr>
              <w:bidi w:val="0"/>
              <w:rPr>
                <w:color w:val="auto"/>
                <w:lang w:val="en-US" w:eastAsia="en-US"/>
              </w:rPr>
            </w:pPr>
          </w:p>
          <w:p w14:paraId="5497E554">
            <w:pPr>
              <w:bidi w:val="0"/>
              <w:rPr>
                <w:color w:val="auto"/>
                <w:lang w:val="en-US" w:eastAsia="en-US"/>
              </w:rPr>
            </w:pPr>
          </w:p>
          <w:p w14:paraId="7A94F3AC">
            <w:pPr>
              <w:bidi w:val="0"/>
              <w:rPr>
                <w:color w:val="auto"/>
                <w:lang w:val="en-US" w:eastAsia="en-US"/>
              </w:rPr>
            </w:pPr>
          </w:p>
          <w:p w14:paraId="5676E06F">
            <w:pPr>
              <w:bidi w:val="0"/>
              <w:rPr>
                <w:color w:val="auto"/>
                <w:lang w:val="en-US" w:eastAsia="en-US"/>
              </w:rPr>
            </w:pPr>
          </w:p>
          <w:p w14:paraId="01786F96">
            <w:pPr>
              <w:bidi w:val="0"/>
              <w:rPr>
                <w:color w:val="auto"/>
                <w:lang w:val="en-US" w:eastAsia="en-US"/>
              </w:rPr>
            </w:pPr>
          </w:p>
          <w:p w14:paraId="0278BF75">
            <w:pPr>
              <w:bidi w:val="0"/>
              <w:rPr>
                <w:color w:val="auto"/>
                <w:lang w:val="en-US" w:eastAsia="en-US"/>
              </w:rPr>
            </w:pPr>
          </w:p>
          <w:p w14:paraId="2FCA7753">
            <w:pPr>
              <w:bidi w:val="0"/>
              <w:rPr>
                <w:color w:val="auto"/>
                <w:lang w:val="en-US" w:eastAsia="en-US"/>
              </w:rPr>
            </w:pPr>
          </w:p>
          <w:p w14:paraId="02BEA077">
            <w:pPr>
              <w:bidi w:val="0"/>
              <w:rPr>
                <w:color w:val="auto"/>
                <w:lang w:val="en-US" w:eastAsia="en-US"/>
              </w:rPr>
            </w:pPr>
          </w:p>
          <w:p w14:paraId="772C796D">
            <w:pPr>
              <w:bidi w:val="0"/>
              <w:rPr>
                <w:color w:val="auto"/>
                <w:lang w:val="en-US" w:eastAsia="en-US"/>
              </w:rPr>
            </w:pPr>
          </w:p>
          <w:p w14:paraId="39D7258E">
            <w:pPr>
              <w:bidi w:val="0"/>
              <w:rPr>
                <w:color w:val="auto"/>
                <w:lang w:val="en-US" w:eastAsia="en-US"/>
              </w:rPr>
            </w:pPr>
          </w:p>
          <w:p w14:paraId="41E17DB4">
            <w:pPr>
              <w:bidi w:val="0"/>
              <w:rPr>
                <w:color w:val="auto"/>
                <w:lang w:val="en-US" w:eastAsia="en-US"/>
              </w:rPr>
            </w:pPr>
          </w:p>
          <w:p w14:paraId="6AFDCD61">
            <w:pPr>
              <w:bidi w:val="0"/>
              <w:rPr>
                <w:color w:val="auto"/>
                <w:lang w:val="en-US" w:eastAsia="en-US"/>
              </w:rPr>
            </w:pPr>
          </w:p>
          <w:p w14:paraId="6A099616">
            <w:pPr>
              <w:bidi w:val="0"/>
              <w:rPr>
                <w:color w:val="auto"/>
                <w:lang w:val="en-US" w:eastAsia="en-US"/>
              </w:rPr>
            </w:pPr>
          </w:p>
          <w:p w14:paraId="4E8910E9">
            <w:pPr>
              <w:bidi w:val="0"/>
              <w:rPr>
                <w:color w:val="auto"/>
                <w:lang w:val="en-US" w:eastAsia="en-US"/>
              </w:rPr>
            </w:pPr>
          </w:p>
          <w:p w14:paraId="06869B6D">
            <w:pPr>
              <w:bidi w:val="0"/>
              <w:rPr>
                <w:color w:val="auto"/>
                <w:lang w:val="en-US" w:eastAsia="en-US"/>
              </w:rPr>
            </w:pPr>
          </w:p>
          <w:p w14:paraId="54B8234D">
            <w:pPr>
              <w:bidi w:val="0"/>
              <w:rPr>
                <w:color w:val="auto"/>
                <w:lang w:val="en-US" w:eastAsia="en-US"/>
              </w:rPr>
            </w:pPr>
          </w:p>
          <w:p w14:paraId="0A7AFF25">
            <w:pPr>
              <w:bidi w:val="0"/>
              <w:rPr>
                <w:color w:val="auto"/>
                <w:lang w:val="en-US" w:eastAsia="en-US"/>
              </w:rPr>
            </w:pPr>
          </w:p>
          <w:p w14:paraId="164E167F">
            <w:pPr>
              <w:bidi w:val="0"/>
              <w:rPr>
                <w:color w:val="auto"/>
                <w:lang w:val="en-US" w:eastAsia="en-US"/>
              </w:rPr>
            </w:pPr>
          </w:p>
          <w:p w14:paraId="1516F78D">
            <w:pPr>
              <w:bidi w:val="0"/>
              <w:rPr>
                <w:color w:val="auto"/>
                <w:lang w:val="en-US" w:eastAsia="en-US"/>
              </w:rPr>
            </w:pPr>
          </w:p>
          <w:p w14:paraId="18CFC45C">
            <w:pPr>
              <w:bidi w:val="0"/>
              <w:rPr>
                <w:color w:val="auto"/>
                <w:lang w:val="en-US" w:eastAsia="en-US"/>
              </w:rPr>
            </w:pPr>
          </w:p>
          <w:p w14:paraId="08471FD2">
            <w:pPr>
              <w:bidi w:val="0"/>
              <w:rPr>
                <w:color w:val="auto"/>
                <w:lang w:val="en-US" w:eastAsia="en-US"/>
              </w:rPr>
            </w:pPr>
          </w:p>
          <w:p w14:paraId="6D3EE47C">
            <w:pPr>
              <w:bidi w:val="0"/>
              <w:rPr>
                <w:color w:val="auto"/>
                <w:lang w:val="en-US" w:eastAsia="en-US"/>
              </w:rPr>
            </w:pPr>
          </w:p>
          <w:p w14:paraId="049EB871">
            <w:pPr>
              <w:bidi w:val="0"/>
              <w:rPr>
                <w:color w:val="auto"/>
                <w:lang w:val="en-US" w:eastAsia="en-US"/>
              </w:rPr>
            </w:pPr>
          </w:p>
          <w:p w14:paraId="515B3D9D">
            <w:pPr>
              <w:bidi w:val="0"/>
              <w:rPr>
                <w:color w:val="auto"/>
                <w:lang w:val="en-US" w:eastAsia="en-US"/>
              </w:rPr>
            </w:pPr>
          </w:p>
          <w:p w14:paraId="1DB45E5E">
            <w:pPr>
              <w:bidi w:val="0"/>
              <w:rPr>
                <w:color w:val="auto"/>
                <w:lang w:val="en-US" w:eastAsia="en-US"/>
              </w:rPr>
            </w:pPr>
          </w:p>
          <w:p w14:paraId="50A57750">
            <w:pPr>
              <w:bidi w:val="0"/>
              <w:rPr>
                <w:color w:val="auto"/>
                <w:lang w:val="en-US" w:eastAsia="en-US"/>
              </w:rPr>
            </w:pPr>
          </w:p>
          <w:p w14:paraId="0C4DC4AD">
            <w:pPr>
              <w:bidi w:val="0"/>
              <w:rPr>
                <w:color w:val="auto"/>
                <w:lang w:val="en-US" w:eastAsia="en-US"/>
              </w:rPr>
            </w:pPr>
          </w:p>
          <w:p w14:paraId="1EF8FAB2">
            <w:pPr>
              <w:bidi w:val="0"/>
              <w:rPr>
                <w:color w:val="auto"/>
                <w:lang w:val="en-US" w:eastAsia="en-US"/>
              </w:rPr>
            </w:pPr>
          </w:p>
          <w:p w14:paraId="6AA1FAAA">
            <w:pPr>
              <w:bidi w:val="0"/>
              <w:jc w:val="left"/>
              <w:rPr>
                <w:color w:val="auto"/>
                <w:lang w:val="en-US" w:eastAsia="en-US"/>
              </w:rPr>
            </w:pPr>
          </w:p>
        </w:tc>
        <w:tc>
          <w:tcPr>
            <w:tcW w:w="1077" w:type="dxa"/>
            <w:vAlign w:val="top"/>
          </w:tcPr>
          <w:p w14:paraId="625670F2">
            <w:pPr>
              <w:pStyle w:val="19"/>
              <w:spacing w:before="56" w:line="228" w:lineRule="auto"/>
              <w:ind w:left="119"/>
              <w:rPr>
                <w:rFonts w:hint="eastAsia" w:ascii="宋体" w:hAnsi="宋体" w:eastAsia="宋体" w:cs="宋体"/>
                <w:color w:val="auto"/>
                <w:spacing w:val="11"/>
                <w:lang w:val="en-US" w:eastAsia="zh-CN"/>
              </w:rPr>
            </w:pPr>
          </w:p>
          <w:p w14:paraId="408185C9">
            <w:pPr>
              <w:pStyle w:val="19"/>
              <w:spacing w:before="56" w:line="228" w:lineRule="auto"/>
              <w:ind w:left="119"/>
              <w:rPr>
                <w:rFonts w:hint="eastAsia" w:ascii="宋体" w:hAnsi="宋体" w:eastAsia="宋体" w:cs="宋体"/>
                <w:color w:val="auto"/>
                <w:spacing w:val="11"/>
                <w:lang w:val="en-US" w:eastAsia="zh-CN"/>
              </w:rPr>
            </w:pPr>
          </w:p>
          <w:p w14:paraId="572C120F">
            <w:pPr>
              <w:pStyle w:val="19"/>
              <w:spacing w:before="56" w:line="228" w:lineRule="auto"/>
              <w:ind w:left="119"/>
              <w:rPr>
                <w:rFonts w:hint="eastAsia" w:ascii="宋体" w:hAnsi="宋体" w:eastAsia="宋体" w:cs="宋体"/>
                <w:color w:val="auto"/>
                <w:spacing w:val="11"/>
                <w:lang w:val="en-US" w:eastAsia="zh-CN"/>
              </w:rPr>
            </w:pPr>
          </w:p>
          <w:p w14:paraId="49EB526F">
            <w:pPr>
              <w:pStyle w:val="19"/>
              <w:spacing w:before="56" w:line="228" w:lineRule="auto"/>
              <w:ind w:left="119"/>
              <w:rPr>
                <w:rFonts w:hint="eastAsia" w:ascii="宋体" w:hAnsi="宋体" w:eastAsia="宋体" w:cs="宋体"/>
                <w:color w:val="auto"/>
                <w:spacing w:val="11"/>
                <w:lang w:val="en-US" w:eastAsia="zh-CN"/>
              </w:rPr>
            </w:pPr>
          </w:p>
          <w:p w14:paraId="4DB9750E">
            <w:pPr>
              <w:pStyle w:val="19"/>
              <w:spacing w:before="56" w:line="228" w:lineRule="auto"/>
              <w:ind w:left="119"/>
              <w:rPr>
                <w:rFonts w:hint="eastAsia" w:ascii="宋体" w:hAnsi="宋体" w:eastAsia="宋体" w:cs="宋体"/>
                <w:color w:val="auto"/>
                <w:spacing w:val="11"/>
                <w:lang w:val="en-US" w:eastAsia="zh-CN"/>
              </w:rPr>
            </w:pPr>
          </w:p>
          <w:p w14:paraId="16DB348C">
            <w:pPr>
              <w:pStyle w:val="19"/>
              <w:spacing w:before="56" w:line="228" w:lineRule="auto"/>
              <w:ind w:left="119"/>
              <w:rPr>
                <w:rFonts w:hint="eastAsia" w:ascii="宋体" w:hAnsi="宋体" w:eastAsia="宋体" w:cs="宋体"/>
                <w:color w:val="auto"/>
                <w:spacing w:val="11"/>
                <w:lang w:val="en-US" w:eastAsia="zh-CN"/>
              </w:rPr>
            </w:pPr>
          </w:p>
          <w:p w14:paraId="3EB9D3F8">
            <w:pPr>
              <w:pStyle w:val="19"/>
              <w:spacing w:before="56" w:line="228" w:lineRule="auto"/>
              <w:ind w:left="119"/>
              <w:rPr>
                <w:rFonts w:hint="default" w:ascii="宋体" w:hAnsi="宋体" w:eastAsia="宋体" w:cs="宋体"/>
                <w:color w:val="auto"/>
                <w:spacing w:val="11"/>
                <w:lang w:val="en-US" w:eastAsia="zh-CN"/>
              </w:rPr>
            </w:pPr>
            <w:r>
              <w:rPr>
                <w:rFonts w:hint="eastAsia" w:ascii="宋体" w:hAnsi="宋体" w:eastAsia="宋体" w:cs="宋体"/>
                <w:color w:val="auto"/>
                <w:spacing w:val="11"/>
                <w:lang w:val="en-US" w:eastAsia="zh-CN"/>
              </w:rPr>
              <w:t>水果类</w:t>
            </w:r>
          </w:p>
        </w:tc>
        <w:tc>
          <w:tcPr>
            <w:tcW w:w="4959" w:type="dxa"/>
            <w:shd w:val="clear" w:color="auto" w:fill="auto"/>
            <w:vAlign w:val="center"/>
          </w:tcPr>
          <w:p w14:paraId="13D8109C">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苹果</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苹果表面，表面光滑且没有虫眼，看起来整个个体很饱满，很结实，苹果果皮很水亮，看起来苹果皮比较干燥的那种可能存放时间久口感已不佳。 新鲜好吃的苹果是有一股甜甜的清香，而不会有什么其他异味、腐蚀味甚至化学制剂的味道，一般气味不对的口味也会不佳  苹果的果皮颜色如果呈现黄里透红。</w:t>
            </w:r>
          </w:p>
          <w:p w14:paraId="183EB5AC">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雪梨</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梨皮细薄、没有疤痕的梨子，这样的梨子质量较好。形状端正规则，果肉细腻的梨子  表面光滑细腻</w:t>
            </w:r>
          </w:p>
          <w:p w14:paraId="5ED6DBF2">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香蕉</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香蕉的外皮，是完好无损的。外皮完好无损，皮色鲜黄光亮，没有黑斑</w:t>
            </w:r>
            <w:r>
              <w:rPr>
                <w:rFonts w:hint="eastAsia" w:ascii="宋体" w:hAnsi="宋体" w:eastAsia="宋体" w:cs="宋体"/>
                <w:color w:val="auto"/>
                <w:spacing w:val="6"/>
                <w:lang w:val="en-US" w:eastAsia="zh-CN"/>
              </w:rPr>
              <w:t>。</w:t>
            </w:r>
          </w:p>
          <w:p w14:paraId="5A3D3E23">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西瓜</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瓜藤新鲜，瓜皮薄，颜色呈暗绿色，挂纹明显清晰。</w:t>
            </w:r>
          </w:p>
          <w:p w14:paraId="703543F5">
            <w:pPr>
              <w:pStyle w:val="19"/>
              <w:spacing w:before="31" w:line="327" w:lineRule="auto"/>
              <w:ind w:left="116" w:right="16" w:firstLine="430"/>
              <w:rPr>
                <w:rFonts w:hint="eastAsia" w:ascii="宋体" w:hAnsi="宋体" w:eastAsia="宋体" w:cs="宋体"/>
                <w:color w:val="auto"/>
                <w:spacing w:val="6"/>
                <w:lang w:val="en-US" w:eastAsia="zh-CN"/>
              </w:rPr>
            </w:pPr>
            <w:r>
              <w:rPr>
                <w:rFonts w:hint="eastAsia" w:ascii="宋体" w:hAnsi="宋体" w:eastAsia="宋体" w:cs="宋体"/>
                <w:color w:val="auto"/>
                <w:spacing w:val="6"/>
                <w:lang w:val="en-US" w:eastAsia="en-US"/>
              </w:rPr>
              <w:t>油桃</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油桃的表面光滑，果面是鲜红色，油桃表面也是比较规则的圆形或者椭圆形的。</w:t>
            </w:r>
          </w:p>
          <w:p w14:paraId="2FE7250F">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柑果</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果皮光滑、没有突起的斑点、没有什么伤痕。</w:t>
            </w:r>
          </w:p>
          <w:p w14:paraId="1263A07D">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芒果</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果皮皮质细腻且颜色深，果皮光滑，没有黑点或黑斑，外形完整，没有损伤</w:t>
            </w:r>
            <w:r>
              <w:rPr>
                <w:rFonts w:hint="eastAsia" w:ascii="宋体" w:hAnsi="宋体" w:eastAsia="宋体" w:cs="宋体"/>
                <w:color w:val="auto"/>
                <w:spacing w:val="6"/>
                <w:lang w:val="en-US" w:eastAsia="zh-CN"/>
              </w:rPr>
              <w:t>。</w:t>
            </w:r>
          </w:p>
          <w:p w14:paraId="5F24B7E9">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提子</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提子的茎是青色，果皮不可以呈青棕色或灰黑色，皱皮。</w:t>
            </w:r>
          </w:p>
          <w:p w14:paraId="3DFAA51B">
            <w:pPr>
              <w:pStyle w:val="19"/>
              <w:spacing w:before="31" w:line="327" w:lineRule="auto"/>
              <w:ind w:left="116" w:right="16" w:firstLine="430"/>
              <w:rPr>
                <w:rFonts w:hint="eastAsia" w:ascii="宋体" w:hAnsi="宋体" w:eastAsia="宋体" w:cs="宋体"/>
                <w:color w:val="auto"/>
                <w:spacing w:val="6"/>
                <w:lang w:val="en-US" w:eastAsia="en-US"/>
              </w:rPr>
            </w:pPr>
            <w:r>
              <w:rPr>
                <w:rFonts w:hint="eastAsia" w:ascii="宋体" w:hAnsi="宋体" w:eastAsia="宋体" w:cs="宋体"/>
                <w:color w:val="auto"/>
                <w:spacing w:val="6"/>
                <w:lang w:val="en-US" w:eastAsia="en-US"/>
              </w:rPr>
              <w:t>甜橙</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橙皮表面光滑，橙皮无破损。</w:t>
            </w:r>
          </w:p>
          <w:p w14:paraId="4F0CCC0A">
            <w:pPr>
              <w:pStyle w:val="19"/>
              <w:spacing w:before="31" w:line="327" w:lineRule="auto"/>
              <w:ind w:left="116" w:right="16" w:firstLine="430"/>
              <w:rPr>
                <w:rFonts w:hint="eastAsia" w:ascii="宋体" w:hAnsi="宋体" w:eastAsia="宋体" w:cs="宋体"/>
                <w:color w:val="auto"/>
                <w:spacing w:val="11"/>
                <w:lang w:val="en-US" w:eastAsia="en-US"/>
              </w:rPr>
            </w:pPr>
            <w:r>
              <w:rPr>
                <w:rFonts w:hint="eastAsia" w:ascii="宋体" w:hAnsi="宋体" w:eastAsia="宋体" w:cs="宋体"/>
                <w:color w:val="auto"/>
                <w:spacing w:val="6"/>
                <w:lang w:val="en-US" w:eastAsia="en-US"/>
              </w:rPr>
              <w:t>沃柑</w:t>
            </w:r>
            <w:r>
              <w:rPr>
                <w:rFonts w:hint="eastAsia" w:ascii="宋体" w:hAnsi="宋体" w:eastAsia="宋体" w:cs="宋体"/>
                <w:color w:val="auto"/>
                <w:spacing w:val="6"/>
                <w:lang w:val="en-US" w:eastAsia="zh-CN"/>
              </w:rPr>
              <w:t>：</w:t>
            </w:r>
            <w:r>
              <w:rPr>
                <w:rFonts w:hint="eastAsia" w:ascii="宋体" w:hAnsi="宋体" w:eastAsia="宋体" w:cs="宋体"/>
                <w:color w:val="auto"/>
                <w:spacing w:val="6"/>
                <w:lang w:val="en-US" w:eastAsia="en-US"/>
              </w:rPr>
              <w:t>色泽闪亮的橘红色的沃柑，果皮无破损，腐烂</w:t>
            </w:r>
          </w:p>
        </w:tc>
        <w:tc>
          <w:tcPr>
            <w:tcW w:w="2125" w:type="dxa"/>
            <w:vMerge w:val="continue"/>
            <w:tcBorders>
              <w:top w:val="nil"/>
              <w:bottom w:val="nil"/>
            </w:tcBorders>
            <w:shd w:val="clear" w:color="auto" w:fill="auto"/>
            <w:vAlign w:val="center"/>
          </w:tcPr>
          <w:p w14:paraId="0A727F6D">
            <w:pPr>
              <w:snapToGrid w:val="0"/>
              <w:spacing w:line="340" w:lineRule="exact"/>
              <w:rPr>
                <w:rFonts w:hint="eastAsia" w:ascii="宋体" w:hAnsi="宋体" w:eastAsia="Arial" w:cs="Arial"/>
                <w:snapToGrid w:val="0"/>
                <w:color w:val="auto"/>
                <w:kern w:val="0"/>
                <w:sz w:val="21"/>
                <w:szCs w:val="21"/>
                <w:lang w:val="en-US" w:eastAsia="en-US" w:bidi="ar-SA"/>
              </w:rPr>
            </w:pPr>
            <w:r>
              <w:rPr>
                <w:rFonts w:hint="eastAsia" w:ascii="宋体" w:hAnsi="宋体"/>
                <w:color w:val="auto"/>
                <w:szCs w:val="21"/>
              </w:rPr>
              <w:t>苹果表面，表面光滑且没有虫眼，看起来整个个体很饱满，很结实，苹果果皮很水亮，看起来苹果皮比较干燥的那种可能存放时间久口感已不佳。 新鲜好吃的苹果是有一股甜甜的清香，而不会有什么其他异味、腐蚀味甚至化学制剂的味道，一般气味不对的口味也会不佳  苹果的果皮颜色如果呈现黄里透红。</w:t>
            </w:r>
          </w:p>
        </w:tc>
        <w:tc>
          <w:tcPr>
            <w:tcW w:w="239" w:type="dxa"/>
            <w:tcBorders>
              <w:top w:val="nil"/>
              <w:bottom w:val="nil"/>
            </w:tcBorders>
            <w:vAlign w:val="top"/>
          </w:tcPr>
          <w:p w14:paraId="4A180584">
            <w:pPr>
              <w:rPr>
                <w:rFonts w:ascii="Arial"/>
                <w:color w:val="auto"/>
                <w:sz w:val="21"/>
              </w:rPr>
            </w:pPr>
          </w:p>
        </w:tc>
      </w:tr>
      <w:tr w14:paraId="4EA6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5" w:hRule="atLeast"/>
        </w:trPr>
        <w:tc>
          <w:tcPr>
            <w:tcW w:w="1789" w:type="dxa"/>
            <w:vAlign w:val="top"/>
          </w:tcPr>
          <w:p w14:paraId="50B25F81">
            <w:pPr>
              <w:spacing w:line="243" w:lineRule="auto"/>
              <w:rPr>
                <w:rFonts w:ascii="Arial"/>
                <w:color w:val="auto"/>
                <w:sz w:val="21"/>
              </w:rPr>
            </w:pPr>
          </w:p>
          <w:p w14:paraId="1A1DD7B1">
            <w:pPr>
              <w:spacing w:line="243" w:lineRule="auto"/>
              <w:rPr>
                <w:rFonts w:ascii="Arial"/>
                <w:color w:val="auto"/>
                <w:sz w:val="21"/>
              </w:rPr>
            </w:pPr>
          </w:p>
          <w:p w14:paraId="513A7E9D">
            <w:pPr>
              <w:spacing w:line="243" w:lineRule="auto"/>
              <w:rPr>
                <w:rFonts w:ascii="Arial"/>
                <w:color w:val="auto"/>
                <w:sz w:val="21"/>
              </w:rPr>
            </w:pPr>
          </w:p>
          <w:p w14:paraId="389BF205">
            <w:pPr>
              <w:spacing w:line="244" w:lineRule="auto"/>
              <w:rPr>
                <w:rFonts w:ascii="Arial"/>
                <w:color w:val="auto"/>
                <w:sz w:val="21"/>
              </w:rPr>
            </w:pPr>
          </w:p>
          <w:p w14:paraId="4FFD7BA7">
            <w:pPr>
              <w:spacing w:line="244" w:lineRule="auto"/>
              <w:rPr>
                <w:rFonts w:ascii="Arial"/>
                <w:color w:val="auto"/>
                <w:sz w:val="21"/>
              </w:rPr>
            </w:pPr>
          </w:p>
          <w:p w14:paraId="7FA0CAA5">
            <w:pPr>
              <w:spacing w:line="244" w:lineRule="auto"/>
              <w:rPr>
                <w:rFonts w:ascii="Arial"/>
                <w:color w:val="auto"/>
                <w:sz w:val="21"/>
              </w:rPr>
            </w:pPr>
          </w:p>
          <w:p w14:paraId="6396EAC0">
            <w:pPr>
              <w:spacing w:line="244" w:lineRule="auto"/>
              <w:rPr>
                <w:rFonts w:ascii="Arial"/>
                <w:color w:val="auto"/>
                <w:sz w:val="21"/>
              </w:rPr>
            </w:pPr>
          </w:p>
          <w:p w14:paraId="79EDB500">
            <w:pPr>
              <w:spacing w:line="244" w:lineRule="auto"/>
              <w:rPr>
                <w:rFonts w:ascii="Arial"/>
                <w:color w:val="auto"/>
                <w:sz w:val="21"/>
              </w:rPr>
            </w:pPr>
          </w:p>
          <w:p w14:paraId="0ADA3296">
            <w:pPr>
              <w:spacing w:line="244" w:lineRule="auto"/>
              <w:rPr>
                <w:rFonts w:ascii="Arial"/>
                <w:color w:val="auto"/>
                <w:sz w:val="21"/>
              </w:rPr>
            </w:pPr>
          </w:p>
          <w:p w14:paraId="7EF320C5">
            <w:pPr>
              <w:spacing w:line="244" w:lineRule="auto"/>
              <w:rPr>
                <w:rFonts w:ascii="Arial"/>
                <w:color w:val="auto"/>
                <w:sz w:val="21"/>
              </w:rPr>
            </w:pPr>
          </w:p>
          <w:p w14:paraId="4185DFED">
            <w:pPr>
              <w:spacing w:line="244" w:lineRule="auto"/>
              <w:rPr>
                <w:rFonts w:ascii="Arial"/>
                <w:color w:val="auto"/>
                <w:sz w:val="21"/>
              </w:rPr>
            </w:pPr>
          </w:p>
          <w:p w14:paraId="5B55F0E2">
            <w:pPr>
              <w:spacing w:line="244" w:lineRule="auto"/>
              <w:rPr>
                <w:rFonts w:ascii="Arial"/>
                <w:color w:val="auto"/>
                <w:sz w:val="21"/>
              </w:rPr>
            </w:pPr>
          </w:p>
          <w:p w14:paraId="0657DBCF">
            <w:pPr>
              <w:spacing w:line="244" w:lineRule="auto"/>
              <w:rPr>
                <w:rFonts w:ascii="Arial"/>
                <w:color w:val="auto"/>
                <w:sz w:val="21"/>
              </w:rPr>
            </w:pPr>
          </w:p>
          <w:p w14:paraId="750F4FAB">
            <w:pPr>
              <w:spacing w:line="244" w:lineRule="auto"/>
              <w:rPr>
                <w:rFonts w:ascii="Arial"/>
                <w:color w:val="auto"/>
                <w:sz w:val="21"/>
              </w:rPr>
            </w:pPr>
          </w:p>
          <w:p w14:paraId="0CB1CA24">
            <w:pPr>
              <w:spacing w:line="244" w:lineRule="auto"/>
              <w:rPr>
                <w:rFonts w:ascii="Arial"/>
                <w:color w:val="auto"/>
                <w:sz w:val="21"/>
              </w:rPr>
            </w:pPr>
          </w:p>
          <w:p w14:paraId="3D5087B5">
            <w:pPr>
              <w:spacing w:line="244" w:lineRule="auto"/>
              <w:rPr>
                <w:rFonts w:ascii="Arial"/>
                <w:color w:val="auto"/>
                <w:sz w:val="21"/>
              </w:rPr>
            </w:pPr>
          </w:p>
          <w:p w14:paraId="040537B2">
            <w:pPr>
              <w:spacing w:line="244" w:lineRule="auto"/>
              <w:rPr>
                <w:rFonts w:ascii="Arial"/>
                <w:color w:val="auto"/>
                <w:sz w:val="21"/>
              </w:rPr>
            </w:pPr>
          </w:p>
          <w:p w14:paraId="79466A42">
            <w:pPr>
              <w:spacing w:line="244" w:lineRule="auto"/>
              <w:rPr>
                <w:rFonts w:ascii="Arial"/>
                <w:color w:val="auto"/>
                <w:sz w:val="21"/>
              </w:rPr>
            </w:pPr>
          </w:p>
          <w:p w14:paraId="5DE7986E">
            <w:pPr>
              <w:spacing w:line="244" w:lineRule="auto"/>
              <w:rPr>
                <w:rFonts w:ascii="Arial"/>
                <w:color w:val="auto"/>
                <w:sz w:val="21"/>
              </w:rPr>
            </w:pPr>
          </w:p>
          <w:p w14:paraId="736E2A86">
            <w:pPr>
              <w:spacing w:line="244" w:lineRule="auto"/>
              <w:rPr>
                <w:rFonts w:ascii="Arial"/>
                <w:color w:val="auto"/>
                <w:sz w:val="21"/>
              </w:rPr>
            </w:pPr>
          </w:p>
          <w:p w14:paraId="22DA4397">
            <w:pPr>
              <w:spacing w:line="244" w:lineRule="auto"/>
              <w:rPr>
                <w:rFonts w:ascii="Arial"/>
                <w:color w:val="auto"/>
                <w:sz w:val="21"/>
              </w:rPr>
            </w:pPr>
          </w:p>
          <w:p w14:paraId="0BEF231F">
            <w:pPr>
              <w:spacing w:line="244" w:lineRule="auto"/>
              <w:rPr>
                <w:rFonts w:ascii="Arial"/>
                <w:color w:val="auto"/>
                <w:sz w:val="21"/>
              </w:rPr>
            </w:pPr>
          </w:p>
          <w:p w14:paraId="5308B37B">
            <w:pPr>
              <w:spacing w:line="244" w:lineRule="auto"/>
              <w:rPr>
                <w:rFonts w:ascii="Arial"/>
                <w:color w:val="auto"/>
                <w:sz w:val="21"/>
              </w:rPr>
            </w:pPr>
          </w:p>
          <w:p w14:paraId="17B625A6">
            <w:pPr>
              <w:spacing w:line="244" w:lineRule="auto"/>
              <w:rPr>
                <w:rFonts w:ascii="Arial"/>
                <w:color w:val="auto"/>
                <w:sz w:val="21"/>
              </w:rPr>
            </w:pPr>
          </w:p>
          <w:p w14:paraId="7203C5D4">
            <w:pPr>
              <w:pStyle w:val="19"/>
              <w:spacing w:before="65" w:line="229" w:lineRule="auto"/>
              <w:ind w:left="479"/>
              <w:rPr>
                <w:color w:val="auto"/>
              </w:rPr>
            </w:pPr>
            <w:r>
              <w:rPr>
                <w:color w:val="auto"/>
                <w:spacing w:val="7"/>
              </w:rPr>
              <w:t>其他要求</w:t>
            </w:r>
          </w:p>
        </w:tc>
        <w:tc>
          <w:tcPr>
            <w:tcW w:w="8513" w:type="dxa"/>
            <w:gridSpan w:val="5"/>
            <w:vAlign w:val="top"/>
          </w:tcPr>
          <w:p w14:paraId="0C694561">
            <w:pPr>
              <w:pStyle w:val="19"/>
              <w:spacing w:before="31" w:line="327" w:lineRule="auto"/>
              <w:ind w:left="116" w:right="16" w:firstLine="430"/>
              <w:rPr>
                <w:color w:val="auto"/>
              </w:rPr>
            </w:pPr>
            <w:r>
              <w:rPr>
                <w:color w:val="auto"/>
                <w:spacing w:val="11"/>
              </w:rPr>
              <w:t>1.采购人指定人与中标供应商在响应及履</w:t>
            </w:r>
            <w:r>
              <w:rPr>
                <w:color w:val="auto"/>
                <w:spacing w:val="10"/>
              </w:rPr>
              <w:t>行合同过程中，必须遵守《中华人民共和</w:t>
            </w:r>
            <w:r>
              <w:rPr>
                <w:color w:val="auto"/>
                <w:spacing w:val="6"/>
              </w:rPr>
              <w:t>国食品安全法》《中华人民共和国反不正当竞争法》《</w:t>
            </w:r>
            <w:r>
              <w:rPr>
                <w:color w:val="auto"/>
                <w:spacing w:val="5"/>
              </w:rPr>
              <w:t>中华人民共和国消费者权益保障法》</w:t>
            </w:r>
            <w:r>
              <w:rPr>
                <w:color w:val="auto"/>
              </w:rPr>
              <w:t xml:space="preserve"> </w:t>
            </w:r>
            <w:r>
              <w:rPr>
                <w:color w:val="auto"/>
                <w:spacing w:val="9"/>
              </w:rPr>
              <w:t>《中华人民共和国经济合同法》及相关的国家法律、法规。</w:t>
            </w:r>
          </w:p>
          <w:p w14:paraId="1438B43A">
            <w:pPr>
              <w:pStyle w:val="19"/>
              <w:spacing w:before="161" w:line="328" w:lineRule="auto"/>
              <w:ind w:left="114" w:right="109" w:firstLine="418"/>
              <w:rPr>
                <w:color w:val="auto"/>
              </w:rPr>
            </w:pPr>
            <w:r>
              <w:rPr>
                <w:color w:val="auto"/>
                <w:spacing w:val="11"/>
              </w:rPr>
              <w:t>2.本项目所指的货物及服务应符合招标文件所述的标准；如果没有提及适</w:t>
            </w:r>
            <w:r>
              <w:rPr>
                <w:color w:val="auto"/>
                <w:spacing w:val="10"/>
              </w:rPr>
              <w:t>用标准，</w:t>
            </w:r>
            <w:r>
              <w:rPr>
                <w:color w:val="auto"/>
                <w:spacing w:val="9"/>
              </w:rPr>
              <w:t>则应符合中华人民共和国国家标准或行业标准</w:t>
            </w:r>
            <w:r>
              <w:rPr>
                <w:color w:val="auto"/>
                <w:spacing w:val="8"/>
              </w:rPr>
              <w:t>；这些标准必须是有关机构发布的最新版本</w:t>
            </w:r>
            <w:r>
              <w:rPr>
                <w:color w:val="auto"/>
                <w:spacing w:val="4"/>
              </w:rPr>
              <w:t>的标准。</w:t>
            </w:r>
          </w:p>
          <w:p w14:paraId="5A510AF9">
            <w:pPr>
              <w:pStyle w:val="19"/>
              <w:spacing w:before="157" w:line="340" w:lineRule="auto"/>
              <w:ind w:left="111" w:right="101" w:firstLine="423"/>
              <w:rPr>
                <w:color w:val="auto"/>
              </w:rPr>
            </w:pPr>
            <w:r>
              <w:rPr>
                <w:color w:val="auto"/>
                <w:spacing w:val="10"/>
              </w:rPr>
              <w:t>3.中标供应商应充分理解并认真遵循招标文件的要求，所提供的货物必须是满足招</w:t>
            </w:r>
            <w:r>
              <w:rPr>
                <w:color w:val="auto"/>
                <w:spacing w:val="9"/>
              </w:rPr>
              <w:t>标文件要求。保证合同货品均为正规生产的新鲜（冰鲜除外）检验合格、</w:t>
            </w:r>
            <w:r>
              <w:rPr>
                <w:color w:val="auto"/>
                <w:spacing w:val="8"/>
              </w:rPr>
              <w:t>无毒、无辐射、</w:t>
            </w:r>
            <w:r>
              <w:rPr>
                <w:color w:val="auto"/>
                <w:spacing w:val="9"/>
              </w:rPr>
              <w:t>无侵权货品，符合国家有关卫生、质量、包装和保质标准，</w:t>
            </w:r>
            <w:r>
              <w:rPr>
                <w:color w:val="auto"/>
                <w:spacing w:val="8"/>
              </w:rPr>
              <w:t>有使用有效期的货品，其剩余</w:t>
            </w:r>
            <w:r>
              <w:rPr>
                <w:color w:val="auto"/>
                <w:spacing w:val="7"/>
              </w:rPr>
              <w:t>有效期不得少于标注有效期的</w:t>
            </w:r>
            <w:r>
              <w:rPr>
                <w:color w:val="auto"/>
                <w:spacing w:val="-30"/>
              </w:rPr>
              <w:t xml:space="preserve"> </w:t>
            </w:r>
            <w:r>
              <w:rPr>
                <w:color w:val="auto"/>
                <w:spacing w:val="7"/>
              </w:rPr>
              <w:t>80%。</w:t>
            </w:r>
          </w:p>
          <w:p w14:paraId="596750B2">
            <w:pPr>
              <w:pStyle w:val="19"/>
              <w:spacing w:before="161" w:line="303" w:lineRule="auto"/>
              <w:ind w:left="111" w:right="109" w:firstLine="418"/>
              <w:rPr>
                <w:color w:val="auto"/>
              </w:rPr>
            </w:pPr>
            <w:r>
              <w:rPr>
                <w:color w:val="auto"/>
                <w:spacing w:val="11"/>
              </w:rPr>
              <w:t>4.货物有包装的，货物的包装必须完整清洁（</w:t>
            </w:r>
            <w:r>
              <w:rPr>
                <w:color w:val="auto"/>
                <w:spacing w:val="10"/>
              </w:rPr>
              <w:t>无损、无污、无皱</w:t>
            </w:r>
            <w:r>
              <w:rPr>
                <w:color w:val="auto"/>
                <w:spacing w:val="17"/>
              </w:rPr>
              <w:t>），</w:t>
            </w:r>
            <w:r>
              <w:rPr>
                <w:color w:val="auto"/>
                <w:spacing w:val="10"/>
              </w:rPr>
              <w:t>采购人指定人</w:t>
            </w:r>
            <w:r>
              <w:rPr>
                <w:color w:val="auto"/>
                <w:spacing w:val="8"/>
              </w:rPr>
              <w:t>有权拒收包装不整齐、已拆封的商品。</w:t>
            </w:r>
          </w:p>
          <w:p w14:paraId="16C0D54C">
            <w:pPr>
              <w:pStyle w:val="19"/>
              <w:spacing w:before="161" w:line="302" w:lineRule="auto"/>
              <w:ind w:left="116" w:right="109" w:firstLine="418"/>
              <w:rPr>
                <w:color w:val="auto"/>
              </w:rPr>
            </w:pPr>
            <w:r>
              <w:rPr>
                <w:color w:val="auto"/>
                <w:spacing w:val="10"/>
              </w:rPr>
              <w:t>5.采购人指定人发现商品出现损坏（包括表面损坏</w:t>
            </w:r>
            <w:r>
              <w:rPr>
                <w:color w:val="auto"/>
                <w:spacing w:val="26"/>
              </w:rPr>
              <w:t>），</w:t>
            </w:r>
            <w:r>
              <w:rPr>
                <w:color w:val="auto"/>
                <w:spacing w:val="10"/>
              </w:rPr>
              <w:t>或出现水渍、串味、受潮等</w:t>
            </w:r>
            <w:r>
              <w:rPr>
                <w:color w:val="auto"/>
                <w:spacing w:val="9"/>
              </w:rPr>
              <w:t>导致货物性质改变的，中标供应商必须无条件退货或更换商品。</w:t>
            </w:r>
            <w:r>
              <w:rPr>
                <w:color w:val="auto"/>
              </w:rPr>
              <w:t>。</w:t>
            </w:r>
          </w:p>
          <w:p w14:paraId="2455D60D">
            <w:pPr>
              <w:pStyle w:val="19"/>
              <w:spacing w:before="162" w:line="302" w:lineRule="auto"/>
              <w:ind w:left="113" w:right="107" w:firstLine="432"/>
              <w:rPr>
                <w:color w:val="auto"/>
              </w:rPr>
            </w:pPr>
            <w:r>
              <w:rPr>
                <w:rFonts w:hint="eastAsia"/>
                <w:color w:val="auto"/>
                <w:spacing w:val="7"/>
                <w:lang w:val="en-US" w:eastAsia="zh-CN"/>
              </w:rPr>
              <w:t>6</w:t>
            </w:r>
            <w:r>
              <w:rPr>
                <w:color w:val="auto"/>
                <w:spacing w:val="7"/>
              </w:rPr>
              <w:t>.中标供应商提供假冒伪劣、过期、变质的、有毒食品的，一经发现，除按采购人</w:t>
            </w:r>
            <w:r>
              <w:rPr>
                <w:color w:val="auto"/>
                <w:spacing w:val="9"/>
              </w:rPr>
              <w:t>指定人要求无条件退货或换货外，还将受到如下处罚：</w:t>
            </w:r>
          </w:p>
          <w:p w14:paraId="7C11E537">
            <w:pPr>
              <w:pStyle w:val="19"/>
              <w:spacing w:before="164" w:line="302" w:lineRule="auto"/>
              <w:ind w:left="114" w:right="109" w:firstLine="425"/>
              <w:rPr>
                <w:color w:val="auto"/>
              </w:rPr>
            </w:pPr>
            <w:r>
              <w:rPr>
                <w:color w:val="auto"/>
                <w:spacing w:val="10"/>
              </w:rPr>
              <w:t>（1）</w:t>
            </w:r>
            <w:r>
              <w:rPr>
                <w:color w:val="auto"/>
                <w:spacing w:val="-57"/>
              </w:rPr>
              <w:t xml:space="preserve"> </w:t>
            </w:r>
            <w:r>
              <w:rPr>
                <w:color w:val="auto"/>
                <w:spacing w:val="10"/>
              </w:rPr>
              <w:t>中标供应商提供假冒伪劣、过期、变质食品的，要求无条件退</w:t>
            </w:r>
            <w:r>
              <w:rPr>
                <w:color w:val="auto"/>
                <w:spacing w:val="9"/>
              </w:rPr>
              <w:t>货或换货外，被</w:t>
            </w:r>
            <w:r>
              <w:rPr>
                <w:color w:val="auto"/>
                <w:spacing w:val="8"/>
              </w:rPr>
              <w:t>处以当次供应食品货款</w:t>
            </w:r>
            <w:r>
              <w:rPr>
                <w:color w:val="auto"/>
                <w:spacing w:val="-31"/>
              </w:rPr>
              <w:t xml:space="preserve"> </w:t>
            </w:r>
            <w:r>
              <w:rPr>
                <w:color w:val="auto"/>
                <w:spacing w:val="8"/>
              </w:rPr>
              <w:t>2</w:t>
            </w:r>
            <w:r>
              <w:rPr>
                <w:color w:val="auto"/>
                <w:spacing w:val="-38"/>
              </w:rPr>
              <w:t xml:space="preserve"> </w:t>
            </w:r>
            <w:r>
              <w:rPr>
                <w:color w:val="auto"/>
                <w:spacing w:val="8"/>
              </w:rPr>
              <w:t>倍的罚款，罚款由供货结算款内扣除。</w:t>
            </w:r>
          </w:p>
          <w:p w14:paraId="543E2FE3">
            <w:pPr>
              <w:pStyle w:val="19"/>
              <w:spacing w:before="161" w:line="340" w:lineRule="auto"/>
              <w:ind w:left="110" w:right="109" w:firstLine="430"/>
              <w:rPr>
                <w:color w:val="auto"/>
                <w:spacing w:val="5"/>
              </w:rPr>
            </w:pPr>
            <w:r>
              <w:rPr>
                <w:color w:val="auto"/>
                <w:spacing w:val="10"/>
              </w:rPr>
              <w:t>（2）</w:t>
            </w:r>
            <w:r>
              <w:rPr>
                <w:color w:val="auto"/>
                <w:spacing w:val="-57"/>
              </w:rPr>
              <w:t xml:space="preserve"> </w:t>
            </w:r>
            <w:r>
              <w:rPr>
                <w:color w:val="auto"/>
                <w:spacing w:val="10"/>
              </w:rPr>
              <w:t>中标供应商提供有毒食品的，造成食品安全事故的，经有关单</w:t>
            </w:r>
            <w:r>
              <w:rPr>
                <w:color w:val="auto"/>
                <w:spacing w:val="9"/>
              </w:rPr>
              <w:t>位鉴定原因后，如确实为中标供应商提供之食品问题，中标供应商除需</w:t>
            </w:r>
            <w:r>
              <w:rPr>
                <w:color w:val="auto"/>
                <w:spacing w:val="8"/>
              </w:rPr>
              <w:t>负担全数之医药费，采购人取消中</w:t>
            </w:r>
            <w:r>
              <w:rPr>
                <w:color w:val="auto"/>
                <w:spacing w:val="9"/>
              </w:rPr>
              <w:t>标供应商供货资格，取消中标供应商供货合同，中标供</w:t>
            </w:r>
            <w:r>
              <w:rPr>
                <w:color w:val="auto"/>
                <w:spacing w:val="8"/>
              </w:rPr>
              <w:t>应商同时承担相应的民事及刑事法</w:t>
            </w:r>
            <w:r>
              <w:rPr>
                <w:color w:val="auto"/>
                <w:spacing w:val="5"/>
              </w:rPr>
              <w:t>律责任。</w:t>
            </w:r>
          </w:p>
          <w:p w14:paraId="0D903519">
            <w:pPr>
              <w:pStyle w:val="19"/>
              <w:spacing w:before="161" w:line="340" w:lineRule="auto"/>
              <w:ind w:left="110" w:right="109" w:firstLine="430"/>
              <w:rPr>
                <w:color w:val="auto"/>
                <w:spacing w:val="5"/>
              </w:rPr>
            </w:pPr>
            <w:r>
              <w:rPr>
                <w:rFonts w:hint="eastAsia" w:ascii="宋体" w:hAnsi="宋体" w:eastAsia="宋体" w:cs="宋体"/>
                <w:color w:val="auto"/>
                <w:spacing w:val="9"/>
                <w:kern w:val="2"/>
                <w:sz w:val="20"/>
                <w:szCs w:val="20"/>
                <w:lang w:val="en-US" w:eastAsia="zh-CN" w:bidi="ar-SA"/>
              </w:rPr>
              <w:t xml:space="preserve"> </w:t>
            </w:r>
            <w:r>
              <w:rPr>
                <w:rFonts w:hint="eastAsia" w:cs="宋体"/>
                <w:color w:val="auto"/>
                <w:spacing w:val="9"/>
                <w:kern w:val="2"/>
                <w:sz w:val="20"/>
                <w:szCs w:val="20"/>
                <w:lang w:val="en-US" w:eastAsia="zh-CN" w:bidi="ar-SA"/>
              </w:rPr>
              <w:t>7</w:t>
            </w:r>
            <w:r>
              <w:rPr>
                <w:rFonts w:hint="eastAsia" w:ascii="宋体" w:hAnsi="宋体" w:eastAsia="宋体" w:cs="宋体"/>
                <w:color w:val="auto"/>
                <w:spacing w:val="9"/>
                <w:kern w:val="2"/>
                <w:sz w:val="20"/>
                <w:szCs w:val="20"/>
                <w:lang w:val="en-US" w:eastAsia="zh-CN" w:bidi="ar-SA"/>
              </w:rPr>
              <w:t>.</w:t>
            </w:r>
            <w:r>
              <w:rPr>
                <w:rFonts w:hint="eastAsia" w:ascii="宋体" w:hAnsi="宋体" w:eastAsia="宋体" w:cs="宋体"/>
                <w:color w:val="auto"/>
                <w:spacing w:val="9"/>
                <w:kern w:val="2"/>
                <w:sz w:val="20"/>
                <w:szCs w:val="20"/>
                <w:lang w:val="en-US" w:eastAsia="en-US" w:bidi="ar-SA"/>
              </w:rPr>
              <w:t>每个中标人在服务期限内按招标人要求</w:t>
            </w:r>
            <w:r>
              <w:rPr>
                <w:rFonts w:hint="eastAsia" w:ascii="宋体" w:hAnsi="宋体" w:eastAsia="宋体" w:cs="宋体"/>
                <w:color w:val="auto"/>
                <w:spacing w:val="9"/>
                <w:kern w:val="2"/>
                <w:sz w:val="20"/>
                <w:szCs w:val="20"/>
                <w:lang w:val="en-US" w:eastAsia="zh-CN" w:bidi="ar-SA"/>
              </w:rPr>
              <w:t>进行</w:t>
            </w:r>
            <w:r>
              <w:rPr>
                <w:rFonts w:hint="eastAsia" w:ascii="宋体" w:hAnsi="宋体" w:eastAsia="宋体" w:cs="宋体"/>
                <w:color w:val="auto"/>
                <w:spacing w:val="9"/>
                <w:kern w:val="2"/>
                <w:sz w:val="20"/>
                <w:szCs w:val="20"/>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c>
          <w:tcPr>
            <w:tcW w:w="6469" w:type="dxa"/>
            <w:vAlign w:val="top"/>
          </w:tcPr>
          <w:p w14:paraId="382056ED">
            <w:pPr>
              <w:pStyle w:val="19"/>
              <w:spacing w:before="161" w:line="340" w:lineRule="auto"/>
              <w:ind w:left="110" w:right="109" w:firstLine="430"/>
              <w:rPr>
                <w:color w:val="auto"/>
                <w:spacing w:val="10"/>
              </w:rPr>
            </w:pPr>
          </w:p>
        </w:tc>
        <w:tc>
          <w:tcPr>
            <w:tcW w:w="6619" w:type="dxa"/>
            <w:vAlign w:val="top"/>
          </w:tcPr>
          <w:p w14:paraId="01FC57A9">
            <w:pPr>
              <w:snapToGrid w:val="0"/>
              <w:spacing w:line="340" w:lineRule="exact"/>
              <w:jc w:val="center"/>
              <w:rPr>
                <w:rFonts w:hint="eastAsia" w:ascii="宋体" w:hAnsi="宋体" w:eastAsia="Arial" w:cs="宋体"/>
                <w:snapToGrid w:val="0"/>
                <w:color w:val="auto"/>
                <w:kern w:val="0"/>
                <w:sz w:val="21"/>
                <w:szCs w:val="21"/>
                <w:lang w:val="en-US" w:eastAsia="en-US" w:bidi="ar-SA"/>
              </w:rPr>
            </w:pPr>
            <w:r>
              <w:rPr>
                <w:rFonts w:hint="eastAsia" w:ascii="宋体" w:hAnsi="宋体" w:cs="宋体"/>
                <w:color w:val="auto"/>
                <w:kern w:val="0"/>
                <w:szCs w:val="21"/>
              </w:rPr>
              <w:t>雪梨</w:t>
            </w:r>
          </w:p>
        </w:tc>
        <w:tc>
          <w:tcPr>
            <w:tcW w:w="6619" w:type="dxa"/>
            <w:vAlign w:val="top"/>
          </w:tcPr>
          <w:p w14:paraId="43084F31">
            <w:pPr>
              <w:snapToGrid w:val="0"/>
              <w:spacing w:line="340" w:lineRule="exact"/>
              <w:rPr>
                <w:rFonts w:hint="eastAsia" w:ascii="宋体" w:hAnsi="宋体" w:eastAsia="Arial" w:cs="Arial"/>
                <w:snapToGrid w:val="0"/>
                <w:color w:val="auto"/>
                <w:kern w:val="0"/>
                <w:sz w:val="21"/>
                <w:szCs w:val="21"/>
                <w:lang w:val="en-US" w:eastAsia="en-US" w:bidi="ar-SA"/>
              </w:rPr>
            </w:pPr>
            <w:r>
              <w:rPr>
                <w:rFonts w:hint="eastAsia" w:ascii="宋体" w:hAnsi="宋体"/>
                <w:color w:val="auto"/>
                <w:szCs w:val="21"/>
              </w:rPr>
              <w:t>梨皮细薄、没有疤痕的梨子，这样的梨子质量较好。形状端正规则，果肉细腻的梨子  表面光滑细腻。</w:t>
            </w:r>
          </w:p>
        </w:tc>
      </w:tr>
    </w:tbl>
    <w:p w14:paraId="761CB28C">
      <w:pPr>
        <w:bidi w:val="0"/>
        <w:jc w:val="left"/>
        <w:rPr>
          <w:color w:val="auto"/>
          <w:lang w:val="en-US" w:eastAsia="en-US"/>
        </w:rPr>
      </w:pPr>
    </w:p>
    <w:p w14:paraId="47C0DFB6">
      <w:pPr>
        <w:bidi w:val="0"/>
        <w:jc w:val="left"/>
        <w:rPr>
          <w:color w:val="auto"/>
          <w:lang w:val="en-US" w:eastAsia="en-US"/>
        </w:rPr>
      </w:pPr>
    </w:p>
    <w:p w14:paraId="0CF194F1">
      <w:pPr>
        <w:bidi w:val="0"/>
        <w:jc w:val="left"/>
        <w:rPr>
          <w:color w:val="auto"/>
          <w:lang w:val="en-US" w:eastAsia="en-US"/>
        </w:rPr>
      </w:pPr>
    </w:p>
    <w:p w14:paraId="57864101">
      <w:pPr>
        <w:spacing w:line="440" w:lineRule="exact"/>
        <w:jc w:val="center"/>
        <w:rPr>
          <w:rFonts w:hint="eastAsia" w:ascii="宋体" w:hAnsi="宋体" w:cs="宋体"/>
          <w:b/>
          <w:color w:val="auto"/>
          <w:sz w:val="32"/>
          <w:szCs w:val="32"/>
        </w:rPr>
      </w:pPr>
    </w:p>
    <w:p w14:paraId="74BC9C00">
      <w:pPr>
        <w:spacing w:line="440" w:lineRule="exact"/>
        <w:jc w:val="center"/>
        <w:rPr>
          <w:rFonts w:hint="eastAsia" w:ascii="宋体" w:hAnsi="宋体" w:cs="宋体"/>
          <w:b/>
          <w:color w:val="auto"/>
          <w:sz w:val="32"/>
          <w:szCs w:val="32"/>
        </w:rPr>
      </w:pPr>
    </w:p>
    <w:p w14:paraId="75664172">
      <w:pPr>
        <w:spacing w:line="440" w:lineRule="exact"/>
        <w:jc w:val="center"/>
        <w:rPr>
          <w:rFonts w:hint="eastAsia" w:ascii="宋体" w:hAnsi="宋体" w:cs="宋体"/>
          <w:b/>
          <w:color w:val="auto"/>
          <w:sz w:val="32"/>
          <w:szCs w:val="32"/>
        </w:rPr>
      </w:pPr>
    </w:p>
    <w:p w14:paraId="308890A6">
      <w:pPr>
        <w:spacing w:line="440" w:lineRule="exact"/>
        <w:jc w:val="center"/>
        <w:rPr>
          <w:rFonts w:hint="eastAsia" w:ascii="宋体" w:hAnsi="宋体" w:cs="宋体"/>
          <w:b/>
          <w:color w:val="auto"/>
          <w:sz w:val="32"/>
          <w:szCs w:val="32"/>
        </w:rPr>
      </w:pPr>
    </w:p>
    <w:p w14:paraId="382B1197">
      <w:pPr>
        <w:spacing w:line="440" w:lineRule="exact"/>
        <w:jc w:val="center"/>
        <w:rPr>
          <w:rFonts w:hint="eastAsia" w:ascii="宋体" w:hAnsi="宋体" w:cs="宋体"/>
          <w:b/>
          <w:color w:val="auto"/>
          <w:sz w:val="32"/>
          <w:szCs w:val="32"/>
        </w:rPr>
      </w:pPr>
    </w:p>
    <w:p w14:paraId="308CE7EC">
      <w:pPr>
        <w:spacing w:line="440" w:lineRule="exact"/>
        <w:jc w:val="center"/>
        <w:rPr>
          <w:rFonts w:hint="eastAsia" w:ascii="宋体" w:hAnsi="宋体" w:cs="宋体"/>
          <w:b/>
          <w:color w:val="auto"/>
          <w:sz w:val="32"/>
          <w:szCs w:val="32"/>
        </w:rPr>
      </w:pPr>
    </w:p>
    <w:p w14:paraId="2389D762">
      <w:pPr>
        <w:pStyle w:val="2"/>
        <w:rPr>
          <w:rFonts w:hint="eastAsia" w:ascii="宋体" w:hAnsi="宋体" w:cs="宋体"/>
          <w:b/>
          <w:color w:val="auto"/>
          <w:sz w:val="32"/>
          <w:szCs w:val="32"/>
        </w:rPr>
      </w:pPr>
    </w:p>
    <w:p w14:paraId="2889B73C">
      <w:pPr>
        <w:rPr>
          <w:rFonts w:hint="eastAsia"/>
          <w:color w:val="auto"/>
        </w:rPr>
      </w:pPr>
    </w:p>
    <w:p w14:paraId="4AF8AAEE">
      <w:pPr>
        <w:spacing w:line="440" w:lineRule="exact"/>
        <w:jc w:val="center"/>
        <w:rPr>
          <w:rFonts w:hint="eastAsia" w:ascii="宋体" w:hAnsi="宋体" w:cs="宋体"/>
          <w:b/>
          <w:color w:val="auto"/>
          <w:sz w:val="32"/>
          <w:szCs w:val="32"/>
        </w:rPr>
      </w:pPr>
    </w:p>
    <w:p w14:paraId="1AABD1F0">
      <w:pPr>
        <w:spacing w:line="440" w:lineRule="exact"/>
        <w:jc w:val="center"/>
        <w:rPr>
          <w:rFonts w:hint="eastAsia" w:ascii="宋体" w:hAnsi="宋体" w:cs="宋体"/>
          <w:b/>
          <w:color w:val="auto"/>
          <w:sz w:val="32"/>
          <w:szCs w:val="32"/>
        </w:rPr>
      </w:pPr>
    </w:p>
    <w:p w14:paraId="191A3519">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eastAsia="宋体" w:cs="宋体"/>
          <w:b/>
          <w:color w:val="auto"/>
          <w:sz w:val="32"/>
          <w:szCs w:val="32"/>
          <w:lang w:eastAsia="zh-CN"/>
        </w:rPr>
        <w:t>、</w:t>
      </w:r>
      <w:r>
        <w:rPr>
          <w:rFonts w:hint="eastAsia" w:ascii="宋体" w:hAnsi="宋体" w:cs="宋体"/>
          <w:b/>
          <w:color w:val="auto"/>
          <w:sz w:val="32"/>
          <w:szCs w:val="32"/>
        </w:rPr>
        <w:t>评标细则及评分办法</w:t>
      </w:r>
    </w:p>
    <w:p w14:paraId="0CE4975E">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（一）</w:t>
      </w:r>
      <w:r>
        <w:rPr>
          <w:rFonts w:hint="eastAsia" w:ascii="宋体" w:hAnsi="宋体" w:cs="宋体"/>
          <w:color w:val="auto"/>
        </w:rPr>
        <w:t>本项目评标办法采用综合评分办法。</w:t>
      </w:r>
    </w:p>
    <w:p w14:paraId="3820A9FE">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（二）</w:t>
      </w:r>
      <w:r>
        <w:rPr>
          <w:rFonts w:hint="eastAsia" w:ascii="宋体" w:hAnsi="宋体" w:cs="宋体"/>
          <w:color w:val="auto"/>
        </w:rPr>
        <w:t>评委对文件进行资格审查及符合性鉴定。对实质上不响应采购文件要求的投标予以拒绝。</w:t>
      </w:r>
    </w:p>
    <w:p w14:paraId="1F93062C">
      <w:pPr>
        <w:snapToGrid w:val="0"/>
        <w:spacing w:line="480" w:lineRule="exact"/>
        <w:ind w:firstLine="480"/>
        <w:rPr>
          <w:rFonts w:hint="eastAsia" w:ascii="宋体" w:hAnsi="宋体" w:cs="宋体"/>
          <w:color w:val="auto"/>
        </w:rPr>
      </w:pPr>
      <w:r>
        <w:rPr>
          <w:rFonts w:hint="eastAsia" w:ascii="宋体" w:hAnsi="宋体" w:eastAsia="宋体" w:cs="宋体"/>
          <w:color w:val="auto"/>
          <w:lang w:eastAsia="zh-CN"/>
        </w:rPr>
        <w:t>（三）</w:t>
      </w:r>
      <w:r>
        <w:rPr>
          <w:rFonts w:hint="eastAsia" w:ascii="宋体" w:hAnsi="宋体" w:cs="宋体"/>
          <w:color w:val="auto"/>
        </w:rPr>
        <w:t>评委对通过资格审查及符合性鉴定的响应文件进行技术及商务评审。具体评审方法如下：</w:t>
      </w:r>
    </w:p>
    <w:p w14:paraId="7D9A97F9">
      <w:pPr>
        <w:bidi w:val="0"/>
        <w:jc w:val="left"/>
        <w:rPr>
          <w:color w:val="auto"/>
          <w:lang w:val="en-US" w:eastAsia="en-US"/>
        </w:rPr>
      </w:pPr>
    </w:p>
    <w:tbl>
      <w:tblPr>
        <w:tblStyle w:val="20"/>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979"/>
      </w:tblGrid>
      <w:tr w14:paraId="52CD3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276" w:type="dxa"/>
            <w:gridSpan w:val="2"/>
            <w:noWrap w:val="0"/>
            <w:vAlign w:val="top"/>
          </w:tcPr>
          <w:p w14:paraId="52A8793F">
            <w:pPr>
              <w:pStyle w:val="19"/>
              <w:spacing w:before="224" w:line="230" w:lineRule="auto"/>
              <w:ind w:left="933"/>
              <w:rPr>
                <w:color w:val="auto"/>
              </w:rPr>
            </w:pPr>
            <w:r>
              <w:rPr>
                <w:color w:val="auto"/>
                <w:spacing w:val="5"/>
              </w:rPr>
              <w:t>序号</w:t>
            </w:r>
          </w:p>
        </w:tc>
        <w:tc>
          <w:tcPr>
            <w:tcW w:w="1904" w:type="dxa"/>
            <w:noWrap w:val="0"/>
            <w:vAlign w:val="top"/>
          </w:tcPr>
          <w:p w14:paraId="7122E4BE">
            <w:pPr>
              <w:pStyle w:val="19"/>
              <w:spacing w:before="225" w:line="228" w:lineRule="auto"/>
              <w:ind w:left="536"/>
              <w:rPr>
                <w:color w:val="auto"/>
              </w:rPr>
            </w:pPr>
            <w:r>
              <w:rPr>
                <w:color w:val="auto"/>
                <w:spacing w:val="7"/>
              </w:rPr>
              <w:t>评审因素</w:t>
            </w:r>
          </w:p>
        </w:tc>
        <w:tc>
          <w:tcPr>
            <w:tcW w:w="5979" w:type="dxa"/>
            <w:noWrap w:val="0"/>
            <w:vAlign w:val="top"/>
          </w:tcPr>
          <w:p w14:paraId="26F736AB">
            <w:pPr>
              <w:pStyle w:val="19"/>
              <w:spacing w:before="225" w:line="229" w:lineRule="auto"/>
              <w:ind w:left="2501"/>
              <w:rPr>
                <w:color w:val="auto"/>
              </w:rPr>
            </w:pPr>
            <w:r>
              <w:rPr>
                <w:color w:val="auto"/>
                <w:spacing w:val="7"/>
              </w:rPr>
              <w:t>评标标准</w:t>
            </w:r>
          </w:p>
        </w:tc>
      </w:tr>
      <w:tr w14:paraId="710C8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noWrap w:val="0"/>
            <w:vAlign w:val="top"/>
          </w:tcPr>
          <w:p w14:paraId="64F750F2">
            <w:pPr>
              <w:spacing w:line="270" w:lineRule="auto"/>
              <w:rPr>
                <w:rFonts w:ascii="Arial"/>
                <w:color w:val="auto"/>
                <w:sz w:val="21"/>
              </w:rPr>
            </w:pPr>
          </w:p>
          <w:p w14:paraId="6363174A">
            <w:pPr>
              <w:spacing w:line="270" w:lineRule="auto"/>
              <w:rPr>
                <w:rFonts w:ascii="Arial"/>
                <w:color w:val="auto"/>
                <w:sz w:val="21"/>
              </w:rPr>
            </w:pPr>
          </w:p>
          <w:p w14:paraId="0F8ABDBB">
            <w:pPr>
              <w:spacing w:line="270" w:lineRule="auto"/>
              <w:rPr>
                <w:rFonts w:ascii="Arial"/>
                <w:color w:val="auto"/>
                <w:sz w:val="21"/>
              </w:rPr>
            </w:pPr>
          </w:p>
          <w:p w14:paraId="6DD60ADD">
            <w:pPr>
              <w:spacing w:line="270" w:lineRule="auto"/>
              <w:rPr>
                <w:rFonts w:ascii="Arial"/>
                <w:color w:val="auto"/>
                <w:sz w:val="21"/>
              </w:rPr>
            </w:pPr>
          </w:p>
          <w:p w14:paraId="453F2963">
            <w:pPr>
              <w:spacing w:line="270" w:lineRule="auto"/>
              <w:rPr>
                <w:rFonts w:ascii="Arial"/>
                <w:color w:val="auto"/>
                <w:sz w:val="21"/>
              </w:rPr>
            </w:pPr>
          </w:p>
          <w:p w14:paraId="16D4C3EA">
            <w:pPr>
              <w:spacing w:line="271" w:lineRule="auto"/>
              <w:rPr>
                <w:rFonts w:ascii="Arial"/>
                <w:color w:val="auto"/>
                <w:sz w:val="21"/>
              </w:rPr>
            </w:pPr>
          </w:p>
          <w:p w14:paraId="7D7BF579">
            <w:pPr>
              <w:spacing w:line="271" w:lineRule="auto"/>
              <w:rPr>
                <w:rFonts w:ascii="Arial"/>
                <w:color w:val="auto"/>
                <w:sz w:val="21"/>
              </w:rPr>
            </w:pPr>
          </w:p>
          <w:p w14:paraId="439921D4">
            <w:pPr>
              <w:pStyle w:val="19"/>
              <w:spacing w:before="65" w:line="271" w:lineRule="exact"/>
              <w:ind w:left="251"/>
              <w:rPr>
                <w:color w:val="auto"/>
              </w:rPr>
            </w:pPr>
            <w:r>
              <w:rPr>
                <w:color w:val="auto"/>
                <w:position w:val="1"/>
              </w:rPr>
              <w:t>1</w:t>
            </w:r>
          </w:p>
        </w:tc>
        <w:tc>
          <w:tcPr>
            <w:tcW w:w="1710" w:type="dxa"/>
            <w:noWrap w:val="0"/>
            <w:vAlign w:val="top"/>
          </w:tcPr>
          <w:p w14:paraId="4E426FB7">
            <w:pPr>
              <w:spacing w:line="279" w:lineRule="auto"/>
              <w:rPr>
                <w:rFonts w:ascii="Arial"/>
                <w:color w:val="auto"/>
                <w:sz w:val="21"/>
              </w:rPr>
            </w:pPr>
          </w:p>
          <w:p w14:paraId="1D42A94A">
            <w:pPr>
              <w:spacing w:line="279" w:lineRule="auto"/>
              <w:rPr>
                <w:rFonts w:ascii="Arial"/>
                <w:color w:val="auto"/>
                <w:sz w:val="21"/>
              </w:rPr>
            </w:pPr>
          </w:p>
          <w:p w14:paraId="05E21C85">
            <w:pPr>
              <w:spacing w:line="279" w:lineRule="auto"/>
              <w:rPr>
                <w:rFonts w:ascii="Arial"/>
                <w:b/>
                <w:bCs/>
                <w:color w:val="auto"/>
                <w:sz w:val="24"/>
                <w:szCs w:val="24"/>
              </w:rPr>
            </w:pPr>
          </w:p>
          <w:p w14:paraId="276ADCD4">
            <w:pPr>
              <w:pStyle w:val="19"/>
              <w:spacing w:before="65" w:line="227" w:lineRule="auto"/>
              <w:ind w:firstLine="506" w:firstLineChars="200"/>
              <w:rPr>
                <w:b/>
                <w:bCs/>
                <w:color w:val="auto"/>
                <w:sz w:val="24"/>
                <w:szCs w:val="24"/>
              </w:rPr>
            </w:pPr>
            <w:r>
              <w:rPr>
                <w:b/>
                <w:bCs/>
                <w:color w:val="auto"/>
                <w:spacing w:val="6"/>
                <w:sz w:val="24"/>
                <w:szCs w:val="24"/>
              </w:rPr>
              <w:t>价格分</w:t>
            </w:r>
          </w:p>
          <w:p w14:paraId="5A5E2725">
            <w:pPr>
              <w:pStyle w:val="19"/>
              <w:spacing w:before="253" w:line="228" w:lineRule="auto"/>
              <w:ind w:left="186"/>
              <w:rPr>
                <w:color w:val="auto"/>
              </w:rPr>
            </w:pPr>
            <w:r>
              <w:rPr>
                <w:b/>
                <w:bCs/>
                <w:color w:val="auto"/>
                <w:sz w:val="24"/>
                <w:szCs w:val="24"/>
              </w:rPr>
              <w:t>（满分</w:t>
            </w:r>
            <w:r>
              <w:rPr>
                <w:b/>
                <w:bCs/>
                <w:color w:val="auto"/>
                <w:spacing w:val="-30"/>
                <w:sz w:val="24"/>
                <w:szCs w:val="24"/>
              </w:rPr>
              <w:t xml:space="preserve"> </w:t>
            </w:r>
            <w:r>
              <w:rPr>
                <w:b/>
                <w:bCs/>
                <w:color w:val="auto"/>
                <w:sz w:val="24"/>
                <w:szCs w:val="24"/>
                <w:u w:val="single" w:color="auto"/>
              </w:rPr>
              <w:t>30</w:t>
            </w:r>
            <w:r>
              <w:rPr>
                <w:b/>
                <w:bCs/>
                <w:color w:val="auto"/>
                <w:spacing w:val="-35"/>
                <w:sz w:val="24"/>
                <w:szCs w:val="24"/>
                <w:u w:val="single" w:color="auto"/>
              </w:rPr>
              <w:t xml:space="preserve"> </w:t>
            </w:r>
            <w:r>
              <w:rPr>
                <w:b/>
                <w:bCs/>
                <w:color w:val="auto"/>
                <w:sz w:val="24"/>
                <w:szCs w:val="24"/>
              </w:rPr>
              <w:t>分）</w:t>
            </w:r>
          </w:p>
        </w:tc>
        <w:tc>
          <w:tcPr>
            <w:tcW w:w="1904" w:type="dxa"/>
            <w:noWrap w:val="0"/>
            <w:vAlign w:val="top"/>
          </w:tcPr>
          <w:p w14:paraId="1391257A">
            <w:pPr>
              <w:spacing w:line="270" w:lineRule="auto"/>
              <w:rPr>
                <w:rFonts w:ascii="Arial"/>
                <w:color w:val="auto"/>
                <w:sz w:val="21"/>
              </w:rPr>
            </w:pPr>
          </w:p>
          <w:p w14:paraId="3F051998">
            <w:pPr>
              <w:spacing w:line="270" w:lineRule="auto"/>
              <w:rPr>
                <w:rFonts w:ascii="Arial"/>
                <w:color w:val="auto"/>
                <w:sz w:val="21"/>
              </w:rPr>
            </w:pPr>
          </w:p>
          <w:p w14:paraId="13DBF48D">
            <w:pPr>
              <w:spacing w:line="271" w:lineRule="auto"/>
              <w:rPr>
                <w:rFonts w:ascii="Arial"/>
                <w:color w:val="auto"/>
                <w:sz w:val="21"/>
              </w:rPr>
            </w:pPr>
          </w:p>
          <w:p w14:paraId="59501C1B">
            <w:pPr>
              <w:spacing w:line="271" w:lineRule="auto"/>
              <w:rPr>
                <w:rFonts w:ascii="Arial"/>
                <w:color w:val="auto"/>
                <w:sz w:val="21"/>
              </w:rPr>
            </w:pPr>
          </w:p>
          <w:p w14:paraId="4D90E1CC">
            <w:pPr>
              <w:pStyle w:val="19"/>
              <w:spacing w:before="65" w:line="227" w:lineRule="auto"/>
              <w:ind w:left="539"/>
              <w:rPr>
                <w:color w:val="auto"/>
              </w:rPr>
            </w:pPr>
            <w:r>
              <w:rPr>
                <w:b/>
                <w:bCs/>
                <w:color w:val="auto"/>
                <w:spacing w:val="6"/>
              </w:rPr>
              <w:t>投标报价</w:t>
            </w:r>
          </w:p>
        </w:tc>
        <w:tc>
          <w:tcPr>
            <w:tcW w:w="5979" w:type="dxa"/>
            <w:noWrap w:val="0"/>
            <w:vAlign w:val="top"/>
          </w:tcPr>
          <w:p w14:paraId="7EE8AEEC">
            <w:pPr>
              <w:pStyle w:val="19"/>
              <w:spacing w:before="1" w:line="344" w:lineRule="auto"/>
              <w:ind w:left="120" w:right="109" w:firstLine="3"/>
              <w:rPr>
                <w:color w:val="auto"/>
              </w:rPr>
            </w:pPr>
            <w:r>
              <w:rPr>
                <w:color w:val="auto"/>
                <w:spacing w:val="11"/>
              </w:rPr>
              <w:t>（</w:t>
            </w:r>
            <w:r>
              <w:rPr>
                <w:rFonts w:hint="eastAsia"/>
                <w:color w:val="auto"/>
                <w:spacing w:val="11"/>
                <w:lang w:val="en-US" w:eastAsia="zh-CN"/>
              </w:rPr>
              <w:t>1</w:t>
            </w:r>
            <w:r>
              <w:rPr>
                <w:color w:val="auto"/>
                <w:spacing w:val="11"/>
              </w:rPr>
              <w:t>）评标报价为投标人的投标折扣率，评标报价只是作为评</w:t>
            </w:r>
            <w:r>
              <w:rPr>
                <w:color w:val="auto"/>
                <w:spacing w:val="9"/>
              </w:rPr>
              <w:t>审时使用。最终中标人的中标折扣率等于投标折</w:t>
            </w:r>
            <w:r>
              <w:rPr>
                <w:color w:val="auto"/>
                <w:spacing w:val="8"/>
              </w:rPr>
              <w:t>扣率。</w:t>
            </w:r>
          </w:p>
          <w:p w14:paraId="3C81EAE6">
            <w:pPr>
              <w:pStyle w:val="19"/>
              <w:spacing w:before="253" w:line="344" w:lineRule="auto"/>
              <w:ind w:left="114" w:right="211" w:firstLine="10"/>
              <w:rPr>
                <w:color w:val="auto"/>
              </w:rPr>
            </w:pPr>
            <w:r>
              <w:rPr>
                <w:color w:val="auto"/>
                <w:spacing w:val="7"/>
              </w:rPr>
              <w:t>（</w:t>
            </w:r>
            <w:r>
              <w:rPr>
                <w:rFonts w:hint="eastAsia"/>
                <w:color w:val="auto"/>
                <w:spacing w:val="7"/>
                <w:lang w:val="en-US" w:eastAsia="zh-CN"/>
              </w:rPr>
              <w:t>2</w:t>
            </w:r>
            <w:r>
              <w:rPr>
                <w:color w:val="auto"/>
                <w:spacing w:val="7"/>
              </w:rPr>
              <w:t>）</w:t>
            </w:r>
            <w:r>
              <w:rPr>
                <w:rFonts w:hint="eastAsia"/>
                <w:color w:val="auto"/>
                <w:spacing w:val="7"/>
                <w:lang w:eastAsia="zh-CN"/>
              </w:rPr>
              <w:t>在</w:t>
            </w:r>
            <w:r>
              <w:rPr>
                <w:color w:val="auto"/>
                <w:spacing w:val="7"/>
              </w:rPr>
              <w:t>满足招标文件要求</w:t>
            </w:r>
            <w:r>
              <w:rPr>
                <w:rFonts w:hint="eastAsia"/>
                <w:color w:val="auto"/>
                <w:spacing w:val="7"/>
                <w:lang w:eastAsia="zh-CN"/>
              </w:rPr>
              <w:t>的前提下，以</w:t>
            </w:r>
            <w:r>
              <w:rPr>
                <w:color w:val="auto"/>
                <w:spacing w:val="7"/>
              </w:rPr>
              <w:t>最低投标折扣率为评标基准价，</w:t>
            </w:r>
            <w:r>
              <w:rPr>
                <w:color w:val="auto"/>
                <w:spacing w:val="4"/>
              </w:rPr>
              <w:t>基准价得分为</w:t>
            </w:r>
            <w:r>
              <w:rPr>
                <w:color w:val="auto"/>
                <w:spacing w:val="-28"/>
              </w:rPr>
              <w:t xml:space="preserve"> </w:t>
            </w:r>
            <w:r>
              <w:rPr>
                <w:color w:val="auto"/>
                <w:spacing w:val="4"/>
              </w:rPr>
              <w:t>30</w:t>
            </w:r>
            <w:r>
              <w:rPr>
                <w:color w:val="auto"/>
                <w:spacing w:val="-38"/>
              </w:rPr>
              <w:t xml:space="preserve"> </w:t>
            </w:r>
            <w:r>
              <w:rPr>
                <w:color w:val="auto"/>
                <w:spacing w:val="4"/>
              </w:rPr>
              <w:t>分。</w:t>
            </w:r>
          </w:p>
          <w:p w14:paraId="0340A352">
            <w:pPr>
              <w:pStyle w:val="19"/>
              <w:spacing w:before="253" w:line="227" w:lineRule="auto"/>
              <w:ind w:left="124"/>
              <w:rPr>
                <w:color w:val="auto"/>
              </w:rPr>
            </w:pPr>
            <w:r>
              <w:rPr>
                <w:color w:val="auto"/>
                <w:spacing w:val="6"/>
              </w:rPr>
              <w:t>（</w:t>
            </w:r>
            <w:r>
              <w:rPr>
                <w:rFonts w:hint="eastAsia"/>
                <w:color w:val="auto"/>
                <w:spacing w:val="6"/>
                <w:lang w:val="en-US" w:eastAsia="zh-CN"/>
              </w:rPr>
              <w:t>3</w:t>
            </w:r>
            <w:r>
              <w:rPr>
                <w:color w:val="auto"/>
                <w:spacing w:val="6"/>
              </w:rPr>
              <w:t>）价格分计算公式：</w:t>
            </w:r>
          </w:p>
          <w:p w14:paraId="5ABE0AC9">
            <w:pPr>
              <w:pStyle w:val="19"/>
              <w:spacing w:before="255" w:line="227" w:lineRule="auto"/>
              <w:ind w:left="534"/>
              <w:rPr>
                <w:color w:val="auto"/>
              </w:rPr>
            </w:pPr>
            <w:r>
              <w:rPr>
                <w:color w:val="auto"/>
                <w:spacing w:val="8"/>
              </w:rPr>
              <w:t>价格分=(评标基准价／投标折扣率)×30 分</w:t>
            </w:r>
          </w:p>
        </w:tc>
      </w:tr>
      <w:tr w14:paraId="441A1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566" w:type="dxa"/>
            <w:vMerge w:val="restart"/>
            <w:noWrap w:val="0"/>
            <w:vAlign w:val="top"/>
          </w:tcPr>
          <w:p w14:paraId="771A07C5">
            <w:pPr>
              <w:spacing w:line="242" w:lineRule="auto"/>
              <w:rPr>
                <w:rFonts w:ascii="Arial"/>
                <w:color w:val="auto"/>
                <w:sz w:val="21"/>
              </w:rPr>
            </w:pPr>
          </w:p>
          <w:p w14:paraId="4D190305">
            <w:pPr>
              <w:spacing w:line="242" w:lineRule="auto"/>
              <w:rPr>
                <w:rFonts w:ascii="Arial"/>
                <w:color w:val="auto"/>
                <w:sz w:val="21"/>
              </w:rPr>
            </w:pPr>
          </w:p>
          <w:p w14:paraId="6F6694A5">
            <w:pPr>
              <w:spacing w:line="242" w:lineRule="auto"/>
              <w:rPr>
                <w:rFonts w:ascii="Arial"/>
                <w:color w:val="auto"/>
                <w:sz w:val="21"/>
              </w:rPr>
            </w:pPr>
          </w:p>
          <w:p w14:paraId="130FCBF7">
            <w:pPr>
              <w:spacing w:line="242" w:lineRule="auto"/>
              <w:rPr>
                <w:rFonts w:ascii="Arial"/>
                <w:color w:val="auto"/>
                <w:sz w:val="21"/>
              </w:rPr>
            </w:pPr>
          </w:p>
          <w:p w14:paraId="447A53DF">
            <w:pPr>
              <w:spacing w:line="242" w:lineRule="auto"/>
              <w:rPr>
                <w:rFonts w:ascii="Arial"/>
                <w:color w:val="auto"/>
                <w:sz w:val="21"/>
              </w:rPr>
            </w:pPr>
          </w:p>
          <w:p w14:paraId="1AADE408">
            <w:pPr>
              <w:spacing w:line="242" w:lineRule="auto"/>
              <w:rPr>
                <w:rFonts w:ascii="Arial"/>
                <w:color w:val="auto"/>
                <w:sz w:val="21"/>
              </w:rPr>
            </w:pPr>
          </w:p>
          <w:p w14:paraId="29B0036D">
            <w:pPr>
              <w:spacing w:line="242" w:lineRule="auto"/>
              <w:rPr>
                <w:rFonts w:ascii="Arial"/>
                <w:color w:val="auto"/>
                <w:sz w:val="21"/>
              </w:rPr>
            </w:pPr>
          </w:p>
          <w:p w14:paraId="008142F2">
            <w:pPr>
              <w:spacing w:line="242" w:lineRule="auto"/>
              <w:rPr>
                <w:rFonts w:ascii="Arial"/>
                <w:color w:val="auto"/>
                <w:sz w:val="21"/>
              </w:rPr>
            </w:pPr>
          </w:p>
          <w:p w14:paraId="28F0372C">
            <w:pPr>
              <w:spacing w:line="242" w:lineRule="auto"/>
              <w:rPr>
                <w:rFonts w:ascii="Arial"/>
                <w:color w:val="auto"/>
                <w:sz w:val="21"/>
              </w:rPr>
            </w:pPr>
          </w:p>
          <w:p w14:paraId="3C9E4DF3">
            <w:pPr>
              <w:spacing w:line="242" w:lineRule="auto"/>
              <w:rPr>
                <w:rFonts w:ascii="Arial"/>
                <w:color w:val="auto"/>
                <w:sz w:val="21"/>
              </w:rPr>
            </w:pPr>
          </w:p>
          <w:p w14:paraId="144D851E">
            <w:pPr>
              <w:spacing w:line="242" w:lineRule="auto"/>
              <w:rPr>
                <w:rFonts w:ascii="Arial"/>
                <w:color w:val="auto"/>
                <w:sz w:val="21"/>
              </w:rPr>
            </w:pPr>
          </w:p>
          <w:p w14:paraId="73D2591B">
            <w:pPr>
              <w:spacing w:line="243" w:lineRule="auto"/>
              <w:rPr>
                <w:rFonts w:ascii="Arial"/>
                <w:color w:val="auto"/>
                <w:sz w:val="21"/>
              </w:rPr>
            </w:pPr>
          </w:p>
          <w:p w14:paraId="0FD6942F">
            <w:pPr>
              <w:spacing w:line="243" w:lineRule="auto"/>
              <w:rPr>
                <w:rFonts w:ascii="Arial"/>
                <w:color w:val="auto"/>
                <w:sz w:val="21"/>
              </w:rPr>
            </w:pPr>
          </w:p>
          <w:p w14:paraId="12C25122">
            <w:pPr>
              <w:spacing w:line="243" w:lineRule="auto"/>
              <w:rPr>
                <w:rFonts w:ascii="Arial"/>
                <w:color w:val="auto"/>
                <w:sz w:val="21"/>
              </w:rPr>
            </w:pPr>
          </w:p>
          <w:p w14:paraId="3E17719A">
            <w:pPr>
              <w:spacing w:line="243" w:lineRule="auto"/>
              <w:rPr>
                <w:rFonts w:ascii="Arial"/>
                <w:color w:val="auto"/>
                <w:sz w:val="21"/>
              </w:rPr>
            </w:pPr>
          </w:p>
          <w:p w14:paraId="0C882AC0">
            <w:pPr>
              <w:pStyle w:val="19"/>
              <w:spacing w:before="65" w:line="270" w:lineRule="exact"/>
              <w:ind w:left="238" w:leftChars="0"/>
              <w:rPr>
                <w:color w:val="auto"/>
                <w:position w:val="1"/>
              </w:rPr>
            </w:pPr>
            <w:r>
              <w:rPr>
                <w:color w:val="auto"/>
                <w:position w:val="1"/>
              </w:rPr>
              <w:t>2</w:t>
            </w:r>
          </w:p>
        </w:tc>
        <w:tc>
          <w:tcPr>
            <w:tcW w:w="1710" w:type="dxa"/>
            <w:vMerge w:val="restart"/>
            <w:noWrap w:val="0"/>
            <w:vAlign w:val="top"/>
          </w:tcPr>
          <w:p w14:paraId="7F7B9BD1">
            <w:pPr>
              <w:spacing w:line="241" w:lineRule="auto"/>
              <w:rPr>
                <w:rFonts w:ascii="Arial"/>
                <w:color w:val="auto"/>
                <w:sz w:val="21"/>
              </w:rPr>
            </w:pPr>
          </w:p>
          <w:p w14:paraId="37F9B22C">
            <w:pPr>
              <w:spacing w:line="241" w:lineRule="auto"/>
              <w:rPr>
                <w:rFonts w:ascii="Arial"/>
                <w:color w:val="auto"/>
                <w:sz w:val="21"/>
              </w:rPr>
            </w:pPr>
          </w:p>
          <w:p w14:paraId="53A7EA86">
            <w:pPr>
              <w:spacing w:line="242" w:lineRule="auto"/>
              <w:rPr>
                <w:rFonts w:ascii="Arial"/>
                <w:color w:val="auto"/>
                <w:sz w:val="21"/>
              </w:rPr>
            </w:pPr>
          </w:p>
          <w:p w14:paraId="038FA9FB">
            <w:pPr>
              <w:spacing w:line="242" w:lineRule="auto"/>
              <w:rPr>
                <w:rFonts w:ascii="Arial"/>
                <w:color w:val="auto"/>
                <w:sz w:val="21"/>
              </w:rPr>
            </w:pPr>
          </w:p>
          <w:p w14:paraId="1E38A28E">
            <w:pPr>
              <w:spacing w:line="242" w:lineRule="auto"/>
              <w:rPr>
                <w:rFonts w:ascii="Arial"/>
                <w:color w:val="auto"/>
                <w:sz w:val="21"/>
              </w:rPr>
            </w:pPr>
          </w:p>
          <w:p w14:paraId="47B9B943">
            <w:pPr>
              <w:spacing w:line="242" w:lineRule="auto"/>
              <w:rPr>
                <w:rFonts w:ascii="Arial"/>
                <w:color w:val="auto"/>
                <w:sz w:val="21"/>
              </w:rPr>
            </w:pPr>
          </w:p>
          <w:p w14:paraId="0E910511">
            <w:pPr>
              <w:spacing w:line="242" w:lineRule="auto"/>
              <w:rPr>
                <w:rFonts w:ascii="Arial"/>
                <w:color w:val="auto"/>
                <w:sz w:val="21"/>
              </w:rPr>
            </w:pPr>
          </w:p>
          <w:p w14:paraId="71B094F3">
            <w:pPr>
              <w:spacing w:line="242" w:lineRule="auto"/>
              <w:rPr>
                <w:rFonts w:ascii="Arial"/>
                <w:color w:val="auto"/>
                <w:sz w:val="21"/>
              </w:rPr>
            </w:pPr>
          </w:p>
          <w:p w14:paraId="0C418714">
            <w:pPr>
              <w:spacing w:line="242" w:lineRule="auto"/>
              <w:rPr>
                <w:rFonts w:ascii="Arial"/>
                <w:color w:val="auto"/>
                <w:sz w:val="21"/>
              </w:rPr>
            </w:pPr>
          </w:p>
          <w:p w14:paraId="152D88C2">
            <w:pPr>
              <w:spacing w:line="242" w:lineRule="auto"/>
              <w:rPr>
                <w:rFonts w:ascii="Arial"/>
                <w:color w:val="auto"/>
                <w:sz w:val="21"/>
              </w:rPr>
            </w:pPr>
          </w:p>
          <w:p w14:paraId="1AFC5698">
            <w:pPr>
              <w:spacing w:line="242" w:lineRule="auto"/>
              <w:rPr>
                <w:rFonts w:ascii="Arial"/>
                <w:color w:val="auto"/>
                <w:sz w:val="21"/>
              </w:rPr>
            </w:pPr>
          </w:p>
          <w:p w14:paraId="32BE2E73">
            <w:pPr>
              <w:spacing w:line="242" w:lineRule="auto"/>
              <w:rPr>
                <w:rFonts w:ascii="Arial"/>
                <w:color w:val="auto"/>
                <w:sz w:val="21"/>
              </w:rPr>
            </w:pPr>
          </w:p>
          <w:p w14:paraId="052014E3">
            <w:pPr>
              <w:spacing w:line="242" w:lineRule="auto"/>
              <w:rPr>
                <w:rFonts w:ascii="Arial"/>
                <w:color w:val="auto"/>
                <w:sz w:val="21"/>
              </w:rPr>
            </w:pPr>
          </w:p>
          <w:p w14:paraId="6B753A8A">
            <w:pPr>
              <w:pStyle w:val="19"/>
              <w:spacing w:before="65" w:line="228" w:lineRule="auto"/>
              <w:ind w:firstLine="506" w:firstLineChars="200"/>
              <w:rPr>
                <w:b/>
                <w:bCs/>
                <w:color w:val="auto"/>
                <w:sz w:val="24"/>
                <w:szCs w:val="24"/>
              </w:rPr>
            </w:pPr>
            <w:r>
              <w:rPr>
                <w:b/>
                <w:bCs/>
                <w:color w:val="auto"/>
                <w:spacing w:val="6"/>
                <w:sz w:val="24"/>
                <w:szCs w:val="24"/>
              </w:rPr>
              <w:t>技术分</w:t>
            </w:r>
          </w:p>
          <w:p w14:paraId="0F2502F5">
            <w:pPr>
              <w:pStyle w:val="19"/>
              <w:spacing w:before="254" w:line="228" w:lineRule="auto"/>
              <w:rPr>
                <w:color w:val="auto"/>
              </w:rPr>
            </w:pPr>
            <w:r>
              <w:rPr>
                <w:b/>
                <w:bCs/>
                <w:color w:val="auto"/>
                <w:spacing w:val="1"/>
                <w:sz w:val="24"/>
                <w:szCs w:val="24"/>
              </w:rPr>
              <w:t>（满分</w:t>
            </w:r>
            <w:r>
              <w:rPr>
                <w:b/>
                <w:bCs/>
                <w:color w:val="auto"/>
                <w:spacing w:val="-37"/>
                <w:sz w:val="24"/>
                <w:szCs w:val="24"/>
              </w:rPr>
              <w:t xml:space="preserve"> </w:t>
            </w:r>
            <w:r>
              <w:rPr>
                <w:rFonts w:hint="eastAsia"/>
                <w:b/>
                <w:bCs/>
                <w:color w:val="auto"/>
                <w:spacing w:val="-37"/>
                <w:sz w:val="24"/>
                <w:szCs w:val="24"/>
                <w:lang w:val="en-US" w:eastAsia="zh-CN"/>
              </w:rPr>
              <w:t xml:space="preserve">3 2   </w:t>
            </w:r>
            <w:r>
              <w:rPr>
                <w:b/>
                <w:bCs/>
                <w:color w:val="auto"/>
                <w:spacing w:val="-35"/>
                <w:sz w:val="24"/>
                <w:szCs w:val="24"/>
              </w:rPr>
              <w:t xml:space="preserve"> </w:t>
            </w:r>
            <w:r>
              <w:rPr>
                <w:b/>
                <w:bCs/>
                <w:color w:val="auto"/>
                <w:spacing w:val="1"/>
                <w:sz w:val="24"/>
                <w:szCs w:val="24"/>
              </w:rPr>
              <w:t>分）</w:t>
            </w:r>
          </w:p>
        </w:tc>
        <w:tc>
          <w:tcPr>
            <w:tcW w:w="1904" w:type="dxa"/>
            <w:vMerge w:val="restart"/>
            <w:noWrap w:val="0"/>
            <w:vAlign w:val="top"/>
          </w:tcPr>
          <w:p w14:paraId="4786E729">
            <w:pPr>
              <w:spacing w:line="241" w:lineRule="auto"/>
              <w:rPr>
                <w:rFonts w:ascii="Arial"/>
                <w:color w:val="auto"/>
                <w:sz w:val="21"/>
              </w:rPr>
            </w:pPr>
          </w:p>
          <w:p w14:paraId="593C4600">
            <w:pPr>
              <w:spacing w:line="241" w:lineRule="auto"/>
              <w:rPr>
                <w:rFonts w:ascii="Arial"/>
                <w:color w:val="auto"/>
                <w:sz w:val="21"/>
              </w:rPr>
            </w:pPr>
          </w:p>
          <w:p w14:paraId="0E024E27">
            <w:pPr>
              <w:spacing w:line="241" w:lineRule="auto"/>
              <w:rPr>
                <w:rFonts w:ascii="Arial"/>
                <w:color w:val="auto"/>
                <w:sz w:val="21"/>
              </w:rPr>
            </w:pPr>
          </w:p>
          <w:p w14:paraId="37753250">
            <w:pPr>
              <w:spacing w:line="241" w:lineRule="auto"/>
              <w:rPr>
                <w:rFonts w:ascii="Arial"/>
                <w:color w:val="auto"/>
                <w:sz w:val="21"/>
              </w:rPr>
            </w:pPr>
          </w:p>
          <w:p w14:paraId="7A4C1842">
            <w:pPr>
              <w:spacing w:line="241" w:lineRule="auto"/>
              <w:rPr>
                <w:rFonts w:ascii="Arial"/>
                <w:color w:val="auto"/>
                <w:sz w:val="21"/>
              </w:rPr>
            </w:pPr>
          </w:p>
          <w:p w14:paraId="2A399CD0">
            <w:pPr>
              <w:spacing w:line="241" w:lineRule="auto"/>
              <w:rPr>
                <w:rFonts w:ascii="Arial"/>
                <w:color w:val="auto"/>
                <w:sz w:val="21"/>
              </w:rPr>
            </w:pPr>
          </w:p>
          <w:p w14:paraId="4D8614A4">
            <w:pPr>
              <w:spacing w:line="241" w:lineRule="auto"/>
              <w:rPr>
                <w:rFonts w:ascii="Arial"/>
                <w:color w:val="auto"/>
                <w:sz w:val="21"/>
              </w:rPr>
            </w:pPr>
          </w:p>
          <w:p w14:paraId="2FCAEC92">
            <w:pPr>
              <w:spacing w:line="241" w:lineRule="auto"/>
              <w:rPr>
                <w:rFonts w:ascii="Arial"/>
                <w:color w:val="auto"/>
                <w:sz w:val="21"/>
              </w:rPr>
            </w:pPr>
          </w:p>
          <w:p w14:paraId="461302C6">
            <w:pPr>
              <w:spacing w:line="241" w:lineRule="auto"/>
              <w:rPr>
                <w:rFonts w:ascii="Arial"/>
                <w:color w:val="auto"/>
                <w:sz w:val="21"/>
              </w:rPr>
            </w:pPr>
          </w:p>
          <w:p w14:paraId="0D547679">
            <w:pPr>
              <w:spacing w:line="242" w:lineRule="auto"/>
              <w:rPr>
                <w:rFonts w:ascii="Arial"/>
                <w:color w:val="auto"/>
                <w:sz w:val="21"/>
              </w:rPr>
            </w:pPr>
          </w:p>
          <w:p w14:paraId="6044BC43">
            <w:pPr>
              <w:spacing w:line="242" w:lineRule="auto"/>
              <w:rPr>
                <w:rFonts w:ascii="Arial"/>
                <w:color w:val="auto"/>
                <w:sz w:val="21"/>
              </w:rPr>
            </w:pPr>
          </w:p>
          <w:p w14:paraId="335B30C5">
            <w:pPr>
              <w:spacing w:line="242" w:lineRule="auto"/>
              <w:rPr>
                <w:rFonts w:ascii="Arial"/>
                <w:color w:val="auto"/>
                <w:sz w:val="21"/>
              </w:rPr>
            </w:pPr>
          </w:p>
          <w:p w14:paraId="35555204">
            <w:pPr>
              <w:spacing w:line="242" w:lineRule="auto"/>
              <w:rPr>
                <w:rFonts w:ascii="Arial"/>
                <w:b/>
                <w:bCs/>
                <w:color w:val="auto"/>
                <w:sz w:val="20"/>
                <w:szCs w:val="20"/>
              </w:rPr>
            </w:pPr>
          </w:p>
          <w:p w14:paraId="72CA4234">
            <w:pPr>
              <w:pStyle w:val="19"/>
              <w:spacing w:before="65" w:line="462" w:lineRule="auto"/>
              <w:ind w:left="535" w:right="107" w:hanging="413"/>
              <w:rPr>
                <w:b/>
                <w:bCs/>
                <w:color w:val="auto"/>
                <w:sz w:val="20"/>
                <w:szCs w:val="20"/>
              </w:rPr>
            </w:pPr>
            <w:r>
              <w:rPr>
                <w:b/>
                <w:bCs/>
                <w:color w:val="auto"/>
                <w:spacing w:val="-4"/>
                <w:sz w:val="20"/>
                <w:szCs w:val="20"/>
              </w:rPr>
              <w:t>（1）管理制度、实</w:t>
            </w:r>
            <w:r>
              <w:rPr>
                <w:b/>
                <w:bCs/>
                <w:color w:val="auto"/>
                <w:spacing w:val="7"/>
                <w:sz w:val="20"/>
                <w:szCs w:val="20"/>
              </w:rPr>
              <w:t>施方案分</w:t>
            </w:r>
          </w:p>
          <w:p w14:paraId="2B21ED57">
            <w:pPr>
              <w:pStyle w:val="19"/>
              <w:spacing w:line="228" w:lineRule="auto"/>
              <w:ind w:left="285" w:leftChars="0"/>
              <w:rPr>
                <w:color w:val="auto"/>
                <w:spacing w:val="6"/>
              </w:rPr>
            </w:pPr>
            <w:r>
              <w:rPr>
                <w:b/>
                <w:bCs/>
                <w:color w:val="auto"/>
                <w:sz w:val="20"/>
                <w:szCs w:val="20"/>
              </w:rPr>
              <w:t>（满分</w:t>
            </w:r>
            <w:r>
              <w:rPr>
                <w:b/>
                <w:bCs/>
                <w:color w:val="auto"/>
                <w:spacing w:val="-30"/>
                <w:sz w:val="20"/>
                <w:szCs w:val="20"/>
              </w:rPr>
              <w:t xml:space="preserve"> </w:t>
            </w:r>
            <w:r>
              <w:rPr>
                <w:rFonts w:hint="eastAsia"/>
                <w:b/>
                <w:bCs/>
                <w:color w:val="auto"/>
                <w:sz w:val="20"/>
                <w:szCs w:val="20"/>
                <w:lang w:val="en-US" w:eastAsia="zh-CN"/>
              </w:rPr>
              <w:t>24</w:t>
            </w:r>
            <w:r>
              <w:rPr>
                <w:b/>
                <w:bCs/>
                <w:color w:val="auto"/>
                <w:sz w:val="20"/>
                <w:szCs w:val="20"/>
              </w:rPr>
              <w:t>分）</w:t>
            </w:r>
          </w:p>
        </w:tc>
        <w:tc>
          <w:tcPr>
            <w:tcW w:w="5979" w:type="dxa"/>
            <w:noWrap w:val="0"/>
            <w:vAlign w:val="top"/>
          </w:tcPr>
          <w:p w14:paraId="3E6FCF8F">
            <w:pPr>
              <w:pStyle w:val="19"/>
              <w:spacing w:before="222" w:line="228" w:lineRule="auto"/>
              <w:ind w:left="129"/>
              <w:rPr>
                <w:color w:val="auto"/>
                <w:spacing w:val="4"/>
              </w:rPr>
            </w:pPr>
            <w:r>
              <w:rPr>
                <w:b/>
                <w:bCs/>
                <w:color w:val="auto"/>
                <w:spacing w:val="4"/>
              </w:rPr>
              <w:t>管理制度分（满分</w:t>
            </w:r>
            <w:r>
              <w:rPr>
                <w:b/>
                <w:bCs/>
                <w:color w:val="auto"/>
                <w:spacing w:val="-33"/>
              </w:rPr>
              <w:t xml:space="preserve"> </w:t>
            </w:r>
            <w:r>
              <w:rPr>
                <w:b/>
                <w:bCs/>
                <w:color w:val="auto"/>
                <w:spacing w:val="4"/>
              </w:rPr>
              <w:t>8</w:t>
            </w:r>
            <w:r>
              <w:rPr>
                <w:b/>
                <w:bCs/>
                <w:color w:val="auto"/>
                <w:spacing w:val="-35"/>
              </w:rPr>
              <w:t xml:space="preserve"> </w:t>
            </w:r>
            <w:r>
              <w:rPr>
                <w:b/>
                <w:bCs/>
                <w:color w:val="auto"/>
                <w:spacing w:val="4"/>
              </w:rPr>
              <w:t>分）</w:t>
            </w:r>
          </w:p>
          <w:p w14:paraId="54ECBD0B">
            <w:pPr>
              <w:pStyle w:val="19"/>
              <w:spacing w:before="2" w:line="391" w:lineRule="auto"/>
              <w:ind w:right="245" w:rightChars="0" w:firstLine="428" w:firstLineChars="200"/>
              <w:jc w:val="both"/>
              <w:rPr>
                <w:color w:val="auto"/>
                <w:spacing w:val="7"/>
              </w:rPr>
            </w:pPr>
            <w:r>
              <w:rPr>
                <w:color w:val="auto"/>
                <w:spacing w:val="7"/>
              </w:rPr>
              <w:t>基本要求，评标委员会根据投标人提供的组织管理、人员与部门职责分工、健康管理、培训、考核、奖惩、食品协议准入、进货检查、色标、食品质量自检、食品存储、运输、退市、召回、溯源、档案管理、台账、财务、食品安全、企业责任、食品安全事故处理、应急处置、人员管理、员工食品安全及配送人员培训、考核、责任追究等制度的针对性、完善性、可行性、实用性等方面独立打分：</w:t>
            </w:r>
          </w:p>
          <w:p w14:paraId="4218B540">
            <w:pPr>
              <w:pStyle w:val="19"/>
              <w:spacing w:before="1" w:line="460" w:lineRule="auto"/>
              <w:ind w:left="114" w:right="245" w:firstLine="572"/>
              <w:rPr>
                <w:color w:val="auto"/>
              </w:rPr>
            </w:pPr>
            <w:r>
              <w:rPr>
                <w:color w:val="auto"/>
                <w:spacing w:val="5"/>
              </w:rPr>
              <w:t>一档（2</w:t>
            </w:r>
            <w:r>
              <w:rPr>
                <w:color w:val="auto"/>
                <w:spacing w:val="-23"/>
              </w:rPr>
              <w:t xml:space="preserve"> </w:t>
            </w:r>
            <w:r>
              <w:rPr>
                <w:color w:val="auto"/>
                <w:spacing w:val="5"/>
              </w:rPr>
              <w:t>分）投标人提供的各项管理制度全面详细性与</w:t>
            </w:r>
            <w:r>
              <w:rPr>
                <w:color w:val="auto"/>
                <w:spacing w:val="8"/>
              </w:rPr>
              <w:t>针对性不足，可行性一般。</w:t>
            </w:r>
          </w:p>
          <w:p w14:paraId="0698A083">
            <w:pPr>
              <w:pStyle w:val="19"/>
              <w:spacing w:before="2" w:line="461" w:lineRule="auto"/>
              <w:ind w:left="114" w:right="245" w:firstLine="571"/>
              <w:rPr>
                <w:color w:val="auto"/>
              </w:rPr>
            </w:pPr>
            <w:r>
              <w:rPr>
                <w:color w:val="auto"/>
                <w:spacing w:val="7"/>
              </w:rPr>
              <w:t>二档（4</w:t>
            </w:r>
            <w:r>
              <w:rPr>
                <w:color w:val="auto"/>
                <w:spacing w:val="-38"/>
              </w:rPr>
              <w:t xml:space="preserve"> </w:t>
            </w:r>
            <w:r>
              <w:rPr>
                <w:color w:val="auto"/>
                <w:spacing w:val="7"/>
              </w:rPr>
              <w:t>分</w:t>
            </w:r>
            <w:r>
              <w:rPr>
                <w:color w:val="auto"/>
                <w:spacing w:val="-9"/>
              </w:rPr>
              <w:t>）：</w:t>
            </w:r>
            <w:r>
              <w:rPr>
                <w:color w:val="auto"/>
                <w:spacing w:val="7"/>
              </w:rPr>
              <w:t>投标人提供的各项管理制度比较全面详</w:t>
            </w:r>
            <w:r>
              <w:rPr>
                <w:color w:val="auto"/>
                <w:spacing w:val="8"/>
              </w:rPr>
              <w:t>细、具有一定的针对性与可操作性。</w:t>
            </w:r>
          </w:p>
          <w:p w14:paraId="3722D744">
            <w:pPr>
              <w:pStyle w:val="19"/>
              <w:spacing w:before="2" w:line="391" w:lineRule="auto"/>
              <w:ind w:left="114" w:leftChars="0" w:right="245" w:rightChars="0" w:firstLine="568" w:firstLineChars="0"/>
              <w:jc w:val="both"/>
              <w:rPr>
                <w:color w:val="auto"/>
                <w:spacing w:val="7"/>
              </w:rPr>
            </w:pPr>
            <w:r>
              <w:rPr>
                <w:color w:val="auto"/>
                <w:spacing w:val="7"/>
              </w:rPr>
              <w:t>三档（6</w:t>
            </w:r>
            <w:r>
              <w:rPr>
                <w:color w:val="auto"/>
                <w:spacing w:val="-37"/>
              </w:rPr>
              <w:t xml:space="preserve"> </w:t>
            </w:r>
            <w:r>
              <w:rPr>
                <w:color w:val="auto"/>
                <w:spacing w:val="7"/>
              </w:rPr>
              <w:t>分</w:t>
            </w:r>
            <w:r>
              <w:rPr>
                <w:color w:val="auto"/>
                <w:spacing w:val="-8"/>
              </w:rPr>
              <w:t>）：</w:t>
            </w:r>
            <w:r>
              <w:rPr>
                <w:color w:val="auto"/>
                <w:spacing w:val="7"/>
              </w:rPr>
              <w:t>投标人针对本项目提供的各项管理制度</w:t>
            </w:r>
            <w:r>
              <w:rPr>
                <w:color w:val="auto"/>
                <w:spacing w:val="9"/>
              </w:rPr>
              <w:t>全面详细，覆盖基本要求的全部内容可操作性较强，可以较</w:t>
            </w:r>
            <w:r>
              <w:rPr>
                <w:color w:val="auto"/>
                <w:spacing w:val="7"/>
              </w:rPr>
              <w:t>好满足项目需要。</w:t>
            </w:r>
          </w:p>
          <w:p w14:paraId="650F9776">
            <w:pPr>
              <w:pStyle w:val="19"/>
              <w:spacing w:before="223" w:line="462" w:lineRule="auto"/>
              <w:ind w:left="115" w:right="189" w:firstLine="586"/>
              <w:jc w:val="both"/>
              <w:rPr>
                <w:color w:val="auto"/>
              </w:rPr>
            </w:pPr>
            <w:r>
              <w:rPr>
                <w:color w:val="auto"/>
                <w:spacing w:val="1"/>
              </w:rPr>
              <w:t>四档（8</w:t>
            </w:r>
            <w:r>
              <w:rPr>
                <w:color w:val="auto"/>
                <w:spacing w:val="-36"/>
              </w:rPr>
              <w:t xml:space="preserve"> </w:t>
            </w:r>
            <w:r>
              <w:rPr>
                <w:color w:val="auto"/>
                <w:spacing w:val="1"/>
              </w:rPr>
              <w:t>分</w:t>
            </w:r>
            <w:r>
              <w:rPr>
                <w:color w:val="auto"/>
                <w:spacing w:val="-25"/>
              </w:rPr>
              <w:t>）：</w:t>
            </w:r>
            <w:r>
              <w:rPr>
                <w:color w:val="auto"/>
                <w:spacing w:val="1"/>
              </w:rPr>
              <w:t>投标人提供的各项管理制度全面、完整，</w:t>
            </w:r>
            <w:r>
              <w:rPr>
                <w:color w:val="auto"/>
                <w:spacing w:val="10"/>
              </w:rPr>
              <w:t>完善，覆盖基本要求的全部内容并有所扩展可操作性较高，</w:t>
            </w:r>
            <w:r>
              <w:rPr>
                <w:color w:val="auto"/>
                <w:spacing w:val="8"/>
              </w:rPr>
              <w:t>实用性较强，对项目实施具有较好的规范作用。</w:t>
            </w:r>
          </w:p>
          <w:p w14:paraId="31406C23">
            <w:pPr>
              <w:pStyle w:val="19"/>
              <w:spacing w:line="227" w:lineRule="auto"/>
              <w:ind w:left="534"/>
              <w:rPr>
                <w:color w:val="auto"/>
              </w:rPr>
            </w:pPr>
            <w:r>
              <w:rPr>
                <w:b/>
                <w:bCs/>
                <w:color w:val="auto"/>
                <w:spacing w:val="7"/>
              </w:rPr>
              <w:t>注：未提供管理制度的本项不得分。</w:t>
            </w:r>
          </w:p>
        </w:tc>
      </w:tr>
      <w:tr w14:paraId="765B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9" w:hRule="atLeast"/>
        </w:trPr>
        <w:tc>
          <w:tcPr>
            <w:tcW w:w="566" w:type="dxa"/>
            <w:vMerge w:val="continue"/>
            <w:noWrap w:val="0"/>
            <w:vAlign w:val="top"/>
          </w:tcPr>
          <w:p w14:paraId="26923A2D">
            <w:pPr>
              <w:rPr>
                <w:rFonts w:ascii="Arial"/>
                <w:color w:val="auto"/>
                <w:sz w:val="21"/>
              </w:rPr>
            </w:pPr>
          </w:p>
        </w:tc>
        <w:tc>
          <w:tcPr>
            <w:tcW w:w="1710" w:type="dxa"/>
            <w:vMerge w:val="continue"/>
            <w:noWrap w:val="0"/>
            <w:vAlign w:val="top"/>
          </w:tcPr>
          <w:p w14:paraId="04AFB433">
            <w:pPr>
              <w:rPr>
                <w:rFonts w:ascii="Arial"/>
                <w:color w:val="auto"/>
                <w:sz w:val="21"/>
              </w:rPr>
            </w:pPr>
          </w:p>
        </w:tc>
        <w:tc>
          <w:tcPr>
            <w:tcW w:w="1904" w:type="dxa"/>
            <w:vMerge w:val="continue"/>
            <w:noWrap w:val="0"/>
            <w:vAlign w:val="top"/>
          </w:tcPr>
          <w:p w14:paraId="3E266842">
            <w:pPr>
              <w:rPr>
                <w:rFonts w:ascii="Arial"/>
                <w:color w:val="auto"/>
                <w:sz w:val="21"/>
              </w:rPr>
            </w:pPr>
          </w:p>
        </w:tc>
        <w:tc>
          <w:tcPr>
            <w:tcW w:w="5979" w:type="dxa"/>
            <w:noWrap w:val="0"/>
            <w:vAlign w:val="top"/>
          </w:tcPr>
          <w:p w14:paraId="3FF698B0">
            <w:pPr>
              <w:pStyle w:val="19"/>
              <w:spacing w:before="221" w:line="228" w:lineRule="auto"/>
              <w:ind w:left="124"/>
              <w:rPr>
                <w:b/>
                <w:bCs/>
                <w:color w:val="auto"/>
              </w:rPr>
            </w:pPr>
            <w:r>
              <w:rPr>
                <w:b/>
                <w:bCs/>
                <w:color w:val="auto"/>
                <w:spacing w:val="5"/>
              </w:rPr>
              <w:t>食材安全管理方案（满分</w:t>
            </w:r>
            <w:r>
              <w:rPr>
                <w:rFonts w:hint="eastAsia"/>
                <w:b/>
                <w:bCs/>
                <w:color w:val="auto"/>
                <w:spacing w:val="-14"/>
                <w:lang w:val="en-US" w:eastAsia="zh-CN"/>
              </w:rPr>
              <w:t>8</w:t>
            </w:r>
            <w:r>
              <w:rPr>
                <w:b/>
                <w:bCs/>
                <w:color w:val="auto"/>
                <w:spacing w:val="5"/>
              </w:rPr>
              <w:t>分）</w:t>
            </w:r>
          </w:p>
          <w:p w14:paraId="6CE7439E">
            <w:pPr>
              <w:pStyle w:val="19"/>
              <w:spacing w:before="251" w:line="462" w:lineRule="auto"/>
              <w:ind w:left="112" w:right="108" w:firstLine="420"/>
              <w:jc w:val="both"/>
              <w:rPr>
                <w:color w:val="auto"/>
              </w:rPr>
            </w:pPr>
            <w:r>
              <w:rPr>
                <w:color w:val="auto"/>
                <w:spacing w:val="7"/>
              </w:rPr>
              <w:t>评委根据投标人提供的食材安全管理方案，要点包括：①</w:t>
            </w:r>
            <w:r>
              <w:rPr>
                <w:color w:val="auto"/>
                <w:spacing w:val="8"/>
              </w:rPr>
              <w:t>进货采购渠道、②食材控制管理措施、③检</w:t>
            </w:r>
            <w:r>
              <w:rPr>
                <w:color w:val="auto"/>
                <w:spacing w:val="7"/>
              </w:rPr>
              <w:t>验检疫措施、④食</w:t>
            </w:r>
            <w:r>
              <w:rPr>
                <w:color w:val="auto"/>
                <w:spacing w:val="9"/>
              </w:rPr>
              <w:t>材质量标准、⑤追溯方式等进行独立评审</w:t>
            </w:r>
            <w:r>
              <w:rPr>
                <w:color w:val="auto"/>
                <w:spacing w:val="-59"/>
              </w:rPr>
              <w:t xml:space="preserve"> </w:t>
            </w:r>
            <w:r>
              <w:rPr>
                <w:color w:val="auto"/>
                <w:spacing w:val="9"/>
              </w:rPr>
              <w:t>:</w:t>
            </w:r>
          </w:p>
          <w:p w14:paraId="56EEE550">
            <w:pPr>
              <w:pStyle w:val="19"/>
              <w:spacing w:before="1" w:line="461" w:lineRule="auto"/>
              <w:ind w:left="122" w:right="108" w:firstLine="415"/>
              <w:jc w:val="both"/>
              <w:rPr>
                <w:color w:val="auto"/>
              </w:rPr>
            </w:pPr>
            <w:r>
              <w:rPr>
                <w:color w:val="auto"/>
                <w:spacing w:val="8"/>
              </w:rPr>
              <w:t>一档（0</w:t>
            </w:r>
            <w:r>
              <w:rPr>
                <w:color w:val="auto"/>
                <w:spacing w:val="-35"/>
              </w:rPr>
              <w:t xml:space="preserve"> </w:t>
            </w:r>
            <w:r>
              <w:rPr>
                <w:color w:val="auto"/>
                <w:spacing w:val="8"/>
              </w:rPr>
              <w:t>分</w:t>
            </w:r>
            <w:r>
              <w:rPr>
                <w:color w:val="auto"/>
                <w:spacing w:val="16"/>
              </w:rPr>
              <w:t>）：</w:t>
            </w:r>
            <w:r>
              <w:rPr>
                <w:color w:val="auto"/>
                <w:spacing w:val="8"/>
              </w:rPr>
              <w:t>投标人未提供食材安全管理方案，或方案</w:t>
            </w:r>
            <w:r>
              <w:rPr>
                <w:color w:val="auto"/>
                <w:spacing w:val="7"/>
              </w:rPr>
              <w:t>内容严重缺失，未涵盖关键要点，无法体现对食材安全的管理</w:t>
            </w:r>
            <w:r>
              <w:rPr>
                <w:color w:val="auto"/>
              </w:rPr>
              <w:t>能力。</w:t>
            </w:r>
          </w:p>
          <w:p w14:paraId="67A6D69F">
            <w:pPr>
              <w:pStyle w:val="19"/>
              <w:spacing w:before="1" w:line="461" w:lineRule="auto"/>
              <w:ind w:left="113" w:right="108" w:firstLine="424"/>
              <w:jc w:val="both"/>
              <w:rPr>
                <w:color w:val="auto"/>
              </w:rPr>
            </w:pPr>
            <w:r>
              <w:rPr>
                <w:color w:val="auto"/>
                <w:spacing w:val="8"/>
              </w:rPr>
              <w:t>二档（</w:t>
            </w:r>
            <w:r>
              <w:rPr>
                <w:rFonts w:hint="eastAsia"/>
                <w:color w:val="auto"/>
                <w:spacing w:val="8"/>
                <w:lang w:val="en-US" w:eastAsia="zh-CN"/>
              </w:rPr>
              <w:t>2</w:t>
            </w:r>
            <w:r>
              <w:rPr>
                <w:color w:val="auto"/>
                <w:spacing w:val="-35"/>
              </w:rPr>
              <w:t xml:space="preserve"> </w:t>
            </w:r>
            <w:r>
              <w:rPr>
                <w:color w:val="auto"/>
                <w:spacing w:val="8"/>
              </w:rPr>
              <w:t>分</w:t>
            </w:r>
            <w:r>
              <w:rPr>
                <w:color w:val="auto"/>
                <w:spacing w:val="16"/>
              </w:rPr>
              <w:t>）：</w:t>
            </w:r>
            <w:r>
              <w:rPr>
                <w:color w:val="auto"/>
                <w:spacing w:val="8"/>
              </w:rPr>
              <w:t>食材安全管理方案在进货采购渠道、食材</w:t>
            </w:r>
            <w:r>
              <w:rPr>
                <w:color w:val="auto"/>
                <w:spacing w:val="7"/>
              </w:rPr>
              <w:t>控制管理措施、检验检疫措施、食材质量标准和追溯方式等方面均有描述，仅达到采购文件的基本要求，缺乏具体措施和深</w:t>
            </w:r>
            <w:r>
              <w:rPr>
                <w:color w:val="auto"/>
              </w:rPr>
              <w:t>度。</w:t>
            </w:r>
          </w:p>
          <w:p w14:paraId="68BADB58">
            <w:pPr>
              <w:pStyle w:val="19"/>
              <w:spacing w:before="1" w:line="461" w:lineRule="auto"/>
              <w:ind w:left="113" w:right="108" w:firstLine="420"/>
              <w:jc w:val="both"/>
              <w:rPr>
                <w:color w:val="auto"/>
                <w:spacing w:val="9"/>
              </w:rPr>
            </w:pPr>
            <w:r>
              <w:rPr>
                <w:color w:val="auto"/>
                <w:spacing w:val="8"/>
              </w:rPr>
              <w:t>三档（</w:t>
            </w:r>
            <w:r>
              <w:rPr>
                <w:rFonts w:hint="eastAsia"/>
                <w:color w:val="auto"/>
                <w:spacing w:val="8"/>
                <w:lang w:val="en-US" w:eastAsia="zh-CN"/>
              </w:rPr>
              <w:t>4</w:t>
            </w:r>
            <w:r>
              <w:rPr>
                <w:color w:val="auto"/>
                <w:spacing w:val="8"/>
              </w:rPr>
              <w:t>分</w:t>
            </w:r>
            <w:r>
              <w:rPr>
                <w:color w:val="auto"/>
                <w:spacing w:val="17"/>
              </w:rPr>
              <w:t>）：</w:t>
            </w:r>
            <w:r>
              <w:rPr>
                <w:color w:val="auto"/>
                <w:spacing w:val="8"/>
              </w:rPr>
              <w:t>食材安全管理方案在进货采购渠道、食材</w:t>
            </w:r>
            <w:r>
              <w:rPr>
                <w:color w:val="auto"/>
                <w:spacing w:val="7"/>
              </w:rPr>
              <w:t>控制管理措施、检验检疫措施、食材质量标准和追溯方式等方</w:t>
            </w:r>
            <w:r>
              <w:rPr>
                <w:color w:val="auto"/>
                <w:spacing w:val="9"/>
              </w:rPr>
              <w:t>面描述清晰、全面、详细，能体现基本的管理思路。</w:t>
            </w:r>
          </w:p>
          <w:p w14:paraId="11E6EB1E">
            <w:pPr>
              <w:pStyle w:val="19"/>
              <w:spacing w:before="1" w:line="461" w:lineRule="auto"/>
              <w:ind w:left="113" w:right="108" w:firstLine="420"/>
              <w:jc w:val="both"/>
              <w:rPr>
                <w:color w:val="auto"/>
              </w:rPr>
            </w:pPr>
            <w:r>
              <w:rPr>
                <w:color w:val="auto"/>
                <w:spacing w:val="6"/>
              </w:rPr>
              <w:t>四档（</w:t>
            </w:r>
            <w:r>
              <w:rPr>
                <w:rFonts w:hint="eastAsia"/>
                <w:color w:val="auto"/>
                <w:spacing w:val="6"/>
                <w:lang w:val="en-US" w:eastAsia="zh-CN"/>
              </w:rPr>
              <w:t>6</w:t>
            </w:r>
            <w:r>
              <w:rPr>
                <w:color w:val="auto"/>
                <w:spacing w:val="6"/>
              </w:rPr>
              <w:t>分）</w:t>
            </w:r>
            <w:r>
              <w:rPr>
                <w:color w:val="auto"/>
                <w:spacing w:val="-50"/>
              </w:rPr>
              <w:t xml:space="preserve"> </w:t>
            </w:r>
            <w:r>
              <w:rPr>
                <w:color w:val="auto"/>
                <w:spacing w:val="6"/>
              </w:rPr>
              <w:t>: 食材安全管理方案在以下方</w:t>
            </w:r>
            <w:r>
              <w:rPr>
                <w:color w:val="auto"/>
                <w:spacing w:val="5"/>
              </w:rPr>
              <w:t>面描述清晰明</w:t>
            </w:r>
            <w:r>
              <w:rPr>
                <w:color w:val="auto"/>
                <w:spacing w:val="9"/>
              </w:rPr>
              <w:t>确、全面系统、详细具体：1. 进货采购渠道：</w:t>
            </w:r>
            <w:r>
              <w:rPr>
                <w:color w:val="auto"/>
                <w:spacing w:val="-44"/>
              </w:rPr>
              <w:t xml:space="preserve"> </w:t>
            </w:r>
            <w:r>
              <w:rPr>
                <w:color w:val="auto"/>
                <w:spacing w:val="9"/>
              </w:rPr>
              <w:t>明确列出主要供应商名录，并说明选择标准（如资质、信誉、配送能力</w:t>
            </w:r>
            <w:r>
              <w:rPr>
                <w:color w:val="auto"/>
              </w:rPr>
              <w:t>）</w:t>
            </w:r>
            <w:r>
              <w:rPr>
                <w:rFonts w:hint="eastAsia"/>
                <w:color w:val="auto"/>
                <w:lang w:eastAsia="zh-CN"/>
              </w:rPr>
              <w:t>；</w:t>
            </w:r>
            <w:r>
              <w:rPr>
                <w:color w:val="auto"/>
                <w:spacing w:val="9"/>
              </w:rPr>
              <w:t>2. 食</w:t>
            </w:r>
            <w:r>
              <w:rPr>
                <w:color w:val="auto"/>
                <w:spacing w:val="8"/>
              </w:rPr>
              <w:t>材控制管理措施：建立从采购、运输、仓储</w:t>
            </w:r>
            <w:r>
              <w:rPr>
                <w:color w:val="auto"/>
                <w:spacing w:val="7"/>
              </w:rPr>
              <w:t>到配送全过程的温</w:t>
            </w:r>
            <w:r>
              <w:rPr>
                <w:color w:val="auto"/>
                <w:spacing w:val="8"/>
              </w:rPr>
              <w:t>控、防污染、防交叉污染措施，特别是对生</w:t>
            </w:r>
            <w:r>
              <w:rPr>
                <w:color w:val="auto"/>
                <w:spacing w:val="7"/>
              </w:rPr>
              <w:t>鲜、冷冻、即食类</w:t>
            </w:r>
            <w:r>
              <w:rPr>
                <w:color w:val="auto"/>
                <w:spacing w:val="11"/>
              </w:rPr>
              <w:t>食材的特殊管理要求</w:t>
            </w:r>
            <w:r>
              <w:rPr>
                <w:rFonts w:hint="eastAsia"/>
                <w:color w:val="auto"/>
                <w:spacing w:val="11"/>
                <w:lang w:eastAsia="zh-CN"/>
              </w:rPr>
              <w:t>；</w:t>
            </w:r>
            <w:r>
              <w:rPr>
                <w:color w:val="auto"/>
                <w:spacing w:val="11"/>
              </w:rPr>
              <w:t>3. 食材质量标准：承诺</w:t>
            </w:r>
            <w:r>
              <w:rPr>
                <w:color w:val="auto"/>
                <w:spacing w:val="15"/>
              </w:rPr>
              <w:t>所供食材符合国家强制标准，并针对采购清单中的每类食材</w:t>
            </w:r>
            <w:r>
              <w:rPr>
                <w:color w:val="auto"/>
                <w:spacing w:val="8"/>
              </w:rPr>
              <w:t>（如蔬菜</w:t>
            </w:r>
            <w:r>
              <w:rPr>
                <w:rFonts w:hint="eastAsia"/>
                <w:color w:val="auto"/>
                <w:spacing w:val="8"/>
                <w:lang w:val="en-US" w:eastAsia="zh-CN"/>
              </w:rPr>
              <w:t>等</w:t>
            </w:r>
            <w:r>
              <w:rPr>
                <w:color w:val="auto"/>
                <w:spacing w:val="8"/>
              </w:rPr>
              <w:t>）制定具体的、高</w:t>
            </w:r>
            <w:r>
              <w:rPr>
                <w:color w:val="auto"/>
                <w:spacing w:val="7"/>
              </w:rPr>
              <w:t>于行业通用标准的</w:t>
            </w:r>
            <w:r>
              <w:rPr>
                <w:color w:val="auto"/>
                <w:spacing w:val="11"/>
              </w:rPr>
              <w:t>内部验收细则。</w:t>
            </w:r>
            <w:r>
              <w:rPr>
                <w:rFonts w:hint="eastAsia"/>
                <w:color w:val="auto"/>
                <w:spacing w:val="11"/>
                <w:lang w:val="en-US" w:eastAsia="zh-CN"/>
              </w:rPr>
              <w:t>4</w:t>
            </w:r>
            <w:r>
              <w:rPr>
                <w:color w:val="auto"/>
                <w:spacing w:val="11"/>
              </w:rPr>
              <w:t>. 追溯方式：建立完善的电子化追溯系统，</w:t>
            </w:r>
            <w:r>
              <w:rPr>
                <w:color w:val="auto"/>
                <w:spacing w:val="6"/>
              </w:rPr>
              <w:t>实现“一物一码</w:t>
            </w:r>
            <w:r>
              <w:rPr>
                <w:color w:val="auto"/>
                <w:spacing w:val="-56"/>
              </w:rPr>
              <w:t xml:space="preserve"> </w:t>
            </w:r>
            <w:r>
              <w:rPr>
                <w:color w:val="auto"/>
                <w:spacing w:val="6"/>
              </w:rPr>
              <w:t>”，可追溯食材的产地、供应商、批次、检测</w:t>
            </w:r>
            <w:r>
              <w:rPr>
                <w:color w:val="auto"/>
                <w:spacing w:val="8"/>
              </w:rPr>
              <w:t>报告等信息，响应采购人需求。</w:t>
            </w:r>
          </w:p>
          <w:p w14:paraId="3F9D8DC7">
            <w:pPr>
              <w:pStyle w:val="19"/>
              <w:spacing w:before="6" w:line="440" w:lineRule="auto"/>
              <w:ind w:left="112" w:right="90" w:firstLine="441"/>
              <w:jc w:val="both"/>
              <w:rPr>
                <w:color w:val="auto"/>
              </w:rPr>
            </w:pPr>
          </w:p>
        </w:tc>
      </w:tr>
    </w:tbl>
    <w:p w14:paraId="0799F709">
      <w:pPr>
        <w:spacing w:line="132" w:lineRule="exact"/>
        <w:rPr>
          <w:rFonts w:ascii="Arial"/>
          <w:color w:val="auto"/>
          <w:sz w:val="11"/>
        </w:rPr>
      </w:pPr>
    </w:p>
    <w:p w14:paraId="761EC4A2">
      <w:pPr>
        <w:spacing w:line="132" w:lineRule="exact"/>
        <w:rPr>
          <w:rFonts w:ascii="Arial" w:hAnsi="Arial" w:eastAsia="Arial" w:cs="Arial"/>
          <w:color w:val="auto"/>
          <w:sz w:val="11"/>
          <w:szCs w:val="11"/>
        </w:rPr>
        <w:sectPr>
          <w:footerReference r:id="rId8" w:type="default"/>
          <w:pgSz w:w="11911" w:h="16839"/>
          <w:pgMar w:top="400" w:right="857" w:bottom="1149" w:left="1032" w:header="0" w:footer="913" w:gutter="0"/>
          <w:cols w:space="720" w:num="1"/>
        </w:sectPr>
      </w:pPr>
    </w:p>
    <w:p w14:paraId="74DAE0D1">
      <w:pPr>
        <w:spacing w:before="39"/>
        <w:rPr>
          <w:color w:val="auto"/>
        </w:rPr>
      </w:pPr>
    </w:p>
    <w:p w14:paraId="1EA67FD6">
      <w:pPr>
        <w:spacing w:before="38"/>
        <w:rPr>
          <w:color w:val="auto"/>
        </w:rPr>
      </w:pPr>
    </w:p>
    <w:p w14:paraId="2909F64E">
      <w:pPr>
        <w:spacing w:before="38"/>
        <w:rPr>
          <w:color w:val="auto"/>
        </w:rPr>
      </w:pPr>
    </w:p>
    <w:p w14:paraId="7F89EBB5">
      <w:pPr>
        <w:spacing w:before="38"/>
        <w:rPr>
          <w:color w:val="auto"/>
        </w:rPr>
      </w:pPr>
    </w:p>
    <w:tbl>
      <w:tblPr>
        <w:tblStyle w:val="20"/>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4AF3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vMerge w:val="restart"/>
            <w:noWrap w:val="0"/>
            <w:vAlign w:val="top"/>
          </w:tcPr>
          <w:p w14:paraId="09A9AAA3">
            <w:pPr>
              <w:rPr>
                <w:rFonts w:ascii="Arial"/>
                <w:color w:val="auto"/>
                <w:sz w:val="21"/>
              </w:rPr>
            </w:pPr>
          </w:p>
        </w:tc>
        <w:tc>
          <w:tcPr>
            <w:tcW w:w="1710" w:type="dxa"/>
            <w:vMerge w:val="restart"/>
            <w:noWrap w:val="0"/>
            <w:vAlign w:val="top"/>
          </w:tcPr>
          <w:p w14:paraId="7963588B">
            <w:pPr>
              <w:rPr>
                <w:rFonts w:ascii="Arial"/>
                <w:color w:val="auto"/>
                <w:sz w:val="21"/>
              </w:rPr>
            </w:pPr>
          </w:p>
        </w:tc>
        <w:tc>
          <w:tcPr>
            <w:tcW w:w="1904" w:type="dxa"/>
            <w:vMerge w:val="restart"/>
            <w:noWrap w:val="0"/>
            <w:vAlign w:val="top"/>
          </w:tcPr>
          <w:p w14:paraId="5F112F1B">
            <w:pPr>
              <w:rPr>
                <w:rFonts w:ascii="Arial"/>
                <w:color w:val="auto"/>
                <w:sz w:val="21"/>
              </w:rPr>
            </w:pPr>
          </w:p>
        </w:tc>
        <w:tc>
          <w:tcPr>
            <w:tcW w:w="5836" w:type="dxa"/>
            <w:noWrap w:val="0"/>
            <w:vAlign w:val="top"/>
          </w:tcPr>
          <w:p w14:paraId="39F6ADCC">
            <w:pPr>
              <w:pStyle w:val="19"/>
              <w:spacing w:line="228" w:lineRule="auto"/>
              <w:ind w:right="14" w:firstLine="412" w:firstLineChars="200"/>
              <w:jc w:val="both"/>
              <w:rPr>
                <w:color w:val="auto"/>
              </w:rPr>
            </w:pPr>
            <w:r>
              <w:rPr>
                <w:color w:val="auto"/>
                <w:spacing w:val="3"/>
              </w:rPr>
              <w:t>五档（</w:t>
            </w:r>
            <w:r>
              <w:rPr>
                <w:rFonts w:hint="eastAsia"/>
                <w:color w:val="auto"/>
                <w:spacing w:val="3"/>
                <w:lang w:val="en-US" w:eastAsia="zh-CN"/>
              </w:rPr>
              <w:t>8</w:t>
            </w:r>
            <w:r>
              <w:rPr>
                <w:color w:val="auto"/>
                <w:spacing w:val="3"/>
              </w:rPr>
              <w:t>分）: 在四档基础上，方案具有针对</w:t>
            </w:r>
            <w:r>
              <w:rPr>
                <w:color w:val="auto"/>
                <w:spacing w:val="2"/>
              </w:rPr>
              <w:t>性和前瞻性，</w:t>
            </w:r>
          </w:p>
          <w:p w14:paraId="6C0B8CA1">
            <w:pPr>
              <w:pStyle w:val="19"/>
              <w:spacing w:before="251" w:line="462" w:lineRule="auto"/>
              <w:ind w:left="113" w:right="89" w:firstLine="5"/>
              <w:jc w:val="both"/>
              <w:rPr>
                <w:color w:val="auto"/>
                <w:spacing w:val="7"/>
              </w:rPr>
            </w:pPr>
            <w:r>
              <w:rPr>
                <w:color w:val="auto"/>
                <w:spacing w:val="6"/>
              </w:rPr>
              <w:t>并体现主动作为：1.承诺建立“供应商黑名单</w:t>
            </w:r>
            <w:r>
              <w:rPr>
                <w:color w:val="auto"/>
                <w:spacing w:val="-66"/>
              </w:rPr>
              <w:t xml:space="preserve"> </w:t>
            </w:r>
            <w:r>
              <w:rPr>
                <w:color w:val="auto"/>
                <w:spacing w:val="6"/>
              </w:rPr>
              <w:t>”制度，对出现</w:t>
            </w:r>
            <w:r>
              <w:rPr>
                <w:color w:val="auto"/>
                <w:spacing w:val="11"/>
              </w:rPr>
              <w:t>质量问题的供应商立即停止合作。2. 提出创新性的风</w:t>
            </w:r>
            <w:r>
              <w:rPr>
                <w:color w:val="auto"/>
                <w:spacing w:val="10"/>
              </w:rPr>
              <w:t>险预警</w:t>
            </w:r>
            <w:r>
              <w:rPr>
                <w:color w:val="auto"/>
                <w:spacing w:val="7"/>
              </w:rPr>
              <w:t>机制，如利用大数据分析市场供应风险。3.主动积极地开展检</w:t>
            </w:r>
            <w:r>
              <w:rPr>
                <w:color w:val="auto"/>
                <w:spacing w:val="8"/>
              </w:rPr>
              <w:t>验工作，并承诺向采购人定期提供检测报告和安全分析报告。</w:t>
            </w:r>
            <w:r>
              <w:rPr>
                <w:rFonts w:ascii="宋体" w:hAnsi="宋体" w:eastAsia="宋体" w:cs="宋体"/>
                <w:snapToGrid w:val="0"/>
                <w:color w:val="auto"/>
                <w:spacing w:val="7"/>
                <w:kern w:val="0"/>
                <w:sz w:val="20"/>
                <w:szCs w:val="20"/>
                <w:lang w:val="en-US" w:eastAsia="en-US" w:bidi="ar-SA"/>
              </w:rPr>
              <w:t>4.</w:t>
            </w:r>
            <w:r>
              <w:rPr>
                <w:color w:val="auto"/>
                <w:spacing w:val="7"/>
              </w:rPr>
              <w:t>各项措施环环相扣，形成闭环管理，能有效保障食材从源头到餐桌的全链条安全，且方案与</w:t>
            </w:r>
            <w:r>
              <w:rPr>
                <w:rFonts w:hint="eastAsia"/>
                <w:color w:val="auto"/>
                <w:spacing w:val="7"/>
                <w:lang w:val="en-US" w:eastAsia="zh-CN"/>
              </w:rPr>
              <w:t>防城港市第一人民医院</w:t>
            </w:r>
            <w:r>
              <w:rPr>
                <w:color w:val="auto"/>
                <w:spacing w:val="7"/>
              </w:rPr>
              <w:t>的医院环境和食品安全要求高度匹配。</w:t>
            </w:r>
          </w:p>
        </w:tc>
      </w:tr>
      <w:tr w14:paraId="408B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1" w:hRule="atLeast"/>
        </w:trPr>
        <w:tc>
          <w:tcPr>
            <w:tcW w:w="566" w:type="dxa"/>
            <w:vMerge w:val="continue"/>
            <w:tcBorders>
              <w:bottom w:val="nil"/>
            </w:tcBorders>
            <w:noWrap w:val="0"/>
            <w:vAlign w:val="top"/>
          </w:tcPr>
          <w:p w14:paraId="44F1456C">
            <w:pPr>
              <w:pStyle w:val="19"/>
              <w:spacing w:line="391" w:lineRule="auto"/>
              <w:ind w:left="113" w:leftChars="0" w:right="108" w:rightChars="0"/>
              <w:jc w:val="both"/>
              <w:rPr>
                <w:color w:val="auto"/>
              </w:rPr>
            </w:pPr>
          </w:p>
        </w:tc>
        <w:tc>
          <w:tcPr>
            <w:tcW w:w="1710" w:type="dxa"/>
            <w:vMerge w:val="continue"/>
            <w:tcBorders>
              <w:bottom w:val="nil"/>
            </w:tcBorders>
            <w:noWrap w:val="0"/>
            <w:vAlign w:val="top"/>
          </w:tcPr>
          <w:p w14:paraId="41480CD4">
            <w:pPr>
              <w:pStyle w:val="19"/>
              <w:spacing w:line="391" w:lineRule="auto"/>
              <w:ind w:left="113" w:leftChars="0" w:right="108" w:rightChars="0"/>
              <w:jc w:val="both"/>
              <w:rPr>
                <w:color w:val="auto"/>
              </w:rPr>
            </w:pPr>
          </w:p>
        </w:tc>
        <w:tc>
          <w:tcPr>
            <w:tcW w:w="1904" w:type="dxa"/>
            <w:vMerge w:val="continue"/>
            <w:tcBorders>
              <w:bottom w:val="nil"/>
            </w:tcBorders>
            <w:noWrap w:val="0"/>
            <w:vAlign w:val="top"/>
          </w:tcPr>
          <w:p w14:paraId="4DA44CDC">
            <w:pPr>
              <w:pStyle w:val="19"/>
              <w:spacing w:line="391" w:lineRule="auto"/>
              <w:ind w:left="113" w:leftChars="0" w:right="108" w:rightChars="0"/>
              <w:jc w:val="both"/>
              <w:rPr>
                <w:color w:val="auto"/>
              </w:rPr>
            </w:pPr>
          </w:p>
        </w:tc>
        <w:tc>
          <w:tcPr>
            <w:tcW w:w="5836" w:type="dxa"/>
            <w:noWrap w:val="0"/>
            <w:vAlign w:val="top"/>
          </w:tcPr>
          <w:p w14:paraId="4442603B">
            <w:pPr>
              <w:pStyle w:val="19"/>
              <w:spacing w:before="224" w:line="228" w:lineRule="auto"/>
              <w:rPr>
                <w:b/>
                <w:bCs/>
                <w:color w:val="auto"/>
              </w:rPr>
            </w:pPr>
            <w:r>
              <w:rPr>
                <w:b/>
                <w:bCs/>
                <w:color w:val="auto"/>
                <w:spacing w:val="4"/>
              </w:rPr>
              <w:t>配送服务方案（满分</w:t>
            </w:r>
            <w:r>
              <w:rPr>
                <w:b/>
                <w:bCs/>
                <w:color w:val="auto"/>
                <w:spacing w:val="-8"/>
              </w:rPr>
              <w:t xml:space="preserve"> </w:t>
            </w:r>
            <w:r>
              <w:rPr>
                <w:rFonts w:hint="eastAsia"/>
                <w:b/>
                <w:bCs/>
                <w:color w:val="auto"/>
                <w:spacing w:val="-8"/>
                <w:lang w:val="en-US" w:eastAsia="zh-CN"/>
              </w:rPr>
              <w:t>8</w:t>
            </w:r>
            <w:r>
              <w:rPr>
                <w:b/>
                <w:bCs/>
                <w:color w:val="auto"/>
                <w:spacing w:val="-38"/>
              </w:rPr>
              <w:t xml:space="preserve"> </w:t>
            </w:r>
            <w:r>
              <w:rPr>
                <w:b/>
                <w:bCs/>
                <w:color w:val="auto"/>
                <w:spacing w:val="4"/>
              </w:rPr>
              <w:t>分）</w:t>
            </w:r>
          </w:p>
          <w:p w14:paraId="6AD9E089">
            <w:pPr>
              <w:pStyle w:val="19"/>
              <w:spacing w:before="250" w:line="462" w:lineRule="auto"/>
              <w:ind w:left="113" w:right="108" w:firstLine="420"/>
              <w:jc w:val="both"/>
              <w:rPr>
                <w:color w:val="auto"/>
              </w:rPr>
            </w:pPr>
            <w:r>
              <w:rPr>
                <w:color w:val="auto"/>
                <w:spacing w:val="7"/>
              </w:rPr>
              <w:t>评标小组根据投标人提供的配送服务方案进行评审，要点包括：①对食堂食材配送的熟悉程度；②经营理念；③经营措</w:t>
            </w:r>
            <w:r>
              <w:rPr>
                <w:color w:val="auto"/>
                <w:spacing w:val="8"/>
              </w:rPr>
              <w:t>施和计划可行性；④应急预案。</w:t>
            </w:r>
          </w:p>
          <w:p w14:paraId="2954A9AD">
            <w:pPr>
              <w:pStyle w:val="19"/>
              <w:spacing w:before="1" w:line="461" w:lineRule="auto"/>
              <w:ind w:left="114" w:right="111" w:firstLine="422"/>
              <w:rPr>
                <w:color w:val="auto"/>
              </w:rPr>
            </w:pPr>
            <w:r>
              <w:rPr>
                <w:color w:val="auto"/>
                <w:spacing w:val="8"/>
              </w:rPr>
              <w:t>一档（0</w:t>
            </w:r>
            <w:r>
              <w:rPr>
                <w:color w:val="auto"/>
                <w:spacing w:val="-35"/>
              </w:rPr>
              <w:t xml:space="preserve"> </w:t>
            </w:r>
            <w:r>
              <w:rPr>
                <w:color w:val="auto"/>
                <w:spacing w:val="8"/>
              </w:rPr>
              <w:t>分</w:t>
            </w:r>
            <w:r>
              <w:rPr>
                <w:color w:val="auto"/>
                <w:spacing w:val="16"/>
              </w:rPr>
              <w:t>）：</w:t>
            </w:r>
            <w:r>
              <w:rPr>
                <w:color w:val="auto"/>
                <w:spacing w:val="8"/>
              </w:rPr>
              <w:t>投标人未提供配送服务方案，或方案要点严重缺失，无法体现对项目需求的理解。</w:t>
            </w:r>
          </w:p>
          <w:p w14:paraId="41E03F16">
            <w:pPr>
              <w:pStyle w:val="19"/>
              <w:spacing w:before="1" w:line="461" w:lineRule="auto"/>
              <w:ind w:left="113" w:right="108" w:firstLine="424"/>
              <w:jc w:val="both"/>
              <w:rPr>
                <w:color w:val="auto"/>
              </w:rPr>
            </w:pPr>
            <w:r>
              <w:rPr>
                <w:color w:val="auto"/>
                <w:spacing w:val="8"/>
              </w:rPr>
              <w:t>二档（</w:t>
            </w:r>
            <w:r>
              <w:rPr>
                <w:rFonts w:hint="eastAsia"/>
                <w:color w:val="auto"/>
                <w:spacing w:val="8"/>
                <w:lang w:val="en-US" w:eastAsia="zh-CN"/>
              </w:rPr>
              <w:t>2</w:t>
            </w:r>
            <w:r>
              <w:rPr>
                <w:color w:val="auto"/>
                <w:spacing w:val="-35"/>
              </w:rPr>
              <w:t xml:space="preserve"> </w:t>
            </w:r>
            <w:r>
              <w:rPr>
                <w:color w:val="auto"/>
                <w:spacing w:val="8"/>
              </w:rPr>
              <w:t>分</w:t>
            </w:r>
            <w:r>
              <w:rPr>
                <w:color w:val="auto"/>
                <w:spacing w:val="16"/>
              </w:rPr>
              <w:t>）：</w:t>
            </w:r>
            <w:r>
              <w:rPr>
                <w:color w:val="auto"/>
                <w:spacing w:val="8"/>
              </w:rPr>
              <w:t>配送服务方案在对食堂食材配送的熟悉程</w:t>
            </w:r>
            <w:r>
              <w:rPr>
                <w:color w:val="auto"/>
                <w:spacing w:val="7"/>
              </w:rPr>
              <w:t>度、经营理念、经营措施和计划可行性和应急预案等方面均有</w:t>
            </w:r>
            <w:r>
              <w:rPr>
                <w:color w:val="auto"/>
                <w:spacing w:val="9"/>
              </w:rPr>
              <w:t>描述，仅达到采购文件的基本要求，缺乏实质性内容。</w:t>
            </w:r>
          </w:p>
          <w:p w14:paraId="03B78F2D">
            <w:pPr>
              <w:pStyle w:val="19"/>
              <w:spacing w:before="1" w:line="461" w:lineRule="auto"/>
              <w:ind w:left="113" w:right="108" w:firstLine="420"/>
              <w:rPr>
                <w:color w:val="auto"/>
                <w:spacing w:val="9"/>
              </w:rPr>
            </w:pPr>
            <w:r>
              <w:rPr>
                <w:color w:val="auto"/>
                <w:spacing w:val="6"/>
              </w:rPr>
              <w:t>三档（</w:t>
            </w:r>
            <w:r>
              <w:rPr>
                <w:rFonts w:hint="eastAsia"/>
                <w:color w:val="auto"/>
                <w:spacing w:val="6"/>
                <w:lang w:val="en-US" w:eastAsia="zh-CN"/>
              </w:rPr>
              <w:t>4</w:t>
            </w:r>
            <w:r>
              <w:rPr>
                <w:color w:val="auto"/>
                <w:spacing w:val="-22"/>
              </w:rPr>
              <w:t xml:space="preserve"> </w:t>
            </w:r>
            <w:r>
              <w:rPr>
                <w:color w:val="auto"/>
                <w:spacing w:val="6"/>
              </w:rPr>
              <w:t>分）</w:t>
            </w:r>
            <w:r>
              <w:rPr>
                <w:color w:val="auto"/>
                <w:spacing w:val="-50"/>
              </w:rPr>
              <w:t xml:space="preserve"> </w:t>
            </w:r>
            <w:r>
              <w:rPr>
                <w:color w:val="auto"/>
                <w:spacing w:val="6"/>
              </w:rPr>
              <w:t>: 配送服务方案在对食堂食材配送的熟悉程</w:t>
            </w:r>
            <w:r>
              <w:rPr>
                <w:color w:val="auto"/>
                <w:spacing w:val="7"/>
              </w:rPr>
              <w:t>度、经营理念、经营措施和计划可行性和应急预案等方面描述</w:t>
            </w:r>
            <w:r>
              <w:rPr>
                <w:color w:val="auto"/>
                <w:spacing w:val="9"/>
              </w:rPr>
              <w:t>清晰、全面、详细，表明投标人具备基本的配送服务能力。</w:t>
            </w:r>
          </w:p>
          <w:p w14:paraId="173C4C9B">
            <w:pPr>
              <w:pStyle w:val="19"/>
              <w:spacing w:before="1" w:line="461" w:lineRule="auto"/>
              <w:ind w:left="113" w:right="108" w:firstLine="420"/>
              <w:rPr>
                <w:color w:val="auto"/>
                <w:spacing w:val="3"/>
              </w:rPr>
            </w:pPr>
            <w:r>
              <w:rPr>
                <w:color w:val="auto"/>
                <w:spacing w:val="6"/>
              </w:rPr>
              <w:t>四档（</w:t>
            </w:r>
            <w:r>
              <w:rPr>
                <w:rFonts w:hint="eastAsia"/>
                <w:color w:val="auto"/>
                <w:spacing w:val="6"/>
                <w:lang w:val="en-US" w:eastAsia="zh-CN"/>
              </w:rPr>
              <w:t>6</w:t>
            </w:r>
            <w:r>
              <w:rPr>
                <w:color w:val="auto"/>
                <w:spacing w:val="6"/>
              </w:rPr>
              <w:t>分）</w:t>
            </w:r>
            <w:r>
              <w:rPr>
                <w:color w:val="auto"/>
                <w:spacing w:val="-50"/>
              </w:rPr>
              <w:t xml:space="preserve"> </w:t>
            </w:r>
            <w:r>
              <w:rPr>
                <w:color w:val="auto"/>
                <w:spacing w:val="6"/>
              </w:rPr>
              <w:t>: 配送服务方案在以下方面描述清</w:t>
            </w:r>
            <w:r>
              <w:rPr>
                <w:color w:val="auto"/>
                <w:spacing w:val="5"/>
              </w:rPr>
              <w:t>晰明确、</w:t>
            </w:r>
            <w:r>
              <w:rPr>
                <w:color w:val="auto"/>
                <w:spacing w:val="7"/>
              </w:rPr>
              <w:t>全面系统、详细具体，并包含具体的供货流程：1.对食堂食材配送的熟悉程度：方案能准确识别医院食堂配送的特殊性，如</w:t>
            </w:r>
            <w:r>
              <w:rPr>
                <w:color w:val="auto"/>
                <w:spacing w:val="8"/>
              </w:rPr>
              <w:t>收货时间紧、品类繁多、对食品安全要</w:t>
            </w:r>
            <w:r>
              <w:rPr>
                <w:color w:val="auto"/>
                <w:spacing w:val="11"/>
              </w:rPr>
              <w:t>求极高、紧急订单多等，并提出针对性的应对策略。2.</w:t>
            </w:r>
            <w:r>
              <w:rPr>
                <w:color w:val="auto"/>
                <w:spacing w:val="10"/>
              </w:rPr>
              <w:t xml:space="preserve"> 经营</w:t>
            </w:r>
            <w:r>
              <w:rPr>
                <w:color w:val="auto"/>
                <w:spacing w:val="6"/>
              </w:rPr>
              <w:t>理念与经营措施：提出以“安全、准时、新鲜</w:t>
            </w:r>
            <w:r>
              <w:rPr>
                <w:color w:val="auto"/>
                <w:spacing w:val="-57"/>
              </w:rPr>
              <w:t xml:space="preserve"> </w:t>
            </w:r>
            <w:r>
              <w:rPr>
                <w:color w:val="auto"/>
                <w:spacing w:val="6"/>
              </w:rPr>
              <w:t>”为核心的服务</w:t>
            </w:r>
            <w:r>
              <w:rPr>
                <w:color w:val="auto"/>
                <w:spacing w:val="7"/>
              </w:rPr>
              <w:t>理念，并有具体的保障措施，如设立专门的医院配送团队、优</w:t>
            </w:r>
            <w:r>
              <w:rPr>
                <w:color w:val="auto"/>
                <w:spacing w:val="11"/>
              </w:rPr>
              <w:t>化采购和分拣流程。3. 计划可行性：制定详细的每日配送计</w:t>
            </w:r>
            <w:r>
              <w:rPr>
                <w:color w:val="auto"/>
                <w:spacing w:val="7"/>
              </w:rPr>
              <w:t>划，包括从接单、备货、分拣、装车、运输到验收的全流程时</w:t>
            </w:r>
            <w:r>
              <w:rPr>
                <w:color w:val="auto"/>
                <w:spacing w:val="3"/>
              </w:rPr>
              <w:t>间表，确保能</w:t>
            </w:r>
            <w:r>
              <w:rPr>
                <w:color w:val="auto"/>
                <w:spacing w:val="-24"/>
              </w:rPr>
              <w:t xml:space="preserve"> </w:t>
            </w:r>
            <w:r>
              <w:rPr>
                <w:color w:val="auto"/>
                <w:spacing w:val="3"/>
              </w:rPr>
              <w:t>100%满足各包件的送货时间要</w:t>
            </w:r>
            <w:r>
              <w:rPr>
                <w:color w:val="auto"/>
                <w:spacing w:val="2"/>
              </w:rPr>
              <w:t>求</w:t>
            </w:r>
            <w:r>
              <w:rPr>
                <w:color w:val="auto"/>
                <w:spacing w:val="8"/>
              </w:rPr>
              <w:t>。4. 应急预案：针对交通堵塞、车辆故障、恶</w:t>
            </w:r>
            <w:r>
              <w:rPr>
                <w:color w:val="auto"/>
                <w:spacing w:val="10"/>
              </w:rPr>
              <w:t>劣天气、紧急加单等常见突发情况，制定了详尽</w:t>
            </w:r>
            <w:r>
              <w:rPr>
                <w:color w:val="auto"/>
                <w:spacing w:val="9"/>
              </w:rPr>
              <w:t>的应急预案，</w:t>
            </w:r>
            <w:r>
              <w:rPr>
                <w:color w:val="auto"/>
                <w:spacing w:val="7"/>
              </w:rPr>
              <w:t>包括备用运输车辆、备用路线、紧急联络机制等，确保服务不</w:t>
            </w:r>
            <w:r>
              <w:rPr>
                <w:color w:val="auto"/>
                <w:spacing w:val="3"/>
              </w:rPr>
              <w:t>中断。</w:t>
            </w:r>
          </w:p>
          <w:p w14:paraId="16621601">
            <w:pPr>
              <w:pStyle w:val="19"/>
              <w:spacing w:before="1" w:line="461" w:lineRule="auto"/>
              <w:ind w:left="113" w:right="108" w:firstLine="420"/>
              <w:rPr>
                <w:color w:val="auto"/>
                <w:spacing w:val="6"/>
              </w:rPr>
            </w:pPr>
            <w:r>
              <w:rPr>
                <w:color w:val="auto"/>
                <w:spacing w:val="7"/>
              </w:rPr>
              <w:t>五档（</w:t>
            </w:r>
            <w:r>
              <w:rPr>
                <w:rFonts w:hint="eastAsia"/>
                <w:color w:val="auto"/>
                <w:spacing w:val="7"/>
                <w:lang w:val="en-US" w:eastAsia="zh-CN"/>
              </w:rPr>
              <w:t>8</w:t>
            </w:r>
            <w:r>
              <w:rPr>
                <w:color w:val="auto"/>
                <w:spacing w:val="7"/>
              </w:rPr>
              <w:t>分）: 在四档基础上，方案的配送</w:t>
            </w:r>
            <w:r>
              <w:rPr>
                <w:color w:val="auto"/>
                <w:spacing w:val="6"/>
              </w:rPr>
              <w:t>及实施进度安</w:t>
            </w:r>
            <w:r>
              <w:rPr>
                <w:color w:val="auto"/>
                <w:spacing w:val="9"/>
              </w:rPr>
              <w:t>排合理，并体现服务能力：1.提出利用信息化手段（如</w:t>
            </w:r>
            <w:r>
              <w:rPr>
                <w:color w:val="auto"/>
                <w:spacing w:val="-27"/>
              </w:rPr>
              <w:t xml:space="preserve"> </w:t>
            </w:r>
            <w:r>
              <w:rPr>
                <w:color w:val="auto"/>
              </w:rPr>
              <w:t>APP</w:t>
            </w:r>
            <w:r>
              <w:rPr>
                <w:color w:val="auto"/>
                <w:spacing w:val="9"/>
              </w:rPr>
              <w:t>、</w:t>
            </w:r>
            <w:r>
              <w:rPr>
                <w:color w:val="auto"/>
                <w:spacing w:val="7"/>
              </w:rPr>
              <w:t>微信群）实现订单、库存、运输状态的实时共享，提升与采购人的沟通效率。2.配送车辆配备</w:t>
            </w:r>
            <w:r>
              <w:rPr>
                <w:color w:val="auto"/>
                <w:spacing w:val="-35"/>
              </w:rPr>
              <w:t xml:space="preserve"> </w:t>
            </w:r>
            <w:r>
              <w:rPr>
                <w:color w:val="auto"/>
              </w:rPr>
              <w:t>GPS</w:t>
            </w:r>
            <w:r>
              <w:rPr>
                <w:color w:val="auto"/>
                <w:spacing w:val="-40"/>
              </w:rPr>
              <w:t xml:space="preserve"> </w:t>
            </w:r>
            <w:r>
              <w:rPr>
                <w:color w:val="auto"/>
                <w:spacing w:val="7"/>
              </w:rPr>
              <w:t>监控系统，并承诺实时向采购人开放位置信息，确保配送过程透明化。3.对于紧急订单（如临时加餐</w:t>
            </w:r>
            <w:r>
              <w:rPr>
                <w:color w:val="auto"/>
              </w:rPr>
              <w:t>），</w:t>
            </w:r>
            <w:r>
              <w:rPr>
                <w:color w:val="auto"/>
                <w:spacing w:val="7"/>
              </w:rPr>
              <w:t>承诺在</w:t>
            </w:r>
            <w:r>
              <w:rPr>
                <w:color w:val="auto"/>
                <w:spacing w:val="-35"/>
              </w:rPr>
              <w:t xml:space="preserve"> </w:t>
            </w:r>
            <w:r>
              <w:rPr>
                <w:color w:val="auto"/>
                <w:spacing w:val="7"/>
              </w:rPr>
              <w:t>2</w:t>
            </w:r>
            <w:r>
              <w:rPr>
                <w:color w:val="auto"/>
                <w:spacing w:val="-33"/>
              </w:rPr>
              <w:t xml:space="preserve"> </w:t>
            </w:r>
            <w:r>
              <w:rPr>
                <w:color w:val="auto"/>
                <w:spacing w:val="7"/>
              </w:rPr>
              <w:t>小时内完成响应和送达，远超一般要求。4.方案不仅满足要求，更能预见潜在问题并提供优化建</w:t>
            </w:r>
            <w:r>
              <w:rPr>
                <w:color w:val="auto"/>
                <w:spacing w:val="9"/>
              </w:rPr>
              <w:t>议，整体方案能为医院食堂提供超出预期的服务。</w:t>
            </w:r>
          </w:p>
        </w:tc>
      </w:tr>
    </w:tbl>
    <w:p w14:paraId="0F8CEBE8">
      <w:pPr>
        <w:spacing w:line="132" w:lineRule="exact"/>
        <w:rPr>
          <w:rFonts w:ascii="Arial"/>
          <w:color w:val="auto"/>
          <w:sz w:val="11"/>
        </w:rPr>
      </w:pPr>
    </w:p>
    <w:tbl>
      <w:tblPr>
        <w:tblStyle w:val="20"/>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2876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6" w:type="dxa"/>
            <w:tcBorders>
              <w:top w:val="nil"/>
            </w:tcBorders>
            <w:noWrap w:val="0"/>
            <w:vAlign w:val="top"/>
          </w:tcPr>
          <w:p w14:paraId="1F248E25">
            <w:pPr>
              <w:rPr>
                <w:rFonts w:ascii="Arial"/>
                <w:color w:val="auto"/>
                <w:sz w:val="21"/>
              </w:rPr>
            </w:pPr>
          </w:p>
        </w:tc>
        <w:tc>
          <w:tcPr>
            <w:tcW w:w="1710" w:type="dxa"/>
            <w:tcBorders>
              <w:top w:val="nil"/>
            </w:tcBorders>
            <w:noWrap w:val="0"/>
            <w:vAlign w:val="top"/>
          </w:tcPr>
          <w:p w14:paraId="0AC8CDBC">
            <w:pPr>
              <w:rPr>
                <w:rFonts w:ascii="Arial"/>
                <w:color w:val="auto"/>
                <w:sz w:val="21"/>
              </w:rPr>
            </w:pPr>
          </w:p>
        </w:tc>
        <w:tc>
          <w:tcPr>
            <w:tcW w:w="1904" w:type="dxa"/>
            <w:noWrap w:val="0"/>
            <w:vAlign w:val="top"/>
          </w:tcPr>
          <w:p w14:paraId="367E0283">
            <w:pPr>
              <w:spacing w:line="271" w:lineRule="auto"/>
              <w:rPr>
                <w:rFonts w:ascii="Arial"/>
                <w:color w:val="auto"/>
                <w:sz w:val="21"/>
              </w:rPr>
            </w:pPr>
          </w:p>
          <w:p w14:paraId="47E71406">
            <w:pPr>
              <w:spacing w:line="271" w:lineRule="auto"/>
              <w:rPr>
                <w:rFonts w:ascii="Arial"/>
                <w:color w:val="auto"/>
                <w:sz w:val="21"/>
              </w:rPr>
            </w:pPr>
          </w:p>
          <w:p w14:paraId="7C378803">
            <w:pPr>
              <w:spacing w:line="271" w:lineRule="auto"/>
              <w:rPr>
                <w:rFonts w:ascii="Arial"/>
                <w:color w:val="auto"/>
                <w:sz w:val="21"/>
              </w:rPr>
            </w:pPr>
          </w:p>
          <w:p w14:paraId="4D1B4571">
            <w:pPr>
              <w:spacing w:line="271" w:lineRule="auto"/>
              <w:rPr>
                <w:rFonts w:ascii="Arial"/>
                <w:color w:val="auto"/>
                <w:sz w:val="21"/>
              </w:rPr>
            </w:pPr>
          </w:p>
          <w:p w14:paraId="3BD09F71">
            <w:pPr>
              <w:spacing w:line="271" w:lineRule="auto"/>
              <w:rPr>
                <w:rFonts w:ascii="Arial"/>
                <w:color w:val="auto"/>
                <w:sz w:val="21"/>
              </w:rPr>
            </w:pPr>
          </w:p>
          <w:p w14:paraId="4DF22E2D">
            <w:pPr>
              <w:spacing w:line="271" w:lineRule="auto"/>
              <w:rPr>
                <w:rFonts w:ascii="Arial"/>
                <w:color w:val="auto"/>
                <w:sz w:val="21"/>
              </w:rPr>
            </w:pPr>
          </w:p>
          <w:p w14:paraId="460C7730">
            <w:pPr>
              <w:spacing w:line="272" w:lineRule="auto"/>
              <w:rPr>
                <w:rFonts w:ascii="Arial"/>
                <w:color w:val="auto"/>
                <w:sz w:val="21"/>
              </w:rPr>
            </w:pPr>
          </w:p>
          <w:p w14:paraId="5D88024E">
            <w:pPr>
              <w:pStyle w:val="19"/>
              <w:spacing w:before="65" w:line="462" w:lineRule="auto"/>
              <w:ind w:left="335" w:right="268" w:hanging="50"/>
              <w:rPr>
                <w:color w:val="auto"/>
              </w:rPr>
            </w:pPr>
            <w:r>
              <w:rPr>
                <w:b/>
                <w:bCs/>
                <w:color w:val="auto"/>
                <w:spacing w:val="6"/>
                <w:sz w:val="20"/>
                <w:szCs w:val="20"/>
              </w:rPr>
              <w:t>（2）服务承诺</w:t>
            </w:r>
            <w:r>
              <w:rPr>
                <w:b/>
                <w:bCs/>
                <w:color w:val="auto"/>
                <w:sz w:val="20"/>
                <w:szCs w:val="20"/>
              </w:rPr>
              <w:t>（满分</w:t>
            </w:r>
            <w:r>
              <w:rPr>
                <w:b/>
                <w:bCs/>
                <w:color w:val="auto"/>
                <w:spacing w:val="-35"/>
                <w:sz w:val="20"/>
                <w:szCs w:val="20"/>
              </w:rPr>
              <w:t xml:space="preserve"> </w:t>
            </w:r>
            <w:r>
              <w:rPr>
                <w:b/>
                <w:bCs/>
                <w:color w:val="auto"/>
                <w:sz w:val="20"/>
                <w:szCs w:val="20"/>
              </w:rPr>
              <w:t>8</w:t>
            </w:r>
            <w:r>
              <w:rPr>
                <w:b/>
                <w:bCs/>
                <w:color w:val="auto"/>
                <w:spacing w:val="-36"/>
                <w:sz w:val="20"/>
                <w:szCs w:val="20"/>
              </w:rPr>
              <w:t xml:space="preserve"> </w:t>
            </w:r>
            <w:r>
              <w:rPr>
                <w:b/>
                <w:bCs/>
                <w:color w:val="auto"/>
                <w:sz w:val="20"/>
                <w:szCs w:val="20"/>
              </w:rPr>
              <w:t>分）</w:t>
            </w:r>
          </w:p>
        </w:tc>
        <w:tc>
          <w:tcPr>
            <w:tcW w:w="5836" w:type="dxa"/>
            <w:noWrap w:val="0"/>
            <w:vAlign w:val="top"/>
          </w:tcPr>
          <w:p w14:paraId="4C912D1A">
            <w:pPr>
              <w:pStyle w:val="19"/>
              <w:spacing w:before="224" w:line="461" w:lineRule="auto"/>
              <w:ind w:right="276" w:firstLine="436" w:firstLineChars="200"/>
              <w:rPr>
                <w:color w:val="auto"/>
              </w:rPr>
            </w:pPr>
            <w:r>
              <w:rPr>
                <w:color w:val="auto"/>
                <w:spacing w:val="9"/>
              </w:rPr>
              <w:t>一档(2分)：结合本项目特点、要求，只进行普通响应性售后服务，有承诺和针对性，但无可操作性。</w:t>
            </w:r>
          </w:p>
          <w:p w14:paraId="0D063381">
            <w:pPr>
              <w:pStyle w:val="19"/>
              <w:spacing w:before="3" w:line="461" w:lineRule="auto"/>
              <w:ind w:right="245" w:firstLine="424" w:firstLineChars="200"/>
              <w:jc w:val="both"/>
              <w:rPr>
                <w:color w:val="auto"/>
                <w:spacing w:val="5"/>
              </w:rPr>
            </w:pPr>
            <w:r>
              <w:rPr>
                <w:color w:val="auto"/>
                <w:spacing w:val="6"/>
              </w:rPr>
              <w:t>二档（4</w:t>
            </w:r>
            <w:r>
              <w:rPr>
                <w:color w:val="auto"/>
                <w:spacing w:val="-38"/>
              </w:rPr>
              <w:t xml:space="preserve"> </w:t>
            </w:r>
            <w:r>
              <w:rPr>
                <w:color w:val="auto"/>
                <w:spacing w:val="6"/>
              </w:rPr>
              <w:t>分</w:t>
            </w:r>
            <w:r>
              <w:rPr>
                <w:color w:val="auto"/>
                <w:spacing w:val="2"/>
              </w:rPr>
              <w:t>）：</w:t>
            </w:r>
            <w:r>
              <w:rPr>
                <w:color w:val="auto"/>
                <w:spacing w:val="6"/>
              </w:rPr>
              <w:t>结合本项目特点、要求，在人员方面有</w:t>
            </w:r>
            <w:r>
              <w:rPr>
                <w:color w:val="auto"/>
                <w:spacing w:val="9"/>
              </w:rPr>
              <w:t>基本的岗前培训等，出现情况协助处理方案不详细，服务承诺包括时效、安全、源头稳定、质量等方面的承诺，方案具</w:t>
            </w:r>
            <w:r>
              <w:rPr>
                <w:color w:val="auto"/>
                <w:spacing w:val="5"/>
              </w:rPr>
              <w:t>有针对性。</w:t>
            </w:r>
          </w:p>
          <w:p w14:paraId="1478B844">
            <w:pPr>
              <w:pStyle w:val="19"/>
              <w:spacing w:before="3" w:line="461" w:lineRule="auto"/>
              <w:ind w:right="245" w:firstLine="420" w:firstLineChars="200"/>
              <w:jc w:val="both"/>
              <w:rPr>
                <w:color w:val="auto"/>
              </w:rPr>
            </w:pPr>
            <w:r>
              <w:rPr>
                <w:color w:val="auto"/>
                <w:spacing w:val="5"/>
              </w:rPr>
              <w:t>三档(6</w:t>
            </w:r>
            <w:r>
              <w:rPr>
                <w:color w:val="auto"/>
                <w:spacing w:val="-38"/>
              </w:rPr>
              <w:t xml:space="preserve"> </w:t>
            </w:r>
            <w:r>
              <w:rPr>
                <w:color w:val="auto"/>
                <w:spacing w:val="5"/>
              </w:rPr>
              <w:t>分)：结合本项目特点、要求，在人员方面有专业</w:t>
            </w:r>
            <w:r>
              <w:rPr>
                <w:color w:val="auto"/>
                <w:spacing w:val="7"/>
              </w:rPr>
              <w:t>的岗前培训等，出现情况协助处理方案详细，</w:t>
            </w:r>
            <w:r>
              <w:rPr>
                <w:color w:val="auto"/>
                <w:spacing w:val="-22"/>
              </w:rPr>
              <w:t xml:space="preserve"> </w:t>
            </w:r>
            <w:r>
              <w:rPr>
                <w:color w:val="auto"/>
                <w:spacing w:val="7"/>
              </w:rPr>
              <w:t>服务承诺包括</w:t>
            </w:r>
            <w:r>
              <w:rPr>
                <w:color w:val="auto"/>
                <w:spacing w:val="9"/>
              </w:rPr>
              <w:t>时效、安全、源头稳定、质量、责任追究、安全与质量赔付等方面的承诺，方案具有针对性和适用性，承诺设立专门的</w:t>
            </w:r>
            <w:r>
              <w:rPr>
                <w:color w:val="auto"/>
                <w:spacing w:val="7"/>
              </w:rPr>
              <w:t>售后服务人员。</w:t>
            </w:r>
          </w:p>
          <w:p w14:paraId="12E1A95B">
            <w:pPr>
              <w:pStyle w:val="19"/>
              <w:spacing w:line="391" w:lineRule="auto"/>
              <w:ind w:left="123" w:right="245" w:firstLine="198"/>
              <w:jc w:val="both"/>
              <w:rPr>
                <w:color w:val="auto"/>
              </w:rPr>
            </w:pPr>
          </w:p>
        </w:tc>
      </w:tr>
      <w:tr w14:paraId="1EAD5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566" w:type="dxa"/>
            <w:noWrap w:val="0"/>
            <w:vAlign w:val="top"/>
          </w:tcPr>
          <w:p w14:paraId="51E23646">
            <w:pPr>
              <w:rPr>
                <w:rFonts w:ascii="Arial"/>
                <w:color w:val="auto"/>
                <w:sz w:val="21"/>
              </w:rPr>
            </w:pPr>
          </w:p>
        </w:tc>
        <w:tc>
          <w:tcPr>
            <w:tcW w:w="1710" w:type="dxa"/>
            <w:noWrap w:val="0"/>
            <w:vAlign w:val="top"/>
          </w:tcPr>
          <w:p w14:paraId="158AA908">
            <w:pPr>
              <w:rPr>
                <w:rFonts w:ascii="Arial"/>
                <w:color w:val="auto"/>
                <w:sz w:val="21"/>
              </w:rPr>
            </w:pPr>
          </w:p>
        </w:tc>
        <w:tc>
          <w:tcPr>
            <w:tcW w:w="1904" w:type="dxa"/>
            <w:noWrap w:val="0"/>
            <w:vAlign w:val="top"/>
          </w:tcPr>
          <w:p w14:paraId="7C4AD2EE">
            <w:pPr>
              <w:rPr>
                <w:rFonts w:ascii="Arial"/>
                <w:color w:val="auto"/>
                <w:sz w:val="21"/>
              </w:rPr>
            </w:pPr>
          </w:p>
        </w:tc>
        <w:tc>
          <w:tcPr>
            <w:tcW w:w="5836" w:type="dxa"/>
            <w:noWrap w:val="0"/>
            <w:vAlign w:val="top"/>
          </w:tcPr>
          <w:p w14:paraId="7AA7D7AC">
            <w:pPr>
              <w:pStyle w:val="19"/>
              <w:spacing w:before="3" w:line="426" w:lineRule="auto"/>
              <w:ind w:right="267" w:firstLine="420" w:firstLineChars="200"/>
              <w:jc w:val="both"/>
              <w:rPr>
                <w:color w:val="auto"/>
              </w:rPr>
            </w:pPr>
            <w:r>
              <w:rPr>
                <w:color w:val="auto"/>
                <w:spacing w:val="5"/>
              </w:rPr>
              <w:t>四档(8</w:t>
            </w:r>
            <w:r>
              <w:rPr>
                <w:color w:val="auto"/>
                <w:spacing w:val="-38"/>
              </w:rPr>
              <w:t xml:space="preserve"> </w:t>
            </w:r>
            <w:r>
              <w:rPr>
                <w:color w:val="auto"/>
                <w:spacing w:val="5"/>
              </w:rPr>
              <w:t>分)：结合本项目特点、要求，售后服务方案</w:t>
            </w:r>
            <w:r>
              <w:rPr>
                <w:color w:val="auto"/>
                <w:spacing w:val="9"/>
              </w:rPr>
              <w:t>具体详细，包括时效、安全、源头稳定、质量、退换货、责任追究、安全与质量赔偿、企业质量、安全、教育、环境责任及为配送员工购买意外险承诺，方案具有针对性和可操作性，承诺安排专门的售后服务人员负责售后服务工作，并提</w:t>
            </w:r>
            <w:r>
              <w:rPr>
                <w:color w:val="auto"/>
                <w:spacing w:val="8"/>
              </w:rPr>
              <w:t>供人员身份证、健康证扫描件及联系方式。</w:t>
            </w:r>
          </w:p>
        </w:tc>
      </w:tr>
      <w:tr w14:paraId="256E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4" w:hRule="atLeast"/>
        </w:trPr>
        <w:tc>
          <w:tcPr>
            <w:tcW w:w="566" w:type="dxa"/>
            <w:noWrap w:val="0"/>
            <w:vAlign w:val="top"/>
          </w:tcPr>
          <w:p w14:paraId="58BA7CB8">
            <w:pPr>
              <w:spacing w:line="243" w:lineRule="auto"/>
              <w:rPr>
                <w:rFonts w:ascii="Arial"/>
                <w:color w:val="auto"/>
                <w:sz w:val="21"/>
              </w:rPr>
            </w:pPr>
          </w:p>
          <w:p w14:paraId="7CF6D828">
            <w:pPr>
              <w:spacing w:line="243" w:lineRule="auto"/>
              <w:rPr>
                <w:rFonts w:ascii="Arial"/>
                <w:color w:val="auto"/>
                <w:sz w:val="21"/>
              </w:rPr>
            </w:pPr>
          </w:p>
          <w:p w14:paraId="45E20930">
            <w:pPr>
              <w:spacing w:line="243" w:lineRule="auto"/>
              <w:rPr>
                <w:rFonts w:ascii="Arial"/>
                <w:color w:val="auto"/>
                <w:sz w:val="21"/>
              </w:rPr>
            </w:pPr>
          </w:p>
          <w:p w14:paraId="234F2805">
            <w:pPr>
              <w:spacing w:line="243" w:lineRule="auto"/>
              <w:rPr>
                <w:rFonts w:ascii="Arial"/>
                <w:color w:val="auto"/>
                <w:sz w:val="21"/>
              </w:rPr>
            </w:pPr>
          </w:p>
          <w:p w14:paraId="616F8E3B">
            <w:pPr>
              <w:spacing w:line="244" w:lineRule="auto"/>
              <w:rPr>
                <w:rFonts w:ascii="Arial"/>
                <w:color w:val="auto"/>
                <w:sz w:val="21"/>
              </w:rPr>
            </w:pPr>
          </w:p>
          <w:p w14:paraId="69BB0019">
            <w:pPr>
              <w:spacing w:line="244" w:lineRule="auto"/>
              <w:rPr>
                <w:rFonts w:ascii="Arial"/>
                <w:color w:val="auto"/>
                <w:sz w:val="21"/>
              </w:rPr>
            </w:pPr>
          </w:p>
          <w:p w14:paraId="2CDDED85">
            <w:pPr>
              <w:spacing w:line="244" w:lineRule="auto"/>
              <w:rPr>
                <w:rFonts w:ascii="Arial"/>
                <w:color w:val="auto"/>
                <w:sz w:val="21"/>
              </w:rPr>
            </w:pPr>
          </w:p>
          <w:p w14:paraId="5AF2D1C4">
            <w:pPr>
              <w:spacing w:line="244" w:lineRule="auto"/>
              <w:rPr>
                <w:rFonts w:ascii="Arial"/>
                <w:color w:val="auto"/>
                <w:sz w:val="21"/>
              </w:rPr>
            </w:pPr>
          </w:p>
          <w:p w14:paraId="043719EC">
            <w:pPr>
              <w:spacing w:line="244" w:lineRule="auto"/>
              <w:rPr>
                <w:rFonts w:ascii="Arial"/>
                <w:color w:val="auto"/>
                <w:sz w:val="21"/>
              </w:rPr>
            </w:pPr>
          </w:p>
          <w:p w14:paraId="3206DBB2">
            <w:pPr>
              <w:spacing w:line="244" w:lineRule="auto"/>
              <w:rPr>
                <w:rFonts w:ascii="Arial"/>
                <w:color w:val="auto"/>
                <w:sz w:val="21"/>
              </w:rPr>
            </w:pPr>
          </w:p>
          <w:p w14:paraId="653EC055">
            <w:pPr>
              <w:spacing w:line="244" w:lineRule="auto"/>
              <w:rPr>
                <w:rFonts w:ascii="Arial"/>
                <w:color w:val="auto"/>
                <w:sz w:val="21"/>
              </w:rPr>
            </w:pPr>
          </w:p>
          <w:p w14:paraId="0B91667C">
            <w:pPr>
              <w:spacing w:line="244" w:lineRule="auto"/>
              <w:rPr>
                <w:rFonts w:ascii="Arial"/>
                <w:color w:val="auto"/>
                <w:sz w:val="21"/>
              </w:rPr>
            </w:pPr>
          </w:p>
          <w:p w14:paraId="4CF78AA1">
            <w:pPr>
              <w:spacing w:line="244" w:lineRule="auto"/>
              <w:rPr>
                <w:rFonts w:ascii="Arial"/>
                <w:color w:val="auto"/>
                <w:sz w:val="21"/>
              </w:rPr>
            </w:pPr>
          </w:p>
          <w:p w14:paraId="20B82435">
            <w:pPr>
              <w:spacing w:line="244" w:lineRule="auto"/>
              <w:rPr>
                <w:rFonts w:ascii="Arial"/>
                <w:color w:val="auto"/>
                <w:sz w:val="21"/>
              </w:rPr>
            </w:pPr>
          </w:p>
          <w:p w14:paraId="250BC004">
            <w:pPr>
              <w:spacing w:line="244" w:lineRule="auto"/>
              <w:rPr>
                <w:rFonts w:ascii="Arial"/>
                <w:color w:val="auto"/>
                <w:sz w:val="21"/>
              </w:rPr>
            </w:pPr>
          </w:p>
          <w:p w14:paraId="7F0F6712">
            <w:pPr>
              <w:spacing w:line="244" w:lineRule="auto"/>
              <w:rPr>
                <w:rFonts w:ascii="Arial"/>
                <w:color w:val="auto"/>
                <w:sz w:val="21"/>
              </w:rPr>
            </w:pPr>
          </w:p>
          <w:p w14:paraId="14BD1D2C">
            <w:pPr>
              <w:spacing w:line="244" w:lineRule="auto"/>
              <w:rPr>
                <w:rFonts w:ascii="Arial"/>
                <w:color w:val="auto"/>
                <w:sz w:val="21"/>
              </w:rPr>
            </w:pPr>
          </w:p>
          <w:p w14:paraId="56038954">
            <w:pPr>
              <w:spacing w:line="244" w:lineRule="auto"/>
              <w:rPr>
                <w:rFonts w:ascii="Arial"/>
                <w:color w:val="auto"/>
                <w:sz w:val="21"/>
              </w:rPr>
            </w:pPr>
          </w:p>
          <w:p w14:paraId="277D1B69">
            <w:pPr>
              <w:spacing w:line="244" w:lineRule="auto"/>
              <w:rPr>
                <w:rFonts w:ascii="Arial"/>
                <w:color w:val="auto"/>
                <w:sz w:val="21"/>
              </w:rPr>
            </w:pPr>
          </w:p>
          <w:p w14:paraId="2FCFE855">
            <w:pPr>
              <w:spacing w:line="244" w:lineRule="auto"/>
              <w:rPr>
                <w:rFonts w:ascii="Arial"/>
                <w:color w:val="auto"/>
                <w:sz w:val="21"/>
              </w:rPr>
            </w:pPr>
          </w:p>
          <w:p w14:paraId="7AE7868D">
            <w:pPr>
              <w:pStyle w:val="19"/>
              <w:spacing w:before="65" w:line="269" w:lineRule="exact"/>
              <w:ind w:left="239"/>
              <w:rPr>
                <w:color w:val="auto"/>
              </w:rPr>
            </w:pPr>
            <w:r>
              <w:rPr>
                <w:color w:val="auto"/>
                <w:position w:val="1"/>
              </w:rPr>
              <w:t>3</w:t>
            </w:r>
          </w:p>
        </w:tc>
        <w:tc>
          <w:tcPr>
            <w:tcW w:w="1710" w:type="dxa"/>
            <w:noWrap w:val="0"/>
            <w:vAlign w:val="top"/>
          </w:tcPr>
          <w:p w14:paraId="2C35C578">
            <w:pPr>
              <w:spacing w:line="243" w:lineRule="auto"/>
              <w:rPr>
                <w:rFonts w:ascii="Arial"/>
                <w:color w:val="auto"/>
                <w:sz w:val="21"/>
              </w:rPr>
            </w:pPr>
          </w:p>
          <w:p w14:paraId="499C93D4">
            <w:pPr>
              <w:spacing w:line="243" w:lineRule="auto"/>
              <w:rPr>
                <w:rFonts w:ascii="Arial"/>
                <w:color w:val="auto"/>
                <w:sz w:val="21"/>
              </w:rPr>
            </w:pPr>
          </w:p>
          <w:p w14:paraId="21A4967C">
            <w:pPr>
              <w:spacing w:line="243" w:lineRule="auto"/>
              <w:rPr>
                <w:rFonts w:ascii="Arial"/>
                <w:color w:val="auto"/>
                <w:sz w:val="21"/>
              </w:rPr>
            </w:pPr>
          </w:p>
          <w:p w14:paraId="7ACD907C">
            <w:pPr>
              <w:spacing w:line="243" w:lineRule="auto"/>
              <w:rPr>
                <w:rFonts w:ascii="Arial"/>
                <w:color w:val="auto"/>
                <w:sz w:val="21"/>
              </w:rPr>
            </w:pPr>
          </w:p>
          <w:p w14:paraId="21A507FF">
            <w:pPr>
              <w:spacing w:line="243" w:lineRule="auto"/>
              <w:rPr>
                <w:rFonts w:ascii="Arial"/>
                <w:color w:val="auto"/>
                <w:sz w:val="21"/>
              </w:rPr>
            </w:pPr>
          </w:p>
          <w:p w14:paraId="580772DF">
            <w:pPr>
              <w:spacing w:line="243" w:lineRule="auto"/>
              <w:rPr>
                <w:rFonts w:ascii="Arial"/>
                <w:color w:val="auto"/>
                <w:sz w:val="21"/>
              </w:rPr>
            </w:pPr>
          </w:p>
          <w:p w14:paraId="1F950062">
            <w:pPr>
              <w:spacing w:line="243" w:lineRule="auto"/>
              <w:rPr>
                <w:rFonts w:ascii="Arial"/>
                <w:color w:val="auto"/>
                <w:sz w:val="21"/>
              </w:rPr>
            </w:pPr>
          </w:p>
          <w:p w14:paraId="050AF7B7">
            <w:pPr>
              <w:spacing w:line="243" w:lineRule="auto"/>
              <w:rPr>
                <w:rFonts w:ascii="Arial"/>
                <w:color w:val="auto"/>
                <w:sz w:val="21"/>
              </w:rPr>
            </w:pPr>
          </w:p>
          <w:p w14:paraId="48CF8376">
            <w:pPr>
              <w:spacing w:line="244" w:lineRule="auto"/>
              <w:rPr>
                <w:rFonts w:ascii="Arial"/>
                <w:color w:val="auto"/>
                <w:sz w:val="21"/>
              </w:rPr>
            </w:pPr>
          </w:p>
          <w:p w14:paraId="1599070C">
            <w:pPr>
              <w:spacing w:line="244" w:lineRule="auto"/>
              <w:rPr>
                <w:rFonts w:ascii="Arial"/>
                <w:color w:val="auto"/>
                <w:sz w:val="21"/>
              </w:rPr>
            </w:pPr>
          </w:p>
          <w:p w14:paraId="23C1F2EE">
            <w:pPr>
              <w:spacing w:line="244" w:lineRule="auto"/>
              <w:rPr>
                <w:rFonts w:ascii="Arial"/>
                <w:color w:val="auto"/>
                <w:sz w:val="21"/>
              </w:rPr>
            </w:pPr>
          </w:p>
          <w:p w14:paraId="5CF773B5">
            <w:pPr>
              <w:spacing w:line="244" w:lineRule="auto"/>
              <w:rPr>
                <w:rFonts w:ascii="Arial"/>
                <w:color w:val="auto"/>
                <w:sz w:val="21"/>
              </w:rPr>
            </w:pPr>
          </w:p>
          <w:p w14:paraId="58C1E969">
            <w:pPr>
              <w:spacing w:line="244" w:lineRule="auto"/>
              <w:rPr>
                <w:rFonts w:ascii="Arial"/>
                <w:color w:val="auto"/>
                <w:sz w:val="21"/>
              </w:rPr>
            </w:pPr>
          </w:p>
          <w:p w14:paraId="42A84C44">
            <w:pPr>
              <w:spacing w:line="244" w:lineRule="auto"/>
              <w:rPr>
                <w:rFonts w:ascii="Arial"/>
                <w:color w:val="auto"/>
                <w:sz w:val="21"/>
              </w:rPr>
            </w:pPr>
          </w:p>
          <w:p w14:paraId="4E77CD17">
            <w:pPr>
              <w:spacing w:line="244" w:lineRule="auto"/>
              <w:rPr>
                <w:rFonts w:ascii="Arial"/>
                <w:color w:val="auto"/>
                <w:sz w:val="21"/>
              </w:rPr>
            </w:pPr>
          </w:p>
          <w:p w14:paraId="72793E2D">
            <w:pPr>
              <w:spacing w:line="244" w:lineRule="auto"/>
              <w:rPr>
                <w:rFonts w:ascii="Arial"/>
                <w:color w:val="auto"/>
                <w:sz w:val="21"/>
              </w:rPr>
            </w:pPr>
          </w:p>
          <w:p w14:paraId="410429AB">
            <w:pPr>
              <w:spacing w:line="244" w:lineRule="auto"/>
              <w:rPr>
                <w:rFonts w:ascii="Arial"/>
                <w:color w:val="auto"/>
                <w:sz w:val="21"/>
              </w:rPr>
            </w:pPr>
          </w:p>
          <w:p w14:paraId="1C151B3F">
            <w:pPr>
              <w:spacing w:line="244" w:lineRule="auto"/>
              <w:rPr>
                <w:rFonts w:ascii="Arial"/>
                <w:color w:val="auto"/>
                <w:sz w:val="21"/>
              </w:rPr>
            </w:pPr>
          </w:p>
          <w:p w14:paraId="25E771EC">
            <w:pPr>
              <w:spacing w:line="244" w:lineRule="auto"/>
              <w:rPr>
                <w:rFonts w:ascii="Arial"/>
                <w:color w:val="auto"/>
                <w:sz w:val="21"/>
              </w:rPr>
            </w:pPr>
          </w:p>
          <w:p w14:paraId="3C84FFD1">
            <w:pPr>
              <w:pStyle w:val="19"/>
              <w:spacing w:before="65" w:line="228" w:lineRule="auto"/>
              <w:ind w:left="547"/>
              <w:rPr>
                <w:color w:val="auto"/>
              </w:rPr>
            </w:pPr>
            <w:r>
              <w:rPr>
                <w:color w:val="auto"/>
                <w:spacing w:val="5"/>
              </w:rPr>
              <w:t>商务分</w:t>
            </w:r>
          </w:p>
          <w:p w14:paraId="039378B0">
            <w:pPr>
              <w:pStyle w:val="19"/>
              <w:spacing w:before="252" w:line="228" w:lineRule="auto"/>
              <w:ind w:left="186"/>
              <w:rPr>
                <w:color w:val="auto"/>
              </w:rPr>
            </w:pPr>
            <w:r>
              <w:rPr>
                <w:color w:val="auto"/>
                <w:spacing w:val="1"/>
              </w:rPr>
              <w:t>（满分</w:t>
            </w:r>
            <w:r>
              <w:rPr>
                <w:rFonts w:hint="eastAsia"/>
                <w:color w:val="auto"/>
                <w:spacing w:val="-37"/>
                <w:lang w:val="en-US" w:eastAsia="zh-CN"/>
              </w:rPr>
              <w:t xml:space="preserve">38  </w:t>
            </w:r>
            <w:r>
              <w:rPr>
                <w:color w:val="auto"/>
                <w:spacing w:val="-35"/>
              </w:rPr>
              <w:t xml:space="preserve"> </w:t>
            </w:r>
            <w:r>
              <w:rPr>
                <w:color w:val="auto"/>
                <w:spacing w:val="1"/>
              </w:rPr>
              <w:t>分）</w:t>
            </w:r>
          </w:p>
        </w:tc>
        <w:tc>
          <w:tcPr>
            <w:tcW w:w="1904" w:type="dxa"/>
            <w:noWrap w:val="0"/>
            <w:vAlign w:val="top"/>
          </w:tcPr>
          <w:p w14:paraId="7710E9AE">
            <w:pPr>
              <w:spacing w:line="243" w:lineRule="auto"/>
              <w:rPr>
                <w:rFonts w:ascii="Arial"/>
                <w:color w:val="auto"/>
                <w:sz w:val="21"/>
              </w:rPr>
            </w:pPr>
          </w:p>
          <w:p w14:paraId="513FBCB6">
            <w:pPr>
              <w:spacing w:line="243" w:lineRule="auto"/>
              <w:rPr>
                <w:rFonts w:ascii="Arial"/>
                <w:color w:val="auto"/>
                <w:sz w:val="21"/>
              </w:rPr>
            </w:pPr>
          </w:p>
          <w:p w14:paraId="3F1E9B50">
            <w:pPr>
              <w:spacing w:line="243" w:lineRule="auto"/>
              <w:rPr>
                <w:rFonts w:ascii="Arial"/>
                <w:color w:val="auto"/>
                <w:sz w:val="21"/>
              </w:rPr>
            </w:pPr>
          </w:p>
          <w:p w14:paraId="3B27EA23">
            <w:pPr>
              <w:spacing w:line="243" w:lineRule="auto"/>
              <w:rPr>
                <w:rFonts w:ascii="Arial"/>
                <w:color w:val="auto"/>
                <w:sz w:val="21"/>
              </w:rPr>
            </w:pPr>
          </w:p>
          <w:p w14:paraId="4A4FA45B">
            <w:pPr>
              <w:spacing w:line="243" w:lineRule="auto"/>
              <w:rPr>
                <w:rFonts w:ascii="Arial"/>
                <w:color w:val="auto"/>
                <w:sz w:val="21"/>
              </w:rPr>
            </w:pPr>
          </w:p>
          <w:p w14:paraId="7A2FBE8A">
            <w:pPr>
              <w:spacing w:line="243" w:lineRule="auto"/>
              <w:rPr>
                <w:rFonts w:ascii="Arial"/>
                <w:color w:val="auto"/>
                <w:sz w:val="21"/>
              </w:rPr>
            </w:pPr>
          </w:p>
          <w:p w14:paraId="4505D654">
            <w:pPr>
              <w:spacing w:line="243" w:lineRule="auto"/>
              <w:rPr>
                <w:rFonts w:ascii="Arial"/>
                <w:color w:val="auto"/>
                <w:sz w:val="21"/>
              </w:rPr>
            </w:pPr>
          </w:p>
          <w:p w14:paraId="587C24E2">
            <w:pPr>
              <w:spacing w:line="243" w:lineRule="auto"/>
              <w:rPr>
                <w:rFonts w:ascii="Arial"/>
                <w:color w:val="auto"/>
                <w:sz w:val="21"/>
              </w:rPr>
            </w:pPr>
          </w:p>
          <w:p w14:paraId="7AF8D72F">
            <w:pPr>
              <w:spacing w:line="244" w:lineRule="auto"/>
              <w:rPr>
                <w:rFonts w:ascii="Arial"/>
                <w:color w:val="auto"/>
                <w:sz w:val="21"/>
              </w:rPr>
            </w:pPr>
          </w:p>
          <w:p w14:paraId="2D1E7C2F">
            <w:pPr>
              <w:spacing w:line="244" w:lineRule="auto"/>
              <w:rPr>
                <w:rFonts w:ascii="Arial"/>
                <w:color w:val="auto"/>
                <w:sz w:val="21"/>
              </w:rPr>
            </w:pPr>
          </w:p>
          <w:p w14:paraId="2019E167">
            <w:pPr>
              <w:spacing w:line="244" w:lineRule="auto"/>
              <w:rPr>
                <w:rFonts w:ascii="Arial"/>
                <w:color w:val="auto"/>
                <w:sz w:val="21"/>
              </w:rPr>
            </w:pPr>
          </w:p>
          <w:p w14:paraId="0C088C5A">
            <w:pPr>
              <w:spacing w:line="244" w:lineRule="auto"/>
              <w:rPr>
                <w:rFonts w:ascii="Arial"/>
                <w:color w:val="auto"/>
                <w:sz w:val="21"/>
              </w:rPr>
            </w:pPr>
          </w:p>
          <w:p w14:paraId="493A5DB6">
            <w:pPr>
              <w:spacing w:line="244" w:lineRule="auto"/>
              <w:rPr>
                <w:rFonts w:ascii="Arial"/>
                <w:color w:val="auto"/>
                <w:sz w:val="21"/>
              </w:rPr>
            </w:pPr>
          </w:p>
          <w:p w14:paraId="023581C0">
            <w:pPr>
              <w:spacing w:line="244" w:lineRule="auto"/>
              <w:rPr>
                <w:rFonts w:ascii="Arial"/>
                <w:color w:val="auto"/>
                <w:sz w:val="21"/>
              </w:rPr>
            </w:pPr>
          </w:p>
          <w:p w14:paraId="3CF48875">
            <w:pPr>
              <w:spacing w:line="244" w:lineRule="auto"/>
              <w:rPr>
                <w:rFonts w:ascii="Arial"/>
                <w:color w:val="auto"/>
                <w:sz w:val="21"/>
              </w:rPr>
            </w:pPr>
          </w:p>
          <w:p w14:paraId="6666EC80">
            <w:pPr>
              <w:spacing w:line="244" w:lineRule="auto"/>
              <w:rPr>
                <w:rFonts w:ascii="Arial"/>
                <w:color w:val="auto"/>
                <w:sz w:val="21"/>
              </w:rPr>
            </w:pPr>
          </w:p>
          <w:p w14:paraId="53C691A4">
            <w:pPr>
              <w:spacing w:line="244" w:lineRule="auto"/>
              <w:rPr>
                <w:rFonts w:ascii="Arial"/>
                <w:color w:val="auto"/>
                <w:sz w:val="21"/>
              </w:rPr>
            </w:pPr>
          </w:p>
          <w:p w14:paraId="5DC88AF4">
            <w:pPr>
              <w:spacing w:line="244" w:lineRule="auto"/>
              <w:rPr>
                <w:rFonts w:ascii="Arial"/>
                <w:color w:val="auto"/>
                <w:sz w:val="21"/>
              </w:rPr>
            </w:pPr>
          </w:p>
          <w:p w14:paraId="6D99C045">
            <w:pPr>
              <w:spacing w:line="244" w:lineRule="auto"/>
              <w:rPr>
                <w:rFonts w:ascii="Arial"/>
                <w:color w:val="auto"/>
                <w:sz w:val="21"/>
              </w:rPr>
            </w:pPr>
          </w:p>
          <w:p w14:paraId="0A47190B">
            <w:pPr>
              <w:pStyle w:val="19"/>
              <w:spacing w:before="65" w:line="462" w:lineRule="auto"/>
              <w:ind w:left="335" w:right="268" w:hanging="50"/>
              <w:rPr>
                <w:b/>
                <w:bCs/>
                <w:color w:val="auto"/>
                <w:spacing w:val="6"/>
                <w:sz w:val="20"/>
                <w:szCs w:val="20"/>
              </w:rPr>
            </w:pPr>
            <w:r>
              <w:rPr>
                <w:b/>
                <w:bCs/>
                <w:color w:val="auto"/>
                <w:spacing w:val="6"/>
                <w:sz w:val="20"/>
                <w:szCs w:val="20"/>
              </w:rPr>
              <w:t>（1）配送车辆（满</w:t>
            </w:r>
          </w:p>
          <w:p w14:paraId="50F6E90C">
            <w:pPr>
              <w:pStyle w:val="19"/>
              <w:spacing w:before="65" w:line="462" w:lineRule="auto"/>
              <w:ind w:left="335" w:right="268" w:hanging="50"/>
              <w:rPr>
                <w:color w:val="auto"/>
              </w:rPr>
            </w:pPr>
            <w:r>
              <w:rPr>
                <w:b/>
                <w:bCs/>
                <w:color w:val="auto"/>
                <w:spacing w:val="6"/>
                <w:sz w:val="20"/>
                <w:szCs w:val="20"/>
              </w:rPr>
              <w:t>分 10 分）</w:t>
            </w:r>
          </w:p>
        </w:tc>
        <w:tc>
          <w:tcPr>
            <w:tcW w:w="5836" w:type="dxa"/>
            <w:noWrap w:val="0"/>
            <w:vAlign w:val="top"/>
          </w:tcPr>
          <w:p w14:paraId="1B3C38E6">
            <w:pPr>
              <w:pStyle w:val="19"/>
              <w:spacing w:before="222" w:line="228" w:lineRule="auto"/>
              <w:ind w:left="129"/>
              <w:rPr>
                <w:color w:val="auto"/>
              </w:rPr>
            </w:pPr>
            <w:r>
              <w:rPr>
                <w:rFonts w:hint="eastAsia"/>
                <w:color w:val="auto"/>
                <w:spacing w:val="5"/>
                <w:lang w:eastAsia="zh-CN"/>
              </w:rPr>
              <w:t>①</w:t>
            </w:r>
            <w:r>
              <w:rPr>
                <w:color w:val="auto"/>
                <w:spacing w:val="5"/>
              </w:rPr>
              <w:t>车辆配置数量分（满分</w:t>
            </w:r>
            <w:r>
              <w:rPr>
                <w:color w:val="auto"/>
                <w:spacing w:val="-36"/>
              </w:rPr>
              <w:t xml:space="preserve"> </w:t>
            </w:r>
            <w:r>
              <w:rPr>
                <w:color w:val="auto"/>
                <w:spacing w:val="5"/>
              </w:rPr>
              <w:t>6</w:t>
            </w:r>
            <w:r>
              <w:rPr>
                <w:color w:val="auto"/>
                <w:spacing w:val="-35"/>
              </w:rPr>
              <w:t xml:space="preserve"> </w:t>
            </w:r>
            <w:r>
              <w:rPr>
                <w:color w:val="auto"/>
                <w:spacing w:val="5"/>
              </w:rPr>
              <w:t>分）</w:t>
            </w:r>
          </w:p>
          <w:p w14:paraId="1605BDB7">
            <w:pPr>
              <w:pStyle w:val="19"/>
              <w:spacing w:before="250" w:line="462" w:lineRule="auto"/>
              <w:ind w:left="112" w:right="108" w:firstLine="421"/>
              <w:jc w:val="both"/>
              <w:rPr>
                <w:color w:val="auto"/>
              </w:rPr>
            </w:pPr>
            <w:r>
              <w:rPr>
                <w:color w:val="auto"/>
                <w:spacing w:val="7"/>
              </w:rPr>
              <w:t>在满足至少一辆专业配</w:t>
            </w:r>
            <w:r>
              <w:rPr>
                <w:color w:val="auto"/>
                <w:spacing w:val="6"/>
              </w:rPr>
              <w:t>送车的基础上，投标人每增加</w:t>
            </w:r>
            <w:r>
              <w:rPr>
                <w:color w:val="auto"/>
                <w:spacing w:val="-15"/>
              </w:rPr>
              <w:t xml:space="preserve"> </w:t>
            </w:r>
            <w:r>
              <w:rPr>
                <w:color w:val="auto"/>
                <w:spacing w:val="6"/>
              </w:rPr>
              <w:t>1</w:t>
            </w:r>
            <w:r>
              <w:rPr>
                <w:color w:val="auto"/>
                <w:spacing w:val="-39"/>
              </w:rPr>
              <w:t xml:space="preserve"> </w:t>
            </w:r>
            <w:r>
              <w:rPr>
                <w:color w:val="auto"/>
                <w:spacing w:val="6"/>
              </w:rPr>
              <w:t>辆自有或租赁冷藏厢式货车得</w:t>
            </w:r>
            <w:r>
              <w:rPr>
                <w:color w:val="auto"/>
                <w:spacing w:val="4"/>
              </w:rPr>
              <w:t>3</w:t>
            </w:r>
            <w:r>
              <w:rPr>
                <w:color w:val="auto"/>
                <w:spacing w:val="-31"/>
              </w:rPr>
              <w:t xml:space="preserve"> </w:t>
            </w:r>
            <w:r>
              <w:rPr>
                <w:color w:val="auto"/>
                <w:spacing w:val="4"/>
              </w:rPr>
              <w:t>分，每增加</w:t>
            </w:r>
            <w:r>
              <w:rPr>
                <w:color w:val="auto"/>
                <w:spacing w:val="-21"/>
              </w:rPr>
              <w:t xml:space="preserve"> </w:t>
            </w:r>
            <w:r>
              <w:rPr>
                <w:color w:val="auto"/>
                <w:spacing w:val="4"/>
              </w:rPr>
              <w:t>1</w:t>
            </w:r>
            <w:r>
              <w:rPr>
                <w:color w:val="auto"/>
                <w:spacing w:val="-41"/>
              </w:rPr>
              <w:t xml:space="preserve"> </w:t>
            </w:r>
            <w:r>
              <w:rPr>
                <w:color w:val="auto"/>
                <w:spacing w:val="4"/>
              </w:rPr>
              <w:t>辆普通厢式货车得</w:t>
            </w:r>
            <w:r>
              <w:rPr>
                <w:color w:val="auto"/>
                <w:spacing w:val="-22"/>
              </w:rPr>
              <w:t xml:space="preserve"> </w:t>
            </w:r>
            <w:r>
              <w:rPr>
                <w:color w:val="auto"/>
                <w:spacing w:val="4"/>
              </w:rPr>
              <w:t>1</w:t>
            </w:r>
            <w:r>
              <w:rPr>
                <w:color w:val="auto"/>
                <w:spacing w:val="-35"/>
              </w:rPr>
              <w:t xml:space="preserve"> </w:t>
            </w:r>
            <w:r>
              <w:rPr>
                <w:color w:val="auto"/>
                <w:spacing w:val="4"/>
              </w:rPr>
              <w:t>分。此项满分</w:t>
            </w:r>
            <w:r>
              <w:rPr>
                <w:color w:val="auto"/>
                <w:spacing w:val="-35"/>
              </w:rPr>
              <w:t xml:space="preserve"> </w:t>
            </w:r>
            <w:r>
              <w:rPr>
                <w:color w:val="auto"/>
                <w:spacing w:val="4"/>
              </w:rPr>
              <w:t>6</w:t>
            </w:r>
            <w:r>
              <w:rPr>
                <w:color w:val="auto"/>
                <w:spacing w:val="-38"/>
              </w:rPr>
              <w:t xml:space="preserve"> </w:t>
            </w:r>
            <w:r>
              <w:rPr>
                <w:color w:val="auto"/>
                <w:spacing w:val="4"/>
              </w:rPr>
              <w:t>分。</w:t>
            </w:r>
          </w:p>
          <w:p w14:paraId="76F3728A">
            <w:pPr>
              <w:pStyle w:val="19"/>
              <w:spacing w:before="3" w:line="461" w:lineRule="auto"/>
              <w:ind w:left="113" w:right="108" w:firstLine="420"/>
              <w:jc w:val="both"/>
              <w:rPr>
                <w:color w:val="auto"/>
              </w:rPr>
            </w:pPr>
            <w:r>
              <w:rPr>
                <w:b/>
                <w:bCs/>
                <w:color w:val="auto"/>
                <w:spacing w:val="5"/>
              </w:rPr>
              <w:t>注：【自有车辆必须提供车辆行驶证或购买车辆发票（车辆所有人为法定代表人名字或投标单位名字）扫描件，并提供车辆前后左右实拍照片且清晰可辨等证明材料】；【租赁车辆必须提供行驶证或购买发票（所有人为出租方）及租赁合同扫</w:t>
            </w:r>
            <w:r>
              <w:rPr>
                <w:b/>
                <w:bCs/>
                <w:color w:val="auto"/>
                <w:spacing w:val="6"/>
              </w:rPr>
              <w:t>描件（租车时必须提供，租赁期须包含本项目服务期</w:t>
            </w:r>
            <w:r>
              <w:rPr>
                <w:b/>
                <w:bCs/>
                <w:color w:val="auto"/>
              </w:rPr>
              <w:t>），</w:t>
            </w:r>
            <w:r>
              <w:rPr>
                <w:b/>
                <w:bCs/>
                <w:color w:val="auto"/>
                <w:spacing w:val="6"/>
              </w:rPr>
              <w:t>并提</w:t>
            </w:r>
            <w:r>
              <w:rPr>
                <w:b/>
                <w:bCs/>
                <w:color w:val="auto"/>
                <w:spacing w:val="5"/>
              </w:rPr>
              <w:t>供车辆前后左右实拍照片且清晰可辨等证明材料】，所提供的扫描件须加盖投标人公章，未按要求提供相关材料或扫描不清</w:t>
            </w:r>
            <w:r>
              <w:rPr>
                <w:b/>
                <w:bCs/>
                <w:color w:val="auto"/>
                <w:spacing w:val="7"/>
              </w:rPr>
              <w:t>晰导致无法识别的不计得分。</w:t>
            </w:r>
          </w:p>
          <w:p w14:paraId="73CD2844">
            <w:pPr>
              <w:pStyle w:val="19"/>
              <w:spacing w:before="1" w:line="461" w:lineRule="auto"/>
              <w:ind w:left="114" w:right="52" w:firstLine="2"/>
              <w:jc w:val="both"/>
              <w:rPr>
                <w:color w:val="auto"/>
              </w:rPr>
            </w:pPr>
            <w:r>
              <w:rPr>
                <w:rFonts w:hint="eastAsia"/>
                <w:color w:val="auto"/>
                <w:spacing w:val="7"/>
                <w:lang w:eastAsia="zh-CN"/>
              </w:rPr>
              <w:t>②</w:t>
            </w:r>
            <w:r>
              <w:rPr>
                <w:color w:val="auto"/>
                <w:spacing w:val="7"/>
              </w:rPr>
              <w:t>拟投入本项目运输车辆配备监控系统，能实时联网监控车辆</w:t>
            </w:r>
            <w:r>
              <w:rPr>
                <w:color w:val="auto"/>
                <w:spacing w:val="1"/>
              </w:rPr>
              <w:t>实时定位、轨迹追踪、状态监控、调度管理，每有</w:t>
            </w:r>
            <w:r>
              <w:rPr>
                <w:color w:val="auto"/>
              </w:rPr>
              <w:t>一项得</w:t>
            </w:r>
            <w:r>
              <w:rPr>
                <w:color w:val="auto"/>
                <w:spacing w:val="-21"/>
              </w:rPr>
              <w:t xml:space="preserve"> </w:t>
            </w:r>
            <w:r>
              <w:rPr>
                <w:color w:val="auto"/>
              </w:rPr>
              <w:t>1</w:t>
            </w:r>
            <w:r>
              <w:rPr>
                <w:color w:val="auto"/>
                <w:spacing w:val="-38"/>
              </w:rPr>
              <w:t xml:space="preserve"> </w:t>
            </w:r>
            <w:r>
              <w:rPr>
                <w:color w:val="auto"/>
              </w:rPr>
              <w:t>分，</w:t>
            </w:r>
            <w:r>
              <w:rPr>
                <w:color w:val="auto"/>
                <w:spacing w:val="1"/>
              </w:rPr>
              <w:t>满分</w:t>
            </w:r>
            <w:r>
              <w:rPr>
                <w:color w:val="auto"/>
                <w:spacing w:val="-38"/>
              </w:rPr>
              <w:t xml:space="preserve"> </w:t>
            </w:r>
            <w:r>
              <w:rPr>
                <w:color w:val="auto"/>
                <w:spacing w:val="1"/>
              </w:rPr>
              <w:t>4</w:t>
            </w:r>
            <w:r>
              <w:rPr>
                <w:color w:val="auto"/>
                <w:spacing w:val="-38"/>
              </w:rPr>
              <w:t xml:space="preserve"> </w:t>
            </w:r>
            <w:r>
              <w:rPr>
                <w:color w:val="auto"/>
                <w:spacing w:val="1"/>
              </w:rPr>
              <w:t>分。</w:t>
            </w:r>
          </w:p>
          <w:p w14:paraId="2000526B">
            <w:pPr>
              <w:pStyle w:val="19"/>
              <w:spacing w:before="224" w:line="462" w:lineRule="auto"/>
              <w:ind w:left="114" w:right="267" w:firstLine="1"/>
              <w:rPr>
                <w:color w:val="auto"/>
              </w:rPr>
            </w:pPr>
            <w:r>
              <w:rPr>
                <w:b/>
                <w:bCs/>
                <w:color w:val="auto"/>
                <w:spacing w:val="5"/>
              </w:rPr>
              <w:t>注：须提供相关车辆监控系统证明材料，自有系统须提供</w:t>
            </w:r>
            <w:r>
              <w:rPr>
                <w:color w:val="auto"/>
                <w:spacing w:val="9"/>
              </w:rPr>
              <w:t>等方面的承诺，方案具有针对性和适用性，承诺设立专门的</w:t>
            </w:r>
            <w:r>
              <w:rPr>
                <w:color w:val="auto"/>
                <w:spacing w:val="7"/>
              </w:rPr>
              <w:t>售后服务人员。</w:t>
            </w:r>
            <w:r>
              <w:rPr>
                <w:b/>
                <w:bCs/>
                <w:color w:val="auto"/>
                <w:spacing w:val="4"/>
              </w:rPr>
              <w:t>自主研发证明、系统使用截图；购买或租赁系统须提供系统购</w:t>
            </w:r>
            <w:r>
              <w:rPr>
                <w:b/>
                <w:bCs/>
                <w:color w:val="auto"/>
                <w:spacing w:val="5"/>
              </w:rPr>
              <w:t>买或租赁合同、系统使用截图并加盖投标人公章。未按要求提供者不得分。</w:t>
            </w:r>
          </w:p>
          <w:p w14:paraId="670D48FD">
            <w:pPr>
              <w:pStyle w:val="19"/>
              <w:spacing w:before="1" w:line="227" w:lineRule="auto"/>
              <w:ind w:left="534"/>
              <w:rPr>
                <w:color w:val="auto"/>
              </w:rPr>
            </w:pPr>
          </w:p>
        </w:tc>
      </w:tr>
    </w:tbl>
    <w:p w14:paraId="0A3F2864">
      <w:pPr>
        <w:spacing w:line="132" w:lineRule="exact"/>
        <w:rPr>
          <w:rFonts w:ascii="Arial" w:hAnsi="Arial" w:eastAsia="Arial" w:cs="Arial"/>
          <w:color w:val="auto"/>
          <w:sz w:val="11"/>
          <w:szCs w:val="11"/>
        </w:rPr>
        <w:sectPr>
          <w:footerReference r:id="rId9" w:type="default"/>
          <w:pgSz w:w="11911" w:h="16839"/>
          <w:pgMar w:top="400" w:right="857" w:bottom="1149" w:left="1032" w:header="0" w:footer="913" w:gutter="0"/>
          <w:cols w:space="720" w:num="1"/>
        </w:sectPr>
      </w:pPr>
    </w:p>
    <w:tbl>
      <w:tblPr>
        <w:tblStyle w:val="20"/>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43409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566" w:type="dxa"/>
            <w:vMerge w:val="restart"/>
            <w:tcBorders>
              <w:top w:val="nil"/>
            </w:tcBorders>
            <w:noWrap w:val="0"/>
            <w:vAlign w:val="top"/>
          </w:tcPr>
          <w:p w14:paraId="0BF4FFE0">
            <w:pPr>
              <w:rPr>
                <w:rFonts w:ascii="Arial"/>
                <w:color w:val="auto"/>
                <w:sz w:val="21"/>
              </w:rPr>
            </w:pPr>
          </w:p>
        </w:tc>
        <w:tc>
          <w:tcPr>
            <w:tcW w:w="1710" w:type="dxa"/>
            <w:vMerge w:val="restart"/>
            <w:tcBorders>
              <w:top w:val="nil"/>
            </w:tcBorders>
            <w:noWrap w:val="0"/>
            <w:vAlign w:val="top"/>
          </w:tcPr>
          <w:p w14:paraId="53560D1C">
            <w:pPr>
              <w:rPr>
                <w:rFonts w:ascii="Arial"/>
                <w:color w:val="auto"/>
                <w:sz w:val="21"/>
              </w:rPr>
            </w:pPr>
          </w:p>
        </w:tc>
        <w:tc>
          <w:tcPr>
            <w:tcW w:w="1904" w:type="dxa"/>
            <w:noWrap w:val="0"/>
            <w:vAlign w:val="top"/>
          </w:tcPr>
          <w:p w14:paraId="495107D6">
            <w:pPr>
              <w:spacing w:line="300" w:lineRule="auto"/>
              <w:rPr>
                <w:rFonts w:ascii="Arial"/>
                <w:color w:val="auto"/>
                <w:sz w:val="21"/>
              </w:rPr>
            </w:pPr>
          </w:p>
          <w:p w14:paraId="4CF9BD2C">
            <w:pPr>
              <w:spacing w:line="300" w:lineRule="auto"/>
              <w:rPr>
                <w:rFonts w:ascii="Arial"/>
                <w:color w:val="auto"/>
                <w:sz w:val="21"/>
              </w:rPr>
            </w:pPr>
          </w:p>
          <w:p w14:paraId="31BDAC2B">
            <w:pPr>
              <w:pStyle w:val="19"/>
              <w:spacing w:before="65" w:line="462" w:lineRule="auto"/>
              <w:ind w:left="335" w:right="268" w:hanging="50"/>
              <w:rPr>
                <w:b/>
                <w:bCs/>
                <w:color w:val="auto"/>
                <w:spacing w:val="6"/>
                <w:sz w:val="20"/>
                <w:szCs w:val="20"/>
              </w:rPr>
            </w:pPr>
          </w:p>
          <w:p w14:paraId="1D17676D">
            <w:pPr>
              <w:pStyle w:val="19"/>
              <w:spacing w:before="65" w:line="462" w:lineRule="auto"/>
              <w:ind w:left="335" w:right="268" w:hanging="50"/>
              <w:rPr>
                <w:color w:val="auto"/>
              </w:rPr>
            </w:pPr>
            <w:r>
              <w:rPr>
                <w:b/>
                <w:bCs/>
                <w:color w:val="auto"/>
                <w:spacing w:val="6"/>
                <w:sz w:val="20"/>
                <w:szCs w:val="20"/>
              </w:rPr>
              <w:t>（2）投入人员（满分 5 分）</w:t>
            </w:r>
          </w:p>
        </w:tc>
        <w:tc>
          <w:tcPr>
            <w:tcW w:w="5836" w:type="dxa"/>
            <w:noWrap w:val="0"/>
            <w:vAlign w:val="top"/>
          </w:tcPr>
          <w:p w14:paraId="12FDBE82">
            <w:pPr>
              <w:pStyle w:val="19"/>
              <w:spacing w:before="220" w:line="462" w:lineRule="auto"/>
              <w:ind w:left="115" w:right="37" w:firstLine="420"/>
              <w:rPr>
                <w:color w:val="auto"/>
              </w:rPr>
            </w:pPr>
            <w:r>
              <w:rPr>
                <w:color w:val="auto"/>
                <w:spacing w:val="7"/>
              </w:rPr>
              <w:t>为了保证负责食材配送的人员充足到位，有效应对紧急状</w:t>
            </w:r>
            <w:r>
              <w:rPr>
                <w:color w:val="auto"/>
                <w:spacing w:val="-1"/>
              </w:rPr>
              <w:t>况，拟投入本项目的食材配送人员每有</w:t>
            </w:r>
            <w:r>
              <w:rPr>
                <w:color w:val="auto"/>
                <w:spacing w:val="-21"/>
              </w:rPr>
              <w:t xml:space="preserve"> </w:t>
            </w:r>
            <w:r>
              <w:rPr>
                <w:color w:val="auto"/>
                <w:spacing w:val="-1"/>
              </w:rPr>
              <w:t>1</w:t>
            </w:r>
            <w:r>
              <w:rPr>
                <w:color w:val="auto"/>
                <w:spacing w:val="-38"/>
              </w:rPr>
              <w:t xml:space="preserve"> </w:t>
            </w:r>
            <w:r>
              <w:rPr>
                <w:color w:val="auto"/>
                <w:spacing w:val="-1"/>
              </w:rPr>
              <w:t>名得</w:t>
            </w:r>
            <w:r>
              <w:rPr>
                <w:color w:val="auto"/>
                <w:spacing w:val="-21"/>
              </w:rPr>
              <w:t xml:space="preserve"> </w:t>
            </w:r>
            <w:r>
              <w:rPr>
                <w:color w:val="auto"/>
                <w:spacing w:val="-1"/>
              </w:rPr>
              <w:t>1</w:t>
            </w:r>
            <w:r>
              <w:rPr>
                <w:color w:val="auto"/>
                <w:spacing w:val="-38"/>
              </w:rPr>
              <w:t xml:space="preserve"> </w:t>
            </w:r>
            <w:r>
              <w:rPr>
                <w:color w:val="auto"/>
                <w:spacing w:val="-2"/>
              </w:rPr>
              <w:t>分，满分</w:t>
            </w:r>
            <w:r>
              <w:rPr>
                <w:color w:val="auto"/>
                <w:spacing w:val="-33"/>
              </w:rPr>
              <w:t xml:space="preserve"> </w:t>
            </w:r>
            <w:r>
              <w:rPr>
                <w:color w:val="auto"/>
                <w:spacing w:val="-2"/>
              </w:rPr>
              <w:t>5</w:t>
            </w:r>
            <w:r>
              <w:rPr>
                <w:color w:val="auto"/>
                <w:spacing w:val="-37"/>
              </w:rPr>
              <w:t xml:space="preserve"> </w:t>
            </w:r>
            <w:r>
              <w:rPr>
                <w:color w:val="auto"/>
                <w:spacing w:val="-2"/>
              </w:rPr>
              <w:t>分。</w:t>
            </w:r>
          </w:p>
          <w:p w14:paraId="0DD02EAE">
            <w:pPr>
              <w:pStyle w:val="19"/>
              <w:spacing w:before="2" w:line="391" w:lineRule="auto"/>
              <w:ind w:left="116" w:right="108" w:firstLine="417"/>
              <w:jc w:val="both"/>
              <w:rPr>
                <w:color w:val="auto"/>
              </w:rPr>
            </w:pPr>
            <w:r>
              <w:rPr>
                <w:b/>
                <w:bCs/>
                <w:color w:val="auto"/>
                <w:spacing w:val="4"/>
              </w:rPr>
              <w:t>注：须提供拟投入人员近半年连续</w:t>
            </w:r>
            <w:r>
              <w:rPr>
                <w:color w:val="auto"/>
                <w:spacing w:val="-28"/>
              </w:rPr>
              <w:t xml:space="preserve"> </w:t>
            </w:r>
            <w:r>
              <w:rPr>
                <w:b/>
                <w:bCs/>
                <w:color w:val="auto"/>
                <w:spacing w:val="4"/>
              </w:rPr>
              <w:t>3</w:t>
            </w:r>
            <w:r>
              <w:rPr>
                <w:color w:val="auto"/>
                <w:spacing w:val="-38"/>
              </w:rPr>
              <w:t xml:space="preserve"> </w:t>
            </w:r>
            <w:r>
              <w:rPr>
                <w:b/>
                <w:bCs/>
                <w:color w:val="auto"/>
                <w:spacing w:val="4"/>
              </w:rPr>
              <w:t>个月的缴纳社保或签</w:t>
            </w:r>
            <w:r>
              <w:rPr>
                <w:b/>
                <w:bCs/>
                <w:color w:val="auto"/>
                <w:spacing w:val="13"/>
              </w:rPr>
              <w:t>订的劳动合同证明材料及有效的健康证复印件并加盖投标人</w:t>
            </w:r>
            <w:r>
              <w:rPr>
                <w:b/>
                <w:bCs/>
                <w:color w:val="auto"/>
                <w:spacing w:val="7"/>
              </w:rPr>
              <w:t>公章，未按要求提供者不得分。</w:t>
            </w:r>
          </w:p>
        </w:tc>
      </w:tr>
      <w:tr w14:paraId="38D3D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3" w:hRule="atLeast"/>
        </w:trPr>
        <w:tc>
          <w:tcPr>
            <w:tcW w:w="566" w:type="dxa"/>
            <w:vMerge w:val="continue"/>
            <w:tcBorders>
              <w:top w:val="nil"/>
              <w:bottom w:val="nil"/>
            </w:tcBorders>
            <w:noWrap w:val="0"/>
            <w:vAlign w:val="top"/>
          </w:tcPr>
          <w:p w14:paraId="01A1E019">
            <w:pPr>
              <w:rPr>
                <w:rFonts w:ascii="Arial"/>
                <w:color w:val="auto"/>
                <w:sz w:val="21"/>
              </w:rPr>
            </w:pPr>
          </w:p>
        </w:tc>
        <w:tc>
          <w:tcPr>
            <w:tcW w:w="1710" w:type="dxa"/>
            <w:vMerge w:val="continue"/>
            <w:tcBorders>
              <w:top w:val="nil"/>
              <w:bottom w:val="nil"/>
            </w:tcBorders>
            <w:noWrap w:val="0"/>
            <w:vAlign w:val="top"/>
          </w:tcPr>
          <w:p w14:paraId="437FACCE">
            <w:pPr>
              <w:rPr>
                <w:rFonts w:ascii="Arial"/>
                <w:color w:val="auto"/>
                <w:sz w:val="21"/>
              </w:rPr>
            </w:pPr>
          </w:p>
        </w:tc>
        <w:tc>
          <w:tcPr>
            <w:tcW w:w="1904" w:type="dxa"/>
            <w:noWrap w:val="0"/>
            <w:vAlign w:val="top"/>
          </w:tcPr>
          <w:p w14:paraId="105C3E43">
            <w:pPr>
              <w:rPr>
                <w:rFonts w:ascii="Arial"/>
                <w:color w:val="auto"/>
                <w:sz w:val="21"/>
              </w:rPr>
            </w:pPr>
          </w:p>
          <w:p w14:paraId="156F4278">
            <w:pPr>
              <w:rPr>
                <w:rFonts w:ascii="Arial"/>
                <w:color w:val="auto"/>
                <w:sz w:val="21"/>
              </w:rPr>
            </w:pPr>
          </w:p>
          <w:p w14:paraId="2C5346A3">
            <w:pPr>
              <w:rPr>
                <w:rFonts w:ascii="Arial"/>
                <w:color w:val="auto"/>
                <w:sz w:val="21"/>
              </w:rPr>
            </w:pPr>
          </w:p>
          <w:p w14:paraId="56A41794">
            <w:pPr>
              <w:spacing w:line="241" w:lineRule="auto"/>
              <w:rPr>
                <w:rFonts w:ascii="Arial"/>
                <w:color w:val="auto"/>
                <w:sz w:val="21"/>
              </w:rPr>
            </w:pPr>
          </w:p>
          <w:p w14:paraId="244581B3">
            <w:pPr>
              <w:spacing w:line="241" w:lineRule="auto"/>
              <w:rPr>
                <w:rFonts w:ascii="Arial"/>
                <w:color w:val="auto"/>
                <w:sz w:val="21"/>
              </w:rPr>
            </w:pPr>
          </w:p>
          <w:p w14:paraId="63CF0C13">
            <w:pPr>
              <w:spacing w:line="241" w:lineRule="auto"/>
              <w:rPr>
                <w:rFonts w:ascii="Arial"/>
                <w:color w:val="auto"/>
                <w:sz w:val="21"/>
              </w:rPr>
            </w:pPr>
          </w:p>
          <w:p w14:paraId="32176EC6">
            <w:pPr>
              <w:spacing w:line="241" w:lineRule="auto"/>
              <w:rPr>
                <w:rFonts w:ascii="Arial"/>
                <w:color w:val="auto"/>
                <w:sz w:val="21"/>
              </w:rPr>
            </w:pPr>
          </w:p>
          <w:p w14:paraId="50E74117">
            <w:pPr>
              <w:spacing w:line="241" w:lineRule="auto"/>
              <w:rPr>
                <w:rFonts w:ascii="Arial"/>
                <w:color w:val="auto"/>
                <w:sz w:val="21"/>
              </w:rPr>
            </w:pPr>
          </w:p>
          <w:p w14:paraId="2A1C1D01">
            <w:pPr>
              <w:spacing w:line="241" w:lineRule="auto"/>
              <w:rPr>
                <w:rFonts w:ascii="Arial"/>
                <w:color w:val="auto"/>
                <w:sz w:val="21"/>
              </w:rPr>
            </w:pPr>
          </w:p>
          <w:p w14:paraId="5EF998B6">
            <w:pPr>
              <w:spacing w:line="241" w:lineRule="auto"/>
              <w:rPr>
                <w:rFonts w:ascii="Arial"/>
                <w:color w:val="auto"/>
                <w:sz w:val="21"/>
              </w:rPr>
            </w:pPr>
          </w:p>
          <w:p w14:paraId="63CC99EC">
            <w:pPr>
              <w:spacing w:line="241" w:lineRule="auto"/>
              <w:rPr>
                <w:rFonts w:ascii="Arial"/>
                <w:color w:val="auto"/>
                <w:sz w:val="21"/>
              </w:rPr>
            </w:pPr>
          </w:p>
          <w:p w14:paraId="037E12D7">
            <w:pPr>
              <w:spacing w:line="241" w:lineRule="auto"/>
              <w:rPr>
                <w:rFonts w:ascii="Arial"/>
                <w:color w:val="auto"/>
                <w:sz w:val="21"/>
              </w:rPr>
            </w:pPr>
          </w:p>
          <w:p w14:paraId="77C957B8">
            <w:pPr>
              <w:pStyle w:val="19"/>
              <w:spacing w:before="65" w:line="462" w:lineRule="auto"/>
              <w:ind w:left="335" w:right="268" w:hanging="50"/>
              <w:rPr>
                <w:color w:val="auto"/>
              </w:rPr>
            </w:pPr>
            <w:r>
              <w:rPr>
                <w:b/>
                <w:bCs/>
                <w:color w:val="auto"/>
                <w:spacing w:val="6"/>
                <w:sz w:val="20"/>
                <w:szCs w:val="20"/>
              </w:rPr>
              <w:t>（3）配送场所分（满分 7 分）</w:t>
            </w:r>
          </w:p>
        </w:tc>
        <w:tc>
          <w:tcPr>
            <w:tcW w:w="5836" w:type="dxa"/>
            <w:noWrap w:val="0"/>
            <w:vAlign w:val="top"/>
          </w:tcPr>
          <w:p w14:paraId="317042BB">
            <w:pPr>
              <w:pStyle w:val="19"/>
              <w:spacing w:before="221" w:line="462" w:lineRule="auto"/>
              <w:ind w:left="116" w:right="107" w:firstLine="327"/>
              <w:jc w:val="both"/>
              <w:rPr>
                <w:color w:val="auto"/>
              </w:rPr>
            </w:pPr>
            <w:r>
              <w:rPr>
                <w:rFonts w:hint="eastAsia"/>
                <w:color w:val="auto"/>
                <w:spacing w:val="13"/>
                <w:lang w:eastAsia="zh-CN"/>
              </w:rPr>
              <w:t>①</w:t>
            </w:r>
            <w:r>
              <w:rPr>
                <w:color w:val="auto"/>
                <w:spacing w:val="13"/>
              </w:rPr>
              <w:t xml:space="preserve">投标人已设立有服务于本项目的仓储货物仓库，面积&lt; </w:t>
            </w:r>
            <w:r>
              <w:rPr>
                <w:color w:val="auto"/>
                <w:spacing w:val="7"/>
              </w:rPr>
              <w:t>500</w:t>
            </w:r>
            <w:r>
              <w:rPr>
                <w:color w:val="auto"/>
                <w:spacing w:val="-39"/>
              </w:rPr>
              <w:t xml:space="preserve"> </w:t>
            </w:r>
            <w:r>
              <w:rPr>
                <w:color w:val="auto"/>
                <w:spacing w:val="7"/>
              </w:rPr>
              <w:t>平方米的得</w:t>
            </w:r>
            <w:r>
              <w:rPr>
                <w:color w:val="auto"/>
                <w:spacing w:val="-21"/>
              </w:rPr>
              <w:t xml:space="preserve"> </w:t>
            </w:r>
            <w:r>
              <w:rPr>
                <w:color w:val="auto"/>
                <w:spacing w:val="7"/>
              </w:rPr>
              <w:t>1</w:t>
            </w:r>
            <w:r>
              <w:rPr>
                <w:color w:val="auto"/>
                <w:spacing w:val="-36"/>
              </w:rPr>
              <w:t xml:space="preserve"> </w:t>
            </w:r>
            <w:r>
              <w:rPr>
                <w:color w:val="auto"/>
                <w:spacing w:val="7"/>
              </w:rPr>
              <w:t>分；500</w:t>
            </w:r>
            <w:r>
              <w:rPr>
                <w:color w:val="auto"/>
                <w:spacing w:val="-38"/>
              </w:rPr>
              <w:t xml:space="preserve"> </w:t>
            </w:r>
            <w:r>
              <w:rPr>
                <w:color w:val="auto"/>
                <w:spacing w:val="7"/>
              </w:rPr>
              <w:t>平方米≤面积＜1000</w:t>
            </w:r>
            <w:r>
              <w:rPr>
                <w:color w:val="auto"/>
                <w:spacing w:val="-42"/>
              </w:rPr>
              <w:t xml:space="preserve"> </w:t>
            </w:r>
            <w:r>
              <w:rPr>
                <w:color w:val="auto"/>
                <w:spacing w:val="6"/>
              </w:rPr>
              <w:t>平方米的得</w:t>
            </w:r>
            <w:r>
              <w:rPr>
                <w:color w:val="auto"/>
                <w:spacing w:val="-30"/>
              </w:rPr>
              <w:t xml:space="preserve"> </w:t>
            </w:r>
            <w:r>
              <w:rPr>
                <w:color w:val="auto"/>
                <w:spacing w:val="6"/>
              </w:rPr>
              <w:t>3</w:t>
            </w:r>
            <w:r>
              <w:rPr>
                <w:color w:val="auto"/>
                <w:spacing w:val="3"/>
              </w:rPr>
              <w:t>分；面积≥1000</w:t>
            </w:r>
            <w:r>
              <w:rPr>
                <w:color w:val="auto"/>
                <w:spacing w:val="-42"/>
              </w:rPr>
              <w:t xml:space="preserve"> </w:t>
            </w:r>
            <w:r>
              <w:rPr>
                <w:color w:val="auto"/>
                <w:spacing w:val="3"/>
              </w:rPr>
              <w:t>平方米的得</w:t>
            </w:r>
            <w:r>
              <w:rPr>
                <w:color w:val="auto"/>
                <w:spacing w:val="-33"/>
              </w:rPr>
              <w:t xml:space="preserve"> </w:t>
            </w:r>
            <w:r>
              <w:rPr>
                <w:color w:val="auto"/>
                <w:spacing w:val="3"/>
              </w:rPr>
              <w:t>5</w:t>
            </w:r>
            <w:r>
              <w:rPr>
                <w:color w:val="auto"/>
                <w:spacing w:val="-37"/>
              </w:rPr>
              <w:t xml:space="preserve"> </w:t>
            </w:r>
            <w:r>
              <w:rPr>
                <w:color w:val="auto"/>
                <w:spacing w:val="3"/>
              </w:rPr>
              <w:t>分，此项满分</w:t>
            </w:r>
            <w:r>
              <w:rPr>
                <w:color w:val="auto"/>
                <w:spacing w:val="-33"/>
              </w:rPr>
              <w:t xml:space="preserve"> </w:t>
            </w:r>
            <w:r>
              <w:rPr>
                <w:color w:val="auto"/>
                <w:spacing w:val="3"/>
              </w:rPr>
              <w:t>5</w:t>
            </w:r>
            <w:r>
              <w:rPr>
                <w:color w:val="auto"/>
                <w:spacing w:val="-38"/>
              </w:rPr>
              <w:t xml:space="preserve"> </w:t>
            </w:r>
            <w:r>
              <w:rPr>
                <w:color w:val="auto"/>
                <w:spacing w:val="3"/>
              </w:rPr>
              <w:t>分，没有仓库的</w:t>
            </w:r>
            <w:r>
              <w:rPr>
                <w:color w:val="auto"/>
                <w:spacing w:val="4"/>
              </w:rPr>
              <w:t>不得分。</w:t>
            </w:r>
          </w:p>
          <w:p w14:paraId="0679EBEE">
            <w:pPr>
              <w:pStyle w:val="19"/>
              <w:spacing w:before="1" w:line="461" w:lineRule="auto"/>
              <w:ind w:left="114" w:right="108" w:firstLine="420"/>
              <w:jc w:val="both"/>
              <w:rPr>
                <w:color w:val="auto"/>
              </w:rPr>
            </w:pPr>
            <w:r>
              <w:rPr>
                <w:b/>
                <w:bCs/>
                <w:color w:val="auto"/>
                <w:spacing w:val="5"/>
              </w:rPr>
              <w:t>注：仓储货物仓库涉及到场地的证明材料，需在投标文件中提供：不动产登记证等产权证明材料或租赁合同的复印件及</w:t>
            </w:r>
            <w:r>
              <w:rPr>
                <w:b/>
                <w:bCs/>
                <w:color w:val="auto"/>
                <w:spacing w:val="8"/>
              </w:rPr>
              <w:t>相关场地图片并加盖投标人公章，未按要求提供者</w:t>
            </w:r>
            <w:r>
              <w:rPr>
                <w:b/>
                <w:bCs/>
                <w:color w:val="auto"/>
                <w:spacing w:val="7"/>
              </w:rPr>
              <w:t>不得分。</w:t>
            </w:r>
          </w:p>
          <w:p w14:paraId="037875FC">
            <w:pPr>
              <w:pStyle w:val="19"/>
              <w:spacing w:before="2" w:line="461" w:lineRule="auto"/>
              <w:ind w:left="114" w:right="108" w:firstLine="422"/>
              <w:jc w:val="both"/>
              <w:rPr>
                <w:color w:val="auto"/>
              </w:rPr>
            </w:pPr>
            <w:r>
              <w:rPr>
                <w:rFonts w:hint="eastAsia"/>
                <w:color w:val="auto"/>
                <w:spacing w:val="8"/>
                <w:lang w:eastAsia="zh-CN"/>
              </w:rPr>
              <w:t>②</w:t>
            </w:r>
            <w:r>
              <w:rPr>
                <w:color w:val="auto"/>
                <w:spacing w:val="8"/>
              </w:rPr>
              <w:t>投标人已设立有服务于本项目的冷库，容积＜100</w:t>
            </w:r>
            <w:r>
              <w:rPr>
                <w:color w:val="auto"/>
                <w:spacing w:val="-34"/>
              </w:rPr>
              <w:t xml:space="preserve"> </w:t>
            </w:r>
            <w:r>
              <w:rPr>
                <w:color w:val="auto"/>
                <w:spacing w:val="8"/>
              </w:rPr>
              <w:t>立方</w:t>
            </w:r>
            <w:r>
              <w:rPr>
                <w:color w:val="auto"/>
                <w:spacing w:val="5"/>
              </w:rPr>
              <w:t>米的得</w:t>
            </w:r>
            <w:r>
              <w:rPr>
                <w:color w:val="auto"/>
                <w:spacing w:val="-16"/>
              </w:rPr>
              <w:t xml:space="preserve"> </w:t>
            </w:r>
            <w:r>
              <w:rPr>
                <w:color w:val="auto"/>
                <w:spacing w:val="5"/>
              </w:rPr>
              <w:t>1</w:t>
            </w:r>
            <w:r>
              <w:rPr>
                <w:color w:val="auto"/>
                <w:spacing w:val="-35"/>
              </w:rPr>
              <w:t xml:space="preserve"> </w:t>
            </w:r>
            <w:r>
              <w:rPr>
                <w:color w:val="auto"/>
                <w:spacing w:val="5"/>
              </w:rPr>
              <w:t>分；容积≥100</w:t>
            </w:r>
            <w:r>
              <w:rPr>
                <w:color w:val="auto"/>
                <w:spacing w:val="-41"/>
              </w:rPr>
              <w:t xml:space="preserve"> </w:t>
            </w:r>
            <w:r>
              <w:rPr>
                <w:color w:val="auto"/>
                <w:spacing w:val="5"/>
              </w:rPr>
              <w:t>立方米的得</w:t>
            </w:r>
            <w:r>
              <w:rPr>
                <w:color w:val="auto"/>
                <w:spacing w:val="-34"/>
              </w:rPr>
              <w:t xml:space="preserve"> </w:t>
            </w:r>
            <w:r>
              <w:rPr>
                <w:color w:val="auto"/>
                <w:spacing w:val="5"/>
              </w:rPr>
              <w:t>2</w:t>
            </w:r>
            <w:r>
              <w:rPr>
                <w:color w:val="auto"/>
                <w:spacing w:val="-38"/>
              </w:rPr>
              <w:t xml:space="preserve"> </w:t>
            </w:r>
            <w:r>
              <w:rPr>
                <w:color w:val="auto"/>
                <w:spacing w:val="5"/>
              </w:rPr>
              <w:t>分，此项满分</w:t>
            </w:r>
            <w:r>
              <w:rPr>
                <w:color w:val="auto"/>
                <w:spacing w:val="-34"/>
              </w:rPr>
              <w:t xml:space="preserve"> </w:t>
            </w:r>
            <w:r>
              <w:rPr>
                <w:color w:val="auto"/>
                <w:spacing w:val="5"/>
              </w:rPr>
              <w:t>2</w:t>
            </w:r>
            <w:r>
              <w:rPr>
                <w:color w:val="auto"/>
                <w:spacing w:val="-35"/>
              </w:rPr>
              <w:t xml:space="preserve"> </w:t>
            </w:r>
            <w:r>
              <w:rPr>
                <w:color w:val="auto"/>
                <w:spacing w:val="5"/>
              </w:rPr>
              <w:t>分，没</w:t>
            </w:r>
            <w:r>
              <w:rPr>
                <w:color w:val="auto"/>
                <w:spacing w:val="7"/>
              </w:rPr>
              <w:t>有冷库的不得分。</w:t>
            </w:r>
          </w:p>
          <w:p w14:paraId="3C28F1AB">
            <w:pPr>
              <w:pStyle w:val="19"/>
              <w:spacing w:before="2" w:line="390" w:lineRule="auto"/>
              <w:ind w:left="116" w:right="52" w:firstLine="417"/>
              <w:jc w:val="both"/>
              <w:rPr>
                <w:color w:val="auto"/>
              </w:rPr>
            </w:pPr>
            <w:r>
              <w:rPr>
                <w:b/>
                <w:bCs/>
                <w:color w:val="auto"/>
                <w:spacing w:val="5"/>
              </w:rPr>
              <w:t>注：冷库容积的证明材料，需在投标文件中提供：制冷设</w:t>
            </w:r>
            <w:r>
              <w:rPr>
                <w:b/>
                <w:bCs/>
                <w:color w:val="auto"/>
              </w:rPr>
              <w:t>备采购发票（或冷库建设安装合同）扫描件并加盖投标人公章，</w:t>
            </w:r>
            <w:r>
              <w:rPr>
                <w:b/>
                <w:bCs/>
                <w:color w:val="auto"/>
                <w:spacing w:val="6"/>
              </w:rPr>
              <w:t>未按要求提供者不得分。</w:t>
            </w:r>
          </w:p>
        </w:tc>
      </w:tr>
      <w:tr w14:paraId="1AA1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6" w:hRule="atLeast"/>
        </w:trPr>
        <w:tc>
          <w:tcPr>
            <w:tcW w:w="566" w:type="dxa"/>
            <w:vMerge w:val="continue"/>
            <w:tcBorders>
              <w:top w:val="nil"/>
            </w:tcBorders>
            <w:noWrap w:val="0"/>
            <w:vAlign w:val="top"/>
          </w:tcPr>
          <w:p w14:paraId="6BA112A7">
            <w:pPr>
              <w:rPr>
                <w:rFonts w:ascii="Arial"/>
                <w:color w:val="auto"/>
                <w:sz w:val="21"/>
              </w:rPr>
            </w:pPr>
          </w:p>
        </w:tc>
        <w:tc>
          <w:tcPr>
            <w:tcW w:w="1710" w:type="dxa"/>
            <w:vMerge w:val="continue"/>
            <w:tcBorders>
              <w:top w:val="nil"/>
            </w:tcBorders>
            <w:noWrap w:val="0"/>
            <w:vAlign w:val="top"/>
          </w:tcPr>
          <w:p w14:paraId="121EBF1A">
            <w:pPr>
              <w:rPr>
                <w:rFonts w:ascii="Arial"/>
                <w:color w:val="auto"/>
                <w:sz w:val="21"/>
              </w:rPr>
            </w:pPr>
          </w:p>
        </w:tc>
        <w:tc>
          <w:tcPr>
            <w:tcW w:w="1904" w:type="dxa"/>
            <w:noWrap w:val="0"/>
            <w:vAlign w:val="top"/>
          </w:tcPr>
          <w:p w14:paraId="5BECA6C8">
            <w:pPr>
              <w:spacing w:line="280" w:lineRule="auto"/>
              <w:rPr>
                <w:rFonts w:ascii="Arial"/>
                <w:color w:val="auto"/>
                <w:sz w:val="21"/>
              </w:rPr>
            </w:pPr>
          </w:p>
          <w:p w14:paraId="6F06B4B0">
            <w:pPr>
              <w:spacing w:line="280" w:lineRule="auto"/>
              <w:rPr>
                <w:rFonts w:ascii="Arial"/>
                <w:color w:val="auto"/>
                <w:sz w:val="21"/>
              </w:rPr>
            </w:pPr>
          </w:p>
          <w:p w14:paraId="4997417C">
            <w:pPr>
              <w:spacing w:line="280" w:lineRule="auto"/>
              <w:rPr>
                <w:rFonts w:ascii="Arial"/>
                <w:color w:val="auto"/>
                <w:sz w:val="21"/>
              </w:rPr>
            </w:pPr>
          </w:p>
          <w:p w14:paraId="08CD7BA6">
            <w:pPr>
              <w:spacing w:line="280" w:lineRule="auto"/>
              <w:rPr>
                <w:rFonts w:ascii="Arial"/>
                <w:color w:val="auto"/>
                <w:sz w:val="21"/>
              </w:rPr>
            </w:pPr>
          </w:p>
          <w:p w14:paraId="182053EB">
            <w:pPr>
              <w:spacing w:line="281" w:lineRule="auto"/>
              <w:rPr>
                <w:rFonts w:ascii="Arial"/>
                <w:color w:val="auto"/>
                <w:sz w:val="21"/>
              </w:rPr>
            </w:pPr>
          </w:p>
          <w:p w14:paraId="194C11A1">
            <w:pPr>
              <w:pStyle w:val="19"/>
              <w:spacing w:before="65" w:line="462" w:lineRule="auto"/>
              <w:ind w:left="335" w:right="268" w:hanging="50"/>
              <w:rPr>
                <w:color w:val="auto"/>
              </w:rPr>
            </w:pPr>
            <w:r>
              <w:rPr>
                <w:b/>
                <w:bCs/>
                <w:color w:val="auto"/>
                <w:spacing w:val="6"/>
                <w:sz w:val="20"/>
                <w:szCs w:val="20"/>
              </w:rPr>
              <w:t>（4）风险防控分（满分 2 分）</w:t>
            </w:r>
          </w:p>
        </w:tc>
        <w:tc>
          <w:tcPr>
            <w:tcW w:w="5836" w:type="dxa"/>
            <w:noWrap w:val="0"/>
            <w:vAlign w:val="top"/>
          </w:tcPr>
          <w:p w14:paraId="709B9896">
            <w:pPr>
              <w:pStyle w:val="19"/>
              <w:spacing w:before="224" w:line="461" w:lineRule="auto"/>
              <w:ind w:left="154" w:right="108" w:firstLine="382"/>
              <w:rPr>
                <w:color w:val="auto"/>
              </w:rPr>
            </w:pPr>
            <w:r>
              <w:rPr>
                <w:color w:val="auto"/>
                <w:spacing w:val="7"/>
              </w:rPr>
              <w:t>为保障采购人利益，投标人买有食品安全保险，且在本项目供应期限内有效，或承诺中标后购买食品安全保险：</w:t>
            </w:r>
          </w:p>
          <w:p w14:paraId="1A895BE1">
            <w:pPr>
              <w:pStyle w:val="19"/>
              <w:spacing w:line="384" w:lineRule="auto"/>
              <w:ind w:left="114" w:right="108" w:firstLine="435"/>
              <w:rPr>
                <w:color w:val="auto"/>
              </w:rPr>
            </w:pPr>
            <w:r>
              <w:rPr>
                <w:color w:val="auto"/>
                <w:spacing w:val="5"/>
              </w:rPr>
              <w:t>保险赔付金额</w:t>
            </w:r>
            <w:r>
              <w:rPr>
                <w:color w:val="auto"/>
                <w:spacing w:val="-35"/>
              </w:rPr>
              <w:t xml:space="preserve"> </w:t>
            </w:r>
            <w:r>
              <w:rPr>
                <w:rFonts w:hint="eastAsia"/>
                <w:color w:val="auto"/>
                <w:spacing w:val="-35"/>
                <w:lang w:val="en-US" w:eastAsia="zh-CN"/>
              </w:rPr>
              <w:t>1</w:t>
            </w:r>
            <w:r>
              <w:rPr>
                <w:color w:val="auto"/>
                <w:spacing w:val="5"/>
              </w:rPr>
              <w:t>00</w:t>
            </w:r>
            <w:r>
              <w:rPr>
                <w:color w:val="auto"/>
                <w:spacing w:val="-35"/>
              </w:rPr>
              <w:t xml:space="preserve"> </w:t>
            </w:r>
            <w:r>
              <w:rPr>
                <w:color w:val="auto"/>
                <w:spacing w:val="5"/>
              </w:rPr>
              <w:t>万元及以上得</w:t>
            </w:r>
            <w:r>
              <w:rPr>
                <w:color w:val="auto"/>
                <w:spacing w:val="-34"/>
              </w:rPr>
              <w:t xml:space="preserve"> </w:t>
            </w:r>
            <w:r>
              <w:rPr>
                <w:color w:val="auto"/>
                <w:spacing w:val="5"/>
              </w:rPr>
              <w:t>2</w:t>
            </w:r>
            <w:r>
              <w:rPr>
                <w:color w:val="auto"/>
                <w:spacing w:val="-38"/>
              </w:rPr>
              <w:t xml:space="preserve"> </w:t>
            </w:r>
            <w:r>
              <w:rPr>
                <w:color w:val="auto"/>
                <w:spacing w:val="5"/>
              </w:rPr>
              <w:t>分，没</w:t>
            </w:r>
            <w:r>
              <w:rPr>
                <w:color w:val="auto"/>
                <w:spacing w:val="4"/>
              </w:rPr>
              <w:t>有购买</w:t>
            </w:r>
            <w:r>
              <w:rPr>
                <w:color w:val="auto"/>
                <w:spacing w:val="9"/>
              </w:rPr>
              <w:t>食品安全责任保险或保险赔付金额小于</w:t>
            </w:r>
            <w:r>
              <w:rPr>
                <w:rFonts w:hint="eastAsia"/>
                <w:color w:val="auto"/>
                <w:spacing w:val="9"/>
                <w:lang w:val="en-US" w:eastAsia="zh-CN"/>
              </w:rPr>
              <w:t>1</w:t>
            </w:r>
            <w:r>
              <w:rPr>
                <w:color w:val="auto"/>
                <w:spacing w:val="9"/>
              </w:rPr>
              <w:t>00</w:t>
            </w:r>
            <w:r>
              <w:rPr>
                <w:color w:val="auto"/>
                <w:spacing w:val="-45"/>
              </w:rPr>
              <w:t xml:space="preserve"> </w:t>
            </w:r>
            <w:r>
              <w:rPr>
                <w:color w:val="auto"/>
                <w:spacing w:val="9"/>
              </w:rPr>
              <w:t>万元或不提供承诺</w:t>
            </w:r>
            <w:r>
              <w:rPr>
                <w:color w:val="auto"/>
                <w:spacing w:val="6"/>
              </w:rPr>
              <w:t>函的不得分。</w:t>
            </w:r>
            <w:r>
              <w:rPr>
                <w:b/>
                <w:bCs/>
                <w:color w:val="auto"/>
                <w:spacing w:val="5"/>
              </w:rPr>
              <w:t>注：须提供保险复印件加盖投标人公章或承诺函原件，不</w:t>
            </w:r>
            <w:r>
              <w:rPr>
                <w:b/>
                <w:bCs/>
                <w:color w:val="auto"/>
                <w:spacing w:val="4"/>
              </w:rPr>
              <w:t>提供不得分。</w:t>
            </w:r>
          </w:p>
        </w:tc>
      </w:tr>
    </w:tbl>
    <w:p w14:paraId="6AEE73D4">
      <w:pPr>
        <w:spacing w:before="39"/>
        <w:rPr>
          <w:color w:val="auto"/>
        </w:rPr>
      </w:pPr>
    </w:p>
    <w:tbl>
      <w:tblPr>
        <w:tblStyle w:val="20"/>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710"/>
        <w:gridCol w:w="1904"/>
        <w:gridCol w:w="5836"/>
      </w:tblGrid>
      <w:tr w14:paraId="4DB5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566" w:type="dxa"/>
            <w:tcBorders>
              <w:top w:val="nil"/>
            </w:tcBorders>
            <w:noWrap w:val="0"/>
            <w:vAlign w:val="top"/>
          </w:tcPr>
          <w:p w14:paraId="5395AF9C">
            <w:pPr>
              <w:rPr>
                <w:rFonts w:ascii="Arial"/>
                <w:color w:val="auto"/>
                <w:sz w:val="21"/>
              </w:rPr>
            </w:pPr>
          </w:p>
        </w:tc>
        <w:tc>
          <w:tcPr>
            <w:tcW w:w="1710" w:type="dxa"/>
            <w:tcBorders>
              <w:top w:val="nil"/>
            </w:tcBorders>
            <w:noWrap w:val="0"/>
            <w:vAlign w:val="top"/>
          </w:tcPr>
          <w:p w14:paraId="527844D8">
            <w:pPr>
              <w:rPr>
                <w:rFonts w:ascii="Arial"/>
                <w:color w:val="auto"/>
                <w:sz w:val="21"/>
              </w:rPr>
            </w:pPr>
          </w:p>
        </w:tc>
        <w:tc>
          <w:tcPr>
            <w:tcW w:w="1904" w:type="dxa"/>
            <w:noWrap w:val="0"/>
            <w:vAlign w:val="top"/>
          </w:tcPr>
          <w:p w14:paraId="549972D7">
            <w:pPr>
              <w:spacing w:line="300" w:lineRule="auto"/>
              <w:rPr>
                <w:rFonts w:ascii="Arial"/>
                <w:color w:val="auto"/>
                <w:sz w:val="21"/>
              </w:rPr>
            </w:pPr>
          </w:p>
          <w:p w14:paraId="04EF7416">
            <w:pPr>
              <w:spacing w:line="300" w:lineRule="auto"/>
              <w:rPr>
                <w:rFonts w:ascii="Arial"/>
                <w:color w:val="auto"/>
                <w:sz w:val="21"/>
              </w:rPr>
            </w:pPr>
          </w:p>
          <w:p w14:paraId="10709750">
            <w:pPr>
              <w:spacing w:line="301" w:lineRule="auto"/>
              <w:rPr>
                <w:rFonts w:ascii="Arial"/>
                <w:color w:val="auto"/>
                <w:sz w:val="21"/>
              </w:rPr>
            </w:pPr>
          </w:p>
          <w:p w14:paraId="292752E9">
            <w:pPr>
              <w:pStyle w:val="19"/>
              <w:spacing w:before="65" w:line="462" w:lineRule="auto"/>
              <w:ind w:left="335" w:right="268" w:hanging="50"/>
              <w:rPr>
                <w:color w:val="auto"/>
              </w:rPr>
            </w:pPr>
            <w:r>
              <w:rPr>
                <w:b/>
                <w:bCs/>
                <w:color w:val="auto"/>
                <w:spacing w:val="6"/>
                <w:sz w:val="20"/>
                <w:szCs w:val="20"/>
              </w:rPr>
              <w:t xml:space="preserve">（5）业绩分（满分 </w:t>
            </w:r>
            <w:r>
              <w:rPr>
                <w:rFonts w:hint="eastAsia"/>
                <w:b/>
                <w:bCs/>
                <w:color w:val="auto"/>
                <w:spacing w:val="6"/>
                <w:sz w:val="20"/>
                <w:szCs w:val="20"/>
                <w:lang w:val="en-US" w:eastAsia="zh-CN"/>
              </w:rPr>
              <w:t xml:space="preserve">1 4 </w:t>
            </w:r>
            <w:r>
              <w:rPr>
                <w:b/>
                <w:bCs/>
                <w:color w:val="auto"/>
                <w:spacing w:val="6"/>
                <w:sz w:val="20"/>
                <w:szCs w:val="20"/>
              </w:rPr>
              <w:t>分）</w:t>
            </w:r>
          </w:p>
        </w:tc>
        <w:tc>
          <w:tcPr>
            <w:tcW w:w="5836" w:type="dxa"/>
            <w:noWrap w:val="0"/>
            <w:vAlign w:val="top"/>
          </w:tcPr>
          <w:p w14:paraId="1ED9F59F">
            <w:pPr>
              <w:pStyle w:val="19"/>
              <w:spacing w:before="222" w:line="461" w:lineRule="auto"/>
              <w:ind w:left="114" w:right="107" w:firstLine="422"/>
              <w:rPr>
                <w:color w:val="auto"/>
                <w:spacing w:val="1"/>
              </w:rPr>
            </w:pPr>
            <w:r>
              <w:rPr>
                <w:rFonts w:hint="eastAsia"/>
                <w:color w:val="auto"/>
                <w:spacing w:val="13"/>
                <w:lang w:val="en-US" w:eastAsia="zh-CN"/>
              </w:rPr>
              <w:t>①</w:t>
            </w:r>
            <w:r>
              <w:rPr>
                <w:color w:val="auto"/>
                <w:spacing w:val="13"/>
              </w:rPr>
              <w:t>2023</w:t>
            </w:r>
            <w:r>
              <w:rPr>
                <w:color w:val="auto"/>
                <w:spacing w:val="-35"/>
              </w:rPr>
              <w:t xml:space="preserve"> </w:t>
            </w:r>
            <w:r>
              <w:rPr>
                <w:color w:val="auto"/>
                <w:spacing w:val="13"/>
              </w:rPr>
              <w:t>年以来投标人拥有食材配送项目业绩的，</w:t>
            </w:r>
            <w:r>
              <w:rPr>
                <w:color w:val="auto"/>
                <w:spacing w:val="12"/>
              </w:rPr>
              <w:t>每提供</w:t>
            </w:r>
            <w:r>
              <w:rPr>
                <w:color w:val="auto"/>
                <w:spacing w:val="-14"/>
              </w:rPr>
              <w:t xml:space="preserve"> </w:t>
            </w:r>
            <w:r>
              <w:rPr>
                <w:color w:val="auto"/>
                <w:spacing w:val="12"/>
              </w:rPr>
              <w:t>1</w:t>
            </w:r>
            <w:r>
              <w:rPr>
                <w:color w:val="auto"/>
                <w:spacing w:val="1"/>
              </w:rPr>
              <w:t>个得</w:t>
            </w:r>
            <w:r>
              <w:rPr>
                <w:color w:val="auto"/>
                <w:spacing w:val="-15"/>
              </w:rPr>
              <w:t xml:space="preserve"> </w:t>
            </w:r>
            <w:r>
              <w:rPr>
                <w:color w:val="auto"/>
                <w:spacing w:val="1"/>
              </w:rPr>
              <w:t>1</w:t>
            </w:r>
            <w:r>
              <w:rPr>
                <w:color w:val="auto"/>
                <w:spacing w:val="-37"/>
              </w:rPr>
              <w:t xml:space="preserve"> </w:t>
            </w:r>
            <w:r>
              <w:rPr>
                <w:color w:val="auto"/>
                <w:spacing w:val="1"/>
              </w:rPr>
              <w:t>分，最高得</w:t>
            </w:r>
            <w:r>
              <w:rPr>
                <w:color w:val="auto"/>
                <w:spacing w:val="-33"/>
              </w:rPr>
              <w:t xml:space="preserve"> </w:t>
            </w:r>
            <w:r>
              <w:rPr>
                <w:color w:val="auto"/>
                <w:spacing w:val="1"/>
              </w:rPr>
              <w:t>5</w:t>
            </w:r>
            <w:r>
              <w:rPr>
                <w:color w:val="auto"/>
                <w:spacing w:val="-38"/>
              </w:rPr>
              <w:t xml:space="preserve"> </w:t>
            </w:r>
            <w:r>
              <w:rPr>
                <w:color w:val="auto"/>
                <w:spacing w:val="1"/>
              </w:rPr>
              <w:t>分。</w:t>
            </w:r>
          </w:p>
          <w:p w14:paraId="712DB371">
            <w:pPr>
              <w:pStyle w:val="19"/>
              <w:spacing w:before="222" w:line="461" w:lineRule="auto"/>
              <w:ind w:left="114" w:right="107" w:firstLine="422"/>
              <w:rPr>
                <w:color w:val="auto"/>
                <w:spacing w:val="1"/>
              </w:rPr>
            </w:pPr>
            <w:r>
              <w:rPr>
                <w:rFonts w:hint="eastAsia"/>
                <w:color w:val="auto"/>
                <w:spacing w:val="13"/>
                <w:lang w:val="en-US" w:eastAsia="zh-CN"/>
              </w:rPr>
              <w:t>②</w:t>
            </w:r>
            <w:r>
              <w:rPr>
                <w:color w:val="auto"/>
                <w:spacing w:val="13"/>
              </w:rPr>
              <w:t>2023</w:t>
            </w:r>
            <w:r>
              <w:rPr>
                <w:color w:val="auto"/>
                <w:spacing w:val="-35"/>
              </w:rPr>
              <w:t xml:space="preserve"> </w:t>
            </w:r>
            <w:r>
              <w:rPr>
                <w:color w:val="auto"/>
                <w:spacing w:val="13"/>
              </w:rPr>
              <w:t>年以来投标人拥有食材配送</w:t>
            </w:r>
            <w:r>
              <w:rPr>
                <w:rFonts w:hint="eastAsia"/>
                <w:color w:val="auto"/>
                <w:spacing w:val="13"/>
                <w:lang w:val="en-US" w:eastAsia="zh-CN"/>
              </w:rPr>
              <w:t>医院、学习、大中型企业</w:t>
            </w:r>
            <w:r>
              <w:rPr>
                <w:color w:val="auto"/>
                <w:spacing w:val="13"/>
              </w:rPr>
              <w:t>项目业绩的，</w:t>
            </w:r>
            <w:r>
              <w:rPr>
                <w:color w:val="auto"/>
                <w:spacing w:val="12"/>
              </w:rPr>
              <w:t>每提供</w:t>
            </w:r>
            <w:r>
              <w:rPr>
                <w:color w:val="auto"/>
                <w:spacing w:val="-14"/>
              </w:rPr>
              <w:t xml:space="preserve"> </w:t>
            </w:r>
            <w:r>
              <w:rPr>
                <w:rFonts w:hint="eastAsia"/>
                <w:color w:val="auto"/>
                <w:spacing w:val="-14"/>
                <w:lang w:val="en-US" w:eastAsia="zh-CN"/>
              </w:rPr>
              <w:t>1</w:t>
            </w:r>
            <w:r>
              <w:rPr>
                <w:color w:val="auto"/>
                <w:spacing w:val="1"/>
              </w:rPr>
              <w:t>个得</w:t>
            </w:r>
            <w:r>
              <w:rPr>
                <w:color w:val="auto"/>
                <w:spacing w:val="-15"/>
              </w:rPr>
              <w:t xml:space="preserve"> </w:t>
            </w:r>
            <w:r>
              <w:rPr>
                <w:color w:val="auto"/>
                <w:spacing w:val="1"/>
              </w:rPr>
              <w:t>1</w:t>
            </w:r>
            <w:r>
              <w:rPr>
                <w:rFonts w:hint="eastAsia"/>
                <w:color w:val="auto"/>
                <w:spacing w:val="1"/>
                <w:lang w:val="en-US" w:eastAsia="zh-CN"/>
              </w:rPr>
              <w:t>.5</w:t>
            </w:r>
            <w:r>
              <w:rPr>
                <w:color w:val="auto"/>
                <w:spacing w:val="-37"/>
              </w:rPr>
              <w:t xml:space="preserve"> </w:t>
            </w:r>
            <w:r>
              <w:rPr>
                <w:color w:val="auto"/>
                <w:spacing w:val="1"/>
              </w:rPr>
              <w:t>分</w:t>
            </w:r>
            <w:r>
              <w:rPr>
                <w:rFonts w:hint="eastAsia"/>
                <w:color w:val="auto"/>
                <w:spacing w:val="1"/>
                <w:lang w:eastAsia="zh-CN"/>
              </w:rPr>
              <w:t>（</w:t>
            </w:r>
            <w:r>
              <w:rPr>
                <w:rFonts w:hint="eastAsia"/>
                <w:color w:val="auto"/>
                <w:spacing w:val="1"/>
                <w:lang w:val="en-US" w:eastAsia="zh-CN"/>
              </w:rPr>
              <w:t>项目与第一点不得重复</w:t>
            </w:r>
            <w:r>
              <w:rPr>
                <w:rFonts w:hint="eastAsia"/>
                <w:color w:val="auto"/>
                <w:spacing w:val="1"/>
                <w:lang w:eastAsia="zh-CN"/>
              </w:rPr>
              <w:t>）</w:t>
            </w:r>
            <w:r>
              <w:rPr>
                <w:color w:val="auto"/>
                <w:spacing w:val="1"/>
              </w:rPr>
              <w:t>最高得</w:t>
            </w:r>
            <w:r>
              <w:rPr>
                <w:color w:val="auto"/>
                <w:spacing w:val="-33"/>
              </w:rPr>
              <w:t xml:space="preserve"> </w:t>
            </w:r>
            <w:r>
              <w:rPr>
                <w:rFonts w:hint="eastAsia"/>
                <w:color w:val="auto"/>
                <w:spacing w:val="-33"/>
                <w:lang w:val="en-US" w:eastAsia="zh-CN"/>
              </w:rPr>
              <w:t>9</w:t>
            </w:r>
            <w:r>
              <w:rPr>
                <w:color w:val="auto"/>
                <w:spacing w:val="1"/>
              </w:rPr>
              <w:t>分</w:t>
            </w:r>
          </w:p>
          <w:p w14:paraId="5332DCA7">
            <w:pPr>
              <w:pStyle w:val="19"/>
              <w:spacing w:before="2" w:line="390" w:lineRule="auto"/>
              <w:ind w:left="113" w:right="108" w:firstLine="420"/>
              <w:jc w:val="both"/>
              <w:rPr>
                <w:color w:val="auto"/>
              </w:rPr>
            </w:pPr>
            <w:r>
              <w:rPr>
                <w:b/>
                <w:bCs/>
                <w:color w:val="auto"/>
                <w:spacing w:val="5"/>
              </w:rPr>
              <w:t>注：提供合同或者中标（成交）通知书复印件并加盖投标</w:t>
            </w:r>
            <w:r>
              <w:rPr>
                <w:b/>
                <w:bCs/>
                <w:color w:val="auto"/>
                <w:spacing w:val="4"/>
              </w:rPr>
              <w:t>人公章，不提供不得分；若提供的业绩为同一甲方的，按</w:t>
            </w:r>
            <w:r>
              <w:rPr>
                <w:color w:val="auto"/>
                <w:spacing w:val="-19"/>
              </w:rPr>
              <w:t xml:space="preserve"> </w:t>
            </w:r>
            <w:r>
              <w:rPr>
                <w:b/>
                <w:bCs/>
                <w:color w:val="auto"/>
                <w:spacing w:val="4"/>
              </w:rPr>
              <w:t>1</w:t>
            </w:r>
            <w:r>
              <w:rPr>
                <w:color w:val="auto"/>
                <w:spacing w:val="-38"/>
              </w:rPr>
              <w:t xml:space="preserve"> </w:t>
            </w:r>
            <w:r>
              <w:rPr>
                <w:b/>
                <w:bCs/>
                <w:color w:val="auto"/>
                <w:spacing w:val="4"/>
              </w:rPr>
              <w:t>个业绩计算。</w:t>
            </w:r>
          </w:p>
        </w:tc>
      </w:tr>
    </w:tbl>
    <w:p w14:paraId="7B2DEB31">
      <w:pPr>
        <w:spacing w:before="38"/>
        <w:rPr>
          <w:color w:val="auto"/>
        </w:rPr>
      </w:pPr>
    </w:p>
    <w:p w14:paraId="66220293">
      <w:pPr>
        <w:spacing w:before="39"/>
        <w:rPr>
          <w:color w:val="auto"/>
        </w:rPr>
      </w:pPr>
      <w:r>
        <w:rPr>
          <w:rFonts w:ascii="宋体" w:hAnsi="宋体" w:eastAsia="宋体" w:cs="宋体"/>
          <w:color w:val="auto"/>
          <w:spacing w:val="9"/>
          <w:sz w:val="20"/>
          <w:szCs w:val="20"/>
        </w:rPr>
        <w:t>注：计分方法按四舍五入取至百分位</w:t>
      </w:r>
    </w:p>
    <w:p w14:paraId="57FB51FD">
      <w:pPr>
        <w:snapToGrid w:val="0"/>
        <w:spacing w:line="480" w:lineRule="exact"/>
        <w:ind w:firstLine="480"/>
        <w:rPr>
          <w:rFonts w:hint="eastAsia" w:ascii="宋体" w:hAnsi="宋体" w:cs="宋体"/>
          <w:color w:val="auto"/>
          <w:kern w:val="0"/>
          <w:sz w:val="32"/>
          <w:szCs w:val="32"/>
        </w:rPr>
      </w:pPr>
    </w:p>
    <w:p w14:paraId="15F53134">
      <w:pPr>
        <w:snapToGrid w:val="0"/>
        <w:spacing w:before="156" w:beforeLines="50" w:after="50"/>
        <w:jc w:val="center"/>
        <w:rPr>
          <w:rFonts w:hint="eastAsia" w:ascii="宋体" w:hAnsi="宋体" w:cs="宋体"/>
          <w:bCs/>
          <w:color w:val="auto"/>
          <w:sz w:val="24"/>
          <w:szCs w:val="20"/>
        </w:rPr>
      </w:pPr>
    </w:p>
    <w:p w14:paraId="309383E7">
      <w:pPr>
        <w:bidi w:val="0"/>
        <w:jc w:val="left"/>
        <w:rPr>
          <w:color w:val="auto"/>
          <w:lang w:val="en-US" w:eastAsia="en-US"/>
        </w:rPr>
        <w:sectPr>
          <w:footerReference r:id="rId10" w:type="default"/>
          <w:pgSz w:w="11911" w:h="16839"/>
          <w:pgMar w:top="1431" w:right="789" w:bottom="1149" w:left="964" w:header="0" w:footer="913" w:gutter="0"/>
          <w:cols w:space="720" w:num="1"/>
        </w:sectPr>
      </w:pPr>
    </w:p>
    <w:p w14:paraId="0CCB3C77">
      <w:pPr>
        <w:snapToGrid w:val="0"/>
        <w:spacing w:before="156" w:beforeLines="50" w:after="50"/>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3F9CAA66">
      <w:pPr>
        <w:snapToGrid w:val="0"/>
        <w:spacing w:before="156" w:beforeLines="50" w:after="50"/>
        <w:rPr>
          <w:rFonts w:hint="eastAsia" w:ascii="宋体" w:hAnsi="宋体" w:cs="宋体"/>
          <w:bCs/>
          <w:color w:val="auto"/>
          <w:sz w:val="24"/>
          <w:szCs w:val="20"/>
        </w:rPr>
      </w:pPr>
    </w:p>
    <w:p w14:paraId="14F579A4">
      <w:pPr>
        <w:snapToGrid w:val="0"/>
        <w:spacing w:before="156" w:beforeLines="50" w:after="50"/>
        <w:rPr>
          <w:rFonts w:hint="eastAsia" w:ascii="宋体" w:hAnsi="宋体" w:cs="宋体"/>
          <w:bCs/>
          <w:color w:val="auto"/>
          <w:sz w:val="24"/>
          <w:szCs w:val="20"/>
        </w:rPr>
      </w:pPr>
    </w:p>
    <w:p w14:paraId="78EBEE37">
      <w:pPr>
        <w:snapToGrid w:val="0"/>
        <w:spacing w:before="156" w:beforeLines="50" w:after="50"/>
        <w:rPr>
          <w:rFonts w:hint="eastAsia" w:ascii="宋体" w:hAnsi="宋体" w:cs="宋体"/>
          <w:bCs/>
          <w:color w:val="auto"/>
          <w:sz w:val="32"/>
          <w:szCs w:val="32"/>
        </w:rPr>
      </w:pPr>
    </w:p>
    <w:p w14:paraId="703671F8">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项目名称：</w:t>
      </w:r>
    </w:p>
    <w:p w14:paraId="16B5C357">
      <w:pPr>
        <w:snapToGrid w:val="0"/>
        <w:spacing w:before="156" w:beforeLines="50" w:after="50"/>
        <w:ind w:firstLine="480" w:firstLineChars="150"/>
        <w:rPr>
          <w:rFonts w:hint="eastAsia" w:ascii="宋体" w:hAnsi="宋体" w:cs="宋体"/>
          <w:bCs/>
          <w:color w:val="auto"/>
          <w:sz w:val="32"/>
          <w:szCs w:val="32"/>
        </w:rPr>
      </w:pPr>
    </w:p>
    <w:p w14:paraId="21DD57BA">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项目编号：（项目编号：ZCBHT202500</w:t>
      </w:r>
      <w:r>
        <w:rPr>
          <w:rFonts w:hint="eastAsia" w:ascii="宋体" w:hAnsi="宋体" w:eastAsia="宋体" w:cs="宋体"/>
          <w:bCs/>
          <w:color w:val="auto"/>
          <w:sz w:val="32"/>
          <w:szCs w:val="32"/>
          <w:lang w:val="en-US" w:eastAsia="zh-CN"/>
        </w:rPr>
        <w:t>14</w:t>
      </w:r>
      <w:r>
        <w:rPr>
          <w:rFonts w:hint="eastAsia" w:ascii="宋体" w:hAnsi="宋体" w:cs="宋体"/>
          <w:bCs/>
          <w:color w:val="auto"/>
          <w:sz w:val="32"/>
          <w:szCs w:val="32"/>
        </w:rPr>
        <w:t>）</w:t>
      </w:r>
    </w:p>
    <w:p w14:paraId="75516C7C">
      <w:pPr>
        <w:snapToGrid w:val="0"/>
        <w:spacing w:before="156" w:beforeLines="50" w:after="50"/>
        <w:ind w:firstLine="480" w:firstLineChars="150"/>
        <w:rPr>
          <w:rFonts w:hint="eastAsia" w:ascii="宋体" w:hAnsi="宋体" w:cs="宋体"/>
          <w:bCs/>
          <w:color w:val="auto"/>
          <w:sz w:val="32"/>
          <w:szCs w:val="32"/>
        </w:rPr>
      </w:pPr>
    </w:p>
    <w:p w14:paraId="5A151DAB">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6B58CCE0">
      <w:pPr>
        <w:snapToGrid w:val="0"/>
        <w:spacing w:before="156" w:beforeLines="50" w:after="50"/>
        <w:ind w:firstLine="480" w:firstLineChars="150"/>
        <w:rPr>
          <w:rFonts w:hint="eastAsia" w:ascii="宋体" w:hAnsi="宋体" w:cs="宋体"/>
          <w:bCs/>
          <w:color w:val="auto"/>
          <w:sz w:val="32"/>
          <w:szCs w:val="32"/>
        </w:rPr>
      </w:pPr>
    </w:p>
    <w:p w14:paraId="751B6E08">
      <w:pPr>
        <w:snapToGrid w:val="0"/>
        <w:spacing w:before="156" w:beforeLines="50" w:after="50"/>
        <w:ind w:firstLine="5440" w:firstLineChars="1700"/>
        <w:jc w:val="center"/>
        <w:rPr>
          <w:rFonts w:hint="eastAsia" w:ascii="宋体" w:hAnsi="宋体" w:cs="宋体"/>
          <w:bCs/>
          <w:color w:val="auto"/>
          <w:sz w:val="32"/>
          <w:szCs w:val="32"/>
        </w:rPr>
      </w:pPr>
    </w:p>
    <w:p w14:paraId="4E1422AF">
      <w:pPr>
        <w:snapToGrid w:val="0"/>
        <w:spacing w:before="156" w:beforeLines="50" w:after="50"/>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1D1B79D9">
      <w:pPr>
        <w:snapToGrid w:val="0"/>
        <w:spacing w:before="156" w:beforeLines="50" w:after="50"/>
        <w:jc w:val="both"/>
        <w:rPr>
          <w:rFonts w:hint="eastAsia" w:ascii="宋体" w:hAnsi="宋体" w:cs="宋体"/>
          <w:color w:val="auto"/>
          <w:szCs w:val="21"/>
        </w:rPr>
      </w:pPr>
    </w:p>
    <w:p w14:paraId="1F655812">
      <w:pPr>
        <w:pStyle w:val="5"/>
        <w:rPr>
          <w:rFonts w:hint="eastAsia" w:ascii="宋体" w:hAnsi="宋体" w:cs="宋体"/>
          <w:color w:val="auto"/>
          <w:szCs w:val="21"/>
        </w:rPr>
      </w:pPr>
    </w:p>
    <w:p w14:paraId="3CEB756D">
      <w:pPr>
        <w:rPr>
          <w:rFonts w:hint="eastAsia" w:ascii="宋体" w:hAnsi="宋体" w:cs="宋体"/>
          <w:color w:val="auto"/>
          <w:szCs w:val="21"/>
        </w:rPr>
      </w:pPr>
    </w:p>
    <w:p w14:paraId="5BFDE13D">
      <w:pPr>
        <w:pStyle w:val="5"/>
        <w:rPr>
          <w:rFonts w:hint="eastAsia" w:ascii="宋体" w:hAnsi="宋体" w:cs="宋体"/>
          <w:color w:val="auto"/>
          <w:szCs w:val="21"/>
        </w:rPr>
      </w:pPr>
    </w:p>
    <w:p w14:paraId="31DD6383">
      <w:pPr>
        <w:rPr>
          <w:rFonts w:hint="eastAsia" w:ascii="宋体" w:hAnsi="宋体" w:cs="宋体"/>
          <w:color w:val="auto"/>
          <w:szCs w:val="21"/>
        </w:rPr>
      </w:pPr>
    </w:p>
    <w:p w14:paraId="6414D49C">
      <w:pPr>
        <w:pStyle w:val="5"/>
        <w:rPr>
          <w:rFonts w:hint="eastAsia" w:ascii="宋体" w:hAnsi="宋体" w:cs="宋体"/>
          <w:color w:val="auto"/>
          <w:szCs w:val="21"/>
        </w:rPr>
      </w:pPr>
    </w:p>
    <w:p w14:paraId="3FC88041">
      <w:pPr>
        <w:rPr>
          <w:rFonts w:hint="eastAsia" w:ascii="宋体" w:hAnsi="宋体" w:cs="宋体"/>
          <w:color w:val="auto"/>
          <w:szCs w:val="21"/>
        </w:rPr>
      </w:pPr>
    </w:p>
    <w:p w14:paraId="6D8567F9">
      <w:pPr>
        <w:pStyle w:val="5"/>
        <w:rPr>
          <w:rFonts w:hint="eastAsia" w:ascii="宋体" w:hAnsi="宋体" w:cs="宋体"/>
          <w:color w:val="auto"/>
          <w:szCs w:val="21"/>
        </w:rPr>
      </w:pPr>
    </w:p>
    <w:p w14:paraId="4057E2A5">
      <w:pPr>
        <w:rPr>
          <w:rFonts w:hint="eastAsia" w:ascii="宋体" w:hAnsi="宋体" w:cs="宋体"/>
          <w:color w:val="auto"/>
          <w:szCs w:val="21"/>
        </w:rPr>
      </w:pPr>
    </w:p>
    <w:p w14:paraId="02C55DF5">
      <w:pPr>
        <w:rPr>
          <w:rFonts w:hint="eastAsia" w:ascii="宋体" w:hAnsi="宋体" w:cs="宋体"/>
          <w:color w:val="auto"/>
          <w:szCs w:val="21"/>
        </w:rPr>
      </w:pPr>
    </w:p>
    <w:p w14:paraId="5D2B50C2">
      <w:pPr>
        <w:rPr>
          <w:rFonts w:hint="eastAsia" w:ascii="宋体" w:hAnsi="宋体" w:cs="宋体"/>
          <w:color w:val="auto"/>
          <w:szCs w:val="21"/>
        </w:rPr>
      </w:pPr>
    </w:p>
    <w:p w14:paraId="0C336F00">
      <w:pPr>
        <w:rPr>
          <w:rFonts w:hint="eastAsia" w:ascii="宋体" w:hAnsi="宋体" w:cs="宋体"/>
          <w:color w:val="auto"/>
          <w:szCs w:val="21"/>
        </w:rPr>
      </w:pPr>
    </w:p>
    <w:p w14:paraId="261D167C">
      <w:pPr>
        <w:rPr>
          <w:rFonts w:hint="eastAsia" w:ascii="宋体" w:hAnsi="宋体" w:cs="宋体"/>
          <w:color w:val="auto"/>
          <w:szCs w:val="21"/>
        </w:rPr>
      </w:pPr>
    </w:p>
    <w:p w14:paraId="078C60D1">
      <w:pPr>
        <w:rPr>
          <w:rFonts w:hint="eastAsia" w:ascii="宋体" w:hAnsi="宋体" w:cs="宋体"/>
          <w:color w:val="auto"/>
          <w:szCs w:val="21"/>
        </w:rPr>
      </w:pPr>
    </w:p>
    <w:p w14:paraId="0161C29D">
      <w:pPr>
        <w:pStyle w:val="5"/>
        <w:rPr>
          <w:rFonts w:hint="eastAsia" w:ascii="宋体" w:hAnsi="宋体" w:cs="宋体"/>
          <w:color w:val="auto"/>
          <w:szCs w:val="21"/>
        </w:rPr>
      </w:pPr>
    </w:p>
    <w:p w14:paraId="13529DDA">
      <w:pPr>
        <w:rPr>
          <w:rFonts w:hint="eastAsia" w:ascii="宋体" w:hAnsi="宋体" w:cs="宋体"/>
          <w:color w:val="auto"/>
          <w:szCs w:val="21"/>
        </w:rPr>
      </w:pPr>
    </w:p>
    <w:p w14:paraId="686D4163">
      <w:pPr>
        <w:pStyle w:val="5"/>
        <w:rPr>
          <w:rFonts w:hint="eastAsia" w:ascii="宋体" w:hAnsi="宋体" w:cs="宋体"/>
          <w:color w:val="auto"/>
          <w:szCs w:val="21"/>
        </w:rPr>
      </w:pPr>
    </w:p>
    <w:p w14:paraId="7CA0B23A">
      <w:pPr>
        <w:rPr>
          <w:rFonts w:hint="eastAsia"/>
          <w:color w:val="auto"/>
        </w:rPr>
      </w:pPr>
    </w:p>
    <w:p w14:paraId="07B47142">
      <w:pPr>
        <w:ind w:firstLine="200"/>
        <w:jc w:val="center"/>
        <w:rPr>
          <w:rFonts w:hint="eastAsia" w:ascii="宋体" w:hAnsi="宋体" w:eastAsia="宋体"/>
          <w:b/>
          <w:color w:val="auto"/>
          <w:sz w:val="32"/>
          <w:szCs w:val="32"/>
          <w:highlight w:val="none"/>
          <w:lang w:val="en-US" w:eastAsia="zh-CN"/>
        </w:rPr>
      </w:pPr>
    </w:p>
    <w:p w14:paraId="71D264F9">
      <w:pPr>
        <w:ind w:firstLine="200"/>
        <w:jc w:val="center"/>
        <w:rPr>
          <w:rFonts w:hint="eastAsia" w:ascii="宋体" w:hAnsi="宋体" w:eastAsia="宋体"/>
          <w:b/>
          <w:color w:val="auto"/>
          <w:sz w:val="32"/>
          <w:szCs w:val="32"/>
          <w:highlight w:val="none"/>
          <w:lang w:val="en-US" w:eastAsia="zh-CN"/>
        </w:rPr>
      </w:pPr>
    </w:p>
    <w:p w14:paraId="1E703A1E">
      <w:pPr>
        <w:ind w:firstLine="200"/>
        <w:jc w:val="center"/>
        <w:rPr>
          <w:rFonts w:hint="eastAsia" w:ascii="宋体" w:hAnsi="宋体" w:eastAsia="宋体"/>
          <w:b/>
          <w:color w:val="auto"/>
          <w:sz w:val="32"/>
          <w:szCs w:val="32"/>
          <w:highlight w:val="none"/>
          <w:lang w:val="en-US" w:eastAsia="zh-CN"/>
        </w:rPr>
      </w:pPr>
    </w:p>
    <w:p w14:paraId="76EA4428">
      <w:pPr>
        <w:ind w:firstLine="200"/>
        <w:jc w:val="center"/>
        <w:rPr>
          <w:rFonts w:hint="eastAsia" w:ascii="宋体" w:hAnsi="宋体" w:eastAsia="宋体"/>
          <w:b/>
          <w:color w:val="auto"/>
          <w:sz w:val="32"/>
          <w:szCs w:val="32"/>
          <w:highlight w:val="none"/>
          <w:lang w:val="en-US" w:eastAsia="zh-CN"/>
        </w:rPr>
      </w:pPr>
    </w:p>
    <w:p w14:paraId="667C4B78">
      <w:pPr>
        <w:ind w:firstLine="200"/>
        <w:jc w:val="center"/>
        <w:rPr>
          <w:rFonts w:hint="eastAsia" w:ascii="宋体" w:hAnsi="宋体" w:eastAsia="宋体"/>
          <w:b/>
          <w:color w:val="auto"/>
          <w:sz w:val="32"/>
          <w:szCs w:val="32"/>
          <w:highlight w:val="none"/>
          <w:lang w:val="en-US" w:eastAsia="zh-CN"/>
        </w:rPr>
      </w:pPr>
    </w:p>
    <w:p w14:paraId="6D78AA92">
      <w:pPr>
        <w:ind w:firstLine="200"/>
        <w:jc w:val="center"/>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val="en-US" w:eastAsia="zh-CN"/>
        </w:rPr>
        <w:t>供应商应提供的</w:t>
      </w:r>
      <w:r>
        <w:rPr>
          <w:rFonts w:hint="eastAsia" w:ascii="宋体" w:hAnsi="宋体" w:eastAsia="宋体"/>
          <w:b/>
          <w:color w:val="auto"/>
          <w:sz w:val="32"/>
          <w:szCs w:val="32"/>
          <w:highlight w:val="none"/>
        </w:rPr>
        <w:t>响应文件</w:t>
      </w:r>
      <w:r>
        <w:rPr>
          <w:rFonts w:hint="eastAsia" w:ascii="宋体" w:hAnsi="宋体" w:eastAsia="宋体"/>
          <w:b/>
          <w:color w:val="auto"/>
          <w:sz w:val="32"/>
          <w:szCs w:val="32"/>
          <w:highlight w:val="none"/>
          <w:lang w:val="en-US" w:eastAsia="zh-CN"/>
        </w:rPr>
        <w:t>材料</w:t>
      </w:r>
      <w:r>
        <w:rPr>
          <w:rFonts w:hint="eastAsia" w:ascii="宋体" w:hAnsi="宋体" w:eastAsia="宋体"/>
          <w:b/>
          <w:color w:val="auto"/>
          <w:sz w:val="32"/>
          <w:szCs w:val="32"/>
          <w:highlight w:val="none"/>
        </w:rPr>
        <w:t>目录</w:t>
      </w:r>
      <w:r>
        <w:rPr>
          <w:rFonts w:hint="eastAsia" w:ascii="宋体" w:hAnsi="宋体" w:eastAsia="宋体"/>
          <w:b/>
          <w:color w:val="auto"/>
          <w:sz w:val="32"/>
          <w:szCs w:val="32"/>
          <w:highlight w:val="none"/>
          <w:lang w:eastAsia="zh-CN"/>
        </w:rPr>
        <w:t>（按顺序装订）</w:t>
      </w:r>
    </w:p>
    <w:p w14:paraId="61FAB599">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（一）</w:t>
      </w:r>
      <w:r>
        <w:rPr>
          <w:rFonts w:hint="eastAsia" w:ascii="宋体" w:hAnsi="宋体" w:eastAsia="宋体" w:cs="Times New Roman"/>
          <w:snapToGrid/>
          <w:color w:val="auto"/>
          <w:kern w:val="2"/>
          <w:sz w:val="28"/>
          <w:szCs w:val="28"/>
          <w:highlight w:val="none"/>
          <w:lang w:eastAsia="zh-CN"/>
        </w:rPr>
        <w:t>供应商有效的营业执照复印件（必须盖章，否则无效）；</w:t>
      </w:r>
    </w:p>
    <w:p w14:paraId="2C5C9FAE">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（二）</w:t>
      </w:r>
      <w:r>
        <w:rPr>
          <w:rFonts w:hint="eastAsia" w:ascii="宋体" w:hAnsi="宋体" w:eastAsia="宋体" w:cs="Times New Roman"/>
          <w:snapToGrid/>
          <w:color w:val="auto"/>
          <w:kern w:val="2"/>
          <w:sz w:val="28"/>
          <w:szCs w:val="28"/>
          <w:highlight w:val="none"/>
          <w:lang w:eastAsia="zh-CN"/>
        </w:rPr>
        <w:t>法定代表人身份证复印件（必须盖章，否则无效）；</w:t>
      </w:r>
    </w:p>
    <w:p w14:paraId="5E1A22BC">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（三）</w:t>
      </w:r>
      <w:r>
        <w:rPr>
          <w:rFonts w:hint="eastAsia" w:ascii="宋体" w:hAnsi="宋体" w:eastAsia="宋体" w:cs="Times New Roman"/>
          <w:snapToGrid/>
          <w:color w:val="auto"/>
          <w:kern w:val="2"/>
          <w:sz w:val="28"/>
          <w:szCs w:val="28"/>
          <w:highlight w:val="none"/>
          <w:lang w:eastAsia="zh-CN"/>
        </w:rPr>
        <w:t>法定代表人授权委托书原件（必须盖章，否则无效）；</w:t>
      </w:r>
    </w:p>
    <w:p w14:paraId="6B9005AA">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（四）</w:t>
      </w:r>
      <w:r>
        <w:rPr>
          <w:rFonts w:hint="eastAsia" w:ascii="宋体" w:hAnsi="宋体" w:eastAsia="宋体" w:cs="Times New Roman"/>
          <w:snapToGrid/>
          <w:color w:val="auto"/>
          <w:kern w:val="2"/>
          <w:sz w:val="28"/>
          <w:szCs w:val="28"/>
          <w:highlight w:val="none"/>
          <w:lang w:eastAsia="zh-CN"/>
        </w:rPr>
        <w:t>在“信用中国”网站 、中国政府采购网被列入失信被执行人、重大税收违法案件当事人名单、政府采购严重违法失信行为记录名单查询截图；（必须盖章，否则无效）</w:t>
      </w:r>
    </w:p>
    <w:p w14:paraId="74A78BC1">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（五）</w:t>
      </w:r>
      <w:r>
        <w:rPr>
          <w:rFonts w:hint="eastAsia" w:ascii="宋体" w:hAnsi="宋体" w:eastAsia="宋体" w:cs="Times New Roman"/>
          <w:snapToGrid/>
          <w:color w:val="auto"/>
          <w:kern w:val="2"/>
          <w:sz w:val="28"/>
          <w:szCs w:val="28"/>
          <w:highlight w:val="none"/>
          <w:lang w:eastAsia="zh-CN"/>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76F28A60">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（六）</w:t>
      </w:r>
      <w:r>
        <w:rPr>
          <w:rFonts w:hint="eastAsia" w:ascii="宋体" w:hAnsi="宋体" w:eastAsia="宋体" w:cs="Times New Roman"/>
          <w:snapToGrid/>
          <w:color w:val="auto"/>
          <w:kern w:val="2"/>
          <w:sz w:val="28"/>
          <w:szCs w:val="28"/>
          <w:highlight w:val="none"/>
          <w:lang w:eastAsia="zh-CN"/>
        </w:rPr>
        <w:t>供应商依法缴纳社会保障资金的相关材料（自提交响应文件截止日期前</w:t>
      </w:r>
      <w:r>
        <w:rPr>
          <w:rFonts w:hint="eastAsia" w:ascii="宋体" w:hAnsi="宋体" w:eastAsia="宋体" w:cs="Times New Roman"/>
          <w:snapToGrid/>
          <w:color w:val="auto"/>
          <w:kern w:val="2"/>
          <w:sz w:val="28"/>
          <w:szCs w:val="28"/>
          <w:highlight w:val="none"/>
          <w:lang w:val="en-US" w:eastAsia="zh-CN"/>
        </w:rPr>
        <w:t>1</w:t>
      </w:r>
      <w:r>
        <w:rPr>
          <w:rFonts w:hint="eastAsia" w:ascii="宋体" w:hAnsi="宋体" w:eastAsia="宋体" w:cs="Times New Roman"/>
          <w:snapToGrid/>
          <w:color w:val="auto"/>
          <w:kern w:val="2"/>
          <w:sz w:val="28"/>
          <w:szCs w:val="28"/>
          <w:highlight w:val="none"/>
          <w:lang w:eastAsia="zh-CN"/>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17A8737C">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（七）</w:t>
      </w:r>
      <w:r>
        <w:rPr>
          <w:rFonts w:hint="eastAsia" w:ascii="宋体" w:hAnsi="宋体" w:eastAsia="宋体" w:cs="Times New Roman"/>
          <w:snapToGrid/>
          <w:color w:val="auto"/>
          <w:kern w:val="2"/>
          <w:sz w:val="28"/>
          <w:szCs w:val="28"/>
          <w:highlight w:val="none"/>
          <w:lang w:eastAsia="zh-CN"/>
        </w:rPr>
        <w:t>供应商直接控股、管理关系信息表（格式附后）；（必须盖章，否则无效）；</w:t>
      </w:r>
    </w:p>
    <w:p w14:paraId="556AE20E">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（八）</w:t>
      </w:r>
      <w:r>
        <w:rPr>
          <w:rFonts w:hint="eastAsia" w:ascii="宋体" w:hAnsi="宋体" w:eastAsia="宋体" w:cs="Times New Roman"/>
          <w:snapToGrid/>
          <w:color w:val="auto"/>
          <w:kern w:val="2"/>
          <w:sz w:val="28"/>
          <w:szCs w:val="28"/>
          <w:highlight w:val="none"/>
          <w:lang w:eastAsia="zh-CN"/>
        </w:rPr>
        <w:t>截止在提交响应文件之日起的前三年在经营活动中无重大违法记录，并且能在“中国裁判文书网”查询具备无行贿犯罪记录截图（必须盖章，否则无效）</w:t>
      </w:r>
    </w:p>
    <w:p w14:paraId="3CBB1DF3">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（九）</w:t>
      </w:r>
      <w:r>
        <w:rPr>
          <w:rFonts w:hint="eastAsia" w:ascii="宋体" w:hAnsi="宋体" w:eastAsia="宋体" w:cs="Times New Roman"/>
          <w:snapToGrid/>
          <w:color w:val="auto"/>
          <w:kern w:val="2"/>
          <w:sz w:val="28"/>
          <w:szCs w:val="28"/>
          <w:highlight w:val="none"/>
          <w:lang w:eastAsia="zh-CN"/>
        </w:rPr>
        <w:t>投标承诺函（必须盖章，否则无效）；</w:t>
      </w:r>
    </w:p>
    <w:p w14:paraId="1B70B140">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w:t>
      </w:r>
      <w:r>
        <w:rPr>
          <w:rFonts w:hint="eastAsia" w:ascii="宋体" w:hAnsi="宋体" w:eastAsia="宋体" w:cs="Times New Roman"/>
          <w:snapToGrid/>
          <w:color w:val="auto"/>
          <w:kern w:val="2"/>
          <w:sz w:val="28"/>
          <w:szCs w:val="28"/>
          <w:highlight w:val="none"/>
          <w:lang w:eastAsia="zh-CN"/>
        </w:rPr>
        <w:t>报价表（必须盖章，否则无效）；</w:t>
      </w:r>
    </w:p>
    <w:p w14:paraId="18858232">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（十一）</w:t>
      </w:r>
      <w:r>
        <w:rPr>
          <w:rFonts w:hint="eastAsia" w:ascii="宋体" w:hAnsi="宋体" w:eastAsia="宋体" w:cs="Times New Roman"/>
          <w:snapToGrid/>
          <w:color w:val="auto"/>
          <w:kern w:val="2"/>
          <w:sz w:val="28"/>
          <w:szCs w:val="28"/>
          <w:highlight w:val="none"/>
          <w:lang w:val="en-US" w:eastAsia="zh-CN"/>
        </w:rPr>
        <w:t>管理制度、实施方案（</w:t>
      </w:r>
      <w:r>
        <w:rPr>
          <w:rFonts w:hint="eastAsia" w:ascii="宋体" w:hAnsi="宋体" w:eastAsia="宋体" w:cs="Times New Roman"/>
          <w:snapToGrid/>
          <w:color w:val="auto"/>
          <w:kern w:val="2"/>
          <w:sz w:val="28"/>
          <w:szCs w:val="28"/>
          <w:highlight w:val="none"/>
          <w:lang w:eastAsia="zh-CN"/>
        </w:rPr>
        <w:t>必须盖章，否则无效）；</w:t>
      </w:r>
    </w:p>
    <w:p w14:paraId="79A5852B">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（十二）</w:t>
      </w:r>
      <w:r>
        <w:rPr>
          <w:rFonts w:hint="eastAsia" w:ascii="宋体" w:hAnsi="宋体" w:eastAsia="宋体" w:cs="Times New Roman"/>
          <w:snapToGrid/>
          <w:color w:val="auto"/>
          <w:kern w:val="2"/>
          <w:sz w:val="28"/>
          <w:szCs w:val="28"/>
          <w:highlight w:val="none"/>
          <w:lang w:eastAsia="zh-CN"/>
        </w:rPr>
        <w:t>服务承诺（格式自拟，必须盖章，否则无效）；</w:t>
      </w:r>
    </w:p>
    <w:p w14:paraId="00336A6A">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（十三）</w:t>
      </w:r>
      <w:r>
        <w:rPr>
          <w:rFonts w:hint="eastAsia" w:ascii="宋体" w:hAnsi="宋体" w:eastAsia="宋体" w:cs="Times New Roman"/>
          <w:snapToGrid/>
          <w:color w:val="auto"/>
          <w:kern w:val="2"/>
          <w:sz w:val="28"/>
          <w:szCs w:val="28"/>
          <w:highlight w:val="none"/>
          <w:lang w:eastAsia="zh-CN"/>
        </w:rPr>
        <w:t>配送车辆（必须盖章，否则无效）；</w:t>
      </w:r>
    </w:p>
    <w:p w14:paraId="5A9429DE">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（十四）</w:t>
      </w:r>
      <w:r>
        <w:rPr>
          <w:rFonts w:hint="eastAsia" w:ascii="宋体" w:hAnsi="宋体" w:eastAsia="宋体" w:cs="Times New Roman"/>
          <w:snapToGrid/>
          <w:color w:val="auto"/>
          <w:kern w:val="2"/>
          <w:sz w:val="28"/>
          <w:szCs w:val="28"/>
          <w:highlight w:val="none"/>
          <w:lang w:eastAsia="zh-CN"/>
        </w:rPr>
        <w:t>投入人员</w:t>
      </w:r>
      <w:r>
        <w:rPr>
          <w:rFonts w:hint="eastAsia" w:ascii="宋体" w:hAnsi="宋体" w:eastAsia="宋体" w:cs="Times New Roman"/>
          <w:snapToGrid/>
          <w:color w:val="auto"/>
          <w:kern w:val="2"/>
          <w:sz w:val="28"/>
          <w:szCs w:val="28"/>
          <w:highlight w:val="none"/>
          <w:lang w:val="en-US" w:eastAsia="zh-CN"/>
        </w:rPr>
        <w:t xml:space="preserve">  </w:t>
      </w:r>
      <w:r>
        <w:rPr>
          <w:rFonts w:hint="eastAsia" w:ascii="宋体" w:hAnsi="宋体" w:eastAsia="宋体" w:cs="Times New Roman"/>
          <w:snapToGrid/>
          <w:color w:val="auto"/>
          <w:kern w:val="2"/>
          <w:sz w:val="28"/>
          <w:szCs w:val="28"/>
          <w:highlight w:val="none"/>
          <w:lang w:eastAsia="zh-CN"/>
        </w:rPr>
        <w:t>（必须盖章，否则无效）；</w:t>
      </w:r>
    </w:p>
    <w:p w14:paraId="6F27045B">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（十五）</w:t>
      </w:r>
      <w:r>
        <w:rPr>
          <w:rFonts w:hint="eastAsia" w:ascii="宋体" w:hAnsi="宋体" w:eastAsia="宋体" w:cs="Times New Roman"/>
          <w:snapToGrid/>
          <w:color w:val="auto"/>
          <w:kern w:val="2"/>
          <w:sz w:val="28"/>
          <w:szCs w:val="28"/>
          <w:highlight w:val="none"/>
          <w:lang w:eastAsia="zh-CN"/>
        </w:rPr>
        <w:t>配送场所（必须盖章，否则无效）；</w:t>
      </w:r>
    </w:p>
    <w:p w14:paraId="0A8531EA">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（十六）</w:t>
      </w:r>
      <w:r>
        <w:rPr>
          <w:rFonts w:hint="eastAsia" w:ascii="宋体" w:hAnsi="宋体" w:eastAsia="宋体" w:cs="Times New Roman"/>
          <w:snapToGrid/>
          <w:color w:val="auto"/>
          <w:kern w:val="2"/>
          <w:sz w:val="28"/>
          <w:szCs w:val="28"/>
          <w:highlight w:val="none"/>
          <w:lang w:eastAsia="zh-CN"/>
        </w:rPr>
        <w:t>风险防控（必须盖章，否则无效）；</w:t>
      </w:r>
    </w:p>
    <w:p w14:paraId="12599910">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（十七）</w:t>
      </w:r>
      <w:r>
        <w:rPr>
          <w:rFonts w:hint="eastAsia" w:ascii="宋体" w:hAnsi="宋体" w:eastAsia="宋体" w:cs="Times New Roman"/>
          <w:snapToGrid/>
          <w:color w:val="auto"/>
          <w:kern w:val="2"/>
          <w:sz w:val="28"/>
          <w:szCs w:val="28"/>
          <w:highlight w:val="none"/>
          <w:lang w:eastAsia="zh-CN"/>
        </w:rPr>
        <w:t>业绩</w:t>
      </w:r>
      <w:r>
        <w:rPr>
          <w:rFonts w:hint="eastAsia" w:ascii="宋体" w:hAnsi="宋体" w:eastAsia="宋体" w:cs="Times New Roman"/>
          <w:snapToGrid/>
          <w:color w:val="auto"/>
          <w:kern w:val="2"/>
          <w:sz w:val="28"/>
          <w:szCs w:val="28"/>
          <w:highlight w:val="none"/>
          <w:lang w:val="en-US" w:eastAsia="zh-CN"/>
        </w:rPr>
        <w:t xml:space="preserve"> 1、</w:t>
      </w:r>
      <w:r>
        <w:rPr>
          <w:rFonts w:hint="eastAsia" w:ascii="宋体" w:hAnsi="宋体" w:eastAsia="宋体" w:cs="Times New Roman"/>
          <w:snapToGrid/>
          <w:color w:val="auto"/>
          <w:kern w:val="2"/>
          <w:sz w:val="28"/>
          <w:szCs w:val="28"/>
          <w:highlight w:val="none"/>
          <w:lang w:eastAsia="zh-CN"/>
        </w:rPr>
        <w:t>2023 年以来投标人拥有食材配送项目业绩</w:t>
      </w:r>
      <w:r>
        <w:rPr>
          <w:rFonts w:hint="eastAsia" w:ascii="宋体" w:hAnsi="宋体" w:eastAsia="宋体" w:cs="Times New Roman"/>
          <w:snapToGrid/>
          <w:color w:val="auto"/>
          <w:kern w:val="2"/>
          <w:sz w:val="28"/>
          <w:szCs w:val="28"/>
          <w:highlight w:val="none"/>
          <w:lang w:val="en-US" w:eastAsia="zh-CN"/>
        </w:rPr>
        <w:t>2、</w:t>
      </w:r>
      <w:r>
        <w:rPr>
          <w:rFonts w:hint="eastAsia" w:ascii="宋体" w:hAnsi="宋体" w:eastAsia="宋体" w:cs="Times New Roman"/>
          <w:snapToGrid/>
          <w:color w:val="auto"/>
          <w:kern w:val="2"/>
          <w:sz w:val="28"/>
          <w:szCs w:val="28"/>
          <w:highlight w:val="none"/>
          <w:lang w:eastAsia="zh-CN"/>
        </w:rPr>
        <w:t>2023 年以来投标人拥有食材配送</w:t>
      </w:r>
      <w:r>
        <w:rPr>
          <w:rFonts w:hint="eastAsia" w:ascii="宋体" w:hAnsi="宋体" w:eastAsia="宋体" w:cs="Times New Roman"/>
          <w:snapToGrid/>
          <w:color w:val="auto"/>
          <w:kern w:val="2"/>
          <w:sz w:val="28"/>
          <w:szCs w:val="28"/>
          <w:highlight w:val="none"/>
          <w:lang w:val="en-US" w:eastAsia="zh-CN"/>
        </w:rPr>
        <w:t>医院、学习、大中型企业</w:t>
      </w:r>
      <w:r>
        <w:rPr>
          <w:rFonts w:hint="eastAsia" w:ascii="宋体" w:hAnsi="宋体" w:eastAsia="宋体" w:cs="Times New Roman"/>
          <w:snapToGrid/>
          <w:color w:val="auto"/>
          <w:kern w:val="2"/>
          <w:sz w:val="28"/>
          <w:szCs w:val="28"/>
          <w:highlight w:val="none"/>
          <w:lang w:eastAsia="zh-CN"/>
        </w:rPr>
        <w:t>项目业绩。注：提供合同或者中标（成交）通知书复印件并加盖投标人公章，；若提供的业绩为同一甲方的，按 1 个业绩计算。（必须盖章，否则无效）；</w:t>
      </w:r>
    </w:p>
    <w:p w14:paraId="3FB3A922">
      <w:pPr>
        <w:widowControl w:val="0"/>
        <w:numPr>
          <w:ilvl w:val="0"/>
          <w:numId w:val="0"/>
        </w:numPr>
        <w:kinsoku/>
        <w:autoSpaceDE/>
        <w:autoSpaceDN/>
        <w:adjustRightInd/>
        <w:snapToGrid/>
        <w:spacing w:line="240" w:lineRule="auto"/>
        <w:ind w:left="0" w:leftChars="0" w:firstLine="420" w:firstLineChars="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snapToGrid/>
          <w:color w:val="auto"/>
          <w:kern w:val="2"/>
          <w:sz w:val="28"/>
          <w:szCs w:val="28"/>
          <w:lang w:val="en-US" w:eastAsia="zh-CN" w:bidi="ar-SA"/>
        </w:rPr>
        <w:t>（十八）</w:t>
      </w:r>
      <w:r>
        <w:rPr>
          <w:rFonts w:hint="eastAsia" w:ascii="宋体" w:hAnsi="宋体" w:eastAsia="宋体" w:cs="Times New Roman"/>
          <w:snapToGrid/>
          <w:color w:val="auto"/>
          <w:kern w:val="2"/>
          <w:sz w:val="28"/>
          <w:szCs w:val="28"/>
          <w:highlight w:val="none"/>
          <w:lang w:eastAsia="zh-CN"/>
        </w:rPr>
        <w:t>（注：以上文件按顺序装订成册，一式</w:t>
      </w:r>
      <w:r>
        <w:rPr>
          <w:rFonts w:hint="eastAsia" w:ascii="宋体" w:hAnsi="宋体" w:eastAsia="宋体" w:cs="Times New Roman"/>
          <w:snapToGrid/>
          <w:color w:val="auto"/>
          <w:kern w:val="2"/>
          <w:sz w:val="28"/>
          <w:szCs w:val="28"/>
          <w:highlight w:val="none"/>
          <w:lang w:val="en-US" w:eastAsia="zh-CN"/>
        </w:rPr>
        <w:t>五</w:t>
      </w:r>
      <w:r>
        <w:rPr>
          <w:rFonts w:hint="eastAsia" w:ascii="宋体" w:hAnsi="宋体" w:eastAsia="宋体" w:cs="Times New Roman"/>
          <w:snapToGrid/>
          <w:color w:val="auto"/>
          <w:kern w:val="2"/>
          <w:sz w:val="28"/>
          <w:szCs w:val="28"/>
          <w:highlight w:val="none"/>
          <w:lang w:eastAsia="zh-CN"/>
        </w:rPr>
        <w:t>份，正本一份，副本</w:t>
      </w:r>
      <w:r>
        <w:rPr>
          <w:rFonts w:hint="eastAsia" w:ascii="宋体" w:hAnsi="宋体" w:eastAsia="宋体" w:cs="Times New Roman"/>
          <w:snapToGrid/>
          <w:color w:val="auto"/>
          <w:kern w:val="2"/>
          <w:sz w:val="28"/>
          <w:szCs w:val="28"/>
          <w:highlight w:val="none"/>
          <w:lang w:val="en-US" w:eastAsia="zh-CN"/>
        </w:rPr>
        <w:t>四</w:t>
      </w:r>
      <w:r>
        <w:rPr>
          <w:rFonts w:hint="eastAsia" w:ascii="宋体" w:hAnsi="宋体" w:eastAsia="宋体" w:cs="Times New Roman"/>
          <w:snapToGrid/>
          <w:color w:val="auto"/>
          <w:kern w:val="2"/>
          <w:sz w:val="28"/>
          <w:szCs w:val="28"/>
          <w:highlight w:val="none"/>
          <w:lang w:eastAsia="zh-CN"/>
        </w:rPr>
        <w:t>份）</w:t>
      </w:r>
    </w:p>
    <w:p w14:paraId="344E6600">
      <w:pPr>
        <w:ind w:firstLine="0"/>
        <w:rPr>
          <w:rFonts w:hint="eastAsia" w:ascii="宋体" w:hAnsi="宋体" w:eastAsia="宋体" w:cs="Times New Roman"/>
          <w:color w:val="auto"/>
          <w:sz w:val="28"/>
          <w:szCs w:val="28"/>
          <w:highlight w:val="none"/>
        </w:rPr>
      </w:pPr>
    </w:p>
    <w:p w14:paraId="789EB96C">
      <w:pPr>
        <w:jc w:val="both"/>
        <w:rPr>
          <w:rFonts w:hint="eastAsia" w:ascii="宋体" w:hAnsi="宋体" w:cs="宋体"/>
          <w:b/>
          <w:bCs/>
          <w:color w:val="auto"/>
          <w:sz w:val="32"/>
          <w:szCs w:val="40"/>
        </w:rPr>
      </w:pPr>
    </w:p>
    <w:p w14:paraId="7A38BC25">
      <w:pPr>
        <w:pStyle w:val="5"/>
        <w:rPr>
          <w:rFonts w:hint="eastAsia" w:ascii="宋体" w:hAnsi="宋体" w:cs="宋体"/>
          <w:b/>
          <w:bCs/>
          <w:color w:val="auto"/>
          <w:sz w:val="32"/>
          <w:szCs w:val="40"/>
        </w:rPr>
      </w:pPr>
    </w:p>
    <w:p w14:paraId="21A47C64">
      <w:pPr>
        <w:rPr>
          <w:rFonts w:hint="eastAsia" w:ascii="宋体" w:hAnsi="宋体" w:cs="宋体"/>
          <w:b/>
          <w:bCs/>
          <w:color w:val="auto"/>
          <w:sz w:val="32"/>
          <w:szCs w:val="40"/>
        </w:rPr>
      </w:pPr>
    </w:p>
    <w:p w14:paraId="1654D63A">
      <w:pPr>
        <w:rPr>
          <w:rFonts w:hint="eastAsia" w:ascii="宋体" w:hAnsi="宋体" w:cs="宋体"/>
          <w:b/>
          <w:bCs/>
          <w:color w:val="auto"/>
          <w:sz w:val="32"/>
          <w:szCs w:val="40"/>
        </w:rPr>
      </w:pPr>
    </w:p>
    <w:p w14:paraId="2C97D347">
      <w:pPr>
        <w:rPr>
          <w:rFonts w:hint="eastAsia" w:ascii="宋体" w:hAnsi="宋体" w:cs="宋体"/>
          <w:b/>
          <w:bCs/>
          <w:color w:val="auto"/>
          <w:sz w:val="32"/>
          <w:szCs w:val="40"/>
        </w:rPr>
      </w:pPr>
    </w:p>
    <w:p w14:paraId="0325A90D">
      <w:pPr>
        <w:rPr>
          <w:rFonts w:hint="eastAsia" w:ascii="宋体" w:hAnsi="宋体" w:cs="宋体"/>
          <w:b/>
          <w:bCs/>
          <w:color w:val="auto"/>
          <w:sz w:val="32"/>
          <w:szCs w:val="40"/>
        </w:rPr>
      </w:pPr>
    </w:p>
    <w:p w14:paraId="7D6D0C18">
      <w:pPr>
        <w:rPr>
          <w:rFonts w:hint="eastAsia" w:ascii="宋体" w:hAnsi="宋体" w:cs="宋体"/>
          <w:b/>
          <w:bCs/>
          <w:color w:val="auto"/>
          <w:sz w:val="32"/>
          <w:szCs w:val="40"/>
        </w:rPr>
      </w:pPr>
    </w:p>
    <w:p w14:paraId="2DF18E2E">
      <w:pPr>
        <w:rPr>
          <w:rFonts w:hint="eastAsia" w:ascii="宋体" w:hAnsi="宋体" w:cs="宋体"/>
          <w:b/>
          <w:bCs/>
          <w:color w:val="auto"/>
          <w:sz w:val="32"/>
          <w:szCs w:val="40"/>
        </w:rPr>
      </w:pPr>
    </w:p>
    <w:p w14:paraId="53C12C82">
      <w:pPr>
        <w:rPr>
          <w:rFonts w:hint="eastAsia" w:ascii="宋体" w:hAnsi="宋体" w:cs="宋体"/>
          <w:b/>
          <w:bCs/>
          <w:color w:val="auto"/>
          <w:sz w:val="32"/>
          <w:szCs w:val="40"/>
        </w:rPr>
      </w:pPr>
    </w:p>
    <w:p w14:paraId="0FC8FADB">
      <w:pPr>
        <w:pStyle w:val="14"/>
        <w:ind w:firstLine="2891" w:firstLineChars="900"/>
        <w:jc w:val="both"/>
        <w:rPr>
          <w:rFonts w:hint="eastAsia" w:ascii="宋体" w:hAnsi="宋体" w:eastAsia="宋体" w:cs="宋体"/>
          <w:b/>
          <w:color w:val="auto"/>
          <w:sz w:val="32"/>
        </w:rPr>
      </w:pPr>
    </w:p>
    <w:p w14:paraId="1295F2D7">
      <w:pPr>
        <w:rPr>
          <w:rFonts w:hint="eastAsia" w:ascii="宋体" w:hAnsi="宋体" w:eastAsia="宋体" w:cs="宋体"/>
          <w:b/>
          <w:color w:val="auto"/>
          <w:sz w:val="32"/>
        </w:rPr>
      </w:pPr>
    </w:p>
    <w:p w14:paraId="5BBBD326">
      <w:pPr>
        <w:rPr>
          <w:rFonts w:hint="eastAsia" w:ascii="宋体" w:hAnsi="宋体" w:eastAsia="宋体" w:cs="宋体"/>
          <w:b/>
          <w:color w:val="auto"/>
          <w:sz w:val="32"/>
        </w:rPr>
      </w:pPr>
    </w:p>
    <w:p w14:paraId="4DB3F3A3">
      <w:pPr>
        <w:pStyle w:val="14"/>
        <w:jc w:val="center"/>
        <w:rPr>
          <w:rFonts w:hint="eastAsia" w:ascii="宋体" w:hAnsi="宋体" w:eastAsia="宋体" w:cs="宋体"/>
          <w:b/>
          <w:color w:val="auto"/>
          <w:sz w:val="32"/>
        </w:rPr>
      </w:pPr>
      <w:r>
        <w:rPr>
          <w:rFonts w:hint="eastAsia" w:ascii="宋体" w:hAnsi="宋体" w:eastAsia="宋体" w:cs="宋体"/>
          <w:b/>
          <w:color w:val="auto"/>
          <w:sz w:val="32"/>
        </w:rPr>
        <w:t>竞  标  报  价  表</w:t>
      </w:r>
    </w:p>
    <w:p w14:paraId="72010737">
      <w:pPr>
        <w:snapToGrid w:val="0"/>
        <w:spacing w:before="50" w:after="50" w:line="340" w:lineRule="exact"/>
        <w:rPr>
          <w:rFonts w:hint="eastAsia" w:ascii="宋体" w:hAnsi="宋体" w:cs="宋体"/>
          <w:color w:val="auto"/>
          <w:szCs w:val="21"/>
        </w:rPr>
      </w:pPr>
    </w:p>
    <w:p w14:paraId="3A9776BB">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CA25C08">
      <w:pPr>
        <w:snapToGrid w:val="0"/>
        <w:spacing w:before="50" w:after="50" w:line="34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63856D5">
      <w:pPr>
        <w:snapToGrid w:val="0"/>
        <w:spacing w:before="50" w:after="50" w:line="340" w:lineRule="exact"/>
        <w:ind w:firstLine="4830" w:firstLineChars="2300"/>
        <w:rPr>
          <w:rFonts w:hint="eastAsia" w:ascii="宋体" w:hAnsi="宋体" w:cs="宋体"/>
          <w:color w:val="auto"/>
          <w:szCs w:val="21"/>
        </w:rPr>
      </w:pPr>
      <w:r>
        <w:rPr>
          <w:rFonts w:hint="eastAsia" w:ascii="宋体" w:hAnsi="宋体" w:cs="宋体"/>
          <w:color w:val="auto"/>
          <w:szCs w:val="21"/>
        </w:rPr>
        <w:t>单位：元</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1799"/>
        <w:gridCol w:w="990"/>
        <w:gridCol w:w="1200"/>
        <w:gridCol w:w="1562"/>
        <w:gridCol w:w="780"/>
        <w:gridCol w:w="1725"/>
      </w:tblGrid>
      <w:tr w14:paraId="0BF07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422DC82">
            <w:pPr>
              <w:spacing w:line="340" w:lineRule="exact"/>
              <w:jc w:val="center"/>
              <w:rPr>
                <w:rFonts w:hint="eastAsia" w:ascii="宋体" w:hAnsi="宋体" w:cs="宋体"/>
                <w:b/>
                <w:bCs/>
                <w:color w:val="auto"/>
                <w:szCs w:val="21"/>
              </w:rPr>
            </w:pPr>
            <w:r>
              <w:rPr>
                <w:rFonts w:hint="eastAsia" w:ascii="宋体" w:hAnsi="宋体" w:cs="宋体"/>
                <w:b/>
                <w:bCs/>
                <w:color w:val="auto"/>
                <w:szCs w:val="21"/>
              </w:rPr>
              <w:t>项号</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F8703C7">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DAECFDC">
            <w:pPr>
              <w:spacing w:line="340" w:lineRule="exact"/>
              <w:jc w:val="center"/>
              <w:rPr>
                <w:rFonts w:hint="eastAsia" w:ascii="宋体" w:hAnsi="宋体" w:cs="宋体"/>
                <w:b/>
                <w:bCs/>
                <w:color w:val="auto"/>
                <w:szCs w:val="21"/>
              </w:rPr>
            </w:pPr>
            <w:r>
              <w:rPr>
                <w:rFonts w:hint="eastAsia" w:ascii="宋体" w:hAnsi="宋体" w:cs="宋体"/>
                <w:b/>
                <w:bCs/>
                <w:color w:val="auto"/>
                <w:szCs w:val="21"/>
              </w:rPr>
              <w:t>数量</w:t>
            </w:r>
          </w:p>
          <w:p w14:paraId="1AEAD5A0">
            <w:pPr>
              <w:spacing w:line="340" w:lineRule="exact"/>
              <w:jc w:val="center"/>
              <w:rPr>
                <w:rFonts w:hint="eastAsia" w:ascii="宋体" w:hAnsi="宋体" w:cs="宋体"/>
                <w:b/>
                <w:bCs/>
                <w:color w:val="auto"/>
                <w:szCs w:val="21"/>
              </w:rPr>
            </w:pPr>
            <w:r>
              <w:rPr>
                <w:rFonts w:hint="eastAsia" w:ascii="宋体" w:hAnsi="宋体" w:cs="宋体"/>
                <w:b/>
                <w:bCs/>
                <w:color w:val="auto"/>
                <w:szCs w:val="21"/>
              </w:rPr>
              <w:t>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E80E42">
            <w:pPr>
              <w:spacing w:line="340" w:lineRule="exact"/>
              <w:jc w:val="center"/>
              <w:rPr>
                <w:rFonts w:hint="eastAsia" w:ascii="宋体" w:hAnsi="宋体" w:cs="宋体"/>
                <w:b/>
                <w:bCs/>
                <w:color w:val="auto"/>
                <w:szCs w:val="21"/>
              </w:rPr>
            </w:pPr>
            <w:r>
              <w:rPr>
                <w:rFonts w:hint="eastAsia" w:ascii="宋体" w:hAnsi="宋体" w:cs="宋体"/>
                <w:b/>
                <w:bCs/>
                <w:color w:val="auto"/>
                <w:szCs w:val="21"/>
              </w:rPr>
              <w:t>计量</w:t>
            </w:r>
          </w:p>
          <w:p w14:paraId="787D33D6">
            <w:pPr>
              <w:spacing w:line="340" w:lineRule="exact"/>
              <w:jc w:val="center"/>
              <w:rPr>
                <w:rFonts w:hint="eastAsia" w:ascii="宋体" w:hAnsi="宋体" w:cs="宋体"/>
                <w:b/>
                <w:bCs/>
                <w:color w:val="auto"/>
                <w:szCs w:val="21"/>
              </w:rPr>
            </w:pPr>
            <w:r>
              <w:rPr>
                <w:rFonts w:hint="eastAsia" w:ascii="宋体" w:hAnsi="宋体" w:cs="宋体"/>
                <w:b/>
                <w:bCs/>
                <w:color w:val="auto"/>
                <w:szCs w:val="21"/>
              </w:rPr>
              <w:t>单位</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BA6CAED">
            <w:pPr>
              <w:spacing w:line="340" w:lineRule="exact"/>
              <w:jc w:val="center"/>
              <w:rPr>
                <w:rFonts w:hint="eastAsia" w:ascii="宋体" w:hAnsi="宋体" w:cs="宋体"/>
                <w:b/>
                <w:bCs/>
                <w:color w:val="auto"/>
                <w:szCs w:val="21"/>
              </w:rPr>
            </w:pPr>
            <w:r>
              <w:rPr>
                <w:rFonts w:hint="eastAsia" w:ascii="宋体" w:hAnsi="宋体" w:cs="宋体"/>
                <w:b/>
                <w:bCs/>
                <w:color w:val="auto"/>
                <w:szCs w:val="21"/>
              </w:rPr>
              <w:t>服务期限</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FF65C78">
            <w:pPr>
              <w:spacing w:line="340" w:lineRule="exact"/>
              <w:jc w:val="center"/>
              <w:rPr>
                <w:rFonts w:hint="eastAsia" w:ascii="宋体" w:hAnsi="宋体" w:cs="宋体"/>
                <w:b/>
                <w:bCs/>
                <w:color w:val="auto"/>
                <w:szCs w:val="21"/>
              </w:rPr>
            </w:pPr>
            <w:r>
              <w:rPr>
                <w:rFonts w:hint="eastAsia" w:ascii="宋体" w:hAnsi="宋体" w:cs="宋体"/>
                <w:b/>
                <w:bCs/>
                <w:color w:val="auto"/>
                <w:szCs w:val="21"/>
              </w:rPr>
              <w:t>单价</w:t>
            </w:r>
          </w:p>
          <w:p w14:paraId="18D81E17">
            <w:pPr>
              <w:spacing w:line="340" w:lineRule="exact"/>
              <w:jc w:val="center"/>
              <w:rPr>
                <w:rFonts w:hint="eastAsia" w:ascii="宋体" w:hAnsi="宋体" w:cs="宋体"/>
                <w:b/>
                <w:bCs/>
                <w:color w:val="auto"/>
                <w:szCs w:val="21"/>
              </w:rPr>
            </w:pPr>
            <w:r>
              <w:rPr>
                <w:rFonts w:hint="eastAsia" w:ascii="宋体" w:hAnsi="宋体" w:cs="宋体"/>
                <w:b/>
                <w:bCs/>
                <w:color w:val="auto"/>
                <w:szCs w:val="21"/>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AE26750">
            <w:pPr>
              <w:spacing w:line="340" w:lineRule="exact"/>
              <w:jc w:val="center"/>
              <w:rPr>
                <w:rFonts w:hint="eastAsia" w:ascii="宋体" w:hAnsi="宋体" w:cs="宋体"/>
                <w:b/>
                <w:bCs/>
                <w:color w:val="auto"/>
                <w:szCs w:val="21"/>
              </w:rPr>
            </w:pPr>
            <w:r>
              <w:rPr>
                <w:rFonts w:hint="eastAsia" w:ascii="宋体" w:hAnsi="宋体" w:cs="宋体"/>
                <w:b/>
                <w:bCs/>
                <w:color w:val="auto"/>
                <w:szCs w:val="21"/>
              </w:rPr>
              <w:t>竞标报价</w:t>
            </w:r>
          </w:p>
          <w:p w14:paraId="1BBA4573">
            <w:pPr>
              <w:spacing w:line="340" w:lineRule="exact"/>
              <w:jc w:val="center"/>
              <w:rPr>
                <w:rFonts w:hint="eastAsia" w:ascii="宋体" w:hAnsi="宋体" w:cs="宋体"/>
                <w:b/>
                <w:bCs/>
                <w:color w:val="auto"/>
                <w:szCs w:val="21"/>
              </w:rPr>
            </w:pPr>
            <w:r>
              <w:rPr>
                <w:rFonts w:hint="eastAsia" w:ascii="宋体" w:hAnsi="宋体" w:cs="宋体"/>
                <w:b/>
                <w:bCs/>
                <w:color w:val="auto"/>
                <w:szCs w:val="21"/>
              </w:rPr>
              <w:t>③=①×②</w:t>
            </w:r>
          </w:p>
        </w:tc>
      </w:tr>
      <w:tr w14:paraId="17BD9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0453902">
            <w:pPr>
              <w:spacing w:line="340" w:lineRule="exact"/>
              <w:jc w:val="center"/>
              <w:rPr>
                <w:rFonts w:hint="eastAsia" w:ascii="宋体" w:hAnsi="宋体" w:cs="宋体"/>
                <w:color w:val="auto"/>
                <w:szCs w:val="21"/>
              </w:rPr>
            </w:pPr>
            <w:r>
              <w:rPr>
                <w:rFonts w:hint="eastAsia" w:ascii="宋体" w:hAnsi="宋体" w:cs="宋体"/>
                <w:color w:val="auto"/>
                <w:szCs w:val="21"/>
              </w:rPr>
              <w:t>1</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3E7D963">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B5B1737">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4A11D3">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A09A4EA">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A9EC450">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CFAEEDE">
            <w:pPr>
              <w:spacing w:line="340" w:lineRule="exact"/>
              <w:jc w:val="center"/>
              <w:rPr>
                <w:rFonts w:hint="eastAsia" w:ascii="宋体" w:hAnsi="宋体" w:cs="宋体"/>
                <w:color w:val="auto"/>
                <w:szCs w:val="21"/>
              </w:rPr>
            </w:pPr>
          </w:p>
        </w:tc>
      </w:tr>
      <w:tr w14:paraId="52B76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0F03E8E">
            <w:pPr>
              <w:spacing w:line="340" w:lineRule="exact"/>
              <w:jc w:val="center"/>
              <w:rPr>
                <w:rFonts w:hint="eastAsia" w:ascii="宋体" w:hAnsi="宋体" w:cs="宋体"/>
                <w:color w:val="auto"/>
                <w:szCs w:val="21"/>
              </w:rPr>
            </w:pPr>
            <w:r>
              <w:rPr>
                <w:rFonts w:hint="eastAsia" w:ascii="宋体" w:hAnsi="宋体" w:cs="宋体"/>
                <w:color w:val="auto"/>
                <w:szCs w:val="21"/>
              </w:rPr>
              <w:t>2</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C8BFACF">
            <w:pPr>
              <w:spacing w:line="340" w:lineRule="exact"/>
              <w:jc w:val="center"/>
              <w:rPr>
                <w:rFonts w:hint="eastAsia" w:ascii="宋体" w:hAnsi="宋体" w:cs="宋体"/>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E07E519">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802D62">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910E53A">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249753">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7F558A5">
            <w:pPr>
              <w:spacing w:line="340" w:lineRule="exact"/>
              <w:jc w:val="center"/>
              <w:rPr>
                <w:rFonts w:hint="eastAsia" w:ascii="宋体" w:hAnsi="宋体" w:cs="宋体"/>
                <w:color w:val="auto"/>
                <w:szCs w:val="21"/>
              </w:rPr>
            </w:pPr>
          </w:p>
        </w:tc>
      </w:tr>
      <w:tr w14:paraId="60EA4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989050F">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FE1050D">
            <w:pPr>
              <w:spacing w:line="340" w:lineRule="exact"/>
              <w:jc w:val="center"/>
              <w:rPr>
                <w:rFonts w:hint="eastAsia" w:ascii="宋体" w:hAnsi="宋体" w:cs="宋体"/>
                <w:color w:val="auto"/>
                <w:szCs w:val="21"/>
              </w:rPr>
            </w:pPr>
            <w:r>
              <w:rPr>
                <w:rFonts w:hint="eastAsia" w:ascii="宋体" w:hAnsi="宋体" w:cs="宋体"/>
                <w:color w:val="auto"/>
                <w:szCs w:val="21"/>
              </w:rPr>
              <w:t>……</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F2AC573">
            <w:pPr>
              <w:spacing w:line="34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6C83CA">
            <w:pPr>
              <w:spacing w:line="340" w:lineRule="exact"/>
              <w:jc w:val="center"/>
              <w:rPr>
                <w:rFonts w:hint="eastAsia" w:ascii="宋体" w:hAnsi="宋体" w:cs="宋体"/>
                <w:color w:val="auto"/>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A0E737A">
            <w:pPr>
              <w:spacing w:line="340" w:lineRule="exact"/>
              <w:jc w:val="center"/>
              <w:rPr>
                <w:rFonts w:hint="eastAsia" w:ascii="宋体" w:hAnsi="宋体" w:cs="宋体"/>
                <w:color w:val="auto"/>
                <w:szCs w:val="21"/>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79D1AC3">
            <w:pPr>
              <w:spacing w:line="340" w:lineRule="exact"/>
              <w:jc w:val="center"/>
              <w:rPr>
                <w:rFonts w:hint="eastAsia" w:ascii="宋体" w:hAnsi="宋体" w:cs="宋体"/>
                <w:color w:val="auto"/>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31A6C15">
            <w:pPr>
              <w:spacing w:line="340" w:lineRule="exact"/>
              <w:jc w:val="center"/>
              <w:rPr>
                <w:rFonts w:hint="eastAsia" w:ascii="宋体" w:hAnsi="宋体" w:cs="宋体"/>
                <w:color w:val="auto"/>
                <w:szCs w:val="21"/>
              </w:rPr>
            </w:pPr>
          </w:p>
        </w:tc>
      </w:tr>
    </w:tbl>
    <w:p w14:paraId="50CEC0E3">
      <w:pPr>
        <w:snapToGrid w:val="0"/>
        <w:spacing w:before="50" w:after="50" w:line="340" w:lineRule="exact"/>
        <w:jc w:val="left"/>
        <w:rPr>
          <w:rFonts w:hint="eastAsia" w:ascii="宋体" w:hAnsi="宋体" w:cs="宋体"/>
          <w:color w:val="auto"/>
          <w:szCs w:val="21"/>
        </w:rPr>
      </w:pPr>
      <w:r>
        <w:rPr>
          <w:rFonts w:hint="eastAsia" w:ascii="宋体" w:hAnsi="宋体" w:cs="宋体"/>
          <w:color w:val="auto"/>
          <w:szCs w:val="21"/>
        </w:rPr>
        <w:t xml:space="preserve">注： </w:t>
      </w:r>
    </w:p>
    <w:p w14:paraId="4446303D">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（一）报价必须含以下部分，包括：</w:t>
      </w:r>
    </w:p>
    <w:p w14:paraId="416962A2">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1.服务的价格；</w:t>
      </w:r>
    </w:p>
    <w:p w14:paraId="17AF6A17">
      <w:pPr>
        <w:pStyle w:val="7"/>
        <w:spacing w:line="400" w:lineRule="exact"/>
        <w:ind w:firstLine="840" w:firstLineChars="400"/>
        <w:rPr>
          <w:rFonts w:hint="eastAsia" w:ascii="宋体" w:hAnsi="宋体" w:cs="宋体"/>
          <w:color w:val="auto"/>
          <w:szCs w:val="21"/>
        </w:rPr>
      </w:pPr>
      <w:r>
        <w:rPr>
          <w:rFonts w:hint="eastAsia" w:ascii="宋体" w:hAnsi="宋体" w:cs="宋体"/>
          <w:color w:val="auto"/>
          <w:szCs w:val="21"/>
        </w:rPr>
        <w:t>2.必要的差旅费费用等；</w:t>
      </w:r>
    </w:p>
    <w:p w14:paraId="54D60313">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（二）投标单位须根据采购需求及评分标准编制项目实施方案；</w:t>
      </w:r>
    </w:p>
    <w:p w14:paraId="69E7B6A7">
      <w:pPr>
        <w:pStyle w:val="7"/>
        <w:spacing w:line="400" w:lineRule="exact"/>
        <w:ind w:firstLine="420" w:firstLineChars="200"/>
        <w:jc w:val="both"/>
        <w:rPr>
          <w:rFonts w:hint="eastAsia" w:ascii="宋体" w:hAnsi="宋体" w:cs="宋体"/>
          <w:color w:val="auto"/>
          <w:szCs w:val="21"/>
        </w:rPr>
      </w:pPr>
      <w:r>
        <w:rPr>
          <w:rFonts w:hint="eastAsia" w:ascii="宋体" w:hAnsi="宋体" w:cs="宋体"/>
          <w:color w:val="auto"/>
          <w:szCs w:val="21"/>
        </w:rPr>
        <w:t>（三）投标单位须根据采购需求及评分标准编制服务质量保证措施、服务承诺及合理化建议；</w:t>
      </w:r>
    </w:p>
    <w:p w14:paraId="3921B5D6">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（四）以上内容为必须实质性响应的内容，如有负偏离，则做无效标处理。</w:t>
      </w:r>
    </w:p>
    <w:p w14:paraId="7ACFE7D6">
      <w:pPr>
        <w:pStyle w:val="7"/>
        <w:spacing w:line="400" w:lineRule="exact"/>
        <w:ind w:firstLine="420" w:firstLineChars="200"/>
        <w:rPr>
          <w:rFonts w:hint="eastAsia" w:ascii="宋体" w:hAnsi="宋体" w:cs="宋体"/>
          <w:color w:val="auto"/>
          <w:szCs w:val="21"/>
        </w:rPr>
      </w:pPr>
      <w:r>
        <w:rPr>
          <w:rFonts w:hint="eastAsia" w:ascii="宋体" w:hAnsi="宋体" w:cs="宋体"/>
          <w:color w:val="auto"/>
          <w:szCs w:val="21"/>
        </w:rPr>
        <w:t>（五）法律顾问代理我院诉讼、仲裁案件时，中标方按照附件《广西壮族自治区律师服务收费标准》第五项</w:t>
      </w:r>
      <w:r>
        <w:rPr>
          <w:rFonts w:hint="eastAsia" w:ascii="宋体" w:hAnsi="宋体" w:cs="宋体"/>
          <w:b/>
          <w:bCs/>
          <w:color w:val="auto"/>
          <w:szCs w:val="21"/>
        </w:rPr>
        <w:t>“按比例收费”的</w:t>
      </w:r>
      <w:r>
        <w:rPr>
          <w:rFonts w:hint="eastAsia" w:ascii="宋体" w:hAnsi="宋体" w:cs="宋体"/>
          <w:b/>
          <w:bCs/>
          <w:color w:val="auto"/>
          <w:szCs w:val="21"/>
          <w:u w:val="single"/>
        </w:rPr>
        <w:t xml:space="preserve">   </w:t>
      </w:r>
      <w:r>
        <w:rPr>
          <w:rFonts w:hint="eastAsia" w:ascii="宋体" w:hAnsi="宋体" w:cs="宋体"/>
          <w:b/>
          <w:bCs/>
          <w:color w:val="auto"/>
          <w:szCs w:val="21"/>
        </w:rPr>
        <w:t>折</w:t>
      </w:r>
      <w:r>
        <w:rPr>
          <w:rFonts w:hint="eastAsia" w:ascii="宋体" w:hAnsi="宋体" w:cs="宋体"/>
          <w:color w:val="auto"/>
          <w:szCs w:val="21"/>
        </w:rPr>
        <w:t>优惠收取案件代理费。</w:t>
      </w:r>
    </w:p>
    <w:p w14:paraId="6FB6FBCB">
      <w:pPr>
        <w:snapToGrid w:val="0"/>
        <w:spacing w:before="50" w:after="50" w:line="520" w:lineRule="exact"/>
        <w:ind w:right="-817" w:rightChars="-389"/>
        <w:rPr>
          <w:rFonts w:hint="eastAsia" w:ascii="宋体" w:hAnsi="宋体" w:cs="宋体"/>
          <w:color w:val="auto"/>
          <w:szCs w:val="21"/>
        </w:rPr>
      </w:pPr>
    </w:p>
    <w:p w14:paraId="150CDABF">
      <w:pPr>
        <w:snapToGrid w:val="0"/>
        <w:spacing w:before="50" w:after="50" w:line="520" w:lineRule="exact"/>
        <w:ind w:right="-817" w:rightChars="-389"/>
        <w:rPr>
          <w:rFonts w:hint="eastAsia" w:ascii="宋体" w:hAnsi="宋体" w:cs="宋体"/>
          <w:color w:val="auto"/>
          <w:szCs w:val="21"/>
        </w:rPr>
      </w:pPr>
      <w:r>
        <w:rPr>
          <w:rFonts w:hint="eastAsia" w:ascii="宋体" w:hAnsi="宋体" w:cs="宋体"/>
          <w:color w:val="auto"/>
          <w:szCs w:val="21"/>
        </w:rPr>
        <w:t xml:space="preserve">法定代表人（负责人或自然人）或委托代理人（签字）：                    </w:t>
      </w:r>
    </w:p>
    <w:p w14:paraId="22BAEB94">
      <w:pPr>
        <w:snapToGrid w:val="0"/>
        <w:spacing w:before="50" w:after="50" w:line="520" w:lineRule="exact"/>
        <w:ind w:right="-817" w:rightChars="-389" w:firstLine="2310" w:firstLineChars="1100"/>
        <w:rPr>
          <w:rFonts w:hint="eastAsia" w:ascii="宋体" w:hAnsi="宋体" w:cs="宋体"/>
          <w:color w:val="auto"/>
          <w:szCs w:val="21"/>
        </w:rPr>
      </w:pPr>
      <w:r>
        <w:rPr>
          <w:rFonts w:hint="eastAsia" w:ascii="宋体" w:hAnsi="宋体" w:cs="宋体"/>
          <w:color w:val="auto"/>
          <w:szCs w:val="21"/>
        </w:rPr>
        <w:t xml:space="preserve">供应商（盖公章）：      </w:t>
      </w:r>
    </w:p>
    <w:p w14:paraId="0BFD4FA0">
      <w:pPr>
        <w:snapToGrid w:val="0"/>
        <w:spacing w:before="50" w:after="50" w:line="520" w:lineRule="exact"/>
        <w:ind w:right="-817" w:rightChars="-389" w:firstLine="3570" w:firstLineChars="1700"/>
        <w:rPr>
          <w:rFonts w:hint="eastAsia" w:ascii="宋体" w:hAnsi="宋体" w:cs="宋体"/>
          <w:color w:val="auto"/>
          <w:szCs w:val="21"/>
        </w:rPr>
      </w:pPr>
      <w:r>
        <w:rPr>
          <w:rFonts w:hint="eastAsia" w:ascii="宋体" w:hAnsi="宋体" w:cs="宋体"/>
          <w:color w:val="auto"/>
          <w:szCs w:val="21"/>
        </w:rPr>
        <w:t>日期：   年   月   日</w:t>
      </w:r>
    </w:p>
    <w:p w14:paraId="744FBA68">
      <w:pPr>
        <w:rPr>
          <w:rFonts w:hint="eastAsia" w:ascii="宋体" w:hAnsi="宋体" w:cs="宋体"/>
          <w:color w:val="auto"/>
        </w:rPr>
      </w:pPr>
    </w:p>
    <w:p w14:paraId="1C4162F6">
      <w:pPr>
        <w:rPr>
          <w:rFonts w:hint="eastAsia" w:ascii="宋体" w:hAnsi="宋体" w:cs="宋体"/>
          <w:color w:val="auto"/>
        </w:rPr>
      </w:pPr>
    </w:p>
    <w:p w14:paraId="306F0514">
      <w:pPr>
        <w:rPr>
          <w:rFonts w:hint="eastAsia" w:ascii="宋体" w:hAnsi="宋体" w:cs="宋体"/>
          <w:color w:val="auto"/>
        </w:rPr>
      </w:pPr>
    </w:p>
    <w:p w14:paraId="0B75FC37">
      <w:pPr>
        <w:rPr>
          <w:rFonts w:hint="eastAsia" w:ascii="宋体" w:hAnsi="宋体" w:cs="宋体"/>
          <w:color w:val="auto"/>
        </w:rPr>
      </w:pPr>
    </w:p>
    <w:p w14:paraId="096CBD69">
      <w:pPr>
        <w:rPr>
          <w:rFonts w:hint="eastAsia" w:ascii="宋体" w:hAnsi="宋体" w:cs="宋体"/>
          <w:color w:val="auto"/>
        </w:rPr>
      </w:pPr>
    </w:p>
    <w:p w14:paraId="61E874BB">
      <w:pPr>
        <w:rPr>
          <w:rFonts w:hint="eastAsia" w:ascii="宋体" w:hAnsi="宋体" w:cs="宋体"/>
          <w:color w:val="auto"/>
        </w:rPr>
      </w:pPr>
    </w:p>
    <w:p w14:paraId="0204580A">
      <w:pPr>
        <w:rPr>
          <w:rFonts w:hint="eastAsia" w:ascii="宋体" w:hAnsi="宋体" w:cs="宋体"/>
          <w:color w:val="auto"/>
        </w:rPr>
      </w:pPr>
    </w:p>
    <w:p w14:paraId="17DD4827">
      <w:pPr>
        <w:rPr>
          <w:rFonts w:hint="eastAsia" w:ascii="宋体" w:hAnsi="宋体" w:cs="宋体"/>
          <w:color w:val="auto"/>
        </w:rPr>
      </w:pPr>
    </w:p>
    <w:p w14:paraId="3A604C3F">
      <w:pPr>
        <w:rPr>
          <w:rFonts w:hint="eastAsia" w:ascii="宋体" w:hAnsi="宋体" w:cs="宋体"/>
          <w:color w:val="auto"/>
        </w:rPr>
      </w:pPr>
    </w:p>
    <w:p w14:paraId="7E83D9AC">
      <w:pPr>
        <w:rPr>
          <w:rFonts w:hint="eastAsia" w:ascii="宋体" w:hAnsi="宋体" w:cs="宋体"/>
          <w:color w:val="auto"/>
        </w:rPr>
      </w:pPr>
    </w:p>
    <w:p w14:paraId="555DB5AD">
      <w:pPr>
        <w:rPr>
          <w:rFonts w:hint="eastAsia" w:ascii="宋体" w:hAnsi="宋体" w:cs="宋体"/>
          <w:color w:val="auto"/>
        </w:rPr>
      </w:pPr>
    </w:p>
    <w:p w14:paraId="2DA88EEC">
      <w:pPr>
        <w:rPr>
          <w:rFonts w:hint="eastAsia" w:ascii="宋体" w:hAnsi="宋体" w:cs="宋体"/>
          <w:color w:val="auto"/>
        </w:rPr>
      </w:pPr>
    </w:p>
    <w:p w14:paraId="5BAD2761">
      <w:pPr>
        <w:pStyle w:val="14"/>
        <w:jc w:val="center"/>
        <w:rPr>
          <w:rFonts w:hint="eastAsia" w:ascii="宋体" w:hAnsi="宋体" w:eastAsia="宋体" w:cs="宋体"/>
          <w:b/>
          <w:color w:val="auto"/>
          <w:sz w:val="32"/>
        </w:rPr>
      </w:pPr>
      <w:r>
        <w:rPr>
          <w:rFonts w:hint="eastAsia" w:ascii="宋体" w:hAnsi="宋体" w:eastAsia="宋体" w:cs="宋体"/>
          <w:b/>
          <w:color w:val="auto"/>
          <w:sz w:val="32"/>
        </w:rPr>
        <w:t>采购要求响应表</w:t>
      </w:r>
    </w:p>
    <w:p w14:paraId="7BB727C5">
      <w:pPr>
        <w:rPr>
          <w:rFonts w:hint="eastAsia" w:ascii="宋体" w:hAnsi="宋体" w:cs="宋体"/>
          <w:color w:val="auto"/>
        </w:rPr>
      </w:pPr>
    </w:p>
    <w:p w14:paraId="1E13998B">
      <w:pPr>
        <w:spacing w:line="500" w:lineRule="exact"/>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0CA612F7">
      <w:pPr>
        <w:spacing w:line="500" w:lineRule="exact"/>
        <w:rPr>
          <w:rFonts w:hint="eastAsia" w:ascii="宋体" w:hAnsi="宋体" w:cs="宋体"/>
          <w:color w:val="auto"/>
          <w:sz w:val="24"/>
          <w:u w:val="single"/>
        </w:rPr>
      </w:pPr>
      <w:r>
        <w:rPr>
          <w:rFonts w:hint="eastAsia" w:ascii="宋体" w:hAnsi="宋体" w:cs="宋体"/>
          <w:color w:val="auto"/>
          <w:sz w:val="24"/>
          <w:u w:val="single"/>
        </w:rPr>
        <w:t>按项目需要及技术需求填写</w:t>
      </w:r>
    </w:p>
    <w:tbl>
      <w:tblPr>
        <w:tblStyle w:val="1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511"/>
        <w:gridCol w:w="1978"/>
        <w:gridCol w:w="2264"/>
      </w:tblGrid>
      <w:tr w14:paraId="2583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9" w:type="dxa"/>
            <w:noWrap w:val="0"/>
            <w:vAlign w:val="center"/>
          </w:tcPr>
          <w:p w14:paraId="0221FF5F">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w:t>
            </w:r>
          </w:p>
        </w:tc>
        <w:tc>
          <w:tcPr>
            <w:tcW w:w="2511" w:type="dxa"/>
            <w:noWrap w:val="0"/>
            <w:vAlign w:val="center"/>
          </w:tcPr>
          <w:p w14:paraId="0C8AF7DB">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项目需要及技术需求</w:t>
            </w:r>
          </w:p>
        </w:tc>
        <w:tc>
          <w:tcPr>
            <w:tcW w:w="1978" w:type="dxa"/>
            <w:noWrap w:val="0"/>
            <w:vAlign w:val="center"/>
          </w:tcPr>
          <w:p w14:paraId="5FB11C78">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是否响应</w:t>
            </w:r>
          </w:p>
          <w:p w14:paraId="01D08605">
            <w:pPr>
              <w:rPr>
                <w:rFonts w:hint="eastAsia" w:ascii="宋体" w:hAnsi="宋体" w:cs="宋体"/>
                <w:color w:val="auto"/>
              </w:rPr>
            </w:pPr>
            <w:r>
              <w:rPr>
                <w:rFonts w:hint="eastAsia" w:ascii="宋体" w:hAnsi="宋体" w:cs="宋体"/>
                <w:color w:val="auto"/>
                <w:sz w:val="24"/>
              </w:rPr>
              <w:t>（响应/负偏离）</w:t>
            </w:r>
          </w:p>
        </w:tc>
        <w:tc>
          <w:tcPr>
            <w:tcW w:w="2264" w:type="dxa"/>
            <w:noWrap w:val="0"/>
            <w:vAlign w:val="center"/>
          </w:tcPr>
          <w:p w14:paraId="18473537">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供应商的承诺或说明</w:t>
            </w:r>
          </w:p>
        </w:tc>
      </w:tr>
      <w:tr w14:paraId="45EC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263AF2DA">
            <w:pPr>
              <w:snapToGrid w:val="0"/>
              <w:spacing w:line="500" w:lineRule="exact"/>
              <w:jc w:val="center"/>
              <w:rPr>
                <w:rFonts w:hint="eastAsia" w:ascii="宋体" w:hAnsi="宋体" w:cs="宋体"/>
                <w:color w:val="auto"/>
                <w:sz w:val="24"/>
              </w:rPr>
            </w:pPr>
          </w:p>
        </w:tc>
        <w:tc>
          <w:tcPr>
            <w:tcW w:w="2511" w:type="dxa"/>
            <w:noWrap w:val="0"/>
            <w:vAlign w:val="center"/>
          </w:tcPr>
          <w:p w14:paraId="38C52468">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6A8DB214">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0D0780DC">
            <w:pPr>
              <w:pStyle w:val="9"/>
              <w:spacing w:line="500" w:lineRule="exact"/>
              <w:jc w:val="center"/>
              <w:rPr>
                <w:rFonts w:hint="eastAsia" w:hAnsi="宋体" w:eastAsia="宋体" w:cs="宋体"/>
                <w:color w:val="auto"/>
                <w:kern w:val="2"/>
                <w:sz w:val="24"/>
                <w:szCs w:val="24"/>
              </w:rPr>
            </w:pPr>
          </w:p>
        </w:tc>
      </w:tr>
      <w:tr w14:paraId="11AE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7014D837">
            <w:pPr>
              <w:snapToGrid w:val="0"/>
              <w:spacing w:line="500" w:lineRule="exact"/>
              <w:jc w:val="center"/>
              <w:rPr>
                <w:rFonts w:hint="eastAsia" w:ascii="宋体" w:hAnsi="宋体" w:cs="宋体"/>
                <w:color w:val="auto"/>
                <w:sz w:val="24"/>
              </w:rPr>
            </w:pPr>
          </w:p>
        </w:tc>
        <w:tc>
          <w:tcPr>
            <w:tcW w:w="2511" w:type="dxa"/>
            <w:noWrap w:val="0"/>
            <w:vAlign w:val="center"/>
          </w:tcPr>
          <w:p w14:paraId="7979B358">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569B9894">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18DAA0AF">
            <w:pPr>
              <w:pStyle w:val="9"/>
              <w:spacing w:line="500" w:lineRule="exact"/>
              <w:jc w:val="center"/>
              <w:rPr>
                <w:rFonts w:hint="eastAsia" w:hAnsi="宋体" w:eastAsia="宋体" w:cs="宋体"/>
                <w:color w:val="auto"/>
                <w:kern w:val="2"/>
                <w:sz w:val="24"/>
                <w:szCs w:val="24"/>
              </w:rPr>
            </w:pPr>
          </w:p>
        </w:tc>
      </w:tr>
      <w:tr w14:paraId="749A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4CC4DE31">
            <w:pPr>
              <w:snapToGrid w:val="0"/>
              <w:spacing w:line="500" w:lineRule="exact"/>
              <w:jc w:val="center"/>
              <w:rPr>
                <w:rFonts w:hint="eastAsia" w:ascii="宋体" w:hAnsi="宋体" w:cs="宋体"/>
                <w:color w:val="auto"/>
                <w:sz w:val="24"/>
              </w:rPr>
            </w:pPr>
          </w:p>
        </w:tc>
        <w:tc>
          <w:tcPr>
            <w:tcW w:w="2511" w:type="dxa"/>
            <w:noWrap w:val="0"/>
            <w:vAlign w:val="center"/>
          </w:tcPr>
          <w:p w14:paraId="69F08E29">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41321976">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73E75E32">
            <w:pPr>
              <w:pStyle w:val="9"/>
              <w:spacing w:line="500" w:lineRule="exact"/>
              <w:jc w:val="center"/>
              <w:rPr>
                <w:rFonts w:hint="eastAsia" w:hAnsi="宋体" w:eastAsia="宋体" w:cs="宋体"/>
                <w:color w:val="auto"/>
                <w:kern w:val="2"/>
                <w:sz w:val="24"/>
                <w:szCs w:val="24"/>
              </w:rPr>
            </w:pPr>
          </w:p>
        </w:tc>
      </w:tr>
      <w:tr w14:paraId="6EB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2679A818">
            <w:pPr>
              <w:spacing w:line="500" w:lineRule="exact"/>
              <w:jc w:val="center"/>
              <w:rPr>
                <w:rFonts w:hint="eastAsia" w:ascii="宋体" w:hAnsi="宋体" w:cs="宋体"/>
                <w:color w:val="auto"/>
                <w:sz w:val="24"/>
              </w:rPr>
            </w:pPr>
          </w:p>
        </w:tc>
        <w:tc>
          <w:tcPr>
            <w:tcW w:w="2511" w:type="dxa"/>
            <w:noWrap w:val="0"/>
            <w:vAlign w:val="center"/>
          </w:tcPr>
          <w:p w14:paraId="622E8DA9">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7FBF8A94">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0A558A01">
            <w:pPr>
              <w:pStyle w:val="9"/>
              <w:spacing w:line="500" w:lineRule="exact"/>
              <w:jc w:val="center"/>
              <w:rPr>
                <w:rFonts w:hint="eastAsia" w:hAnsi="宋体" w:eastAsia="宋体" w:cs="宋体"/>
                <w:color w:val="auto"/>
                <w:kern w:val="2"/>
                <w:sz w:val="24"/>
                <w:szCs w:val="24"/>
              </w:rPr>
            </w:pPr>
          </w:p>
        </w:tc>
      </w:tr>
      <w:tr w14:paraId="7180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noWrap w:val="0"/>
            <w:vAlign w:val="center"/>
          </w:tcPr>
          <w:p w14:paraId="64D5CB47">
            <w:pPr>
              <w:spacing w:line="500" w:lineRule="exact"/>
              <w:jc w:val="center"/>
              <w:rPr>
                <w:rFonts w:hint="eastAsia" w:ascii="宋体" w:hAnsi="宋体" w:cs="宋体"/>
                <w:color w:val="auto"/>
                <w:sz w:val="24"/>
              </w:rPr>
            </w:pPr>
          </w:p>
        </w:tc>
        <w:tc>
          <w:tcPr>
            <w:tcW w:w="2511" w:type="dxa"/>
            <w:noWrap w:val="0"/>
            <w:vAlign w:val="center"/>
          </w:tcPr>
          <w:p w14:paraId="030E96CB">
            <w:pPr>
              <w:pStyle w:val="9"/>
              <w:spacing w:line="500" w:lineRule="exact"/>
              <w:jc w:val="center"/>
              <w:rPr>
                <w:rFonts w:hint="eastAsia" w:hAnsi="宋体" w:eastAsia="宋体" w:cs="宋体"/>
                <w:color w:val="auto"/>
                <w:kern w:val="2"/>
                <w:sz w:val="24"/>
                <w:szCs w:val="24"/>
              </w:rPr>
            </w:pPr>
          </w:p>
        </w:tc>
        <w:tc>
          <w:tcPr>
            <w:tcW w:w="1978" w:type="dxa"/>
            <w:noWrap w:val="0"/>
            <w:vAlign w:val="center"/>
          </w:tcPr>
          <w:p w14:paraId="71637D9C">
            <w:pPr>
              <w:pStyle w:val="9"/>
              <w:spacing w:line="500" w:lineRule="exact"/>
              <w:jc w:val="center"/>
              <w:rPr>
                <w:rFonts w:hint="eastAsia" w:hAnsi="宋体" w:eastAsia="宋体" w:cs="宋体"/>
                <w:color w:val="auto"/>
                <w:kern w:val="2"/>
                <w:sz w:val="24"/>
                <w:szCs w:val="24"/>
              </w:rPr>
            </w:pPr>
          </w:p>
        </w:tc>
        <w:tc>
          <w:tcPr>
            <w:tcW w:w="2264" w:type="dxa"/>
            <w:noWrap w:val="0"/>
            <w:vAlign w:val="center"/>
          </w:tcPr>
          <w:p w14:paraId="09EB3203">
            <w:pPr>
              <w:pStyle w:val="9"/>
              <w:spacing w:line="500" w:lineRule="exact"/>
              <w:jc w:val="center"/>
              <w:rPr>
                <w:rFonts w:hint="eastAsia" w:hAnsi="宋体" w:eastAsia="宋体" w:cs="宋体"/>
                <w:color w:val="auto"/>
                <w:kern w:val="2"/>
                <w:sz w:val="24"/>
                <w:szCs w:val="24"/>
              </w:rPr>
            </w:pPr>
          </w:p>
        </w:tc>
      </w:tr>
    </w:tbl>
    <w:p w14:paraId="6A8C45AB">
      <w:pPr>
        <w:pStyle w:val="9"/>
        <w:spacing w:before="156" w:beforeLines="50" w:line="500" w:lineRule="exact"/>
        <w:ind w:firstLine="240" w:firstLineChars="100"/>
        <w:rPr>
          <w:rFonts w:hint="eastAsia" w:hAnsi="宋体" w:eastAsia="宋体" w:cs="宋体"/>
          <w:color w:val="auto"/>
          <w:sz w:val="24"/>
          <w:szCs w:val="24"/>
        </w:rPr>
      </w:pPr>
      <w:r>
        <w:rPr>
          <w:rFonts w:hint="eastAsia" w:hAnsi="宋体" w:eastAsia="宋体" w:cs="宋体"/>
          <w:color w:val="auto"/>
          <w:sz w:val="24"/>
          <w:szCs w:val="24"/>
        </w:rPr>
        <w:t>说明：应对照公告的项目需要及技术需求逐条进行响应承诺，有漏项的视为负偏离。</w:t>
      </w:r>
    </w:p>
    <w:p w14:paraId="6966C5BE">
      <w:pPr>
        <w:pStyle w:val="4"/>
        <w:jc w:val="both"/>
        <w:rPr>
          <w:rFonts w:hint="eastAsia" w:ascii="宋体" w:hAnsi="宋体" w:eastAsia="宋体" w:cs="宋体"/>
          <w:color w:val="auto"/>
          <w:sz w:val="24"/>
          <w:szCs w:val="24"/>
        </w:rPr>
      </w:pPr>
    </w:p>
    <w:p w14:paraId="5063AC7F">
      <w:pPr>
        <w:rPr>
          <w:rFonts w:hint="eastAsia" w:ascii="宋体" w:hAnsi="宋体" w:cs="宋体"/>
          <w:color w:val="auto"/>
          <w:sz w:val="24"/>
        </w:rPr>
      </w:pPr>
    </w:p>
    <w:p w14:paraId="6E3847A7">
      <w:pPr>
        <w:jc w:val="center"/>
        <w:rPr>
          <w:rFonts w:hint="eastAsia" w:ascii="宋体" w:hAnsi="宋体" w:cs="宋体"/>
          <w:b/>
          <w:bCs/>
          <w:color w:val="auto"/>
          <w:sz w:val="32"/>
          <w:szCs w:val="40"/>
        </w:rPr>
      </w:pPr>
      <w:r>
        <w:rPr>
          <w:rFonts w:hint="eastAsia" w:ascii="宋体" w:hAnsi="宋体" w:cs="宋体"/>
          <w:b/>
          <w:bCs/>
          <w:color w:val="auto"/>
          <w:sz w:val="32"/>
          <w:szCs w:val="40"/>
        </w:rPr>
        <w:t>业绩表</w:t>
      </w:r>
    </w:p>
    <w:p w14:paraId="0E9F62B4">
      <w:pPr>
        <w:pStyle w:val="5"/>
        <w:rPr>
          <w:rFonts w:hint="eastAsia" w:ascii="宋体" w:hAnsi="宋体" w:cs="宋体"/>
          <w:b/>
          <w:bCs/>
          <w:color w:val="auto"/>
          <w:sz w:val="32"/>
          <w:szCs w:val="40"/>
        </w:rPr>
      </w:pPr>
    </w:p>
    <w:p w14:paraId="40D5B9E5">
      <w:pPr>
        <w:rPr>
          <w:rFonts w:hint="eastAsia"/>
          <w:color w:val="auto"/>
        </w:rPr>
      </w:pPr>
    </w:p>
    <w:tbl>
      <w:tblPr>
        <w:tblStyle w:val="15"/>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881"/>
        <w:gridCol w:w="3553"/>
        <w:gridCol w:w="1705"/>
      </w:tblGrid>
      <w:tr w14:paraId="555F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89" w:type="dxa"/>
            <w:gridSpan w:val="4"/>
            <w:noWrap w:val="0"/>
            <w:vAlign w:val="center"/>
          </w:tcPr>
          <w:p w14:paraId="708C70DA">
            <w:pPr>
              <w:adjustRightInd w:val="0"/>
              <w:snapToGrid w:val="0"/>
              <w:spacing w:line="500" w:lineRule="exact"/>
              <w:jc w:val="center"/>
              <w:rPr>
                <w:rFonts w:hint="eastAsia" w:ascii="宋体" w:hAnsi="宋体" w:cs="宋体"/>
                <w:color w:val="auto"/>
                <w:sz w:val="24"/>
              </w:rPr>
            </w:pPr>
            <w:r>
              <w:rPr>
                <w:rFonts w:hint="eastAsia" w:ascii="宋体" w:hAnsi="宋体" w:cs="宋体"/>
                <w:color w:val="auto"/>
                <w:sz w:val="24"/>
              </w:rPr>
              <w:t>投标供应商业绩清单</w:t>
            </w:r>
          </w:p>
        </w:tc>
      </w:tr>
      <w:tr w14:paraId="02F2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50" w:type="dxa"/>
            <w:noWrap w:val="0"/>
            <w:vAlign w:val="center"/>
          </w:tcPr>
          <w:p w14:paraId="169B41EA">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序号</w:t>
            </w:r>
          </w:p>
        </w:tc>
        <w:tc>
          <w:tcPr>
            <w:tcW w:w="2881" w:type="dxa"/>
            <w:noWrap w:val="0"/>
            <w:vAlign w:val="center"/>
          </w:tcPr>
          <w:p w14:paraId="2F12352C">
            <w:pPr>
              <w:pStyle w:val="12"/>
              <w:tabs>
                <w:tab w:val="right" w:leader="dot" w:pos="8296"/>
                <w:tab w:val="right" w:leader="dot" w:pos="8398"/>
              </w:tabs>
              <w:spacing w:line="500" w:lineRule="exact"/>
              <w:jc w:val="center"/>
              <w:rPr>
                <w:rFonts w:hint="eastAsia" w:ascii="宋体" w:hAnsi="宋体" w:cs="宋体"/>
                <w:color w:val="auto"/>
                <w:sz w:val="24"/>
              </w:rPr>
            </w:pPr>
            <w:r>
              <w:rPr>
                <w:rFonts w:hint="eastAsia" w:ascii="宋体" w:hAnsi="宋体" w:cs="宋体"/>
                <w:color w:val="auto"/>
                <w:sz w:val="24"/>
              </w:rPr>
              <w:t>项目名称</w:t>
            </w:r>
          </w:p>
        </w:tc>
        <w:tc>
          <w:tcPr>
            <w:tcW w:w="3553" w:type="dxa"/>
            <w:noWrap w:val="0"/>
            <w:vAlign w:val="center"/>
          </w:tcPr>
          <w:p w14:paraId="7BEFA168">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业绩项目采购单位名称</w:t>
            </w:r>
          </w:p>
        </w:tc>
        <w:tc>
          <w:tcPr>
            <w:tcW w:w="1705" w:type="dxa"/>
            <w:noWrap w:val="0"/>
            <w:vAlign w:val="center"/>
          </w:tcPr>
          <w:p w14:paraId="7B215E96">
            <w:pPr>
              <w:pStyle w:val="9"/>
              <w:spacing w:line="500" w:lineRule="exact"/>
              <w:jc w:val="center"/>
              <w:rPr>
                <w:rFonts w:hint="eastAsia" w:hAnsi="宋体" w:eastAsia="宋体" w:cs="宋体"/>
                <w:color w:val="auto"/>
                <w:kern w:val="2"/>
                <w:sz w:val="24"/>
                <w:szCs w:val="24"/>
              </w:rPr>
            </w:pPr>
            <w:r>
              <w:rPr>
                <w:rFonts w:hint="eastAsia" w:hAnsi="宋体" w:eastAsia="宋体" w:cs="宋体"/>
                <w:color w:val="auto"/>
                <w:kern w:val="2"/>
                <w:sz w:val="24"/>
                <w:szCs w:val="24"/>
              </w:rPr>
              <w:t>年度</w:t>
            </w:r>
          </w:p>
        </w:tc>
      </w:tr>
      <w:tr w14:paraId="60AF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52365B3D">
            <w:pPr>
              <w:snapToGrid w:val="0"/>
              <w:spacing w:line="500" w:lineRule="exact"/>
              <w:jc w:val="center"/>
              <w:rPr>
                <w:rFonts w:hint="eastAsia" w:ascii="宋体" w:hAnsi="宋体" w:cs="宋体"/>
                <w:color w:val="auto"/>
                <w:sz w:val="24"/>
              </w:rPr>
            </w:pPr>
            <w:r>
              <w:rPr>
                <w:rFonts w:hint="eastAsia" w:ascii="宋体" w:hAnsi="宋体" w:cs="宋体"/>
                <w:color w:val="auto"/>
                <w:sz w:val="24"/>
              </w:rPr>
              <w:t>1</w:t>
            </w:r>
          </w:p>
        </w:tc>
        <w:tc>
          <w:tcPr>
            <w:tcW w:w="2881" w:type="dxa"/>
            <w:noWrap w:val="0"/>
            <w:vAlign w:val="center"/>
          </w:tcPr>
          <w:p w14:paraId="6F5C9FE4">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62C00E24">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19043FC9">
            <w:pPr>
              <w:pStyle w:val="9"/>
              <w:spacing w:line="500" w:lineRule="exact"/>
              <w:jc w:val="center"/>
              <w:rPr>
                <w:rFonts w:hint="eastAsia" w:hAnsi="宋体" w:eastAsia="宋体" w:cs="宋体"/>
                <w:color w:val="auto"/>
                <w:kern w:val="2"/>
                <w:sz w:val="24"/>
                <w:szCs w:val="24"/>
              </w:rPr>
            </w:pPr>
          </w:p>
        </w:tc>
      </w:tr>
      <w:tr w14:paraId="58E4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0BE1824C">
            <w:pPr>
              <w:snapToGrid w:val="0"/>
              <w:spacing w:line="500" w:lineRule="exact"/>
              <w:jc w:val="center"/>
              <w:rPr>
                <w:rFonts w:hint="eastAsia" w:ascii="宋体" w:hAnsi="宋体" w:cs="宋体"/>
                <w:color w:val="auto"/>
                <w:sz w:val="24"/>
              </w:rPr>
            </w:pPr>
            <w:r>
              <w:rPr>
                <w:rFonts w:hint="eastAsia" w:ascii="宋体" w:hAnsi="宋体" w:cs="宋体"/>
                <w:color w:val="auto"/>
                <w:sz w:val="24"/>
              </w:rPr>
              <w:t>2</w:t>
            </w:r>
          </w:p>
        </w:tc>
        <w:tc>
          <w:tcPr>
            <w:tcW w:w="2881" w:type="dxa"/>
            <w:noWrap w:val="0"/>
            <w:vAlign w:val="center"/>
          </w:tcPr>
          <w:p w14:paraId="51D41839">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10E8A9D7">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36B7395E">
            <w:pPr>
              <w:pStyle w:val="9"/>
              <w:spacing w:line="500" w:lineRule="exact"/>
              <w:jc w:val="center"/>
              <w:rPr>
                <w:rFonts w:hint="eastAsia" w:hAnsi="宋体" w:eastAsia="宋体" w:cs="宋体"/>
                <w:color w:val="auto"/>
                <w:kern w:val="2"/>
                <w:sz w:val="24"/>
                <w:szCs w:val="24"/>
              </w:rPr>
            </w:pPr>
          </w:p>
        </w:tc>
      </w:tr>
      <w:tr w14:paraId="0D12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557E403D">
            <w:pPr>
              <w:spacing w:line="500" w:lineRule="exact"/>
              <w:jc w:val="center"/>
              <w:rPr>
                <w:rFonts w:hint="eastAsia" w:ascii="宋体" w:hAnsi="宋体" w:cs="宋体"/>
                <w:color w:val="auto"/>
                <w:sz w:val="24"/>
              </w:rPr>
            </w:pPr>
            <w:r>
              <w:rPr>
                <w:rFonts w:hint="eastAsia" w:ascii="宋体" w:hAnsi="宋体" w:cs="宋体"/>
                <w:color w:val="auto"/>
                <w:sz w:val="24"/>
              </w:rPr>
              <w:t>...</w:t>
            </w:r>
          </w:p>
        </w:tc>
        <w:tc>
          <w:tcPr>
            <w:tcW w:w="2881" w:type="dxa"/>
            <w:noWrap w:val="0"/>
            <w:vAlign w:val="center"/>
          </w:tcPr>
          <w:p w14:paraId="058771B1">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5B298B11">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406E22D9">
            <w:pPr>
              <w:pStyle w:val="9"/>
              <w:spacing w:line="500" w:lineRule="exact"/>
              <w:jc w:val="center"/>
              <w:rPr>
                <w:rFonts w:hint="eastAsia" w:hAnsi="宋体" w:eastAsia="宋体" w:cs="宋体"/>
                <w:color w:val="auto"/>
                <w:kern w:val="2"/>
                <w:sz w:val="24"/>
                <w:szCs w:val="24"/>
              </w:rPr>
            </w:pPr>
          </w:p>
        </w:tc>
      </w:tr>
      <w:tr w14:paraId="04C4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50" w:type="dxa"/>
            <w:noWrap w:val="0"/>
            <w:vAlign w:val="center"/>
          </w:tcPr>
          <w:p w14:paraId="20BD9BC3">
            <w:pPr>
              <w:spacing w:line="500" w:lineRule="exact"/>
              <w:jc w:val="center"/>
              <w:rPr>
                <w:rFonts w:hint="eastAsia" w:ascii="宋体" w:hAnsi="宋体" w:cs="宋体"/>
                <w:color w:val="auto"/>
                <w:sz w:val="24"/>
              </w:rPr>
            </w:pPr>
          </w:p>
        </w:tc>
        <w:tc>
          <w:tcPr>
            <w:tcW w:w="2881" w:type="dxa"/>
            <w:noWrap w:val="0"/>
            <w:vAlign w:val="center"/>
          </w:tcPr>
          <w:p w14:paraId="31968092">
            <w:pPr>
              <w:pStyle w:val="9"/>
              <w:spacing w:line="500" w:lineRule="exact"/>
              <w:jc w:val="center"/>
              <w:rPr>
                <w:rFonts w:hint="eastAsia" w:hAnsi="宋体" w:eastAsia="宋体" w:cs="宋体"/>
                <w:color w:val="auto"/>
                <w:kern w:val="2"/>
                <w:sz w:val="24"/>
                <w:szCs w:val="24"/>
              </w:rPr>
            </w:pPr>
          </w:p>
        </w:tc>
        <w:tc>
          <w:tcPr>
            <w:tcW w:w="3553" w:type="dxa"/>
            <w:noWrap w:val="0"/>
            <w:vAlign w:val="center"/>
          </w:tcPr>
          <w:p w14:paraId="6067AA5F">
            <w:pPr>
              <w:pStyle w:val="9"/>
              <w:spacing w:line="500" w:lineRule="exact"/>
              <w:jc w:val="center"/>
              <w:rPr>
                <w:rFonts w:hint="eastAsia" w:hAnsi="宋体" w:eastAsia="宋体" w:cs="宋体"/>
                <w:color w:val="auto"/>
                <w:kern w:val="2"/>
                <w:sz w:val="24"/>
                <w:szCs w:val="24"/>
              </w:rPr>
            </w:pPr>
          </w:p>
        </w:tc>
        <w:tc>
          <w:tcPr>
            <w:tcW w:w="1705" w:type="dxa"/>
            <w:noWrap w:val="0"/>
            <w:vAlign w:val="center"/>
          </w:tcPr>
          <w:p w14:paraId="3106490D">
            <w:pPr>
              <w:pStyle w:val="9"/>
              <w:spacing w:line="500" w:lineRule="exact"/>
              <w:jc w:val="center"/>
              <w:rPr>
                <w:rFonts w:hint="eastAsia" w:hAnsi="宋体" w:eastAsia="宋体" w:cs="宋体"/>
                <w:color w:val="auto"/>
                <w:kern w:val="2"/>
                <w:sz w:val="24"/>
                <w:szCs w:val="24"/>
              </w:rPr>
            </w:pPr>
          </w:p>
        </w:tc>
      </w:tr>
    </w:tbl>
    <w:p w14:paraId="2A8CDF80">
      <w:pPr>
        <w:rPr>
          <w:rFonts w:hint="eastAsia" w:ascii="宋体" w:hAnsi="宋体" w:cs="宋体"/>
          <w:color w:val="auto"/>
        </w:rPr>
      </w:pPr>
      <w:r>
        <w:rPr>
          <w:rFonts w:hint="eastAsia" w:ascii="宋体" w:hAnsi="宋体" w:cs="宋体"/>
          <w:color w:val="auto"/>
        </w:rPr>
        <w:t>（备注：必须提供相关合同或中标/成交通知书复件或扫描件，并加盖公章，否则不得分。）</w:t>
      </w:r>
    </w:p>
    <w:p w14:paraId="61FF3798">
      <w:pPr>
        <w:pStyle w:val="6"/>
        <w:snapToGrid w:val="0"/>
        <w:spacing w:before="50" w:after="50"/>
        <w:ind w:left="0" w:leftChars="0" w:firstLine="0" w:firstLineChars="0"/>
        <w:rPr>
          <w:rFonts w:hint="eastAsia" w:ascii="宋体" w:hAnsi="宋体" w:cs="宋体"/>
          <w:color w:val="auto"/>
          <w:szCs w:val="21"/>
        </w:rPr>
      </w:pPr>
    </w:p>
    <w:p w14:paraId="6718F14B">
      <w:pPr>
        <w:pStyle w:val="6"/>
        <w:snapToGrid w:val="0"/>
        <w:spacing w:before="50" w:after="50"/>
        <w:jc w:val="center"/>
        <w:rPr>
          <w:rFonts w:hint="eastAsia" w:ascii="宋体" w:hAnsi="宋体" w:cs="宋体"/>
          <w:b/>
          <w:color w:val="auto"/>
          <w:sz w:val="32"/>
          <w:szCs w:val="32"/>
          <w:lang w:eastAsia="zh-CN"/>
        </w:rPr>
      </w:pPr>
    </w:p>
    <w:p w14:paraId="09425F30">
      <w:pPr>
        <w:pStyle w:val="6"/>
        <w:snapToGrid w:val="0"/>
        <w:spacing w:before="50" w:after="50"/>
        <w:jc w:val="center"/>
        <w:rPr>
          <w:rFonts w:hint="eastAsia" w:ascii="宋体" w:hAnsi="宋体" w:cs="宋体"/>
          <w:b/>
          <w:color w:val="auto"/>
          <w:sz w:val="32"/>
          <w:szCs w:val="32"/>
          <w:lang w:eastAsia="zh-CN"/>
        </w:rPr>
      </w:pPr>
    </w:p>
    <w:p w14:paraId="6BA8B683">
      <w:pPr>
        <w:pStyle w:val="6"/>
        <w:snapToGrid w:val="0"/>
        <w:spacing w:before="50" w:after="50"/>
        <w:jc w:val="center"/>
        <w:rPr>
          <w:rFonts w:hint="eastAsia" w:ascii="宋体" w:hAnsi="宋体" w:cs="宋体"/>
          <w:b/>
          <w:color w:val="auto"/>
          <w:sz w:val="32"/>
          <w:szCs w:val="32"/>
        </w:rPr>
      </w:pPr>
      <w:r>
        <w:rPr>
          <w:rFonts w:hint="eastAsia" w:ascii="宋体" w:hAnsi="宋体" w:cs="宋体"/>
          <w:b/>
          <w:color w:val="auto"/>
          <w:sz w:val="32"/>
          <w:szCs w:val="32"/>
          <w:lang w:eastAsia="zh-CN"/>
        </w:rPr>
        <w:t>遴选</w:t>
      </w:r>
      <w:r>
        <w:rPr>
          <w:rFonts w:hint="eastAsia" w:ascii="宋体" w:hAnsi="宋体" w:cs="宋体"/>
          <w:b/>
          <w:color w:val="auto"/>
          <w:sz w:val="32"/>
          <w:szCs w:val="32"/>
        </w:rPr>
        <w:t>竞标声明</w:t>
      </w:r>
    </w:p>
    <w:p w14:paraId="1E83C020">
      <w:pPr>
        <w:spacing w:line="320" w:lineRule="exact"/>
        <w:jc w:val="center"/>
        <w:rPr>
          <w:rFonts w:hint="eastAsia" w:ascii="宋体" w:hAnsi="宋体" w:cs="宋体"/>
          <w:color w:val="auto"/>
          <w:sz w:val="24"/>
          <w:szCs w:val="20"/>
        </w:rPr>
      </w:pPr>
    </w:p>
    <w:p w14:paraId="363D7263">
      <w:pPr>
        <w:spacing w:before="156" w:beforeLines="50" w:after="50" w:line="320" w:lineRule="exact"/>
        <w:contextualSpacing/>
        <w:rPr>
          <w:rFonts w:hint="eastAsia" w:ascii="宋体" w:hAnsi="宋体" w:cs="宋体"/>
          <w:color w:val="auto"/>
          <w:szCs w:val="21"/>
        </w:rPr>
      </w:pPr>
      <w:r>
        <w:rPr>
          <w:rFonts w:hint="eastAsia" w:ascii="宋体" w:hAnsi="宋体" w:cs="宋体"/>
          <w:color w:val="auto"/>
          <w:szCs w:val="21"/>
        </w:rPr>
        <w:t>致：采购单位：</w:t>
      </w:r>
    </w:p>
    <w:p w14:paraId="72D21D98">
      <w:pPr>
        <w:spacing w:before="156" w:beforeLines="50" w:after="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u w:val="single"/>
        </w:rPr>
        <w:t>（供应商名称）</w:t>
      </w:r>
      <w:r>
        <w:rPr>
          <w:rFonts w:hint="eastAsia" w:ascii="宋体" w:hAnsi="宋体" w:cs="宋体"/>
          <w:color w:val="auto"/>
          <w:szCs w:val="21"/>
        </w:rPr>
        <w:t>系中华人民共和国合法供应商，经营地址</w:t>
      </w:r>
      <w:r>
        <w:rPr>
          <w:rFonts w:hint="eastAsia" w:ascii="宋体" w:hAnsi="宋体" w:cs="宋体"/>
          <w:color w:val="auto"/>
          <w:szCs w:val="21"/>
          <w:u w:val="single"/>
        </w:rPr>
        <w:t xml:space="preserve">                              </w:t>
      </w:r>
      <w:r>
        <w:rPr>
          <w:rFonts w:hint="eastAsia" w:ascii="宋体" w:hAnsi="宋体" w:cs="宋体"/>
          <w:color w:val="auto"/>
          <w:szCs w:val="21"/>
        </w:rPr>
        <w:t>。</w:t>
      </w:r>
    </w:p>
    <w:p w14:paraId="0D5699C5">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我方愿意参加贵方组织的</w:t>
      </w:r>
      <w:r>
        <w:rPr>
          <w:rFonts w:hint="eastAsia" w:ascii="宋体" w:hAnsi="宋体" w:cs="宋体"/>
          <w:color w:val="auto"/>
          <w:szCs w:val="21"/>
          <w:u w:val="single"/>
        </w:rPr>
        <w:t>（项目名称）</w:t>
      </w:r>
      <w:r>
        <w:rPr>
          <w:rFonts w:hint="eastAsia" w:ascii="宋体" w:hAnsi="宋体" w:cs="宋体"/>
          <w:color w:val="auto"/>
          <w:szCs w:val="21"/>
        </w:rPr>
        <w:t>项目的</w:t>
      </w:r>
      <w:r>
        <w:rPr>
          <w:rFonts w:hint="eastAsia" w:ascii="宋体" w:hAnsi="宋体" w:cs="宋体"/>
          <w:color w:val="auto"/>
          <w:szCs w:val="21"/>
          <w:lang w:eastAsia="zh-CN"/>
        </w:rPr>
        <w:t>遴选</w:t>
      </w:r>
      <w:r>
        <w:rPr>
          <w:rFonts w:hint="eastAsia" w:ascii="宋体" w:hAnsi="宋体" w:cs="宋体"/>
          <w:color w:val="auto"/>
          <w:szCs w:val="21"/>
        </w:rPr>
        <w:t>竞标，为便于贵方公正、择优地确定成交供应商及其竞标产品和服务，我方就本次竞标有关事项郑重声明如下：</w:t>
      </w:r>
    </w:p>
    <w:p w14:paraId="749FC919">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1.我方向贵方提交的所有响应文件、资料都是准确的和真实的。</w:t>
      </w:r>
    </w:p>
    <w:p w14:paraId="38170C06">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526490D">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3.在此，我方宣布同意如下：</w:t>
      </w:r>
    </w:p>
    <w:p w14:paraId="568F34CA">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（1）将按</w:t>
      </w:r>
      <w:r>
        <w:rPr>
          <w:rFonts w:hint="eastAsia" w:ascii="宋体" w:hAnsi="宋体" w:cs="宋体"/>
          <w:color w:val="auto"/>
          <w:szCs w:val="21"/>
          <w:lang w:eastAsia="zh-CN"/>
        </w:rPr>
        <w:t>遴选</w:t>
      </w:r>
      <w:r>
        <w:rPr>
          <w:rFonts w:hint="eastAsia" w:ascii="宋体" w:hAnsi="宋体" w:cs="宋体"/>
          <w:color w:val="auto"/>
          <w:szCs w:val="21"/>
        </w:rPr>
        <w:t>谈判文件的约定履行合同责任和义务；</w:t>
      </w:r>
    </w:p>
    <w:p w14:paraId="77A90FA4">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（2）已详细审查全部</w:t>
      </w:r>
      <w:r>
        <w:rPr>
          <w:rFonts w:hint="eastAsia" w:ascii="宋体" w:hAnsi="宋体" w:cs="宋体"/>
          <w:color w:val="auto"/>
          <w:szCs w:val="21"/>
          <w:lang w:eastAsia="zh-CN"/>
        </w:rPr>
        <w:t>遴选</w:t>
      </w:r>
      <w:r>
        <w:rPr>
          <w:rFonts w:hint="eastAsia" w:ascii="宋体" w:hAnsi="宋体" w:cs="宋体"/>
          <w:color w:val="auto"/>
          <w:szCs w:val="21"/>
        </w:rPr>
        <w:t>文件，包括补遗文件（如有）；</w:t>
      </w:r>
    </w:p>
    <w:p w14:paraId="7C824C99">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（3）同意提供按照贵方可能要求的与</w:t>
      </w:r>
      <w:r>
        <w:rPr>
          <w:rFonts w:hint="eastAsia" w:ascii="宋体" w:hAnsi="宋体" w:cs="宋体"/>
          <w:color w:val="auto"/>
          <w:szCs w:val="21"/>
          <w:lang w:eastAsia="zh-CN"/>
        </w:rPr>
        <w:t>遴选</w:t>
      </w:r>
      <w:r>
        <w:rPr>
          <w:rFonts w:hint="eastAsia" w:ascii="宋体" w:hAnsi="宋体" w:cs="宋体"/>
          <w:color w:val="auto"/>
          <w:szCs w:val="21"/>
        </w:rPr>
        <w:t>有关的一切数据或资料；</w:t>
      </w:r>
    </w:p>
    <w:p w14:paraId="46A693B7">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（4）响应</w:t>
      </w:r>
      <w:r>
        <w:rPr>
          <w:rFonts w:hint="eastAsia" w:ascii="宋体" w:hAnsi="宋体" w:cs="宋体"/>
          <w:color w:val="auto"/>
          <w:szCs w:val="21"/>
          <w:lang w:eastAsia="zh-CN"/>
        </w:rPr>
        <w:t>遴选</w:t>
      </w:r>
      <w:r>
        <w:rPr>
          <w:rFonts w:hint="eastAsia" w:ascii="宋体" w:hAnsi="宋体" w:cs="宋体"/>
          <w:color w:val="auto"/>
          <w:szCs w:val="21"/>
        </w:rPr>
        <w:t>文件规定的竞标有效期。</w:t>
      </w:r>
    </w:p>
    <w:p w14:paraId="780D5C2C">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4.我方承诺符合《中华人民共和国政府采购法》第二十二条规定：</w:t>
      </w:r>
    </w:p>
    <w:p w14:paraId="13D9CA08">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（1）具有独立承担民事责任的能力；</w:t>
      </w:r>
    </w:p>
    <w:p w14:paraId="34129DBB">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（2）具有良好的商业信誉和健全的财务会计制度；</w:t>
      </w:r>
    </w:p>
    <w:p w14:paraId="54AC286B">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（3）具有履行合同所必需的设备和专业技术能力；</w:t>
      </w:r>
    </w:p>
    <w:p w14:paraId="3950B99D">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（4）有依法缴纳税收和社会保障资金的良好记录；</w:t>
      </w:r>
    </w:p>
    <w:p w14:paraId="0F12808C">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（5）参加政府采购活动前三年内，在经营活动中没有重大违法记录；</w:t>
      </w:r>
    </w:p>
    <w:p w14:paraId="3B850793">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（6）法律、行政法规规定的其他条件。</w:t>
      </w:r>
    </w:p>
    <w:p w14:paraId="5B138BC3">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5.我方在此声明，我方及由本人担任法定代表人的其他机构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73F1B11">
      <w:pPr>
        <w:spacing w:before="156" w:beforeLines="50"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577344D">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3021B7EF">
      <w:pPr>
        <w:spacing w:line="320" w:lineRule="exact"/>
        <w:ind w:firstLine="420" w:firstLineChars="200"/>
        <w:contextualSpacing/>
        <w:rPr>
          <w:rFonts w:hint="eastAsia"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涉及商业秘密的内容有：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4E5E3775">
      <w:pPr>
        <w:pStyle w:val="9"/>
        <w:spacing w:line="320" w:lineRule="exact"/>
        <w:ind w:firstLine="420" w:firstLineChars="200"/>
        <w:contextualSpacing/>
        <w:rPr>
          <w:rFonts w:hint="eastAsia" w:hAnsi="宋体" w:eastAsia="宋体" w:cs="宋体"/>
          <w:color w:val="auto"/>
          <w:sz w:val="21"/>
          <w:u w:val="single"/>
        </w:rPr>
      </w:pPr>
      <w:r>
        <w:rPr>
          <w:rFonts w:hint="eastAsia" w:hAnsi="宋体" w:eastAsia="宋体" w:cs="宋体"/>
          <w:color w:val="auto"/>
          <w:sz w:val="21"/>
        </w:rPr>
        <w:t>7.与本</w:t>
      </w:r>
      <w:r>
        <w:rPr>
          <w:rFonts w:hint="eastAsia" w:hAnsi="宋体" w:eastAsia="宋体" w:cs="宋体"/>
          <w:color w:val="auto"/>
          <w:sz w:val="21"/>
          <w:lang w:eastAsia="zh-CN"/>
        </w:rPr>
        <w:t>遴选</w:t>
      </w:r>
      <w:r>
        <w:rPr>
          <w:rFonts w:hint="eastAsia" w:hAnsi="宋体" w:eastAsia="宋体" w:cs="宋体"/>
          <w:color w:val="auto"/>
          <w:sz w:val="21"/>
        </w:rPr>
        <w:t>有关的一切正式往来信函请寄：</w:t>
      </w:r>
      <w:r>
        <w:rPr>
          <w:rFonts w:hint="eastAsia" w:hAnsi="宋体" w:eastAsia="宋体" w:cs="宋体"/>
          <w:color w:val="auto"/>
          <w:sz w:val="21"/>
          <w:u w:val="single"/>
        </w:rPr>
        <w:t xml:space="preserve">                  </w:t>
      </w:r>
      <w:r>
        <w:rPr>
          <w:rFonts w:hint="eastAsia" w:hAnsi="宋体" w:eastAsia="宋体" w:cs="宋体"/>
          <w:color w:val="auto"/>
          <w:sz w:val="21"/>
        </w:rPr>
        <w:t>邮政编号：</w:t>
      </w:r>
      <w:r>
        <w:rPr>
          <w:rFonts w:hint="eastAsia" w:hAnsi="宋体" w:eastAsia="宋体" w:cs="宋体"/>
          <w:color w:val="auto"/>
          <w:sz w:val="21"/>
          <w:u w:val="single"/>
        </w:rPr>
        <w:t xml:space="preserve">    </w:t>
      </w:r>
    </w:p>
    <w:p w14:paraId="3116EDFF">
      <w:pPr>
        <w:pStyle w:val="9"/>
        <w:spacing w:line="320" w:lineRule="exact"/>
        <w:ind w:firstLine="420" w:firstLineChars="200"/>
        <w:contextualSpacing/>
        <w:rPr>
          <w:rFonts w:hint="eastAsia" w:hAnsi="宋体" w:eastAsia="宋体" w:cs="宋体"/>
          <w:color w:val="auto"/>
          <w:sz w:val="21"/>
        </w:rPr>
      </w:pPr>
      <w:r>
        <w:rPr>
          <w:rFonts w:hint="eastAsia" w:hAnsi="宋体" w:eastAsia="宋体" w:cs="宋体"/>
          <w:color w:val="auto"/>
          <w:sz w:val="21"/>
        </w:rPr>
        <w:t>电话/传真：</w:t>
      </w:r>
      <w:r>
        <w:rPr>
          <w:rFonts w:hint="eastAsia" w:hAnsi="宋体" w:eastAsia="宋体" w:cs="宋体"/>
          <w:color w:val="auto"/>
          <w:sz w:val="21"/>
          <w:u w:val="single"/>
        </w:rPr>
        <w:t xml:space="preserve">                        </w:t>
      </w:r>
      <w:r>
        <w:rPr>
          <w:rFonts w:hint="eastAsia" w:hAnsi="宋体" w:eastAsia="宋体" w:cs="宋体"/>
          <w:color w:val="auto"/>
          <w:sz w:val="21"/>
        </w:rPr>
        <w:t xml:space="preserve"> 电子函件：</w:t>
      </w:r>
      <w:r>
        <w:rPr>
          <w:rFonts w:hint="eastAsia" w:hAnsi="宋体" w:eastAsia="宋体" w:cs="宋体"/>
          <w:color w:val="auto"/>
          <w:sz w:val="21"/>
          <w:u w:val="single"/>
        </w:rPr>
        <w:t xml:space="preserve">             </w:t>
      </w:r>
      <w:r>
        <w:rPr>
          <w:rFonts w:hint="eastAsia" w:hAnsi="宋体" w:eastAsia="宋体" w:cs="宋体"/>
          <w:color w:val="auto"/>
          <w:sz w:val="21"/>
        </w:rPr>
        <w:t xml:space="preserve">    </w:t>
      </w:r>
    </w:p>
    <w:p w14:paraId="3914E831">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账号/行号：</w:t>
      </w:r>
      <w:r>
        <w:rPr>
          <w:rFonts w:hint="eastAsia" w:ascii="宋体" w:hAnsi="宋体" w:cs="宋体"/>
          <w:color w:val="auto"/>
          <w:szCs w:val="21"/>
          <w:u w:val="single"/>
        </w:rPr>
        <w:t xml:space="preserve">           </w:t>
      </w:r>
    </w:p>
    <w:p w14:paraId="3B7A2F57">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8.以上事项如有虚假或隐瞒，我方愿意承担一切后果，并不再寻求任何旨在减轻或免除法律责任的辩解。</w:t>
      </w:r>
    </w:p>
    <w:p w14:paraId="6D7D3B20">
      <w:pPr>
        <w:pStyle w:val="8"/>
        <w:tabs>
          <w:tab w:val="left" w:pos="939"/>
        </w:tabs>
        <w:spacing w:line="320" w:lineRule="exact"/>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00408414">
      <w:pPr>
        <w:pStyle w:val="8"/>
        <w:tabs>
          <w:tab w:val="left" w:pos="939"/>
        </w:tabs>
        <w:spacing w:line="320" w:lineRule="exact"/>
        <w:ind w:left="141" w:leftChars="67" w:firstLine="315" w:firstLineChars="150"/>
        <w:rPr>
          <w:rFonts w:hint="eastAsia" w:ascii="宋体" w:hAnsi="宋体" w:cs="宋体"/>
          <w:color w:val="auto"/>
          <w:szCs w:val="21"/>
        </w:rPr>
      </w:pPr>
    </w:p>
    <w:p w14:paraId="15B59E88">
      <w:pPr>
        <w:spacing w:line="320" w:lineRule="exact"/>
        <w:ind w:firstLine="3780" w:firstLineChars="1800"/>
        <w:rPr>
          <w:rFonts w:hint="eastAsia" w:ascii="宋体" w:hAnsi="宋体" w:cs="宋体"/>
          <w:color w:val="auto"/>
        </w:rPr>
      </w:pPr>
      <w:r>
        <w:rPr>
          <w:rFonts w:hint="eastAsia" w:ascii="宋体" w:hAnsi="宋体" w:cs="宋体"/>
          <w:color w:val="auto"/>
        </w:rPr>
        <w:t>法定代表人（负责人或自然人）（签字）：</w:t>
      </w:r>
      <w:r>
        <w:rPr>
          <w:rFonts w:hint="eastAsia" w:ascii="宋体" w:hAnsi="宋体" w:cs="宋体"/>
          <w:color w:val="auto"/>
          <w:u w:val="single"/>
        </w:rPr>
        <w:t xml:space="preserve">           </w:t>
      </w:r>
      <w:r>
        <w:rPr>
          <w:rFonts w:hint="eastAsia" w:ascii="宋体" w:hAnsi="宋体" w:cs="宋体"/>
          <w:color w:val="auto"/>
        </w:rPr>
        <w:t xml:space="preserve">                                     </w:t>
      </w:r>
    </w:p>
    <w:p w14:paraId="22538C93">
      <w:pPr>
        <w:spacing w:line="320" w:lineRule="exact"/>
        <w:ind w:firstLine="3780" w:firstLineChars="1800"/>
        <w:rPr>
          <w:rFonts w:hint="eastAsia" w:ascii="宋体" w:hAnsi="宋体" w:cs="宋体"/>
          <w:color w:val="auto"/>
          <w:szCs w:val="21"/>
          <w:u w:val="single"/>
        </w:rPr>
      </w:pPr>
      <w:r>
        <w:rPr>
          <w:rFonts w:hint="eastAsia" w:ascii="宋体" w:hAnsi="宋体" w:cs="宋体"/>
          <w:color w:val="auto"/>
        </w:rPr>
        <w:t>供应商（盖公章）：</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szCs w:val="21"/>
        </w:rPr>
        <w:t xml:space="preserve">    </w:t>
      </w:r>
    </w:p>
    <w:p w14:paraId="1C7D7CB7">
      <w:pPr>
        <w:wordWrap w:val="0"/>
        <w:spacing w:before="156" w:beforeLines="50" w:after="50" w:line="320" w:lineRule="exact"/>
        <w:ind w:right="482" w:firstLine="210" w:firstLineChars="100"/>
        <w:contextualSpacing/>
        <w:jc w:val="cente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rPr>
        <w:t xml:space="preserve"> 年    月    日 </w:t>
      </w:r>
    </w:p>
    <w:p w14:paraId="3543641C">
      <w:pPr>
        <w:snapToGrid w:val="0"/>
        <w:spacing w:before="156" w:beforeLines="50" w:after="50"/>
        <w:jc w:val="center"/>
        <w:rPr>
          <w:rFonts w:hint="eastAsia" w:ascii="宋体" w:hAnsi="宋体" w:cs="宋体"/>
          <w:b/>
          <w:color w:val="auto"/>
          <w:sz w:val="32"/>
          <w:szCs w:val="32"/>
        </w:rPr>
      </w:pPr>
    </w:p>
    <w:p w14:paraId="048E4A5A">
      <w:pPr>
        <w:snapToGrid w:val="0"/>
        <w:spacing w:before="156" w:beforeLines="50" w:after="50"/>
        <w:ind w:right="480"/>
        <w:jc w:val="both"/>
        <w:rPr>
          <w:rFonts w:hint="eastAsia" w:ascii="宋体" w:hAnsi="宋体" w:cs="宋体"/>
          <w:color w:val="auto"/>
          <w:sz w:val="28"/>
          <w:szCs w:val="28"/>
        </w:rPr>
      </w:pPr>
    </w:p>
    <w:p w14:paraId="1BABE9C7">
      <w:pPr>
        <w:snapToGrid w:val="0"/>
        <w:spacing w:before="50" w:after="156" w:afterLines="50"/>
        <w:jc w:val="left"/>
        <w:rPr>
          <w:rFonts w:hint="eastAsia" w:ascii="宋体" w:hAnsi="宋体" w:cs="宋体"/>
          <w:color w:val="auto"/>
          <w:szCs w:val="21"/>
        </w:rPr>
      </w:pPr>
    </w:p>
    <w:p w14:paraId="1B155A02">
      <w:pPr>
        <w:snapToGrid w:val="0"/>
        <w:spacing w:before="156" w:beforeLines="50" w:after="50"/>
        <w:ind w:firstLine="2640" w:firstLineChars="600"/>
        <w:rPr>
          <w:rFonts w:hint="eastAsia" w:ascii="宋体" w:hAnsi="宋体" w:cs="宋体"/>
          <w:color w:val="auto"/>
          <w:sz w:val="32"/>
          <w:szCs w:val="32"/>
        </w:rPr>
      </w:pPr>
      <w:r>
        <w:rPr>
          <w:rFonts w:hint="eastAsia" w:ascii="宋体" w:hAnsi="宋体" w:cs="宋体"/>
          <w:color w:val="auto"/>
          <w:sz w:val="44"/>
          <w:szCs w:val="44"/>
        </w:rPr>
        <w:t>无串通竞标行为的承诺函</w:t>
      </w:r>
    </w:p>
    <w:p w14:paraId="7D2842D1">
      <w:pPr>
        <w:spacing w:line="400" w:lineRule="exact"/>
        <w:ind w:firstLine="480" w:firstLineChars="200"/>
        <w:rPr>
          <w:rFonts w:hint="eastAsia" w:ascii="宋体" w:hAnsi="宋体" w:cs="宋体"/>
          <w:color w:val="auto"/>
          <w:sz w:val="24"/>
        </w:rPr>
      </w:pPr>
    </w:p>
    <w:p w14:paraId="1FC98D0D">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一、我公司承诺无下列相互串通竞标的情形：</w:t>
      </w:r>
    </w:p>
    <w:p w14:paraId="6887B1FD">
      <w:pPr>
        <w:spacing w:line="400" w:lineRule="exact"/>
        <w:ind w:firstLine="480" w:firstLineChars="200"/>
        <w:rPr>
          <w:rFonts w:hint="eastAsia" w:ascii="宋体" w:hAnsi="宋体" w:cs="宋体"/>
          <w:color w:val="auto"/>
          <w:sz w:val="24"/>
        </w:rPr>
      </w:pPr>
      <w:r>
        <w:rPr>
          <w:rFonts w:hint="eastAsia" w:ascii="宋体" w:hAnsi="宋体" w:cs="宋体"/>
          <w:color w:val="auto"/>
          <w:sz w:val="24"/>
        </w:rPr>
        <w:t>1.不同供应商的响应文件由同一单位或者个人编制；或不同供应商报名的IP地址一致的；</w:t>
      </w:r>
    </w:p>
    <w:p w14:paraId="6466BDBA">
      <w:pPr>
        <w:spacing w:line="400" w:lineRule="exact"/>
        <w:ind w:firstLine="480" w:firstLineChars="200"/>
        <w:rPr>
          <w:rFonts w:hint="eastAsia" w:ascii="宋体" w:hAnsi="宋体" w:cs="宋体"/>
          <w:color w:val="auto"/>
          <w:sz w:val="24"/>
        </w:rPr>
      </w:pPr>
      <w:r>
        <w:rPr>
          <w:rFonts w:hint="eastAsia" w:ascii="宋体" w:hAnsi="宋体" w:cs="宋体"/>
          <w:color w:val="auto"/>
          <w:sz w:val="24"/>
        </w:rPr>
        <w:t>2.不同供应商委托同一单位或者个人办理竞标事宜；</w:t>
      </w:r>
    </w:p>
    <w:p w14:paraId="18D5BCE4">
      <w:pPr>
        <w:spacing w:line="400" w:lineRule="exact"/>
        <w:ind w:firstLine="480" w:firstLineChars="200"/>
        <w:rPr>
          <w:rFonts w:hint="eastAsia" w:ascii="宋体" w:hAnsi="宋体" w:cs="宋体"/>
          <w:color w:val="auto"/>
          <w:sz w:val="24"/>
        </w:rPr>
      </w:pPr>
      <w:r>
        <w:rPr>
          <w:rFonts w:hint="eastAsia" w:ascii="宋体" w:hAnsi="宋体" w:cs="宋体"/>
          <w:color w:val="auto"/>
          <w:sz w:val="24"/>
        </w:rPr>
        <w:t>3.不同的供应商的响应文件载明的项目管理员为同一个人；</w:t>
      </w:r>
    </w:p>
    <w:p w14:paraId="784AF57B">
      <w:pPr>
        <w:spacing w:line="400" w:lineRule="exact"/>
        <w:ind w:firstLine="480" w:firstLineChars="200"/>
        <w:rPr>
          <w:rFonts w:hint="eastAsia"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同供应商的响应文件异常一致或竞标报价呈规律性差异；</w:t>
      </w:r>
    </w:p>
    <w:p w14:paraId="0D65567D">
      <w:pPr>
        <w:spacing w:line="400" w:lineRule="exact"/>
        <w:ind w:firstLine="480" w:firstLineChars="200"/>
        <w:rPr>
          <w:rFonts w:hint="eastAsia" w:ascii="宋体" w:hAnsi="宋体" w:cs="宋体"/>
          <w:color w:val="auto"/>
          <w:sz w:val="24"/>
        </w:rPr>
      </w:pPr>
      <w:r>
        <w:rPr>
          <w:rFonts w:hint="eastAsia" w:ascii="宋体" w:hAnsi="宋体" w:cs="宋体"/>
          <w:color w:val="auto"/>
          <w:sz w:val="24"/>
        </w:rPr>
        <w:t>5.不同供应商的响应文件相互混装；</w:t>
      </w:r>
    </w:p>
    <w:p w14:paraId="300F363A">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二、我公司承诺无下列恶意串通的情形：</w:t>
      </w:r>
    </w:p>
    <w:p w14:paraId="49413366">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1.供应商直接或者间接从采购人处获得其他供应商的相关信息并修改其响应文件；</w:t>
      </w:r>
    </w:p>
    <w:p w14:paraId="666D9594">
      <w:pPr>
        <w:spacing w:line="400" w:lineRule="exact"/>
        <w:ind w:firstLine="480" w:firstLineChars="200"/>
        <w:rPr>
          <w:rFonts w:hint="eastAsia" w:ascii="宋体" w:hAnsi="宋体" w:cs="宋体"/>
          <w:color w:val="auto"/>
          <w:sz w:val="24"/>
        </w:rPr>
      </w:pPr>
      <w:r>
        <w:rPr>
          <w:rFonts w:hint="eastAsia" w:ascii="宋体" w:hAnsi="宋体" w:cs="宋体"/>
          <w:color w:val="auto"/>
          <w:sz w:val="24"/>
        </w:rPr>
        <w:t>2.供应商按照采购人的授意撤换、修改响应文件；</w:t>
      </w:r>
    </w:p>
    <w:p w14:paraId="4F728389">
      <w:pPr>
        <w:spacing w:line="400" w:lineRule="exact"/>
        <w:ind w:firstLine="480" w:firstLineChars="200"/>
        <w:rPr>
          <w:rFonts w:hint="eastAsia"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234D2846">
      <w:pPr>
        <w:spacing w:line="400" w:lineRule="exact"/>
        <w:ind w:firstLine="480" w:firstLineChars="200"/>
        <w:rPr>
          <w:rFonts w:hint="eastAsia"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5E16D170">
      <w:pPr>
        <w:spacing w:line="400" w:lineRule="exact"/>
        <w:ind w:firstLine="480" w:firstLineChars="200"/>
        <w:rPr>
          <w:rFonts w:hint="eastAsia" w:ascii="宋体" w:hAnsi="宋体" w:cs="宋体"/>
          <w:color w:val="auto"/>
          <w:sz w:val="24"/>
        </w:rPr>
      </w:pPr>
      <w:r>
        <w:rPr>
          <w:rFonts w:hint="eastAsia" w:ascii="宋体" w:hAnsi="宋体" w:cs="宋体"/>
          <w:color w:val="auto"/>
          <w:sz w:val="24"/>
        </w:rPr>
        <w:t>5.供应商之间事先约定一致抬高或者压低竞标报价，或者在</w:t>
      </w:r>
      <w:r>
        <w:rPr>
          <w:rFonts w:hint="eastAsia" w:ascii="宋体" w:hAnsi="宋体" w:cs="宋体"/>
          <w:color w:val="auto"/>
          <w:sz w:val="24"/>
          <w:lang w:eastAsia="zh-CN"/>
        </w:rPr>
        <w:t>遴选</w:t>
      </w:r>
      <w:r>
        <w:rPr>
          <w:rFonts w:hint="eastAsia" w:ascii="宋体" w:hAnsi="宋体" w:cs="宋体"/>
          <w:color w:val="auto"/>
          <w:sz w:val="24"/>
        </w:rPr>
        <w:t>项目中事先约定轮流以高价位或者低价位成交，或者事先约定由某一特定供应商成交，然后再参加竞标；</w:t>
      </w:r>
    </w:p>
    <w:p w14:paraId="201C4D96">
      <w:pPr>
        <w:spacing w:line="400" w:lineRule="exact"/>
        <w:ind w:firstLine="480" w:firstLineChars="200"/>
        <w:rPr>
          <w:rFonts w:hint="eastAsia"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5591590A">
      <w:pPr>
        <w:spacing w:line="400" w:lineRule="exact"/>
        <w:ind w:firstLine="480" w:firstLineChars="200"/>
        <w:rPr>
          <w:rFonts w:hint="eastAsia"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2CDD0E3A">
      <w:pPr>
        <w:spacing w:line="400" w:lineRule="exact"/>
        <w:ind w:firstLine="480" w:firstLineChars="200"/>
        <w:rPr>
          <w:rFonts w:hint="eastAsia" w:ascii="宋体" w:hAnsi="宋体" w:cs="宋体"/>
          <w:color w:val="auto"/>
          <w:sz w:val="24"/>
        </w:rPr>
      </w:pPr>
    </w:p>
    <w:p w14:paraId="25319B02">
      <w:pPr>
        <w:spacing w:line="400" w:lineRule="exact"/>
        <w:ind w:firstLine="480" w:firstLineChars="200"/>
        <w:rPr>
          <w:rFonts w:hint="eastAsia" w:ascii="宋体" w:hAnsi="宋体" w:cs="宋体"/>
          <w:b/>
          <w:bCs/>
          <w:color w:val="auto"/>
          <w:sz w:val="24"/>
        </w:rPr>
      </w:pPr>
      <w:r>
        <w:rPr>
          <w:rFonts w:hint="eastAsia" w:ascii="宋体" w:hAnsi="宋体" w:cs="宋体"/>
          <w:b/>
          <w:bCs/>
          <w:color w:val="auto"/>
          <w:sz w:val="24"/>
        </w:rPr>
        <w:t>以上情形一经核查属实，我方愿意承担一切后果，并不再寻求任何旨在减轻或免除法律责任的辩解。</w:t>
      </w:r>
    </w:p>
    <w:p w14:paraId="3040D9FA">
      <w:pPr>
        <w:spacing w:line="400" w:lineRule="exact"/>
        <w:ind w:firstLine="640" w:firstLineChars="200"/>
        <w:rPr>
          <w:rFonts w:hint="eastAsia" w:ascii="宋体" w:hAnsi="宋体" w:cs="宋体"/>
          <w:color w:val="auto"/>
          <w:sz w:val="32"/>
          <w:szCs w:val="32"/>
        </w:rPr>
      </w:pPr>
    </w:p>
    <w:p w14:paraId="041554B7">
      <w:pPr>
        <w:spacing w:line="400" w:lineRule="exact"/>
        <w:ind w:firstLine="480" w:firstLineChars="200"/>
        <w:rPr>
          <w:rFonts w:hint="eastAsia" w:ascii="宋体" w:hAnsi="宋体" w:cs="宋体"/>
          <w:color w:val="auto"/>
          <w:sz w:val="24"/>
        </w:rPr>
      </w:pPr>
    </w:p>
    <w:p w14:paraId="24C5B5A6">
      <w:pPr>
        <w:spacing w:line="400" w:lineRule="exact"/>
        <w:ind w:firstLine="480" w:firstLineChars="200"/>
        <w:rPr>
          <w:rFonts w:hint="eastAsia" w:ascii="宋体" w:hAnsi="宋体" w:cs="宋体"/>
          <w:color w:val="auto"/>
          <w:sz w:val="24"/>
        </w:rPr>
      </w:pPr>
    </w:p>
    <w:p w14:paraId="492EDF0F">
      <w:pPr>
        <w:spacing w:line="400" w:lineRule="exact"/>
        <w:ind w:firstLine="3600" w:firstLineChars="1500"/>
        <w:rPr>
          <w:rFonts w:hint="eastAsia" w:ascii="宋体" w:hAnsi="宋体" w:cs="宋体"/>
          <w:color w:val="auto"/>
          <w:sz w:val="24"/>
        </w:rPr>
      </w:pPr>
      <w:r>
        <w:rPr>
          <w:rFonts w:hint="eastAsia" w:ascii="宋体" w:hAnsi="宋体" w:cs="宋体"/>
          <w:color w:val="auto"/>
          <w:sz w:val="24"/>
        </w:rPr>
        <w:t>供应商（盖公章 ）：</w:t>
      </w:r>
    </w:p>
    <w:p w14:paraId="2D561E13">
      <w:pPr>
        <w:spacing w:line="520" w:lineRule="exact"/>
        <w:ind w:firstLine="480" w:firstLineChars="200"/>
        <w:jc w:val="center"/>
        <w:rPr>
          <w:rFonts w:hint="eastAsia" w:ascii="宋体" w:hAnsi="宋体" w:cs="宋体"/>
          <w:color w:val="auto"/>
          <w:sz w:val="24"/>
        </w:rPr>
      </w:pPr>
      <w:r>
        <w:rPr>
          <w:rFonts w:hint="eastAsia" w:ascii="宋体" w:hAnsi="宋体" w:cs="宋体"/>
          <w:color w:val="auto"/>
          <w:sz w:val="24"/>
        </w:rPr>
        <w:t xml:space="preserve">                               年   月   日</w:t>
      </w:r>
    </w:p>
    <w:p w14:paraId="2F093E46">
      <w:pPr>
        <w:spacing w:line="520" w:lineRule="exact"/>
        <w:ind w:firstLine="640" w:firstLineChars="200"/>
        <w:jc w:val="center"/>
        <w:rPr>
          <w:rFonts w:hint="eastAsia" w:ascii="宋体" w:hAnsi="宋体" w:cs="宋体"/>
          <w:color w:val="auto"/>
          <w:sz w:val="32"/>
          <w:szCs w:val="32"/>
        </w:rPr>
      </w:pPr>
    </w:p>
    <w:p w14:paraId="3C19B12F">
      <w:pPr>
        <w:spacing w:line="520" w:lineRule="exact"/>
        <w:ind w:firstLine="640" w:firstLineChars="200"/>
        <w:jc w:val="center"/>
        <w:rPr>
          <w:rFonts w:hint="eastAsia" w:ascii="宋体" w:hAnsi="宋体" w:cs="宋体"/>
          <w:color w:val="auto"/>
          <w:sz w:val="32"/>
          <w:szCs w:val="32"/>
        </w:rPr>
      </w:pPr>
    </w:p>
    <w:p w14:paraId="4E354BC8">
      <w:pPr>
        <w:spacing w:line="520" w:lineRule="exact"/>
        <w:ind w:firstLine="640" w:firstLineChars="200"/>
        <w:jc w:val="center"/>
        <w:rPr>
          <w:rFonts w:hint="eastAsia" w:ascii="宋体" w:hAnsi="宋体" w:cs="宋体"/>
          <w:color w:val="auto"/>
          <w:sz w:val="32"/>
          <w:szCs w:val="32"/>
        </w:rPr>
      </w:pPr>
    </w:p>
    <w:p w14:paraId="219094D0">
      <w:pPr>
        <w:pStyle w:val="5"/>
        <w:rPr>
          <w:rFonts w:hint="eastAsia" w:ascii="宋体" w:hAnsi="宋体" w:cs="宋体"/>
          <w:color w:val="auto"/>
          <w:sz w:val="32"/>
          <w:szCs w:val="32"/>
        </w:rPr>
      </w:pPr>
    </w:p>
    <w:p w14:paraId="43DFC166">
      <w:pPr>
        <w:rPr>
          <w:rFonts w:hint="eastAsia"/>
          <w:color w:val="auto"/>
        </w:rPr>
      </w:pPr>
    </w:p>
    <w:p w14:paraId="70CE9D14">
      <w:pPr>
        <w:spacing w:line="520" w:lineRule="exact"/>
        <w:ind w:firstLine="640" w:firstLineChars="200"/>
        <w:jc w:val="center"/>
        <w:rPr>
          <w:rFonts w:hint="eastAsia" w:ascii="宋体" w:hAnsi="宋体" w:cs="宋体"/>
          <w:color w:val="auto"/>
          <w:sz w:val="32"/>
          <w:szCs w:val="32"/>
        </w:rPr>
      </w:pPr>
    </w:p>
    <w:p w14:paraId="19155B1E">
      <w:pPr>
        <w:spacing w:line="520" w:lineRule="exact"/>
        <w:ind w:firstLine="640" w:firstLineChars="200"/>
        <w:jc w:val="center"/>
        <w:rPr>
          <w:rFonts w:hint="eastAsia" w:ascii="宋体" w:hAnsi="宋体" w:cs="宋体"/>
          <w:color w:val="auto"/>
          <w:sz w:val="32"/>
          <w:szCs w:val="32"/>
        </w:rPr>
      </w:pPr>
    </w:p>
    <w:p w14:paraId="61B123E1">
      <w:pPr>
        <w:spacing w:line="520" w:lineRule="exact"/>
        <w:jc w:val="center"/>
        <w:rPr>
          <w:rFonts w:hint="eastAsia" w:ascii="宋体" w:hAnsi="宋体" w:cs="宋体"/>
          <w:b/>
          <w:color w:val="auto"/>
          <w:sz w:val="32"/>
          <w:szCs w:val="32"/>
        </w:rPr>
      </w:pPr>
      <w:r>
        <w:rPr>
          <w:rFonts w:hint="eastAsia" w:ascii="宋体" w:hAnsi="宋体" w:cs="宋体"/>
          <w:b/>
          <w:color w:val="auto"/>
          <w:sz w:val="32"/>
          <w:szCs w:val="32"/>
        </w:rPr>
        <w:t>防城港市政府采购供应商信用承诺函（格式）</w:t>
      </w:r>
    </w:p>
    <w:p w14:paraId="4033D6A2">
      <w:pPr>
        <w:spacing w:line="520" w:lineRule="exact"/>
        <w:ind w:firstLine="640" w:firstLineChars="200"/>
        <w:rPr>
          <w:rFonts w:hint="eastAsia" w:ascii="宋体" w:hAnsi="宋体" w:cs="宋体"/>
          <w:b/>
          <w:color w:val="auto"/>
          <w:sz w:val="32"/>
          <w:szCs w:val="32"/>
        </w:rPr>
      </w:pPr>
    </w:p>
    <w:p w14:paraId="7DD62BE5">
      <w:pPr>
        <w:spacing w:line="400" w:lineRule="exact"/>
        <w:ind w:firstLine="480" w:firstLineChars="200"/>
        <w:rPr>
          <w:rFonts w:hint="eastAsia" w:ascii="宋体" w:hAnsi="宋体" w:cs="宋体"/>
          <w:color w:val="auto"/>
          <w:sz w:val="24"/>
        </w:rPr>
      </w:pPr>
      <w:r>
        <w:rPr>
          <w:rFonts w:hint="eastAsia" w:ascii="宋体" w:hAnsi="宋体" w:cs="宋体"/>
          <w:color w:val="auto"/>
          <w:sz w:val="24"/>
        </w:rPr>
        <w:t>致（采购人或采购代理机构） ：</w:t>
      </w:r>
    </w:p>
    <w:p w14:paraId="0355B682">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我方自愿参加 （项目名称） 项目（项目编号：         ）的政府采购活动，严格遵守《中华人民共和国政府采购法》及相关法律法规，依法诚信经营，无条件遵守本次政府采购活动的各项规定，并郑重承诺： </w:t>
      </w:r>
    </w:p>
    <w:p w14:paraId="06AA2BC8">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1.我方具有符合采购文件资格要求的财务状况报告。 </w:t>
      </w:r>
    </w:p>
    <w:p w14:paraId="1A016901">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2.我方具有符合采购文件资格要求的依法缴纳税收和社会保障资金的良好记录。 </w:t>
      </w:r>
    </w:p>
    <w:p w14:paraId="7282F50B">
      <w:pPr>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3.我方参加政府采购活动前三年内在经营活动中没有重大违法记录。 </w:t>
      </w:r>
    </w:p>
    <w:p w14:paraId="0BC5319D">
      <w:pPr>
        <w:spacing w:line="400" w:lineRule="exact"/>
        <w:ind w:firstLine="480" w:firstLineChars="200"/>
        <w:rPr>
          <w:rFonts w:hint="eastAsia" w:ascii="宋体" w:hAnsi="宋体" w:cs="宋体"/>
          <w:color w:val="auto"/>
          <w:sz w:val="24"/>
        </w:rPr>
      </w:pPr>
      <w:r>
        <w:rPr>
          <w:rFonts w:hint="eastAsia" w:ascii="宋体" w:hAnsi="宋体" w:cs="宋体"/>
          <w:color w:val="auto"/>
          <w:sz w:val="24"/>
        </w:rPr>
        <w:t>我方对以上承诺内容的真实性负责。如有虚假，将依法承担相应责任。</w:t>
      </w:r>
    </w:p>
    <w:p w14:paraId="7F528D3F">
      <w:pPr>
        <w:spacing w:line="400" w:lineRule="exact"/>
        <w:ind w:firstLine="480" w:firstLineChars="200"/>
        <w:rPr>
          <w:rFonts w:hint="eastAsia" w:ascii="宋体" w:hAnsi="宋体" w:cs="宋体"/>
          <w:color w:val="auto"/>
          <w:sz w:val="24"/>
        </w:rPr>
      </w:pPr>
    </w:p>
    <w:p w14:paraId="3EF081C0">
      <w:pPr>
        <w:spacing w:line="400" w:lineRule="exact"/>
        <w:ind w:firstLine="480" w:firstLineChars="200"/>
        <w:rPr>
          <w:rFonts w:hint="eastAsia" w:ascii="宋体" w:hAnsi="宋体" w:cs="宋体"/>
          <w:color w:val="auto"/>
          <w:sz w:val="24"/>
        </w:rPr>
      </w:pPr>
    </w:p>
    <w:p w14:paraId="5C3F74BC">
      <w:pPr>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供应商名称（公章）：</w:t>
      </w:r>
    </w:p>
    <w:p w14:paraId="018BC99D">
      <w:pPr>
        <w:spacing w:line="400" w:lineRule="exact"/>
        <w:ind w:firstLine="480" w:firstLineChars="200"/>
        <w:rPr>
          <w:rFonts w:hint="eastAsia" w:ascii="宋体" w:hAnsi="宋体" w:cs="宋体"/>
          <w:color w:val="auto"/>
          <w:sz w:val="24"/>
        </w:rPr>
      </w:pPr>
      <w:r>
        <w:rPr>
          <w:rFonts w:hint="eastAsia" w:ascii="宋体" w:hAnsi="宋体" w:cs="宋体"/>
          <w:color w:val="auto"/>
          <w:sz w:val="24"/>
        </w:rPr>
        <w:t>统一社会信用代码：</w:t>
      </w:r>
    </w:p>
    <w:p w14:paraId="29D8FFA3">
      <w:pPr>
        <w:spacing w:line="400" w:lineRule="exact"/>
        <w:ind w:firstLine="480" w:firstLineChars="200"/>
        <w:rPr>
          <w:rFonts w:hint="eastAsia" w:ascii="宋体" w:hAnsi="宋体" w:cs="宋体"/>
          <w:color w:val="auto"/>
          <w:sz w:val="24"/>
        </w:rPr>
      </w:pPr>
      <w:r>
        <w:rPr>
          <w:rFonts w:hint="eastAsia" w:ascii="宋体" w:hAnsi="宋体" w:cs="宋体"/>
          <w:color w:val="auto"/>
          <w:sz w:val="24"/>
        </w:rPr>
        <w:t>法定代表人或授权代表(签名)：</w:t>
      </w:r>
    </w:p>
    <w:p w14:paraId="38020BD3">
      <w:pPr>
        <w:spacing w:line="400" w:lineRule="exact"/>
        <w:ind w:firstLine="480" w:firstLineChars="200"/>
        <w:rPr>
          <w:rFonts w:hint="eastAsia" w:ascii="宋体" w:hAnsi="宋体" w:cs="宋体"/>
          <w:color w:val="auto"/>
          <w:sz w:val="24"/>
        </w:rPr>
      </w:pPr>
      <w:r>
        <w:rPr>
          <w:rFonts w:hint="eastAsia" w:ascii="宋体" w:hAnsi="宋体" w:cs="宋体"/>
          <w:color w:val="auto"/>
          <w:sz w:val="24"/>
        </w:rPr>
        <w:t>日期： 年 月 日</w:t>
      </w:r>
      <w:bookmarkStart w:id="0" w:name="_GoBack"/>
      <w:bookmarkEnd w:id="0"/>
    </w:p>
    <w:p w14:paraId="5EC7A5A5">
      <w:pPr>
        <w:spacing w:line="520" w:lineRule="exact"/>
        <w:ind w:firstLine="640" w:firstLineChars="200"/>
        <w:jc w:val="center"/>
        <w:rPr>
          <w:rFonts w:hint="eastAsia" w:ascii="宋体" w:hAnsi="宋体" w:cs="宋体"/>
          <w:color w:val="auto"/>
          <w:sz w:val="32"/>
          <w:szCs w:val="32"/>
        </w:rPr>
      </w:pPr>
    </w:p>
    <w:p w14:paraId="154870C4">
      <w:pPr>
        <w:spacing w:line="520" w:lineRule="exact"/>
        <w:ind w:firstLine="640" w:firstLineChars="200"/>
        <w:jc w:val="center"/>
        <w:rPr>
          <w:rFonts w:hint="eastAsia" w:ascii="宋体" w:hAnsi="宋体" w:cs="宋体"/>
          <w:color w:val="auto"/>
          <w:sz w:val="32"/>
          <w:szCs w:val="32"/>
        </w:rPr>
      </w:pPr>
    </w:p>
    <w:p w14:paraId="5808F11A">
      <w:pPr>
        <w:spacing w:line="520" w:lineRule="exact"/>
        <w:ind w:firstLine="640" w:firstLineChars="200"/>
        <w:jc w:val="center"/>
        <w:rPr>
          <w:rFonts w:hint="eastAsia" w:ascii="宋体" w:hAnsi="宋体" w:cs="宋体"/>
          <w:color w:val="auto"/>
          <w:sz w:val="32"/>
          <w:szCs w:val="32"/>
        </w:rPr>
      </w:pPr>
    </w:p>
    <w:p w14:paraId="213D2DD6">
      <w:pPr>
        <w:spacing w:line="520" w:lineRule="exact"/>
        <w:ind w:firstLine="640" w:firstLineChars="200"/>
        <w:jc w:val="center"/>
        <w:rPr>
          <w:rFonts w:hint="eastAsia" w:ascii="宋体" w:hAnsi="宋体" w:cs="宋体"/>
          <w:color w:val="auto"/>
          <w:sz w:val="32"/>
          <w:szCs w:val="32"/>
        </w:rPr>
      </w:pPr>
    </w:p>
    <w:p w14:paraId="1AA4F79D">
      <w:pPr>
        <w:spacing w:line="520" w:lineRule="exact"/>
        <w:ind w:firstLine="640" w:firstLineChars="200"/>
        <w:jc w:val="center"/>
        <w:rPr>
          <w:rFonts w:hint="eastAsia" w:ascii="宋体" w:hAnsi="宋体" w:cs="宋体"/>
          <w:color w:val="auto"/>
          <w:sz w:val="32"/>
          <w:szCs w:val="32"/>
        </w:rPr>
      </w:pPr>
    </w:p>
    <w:p w14:paraId="1560E7C1">
      <w:pPr>
        <w:spacing w:line="520" w:lineRule="exact"/>
        <w:ind w:firstLine="640" w:firstLineChars="200"/>
        <w:jc w:val="center"/>
        <w:rPr>
          <w:rFonts w:hint="eastAsia" w:ascii="宋体" w:hAnsi="宋体" w:cs="宋体"/>
          <w:color w:val="auto"/>
          <w:sz w:val="32"/>
          <w:szCs w:val="32"/>
        </w:rPr>
      </w:pPr>
    </w:p>
    <w:p w14:paraId="242DB365">
      <w:pPr>
        <w:spacing w:line="520" w:lineRule="exact"/>
        <w:ind w:firstLine="640" w:firstLineChars="200"/>
        <w:jc w:val="center"/>
        <w:rPr>
          <w:rFonts w:hint="eastAsia" w:ascii="宋体" w:hAnsi="宋体" w:cs="宋体"/>
          <w:color w:val="auto"/>
          <w:sz w:val="32"/>
          <w:szCs w:val="32"/>
        </w:rPr>
      </w:pPr>
    </w:p>
    <w:p w14:paraId="16D101B5">
      <w:pPr>
        <w:spacing w:line="520" w:lineRule="exact"/>
        <w:jc w:val="both"/>
        <w:rPr>
          <w:rFonts w:hint="eastAsia" w:ascii="宋体" w:hAnsi="宋体" w:cs="宋体"/>
          <w:color w:val="auto"/>
          <w:sz w:val="32"/>
          <w:szCs w:val="32"/>
        </w:rPr>
      </w:pPr>
    </w:p>
    <w:p w14:paraId="386FB130">
      <w:pPr>
        <w:rPr>
          <w:color w:val="auto"/>
        </w:rPr>
      </w:pPr>
    </w:p>
    <w:sectPr>
      <w:footerReference r:id="rId11" w:type="default"/>
      <w:pgSz w:w="11906" w:h="16838"/>
      <w:pgMar w:top="1440" w:right="1236" w:bottom="1440" w:left="1236" w:header="851" w:footer="992" w:gutter="0"/>
      <w:pgNumType w:fmt="decimal" w:start="1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5C42">
    <w:pPr>
      <w:spacing w:line="173" w:lineRule="auto"/>
      <w:ind w:left="43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16C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E16C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ADB7">
    <w:pPr>
      <w:spacing w:line="226" w:lineRule="exact"/>
      <w:ind w:left="50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040A4">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0040A4">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9FB5">
    <w:pPr>
      <w:spacing w:line="173" w:lineRule="auto"/>
      <w:ind w:left="50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BCE93">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EBCE93">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01FB">
    <w:pPr>
      <w:spacing w:line="226" w:lineRule="exact"/>
      <w:ind w:left="49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60648">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B560648">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F7B9">
    <w:pPr>
      <w:spacing w:line="226" w:lineRule="exact"/>
      <w:ind w:left="49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D50C">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D98D50C">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B0F1">
    <w:pPr>
      <w:spacing w:line="226" w:lineRule="exact"/>
      <w:ind w:left="50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0232E">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310232E">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1664C">
    <w:pPr>
      <w:spacing w:line="226" w:lineRule="exact"/>
      <w:ind w:left="50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70F19">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F770F19">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F8332"/>
    <w:multiLevelType w:val="singleLevel"/>
    <w:tmpl w:val="439F83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000000"/>
    <w:rsid w:val="05557F4F"/>
    <w:rsid w:val="07AC3838"/>
    <w:rsid w:val="14AA569B"/>
    <w:rsid w:val="14BB6070"/>
    <w:rsid w:val="1736755D"/>
    <w:rsid w:val="1C8F2600"/>
    <w:rsid w:val="1D1E55F5"/>
    <w:rsid w:val="1E2375FC"/>
    <w:rsid w:val="32FA3DAF"/>
    <w:rsid w:val="3DB80F7A"/>
    <w:rsid w:val="4EAF779E"/>
    <w:rsid w:val="5AC472DE"/>
    <w:rsid w:val="5F383863"/>
    <w:rsid w:val="5F707784"/>
    <w:rsid w:val="5FB40CBE"/>
    <w:rsid w:val="70C458D3"/>
    <w:rsid w:val="79A83C04"/>
    <w:rsid w:val="7ACF143C"/>
    <w:rsid w:val="7F54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pPr>
    <w:rPr>
      <w:sz w:val="21"/>
    </w:rPr>
  </w:style>
  <w:style w:type="paragraph" w:styleId="3">
    <w:name w:val="Body Text Indent"/>
    <w:basedOn w:val="1"/>
    <w:next w:val="1"/>
    <w:qFormat/>
    <w:uiPriority w:val="99"/>
    <w:pPr>
      <w:spacing w:line="540" w:lineRule="exact"/>
      <w:ind w:firstLine="480" w:firstLineChars="200"/>
    </w:pPr>
    <w:rPr>
      <w:sz w:val="24"/>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unhideWhenUsed/>
    <w:qFormat/>
    <w:uiPriority w:val="0"/>
    <w:pPr>
      <w:adjustRightInd w:val="0"/>
      <w:spacing w:line="312" w:lineRule="atLeast"/>
    </w:pPr>
    <w:rPr>
      <w:rFonts w:ascii="宋体" w:hAnsi="Courier New" w:eastAsia="Times New Roman" w:cs="Times New Roman"/>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60" w:after="120" w:line="560" w:lineRule="exact"/>
      <w:jc w:val="center"/>
      <w:outlineLvl w:val="0"/>
    </w:pPr>
    <w:rPr>
      <w:rFonts w:eastAsia="方正小标宋简体"/>
      <w:bCs/>
      <w:sz w:val="44"/>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表格文字"/>
    <w:basedOn w:val="1"/>
    <w:qFormat/>
    <w:uiPriority w:val="99"/>
    <w:pPr>
      <w:spacing w:before="25" w:after="25"/>
      <w:jc w:val="left"/>
    </w:pPr>
    <w:rPr>
      <w:bCs/>
      <w:spacing w:val="10"/>
      <w:kern w:val="0"/>
      <w:sz w:val="24"/>
    </w:rPr>
  </w:style>
  <w:style w:type="paragraph" w:customStyle="1" w:styleId="19">
    <w:name w:val="Table Text"/>
    <w:basedOn w:val="1"/>
    <w:semiHidden/>
    <w:qFormat/>
    <w:uiPriority w:val="0"/>
    <w:rPr>
      <w:rFonts w:ascii="宋体" w:hAnsi="宋体" w:eastAsia="宋体" w:cs="宋体"/>
      <w:sz w:val="20"/>
      <w:szCs w:val="20"/>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641</Words>
  <Characters>662</Characters>
  <Lines>0</Lines>
  <Paragraphs>0</Paragraphs>
  <TotalTime>0</TotalTime>
  <ScaleCrop>false</ScaleCrop>
  <LinksUpToDate>false</LinksUpToDate>
  <CharactersWithSpaces>666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2025-10-10T11:07:00Z</dcterms:created>
  <dc:creator>WYY</dc:creator>
  <cp:lastModifiedBy>芳</cp:lastModifiedBy>
  <cp:lastPrinted>2025-10-10T11:51:00Z</cp:lastPrinted>
  <dcterms:modified xsi:type="dcterms:W3CDTF">2025-10-24T01:44:10Z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0323A64E60314F73B913127D6226CC22_13</vt:lpwstr>
  </property>
  <property fmtid="{D5CDD505-2E9C-101B-9397-08002B2CF9AE}" pid="4" name="KSOTemplateDocerSaveRecord">
    <vt:lpwstr>eyJoZGlkIjoiZWQxMjVjNDMwMDNkNDViYzEzNmMwNmFlMjU1NTBhYjUiLCJ1c2VySWQiOiIyNjkwMjEwMTMifQ==</vt:lpwstr>
  </property>
</Properties>
</file>