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D675C">
      <w:pPr>
        <w:spacing w:before="312" w:beforeLines="100" w:after="156" w:afterLines="50" w:line="600" w:lineRule="exact"/>
        <w:jc w:val="center"/>
        <w:rPr>
          <w:rFonts w:hint="eastAsia" w:ascii="宋体" w:hAnsi="宋体" w:cs="宋体"/>
          <w:b/>
          <w:color w:val="auto"/>
          <w:sz w:val="72"/>
          <w:szCs w:val="72"/>
        </w:rPr>
      </w:pPr>
    </w:p>
    <w:p w14:paraId="5EFF6FBD">
      <w:pPr>
        <w:spacing w:before="312" w:beforeLines="100" w:after="156" w:afterLines="50" w:line="600" w:lineRule="exact"/>
        <w:jc w:val="center"/>
        <w:rPr>
          <w:rFonts w:hint="eastAsia" w:ascii="宋体" w:hAnsi="宋体" w:cs="宋体"/>
          <w:b/>
          <w:color w:val="auto"/>
          <w:sz w:val="72"/>
          <w:szCs w:val="72"/>
        </w:rPr>
      </w:pPr>
    </w:p>
    <w:p w14:paraId="5450BB41">
      <w:pPr>
        <w:spacing w:before="312" w:beforeLines="100" w:after="156" w:afterLines="50" w:line="600" w:lineRule="exact"/>
        <w:jc w:val="center"/>
        <w:rPr>
          <w:rFonts w:hint="eastAsia" w:ascii="宋体" w:hAnsi="宋体" w:cs="宋体"/>
          <w:b/>
          <w:color w:val="auto"/>
          <w:sz w:val="72"/>
          <w:szCs w:val="72"/>
        </w:rPr>
      </w:pPr>
      <w:r>
        <w:rPr>
          <w:rFonts w:hint="eastAsia" w:ascii="宋体" w:hAnsi="宋体" w:cs="宋体"/>
          <w:b/>
          <w:color w:val="auto"/>
          <w:sz w:val="72"/>
          <w:szCs w:val="72"/>
        </w:rPr>
        <w:t>院内</w:t>
      </w:r>
      <w:r>
        <w:rPr>
          <w:rFonts w:hint="eastAsia" w:ascii="宋体" w:hAnsi="宋体" w:cs="宋体"/>
          <w:b/>
          <w:color w:val="auto"/>
          <w:sz w:val="72"/>
          <w:szCs w:val="72"/>
          <w:lang w:eastAsia="zh-CN"/>
        </w:rPr>
        <w:t>遴选</w:t>
      </w:r>
      <w:r>
        <w:rPr>
          <w:rFonts w:hint="eastAsia" w:ascii="宋体" w:hAnsi="宋体" w:cs="宋体"/>
          <w:b/>
          <w:color w:val="auto"/>
          <w:sz w:val="72"/>
          <w:szCs w:val="72"/>
        </w:rPr>
        <w:t>文件</w:t>
      </w:r>
    </w:p>
    <w:p w14:paraId="2F17216F">
      <w:pPr>
        <w:spacing w:before="312" w:beforeLines="100" w:after="156" w:afterLines="50" w:line="600" w:lineRule="exact"/>
        <w:jc w:val="center"/>
        <w:rPr>
          <w:rFonts w:hint="eastAsia" w:ascii="宋体" w:hAnsi="宋体" w:cs="宋体"/>
          <w:b/>
          <w:color w:val="auto"/>
          <w:sz w:val="72"/>
          <w:szCs w:val="72"/>
        </w:rPr>
      </w:pPr>
    </w:p>
    <w:p w14:paraId="7C9F8509">
      <w:pPr>
        <w:spacing w:line="400" w:lineRule="exact"/>
        <w:rPr>
          <w:rFonts w:hint="eastAsia" w:ascii="宋体" w:hAnsi="宋体" w:cs="宋体"/>
          <w:b/>
          <w:bCs/>
          <w:color w:val="auto"/>
          <w:sz w:val="32"/>
          <w:szCs w:val="32"/>
        </w:rPr>
      </w:pPr>
      <w:r>
        <w:rPr>
          <w:rFonts w:hint="eastAsia" w:ascii="宋体" w:hAnsi="宋体" w:cs="宋体"/>
          <w:b/>
          <w:bCs/>
          <w:color w:val="auto"/>
          <w:sz w:val="32"/>
          <w:szCs w:val="32"/>
        </w:rPr>
        <w:t xml:space="preserve"> </w:t>
      </w:r>
    </w:p>
    <w:p w14:paraId="69C82A9C">
      <w:pPr>
        <w:spacing w:line="400" w:lineRule="exact"/>
        <w:rPr>
          <w:rFonts w:hint="eastAsia" w:ascii="宋体" w:hAnsi="宋体" w:cs="宋体"/>
          <w:b/>
          <w:bCs/>
          <w:color w:val="auto"/>
          <w:sz w:val="32"/>
          <w:szCs w:val="32"/>
        </w:rPr>
      </w:pPr>
    </w:p>
    <w:p w14:paraId="097C5D6D">
      <w:pPr>
        <w:spacing w:line="400" w:lineRule="exact"/>
        <w:jc w:val="left"/>
        <w:rPr>
          <w:rFonts w:hint="eastAsia" w:ascii="宋体" w:hAnsi="宋体" w:cs="宋体"/>
          <w:b/>
          <w:color w:val="auto"/>
          <w:sz w:val="32"/>
          <w:szCs w:val="32"/>
        </w:rPr>
      </w:pPr>
    </w:p>
    <w:p w14:paraId="25362D5C">
      <w:pPr>
        <w:spacing w:line="400" w:lineRule="exact"/>
        <w:jc w:val="left"/>
        <w:rPr>
          <w:rFonts w:hint="eastAsia" w:ascii="宋体" w:hAnsi="宋体" w:cs="宋体"/>
          <w:b/>
          <w:color w:val="auto"/>
          <w:sz w:val="30"/>
          <w:szCs w:val="30"/>
        </w:rPr>
      </w:pPr>
    </w:p>
    <w:p w14:paraId="1F2981F0">
      <w:pPr>
        <w:spacing w:line="400" w:lineRule="exact"/>
        <w:jc w:val="left"/>
        <w:rPr>
          <w:rFonts w:hint="eastAsia" w:ascii="宋体" w:hAnsi="宋体" w:cs="宋体"/>
          <w:b/>
          <w:color w:val="auto"/>
          <w:sz w:val="30"/>
          <w:szCs w:val="30"/>
        </w:rPr>
      </w:pPr>
    </w:p>
    <w:p w14:paraId="49F812B7">
      <w:pPr>
        <w:spacing w:line="400" w:lineRule="exact"/>
        <w:jc w:val="center"/>
        <w:rPr>
          <w:rFonts w:hint="eastAsia" w:ascii="宋体" w:hAnsi="宋体" w:cs="宋体"/>
          <w:b/>
          <w:color w:val="auto"/>
          <w:sz w:val="28"/>
          <w:szCs w:val="28"/>
        </w:rPr>
      </w:pPr>
      <w:r>
        <w:rPr>
          <w:rFonts w:hint="eastAsia" w:ascii="宋体" w:hAnsi="宋体" w:cs="宋体"/>
          <w:b/>
          <w:color w:val="auto"/>
          <w:sz w:val="28"/>
          <w:szCs w:val="28"/>
        </w:rPr>
        <w:t>项目名称：防城港市第一人民医院</w:t>
      </w:r>
      <w:r>
        <w:rPr>
          <w:rFonts w:hint="eastAsia" w:ascii="宋体" w:hAnsi="宋体" w:eastAsia="宋体" w:cs="宋体"/>
          <w:b/>
          <w:color w:val="auto"/>
          <w:sz w:val="28"/>
          <w:szCs w:val="28"/>
        </w:rPr>
        <w:t>食堂</w:t>
      </w:r>
      <w:r>
        <w:rPr>
          <w:rFonts w:hint="eastAsia" w:ascii="宋体" w:hAnsi="宋体" w:eastAsia="宋体" w:cs="宋体"/>
          <w:b/>
          <w:color w:val="auto"/>
          <w:sz w:val="28"/>
          <w:szCs w:val="28"/>
          <w:lang w:val="en-US" w:eastAsia="zh-CN"/>
        </w:rPr>
        <w:t>禽类和水产类</w:t>
      </w:r>
      <w:r>
        <w:rPr>
          <w:rFonts w:hint="eastAsia" w:ascii="宋体" w:hAnsi="宋体" w:eastAsia="宋体" w:cs="宋体"/>
          <w:b/>
          <w:color w:val="auto"/>
          <w:sz w:val="28"/>
          <w:szCs w:val="28"/>
        </w:rPr>
        <w:t>食材配送服务</w:t>
      </w:r>
      <w:r>
        <w:rPr>
          <w:rFonts w:hint="eastAsia" w:ascii="宋体" w:hAnsi="宋体" w:eastAsia="宋体" w:cs="宋体"/>
          <w:b/>
          <w:color w:val="auto"/>
          <w:sz w:val="28"/>
          <w:szCs w:val="28"/>
          <w:lang w:eastAsia="zh-CN"/>
        </w:rPr>
        <w:t>供应商遴选</w:t>
      </w:r>
      <w:r>
        <w:rPr>
          <w:rFonts w:hint="eastAsia" w:ascii="宋体" w:hAnsi="宋体" w:cs="宋体"/>
          <w:b/>
          <w:color w:val="auto"/>
          <w:sz w:val="28"/>
          <w:szCs w:val="28"/>
        </w:rPr>
        <w:t>（项目编号：ZCBHT202500</w:t>
      </w:r>
      <w:r>
        <w:rPr>
          <w:rFonts w:hint="eastAsia" w:ascii="宋体" w:hAnsi="宋体" w:eastAsia="宋体" w:cs="宋体"/>
          <w:b/>
          <w:color w:val="auto"/>
          <w:sz w:val="28"/>
          <w:szCs w:val="28"/>
          <w:lang w:val="en-US" w:eastAsia="zh-CN"/>
        </w:rPr>
        <w:t>13</w:t>
      </w:r>
      <w:r>
        <w:rPr>
          <w:rFonts w:hint="eastAsia" w:ascii="宋体" w:hAnsi="宋体" w:cs="宋体"/>
          <w:b/>
          <w:color w:val="auto"/>
          <w:sz w:val="28"/>
          <w:szCs w:val="28"/>
        </w:rPr>
        <w:t>）</w:t>
      </w:r>
    </w:p>
    <w:p w14:paraId="47768937">
      <w:pPr>
        <w:spacing w:line="400" w:lineRule="exact"/>
        <w:ind w:firstLine="1186" w:firstLineChars="395"/>
        <w:rPr>
          <w:rFonts w:hint="eastAsia" w:ascii="宋体" w:hAnsi="宋体" w:cs="宋体"/>
          <w:b/>
          <w:color w:val="auto"/>
          <w:sz w:val="30"/>
          <w:szCs w:val="30"/>
        </w:rPr>
      </w:pPr>
    </w:p>
    <w:p w14:paraId="020AE11F">
      <w:pPr>
        <w:spacing w:line="400" w:lineRule="exact"/>
        <w:ind w:firstLine="640" w:firstLineChars="200"/>
        <w:rPr>
          <w:rFonts w:hint="eastAsia" w:ascii="宋体" w:hAnsi="宋体" w:cs="宋体"/>
          <w:b/>
          <w:color w:val="auto"/>
          <w:sz w:val="32"/>
          <w:szCs w:val="32"/>
        </w:rPr>
      </w:pPr>
    </w:p>
    <w:p w14:paraId="736505FD">
      <w:pPr>
        <w:spacing w:line="400" w:lineRule="exact"/>
        <w:ind w:firstLine="640" w:firstLineChars="200"/>
        <w:rPr>
          <w:rFonts w:hint="eastAsia" w:ascii="宋体" w:hAnsi="宋体" w:cs="宋体"/>
          <w:b/>
          <w:color w:val="auto"/>
          <w:sz w:val="32"/>
          <w:szCs w:val="32"/>
        </w:rPr>
      </w:pPr>
    </w:p>
    <w:p w14:paraId="7FF1E7BB">
      <w:pPr>
        <w:spacing w:line="400" w:lineRule="exact"/>
        <w:ind w:firstLine="640" w:firstLineChars="200"/>
        <w:rPr>
          <w:rFonts w:hint="eastAsia" w:ascii="宋体" w:hAnsi="宋体" w:cs="宋体"/>
          <w:b/>
          <w:color w:val="auto"/>
          <w:sz w:val="32"/>
          <w:szCs w:val="32"/>
        </w:rPr>
      </w:pPr>
    </w:p>
    <w:p w14:paraId="29905568">
      <w:pPr>
        <w:spacing w:line="400" w:lineRule="exact"/>
        <w:rPr>
          <w:rFonts w:hint="eastAsia" w:ascii="宋体" w:hAnsi="宋体" w:cs="宋体"/>
          <w:b/>
          <w:color w:val="auto"/>
          <w:sz w:val="32"/>
          <w:szCs w:val="32"/>
        </w:rPr>
      </w:pPr>
      <w:r>
        <w:rPr>
          <w:rFonts w:hint="eastAsia" w:ascii="宋体" w:hAnsi="宋体" w:cs="宋体"/>
          <w:b/>
          <w:color w:val="auto"/>
          <w:sz w:val="32"/>
          <w:szCs w:val="32"/>
        </w:rPr>
        <w:t xml:space="preserve"> </w:t>
      </w:r>
    </w:p>
    <w:p w14:paraId="266E54E6">
      <w:pPr>
        <w:spacing w:line="400" w:lineRule="exact"/>
        <w:ind w:firstLine="640" w:firstLineChars="200"/>
        <w:rPr>
          <w:rFonts w:hint="eastAsia" w:ascii="宋体" w:hAnsi="宋体" w:cs="宋体"/>
          <w:b/>
          <w:color w:val="auto"/>
          <w:sz w:val="32"/>
          <w:szCs w:val="32"/>
        </w:rPr>
      </w:pPr>
    </w:p>
    <w:p w14:paraId="0039AA0E">
      <w:pPr>
        <w:spacing w:line="400" w:lineRule="exact"/>
        <w:jc w:val="center"/>
        <w:rPr>
          <w:rFonts w:hint="eastAsia" w:ascii="宋体" w:hAnsi="宋体" w:cs="宋体"/>
          <w:b/>
          <w:color w:val="auto"/>
          <w:sz w:val="32"/>
          <w:szCs w:val="32"/>
        </w:rPr>
      </w:pPr>
      <w:r>
        <w:rPr>
          <w:rFonts w:hint="eastAsia" w:ascii="宋体" w:hAnsi="宋体" w:cs="宋体"/>
          <w:b/>
          <w:color w:val="auto"/>
          <w:sz w:val="32"/>
          <w:szCs w:val="32"/>
        </w:rPr>
        <w:t>采购单位：防城港市第一人民医院</w:t>
      </w:r>
    </w:p>
    <w:p w14:paraId="0B012A43">
      <w:pPr>
        <w:spacing w:line="400" w:lineRule="exact"/>
        <w:rPr>
          <w:rFonts w:hint="eastAsia" w:ascii="宋体" w:hAnsi="宋体" w:cs="宋体"/>
          <w:b/>
          <w:color w:val="auto"/>
          <w:sz w:val="32"/>
          <w:szCs w:val="32"/>
        </w:rPr>
      </w:pPr>
    </w:p>
    <w:p w14:paraId="1B88D24F">
      <w:pPr>
        <w:spacing w:line="400" w:lineRule="exact"/>
        <w:rPr>
          <w:rFonts w:hint="eastAsia" w:ascii="宋体" w:hAnsi="宋体" w:cs="宋体"/>
          <w:b/>
          <w:color w:val="auto"/>
          <w:sz w:val="32"/>
          <w:szCs w:val="32"/>
        </w:rPr>
      </w:pPr>
    </w:p>
    <w:p w14:paraId="6B6466AD">
      <w:pPr>
        <w:spacing w:line="400" w:lineRule="exact"/>
        <w:jc w:val="center"/>
        <w:rPr>
          <w:rFonts w:hint="eastAsia" w:ascii="宋体" w:hAnsi="宋体" w:cs="宋体"/>
          <w:b/>
          <w:color w:val="auto"/>
          <w:sz w:val="32"/>
          <w:szCs w:val="32"/>
        </w:rPr>
      </w:pPr>
      <w:r>
        <w:rPr>
          <w:rFonts w:hint="eastAsia" w:ascii="宋体" w:hAnsi="宋体" w:cs="宋体"/>
          <w:b/>
          <w:color w:val="auto"/>
          <w:sz w:val="32"/>
          <w:szCs w:val="32"/>
        </w:rPr>
        <w:t>2025年 月</w:t>
      </w:r>
    </w:p>
    <w:p w14:paraId="19A6B1D1">
      <w:pPr>
        <w:pStyle w:val="13"/>
        <w:spacing w:before="0" w:beforeAutospacing="0" w:after="0" w:afterAutospacing="0" w:line="540" w:lineRule="exact"/>
        <w:jc w:val="both"/>
        <w:rPr>
          <w:rFonts w:hint="eastAsia"/>
          <w:b/>
          <w:bCs/>
          <w:color w:val="auto"/>
          <w:sz w:val="36"/>
          <w:szCs w:val="36"/>
        </w:rPr>
      </w:pPr>
      <w:r>
        <w:rPr>
          <w:rFonts w:hint="eastAsia"/>
          <w:b/>
          <w:bCs/>
          <w:color w:val="auto"/>
          <w:sz w:val="36"/>
          <w:szCs w:val="36"/>
        </w:rPr>
        <w:t xml:space="preserve"> </w:t>
      </w:r>
    </w:p>
    <w:p w14:paraId="0365C1F3">
      <w:pPr>
        <w:pStyle w:val="13"/>
        <w:spacing w:before="0" w:beforeAutospacing="0" w:after="0" w:afterAutospacing="0" w:line="540" w:lineRule="exact"/>
        <w:jc w:val="center"/>
        <w:rPr>
          <w:rFonts w:hint="eastAsia"/>
          <w:color w:val="auto"/>
          <w:sz w:val="44"/>
          <w:szCs w:val="44"/>
        </w:rPr>
      </w:pPr>
    </w:p>
    <w:p w14:paraId="28E3F205">
      <w:pPr>
        <w:pStyle w:val="13"/>
        <w:spacing w:before="0" w:beforeAutospacing="0" w:after="0" w:afterAutospacing="0" w:line="540" w:lineRule="exact"/>
        <w:jc w:val="center"/>
        <w:rPr>
          <w:rFonts w:hint="eastAsia"/>
          <w:color w:val="auto"/>
          <w:sz w:val="44"/>
          <w:szCs w:val="44"/>
        </w:rPr>
      </w:pPr>
    </w:p>
    <w:p w14:paraId="2097F2B8">
      <w:pPr>
        <w:pStyle w:val="13"/>
        <w:spacing w:before="0" w:beforeAutospacing="0" w:after="0" w:afterAutospacing="0" w:line="540" w:lineRule="exact"/>
        <w:jc w:val="center"/>
        <w:rPr>
          <w:rFonts w:hint="eastAsia"/>
          <w:color w:val="auto"/>
          <w:sz w:val="44"/>
          <w:szCs w:val="44"/>
        </w:rPr>
      </w:pPr>
    </w:p>
    <w:p w14:paraId="119EE7B9">
      <w:pPr>
        <w:pStyle w:val="13"/>
        <w:spacing w:before="0" w:beforeAutospacing="0" w:after="0" w:afterAutospacing="0" w:line="540" w:lineRule="exact"/>
        <w:jc w:val="center"/>
        <w:rPr>
          <w:rFonts w:hint="eastAsia"/>
          <w:color w:val="auto"/>
          <w:sz w:val="44"/>
          <w:szCs w:val="44"/>
        </w:rPr>
      </w:pPr>
    </w:p>
    <w:p w14:paraId="0819AA9B">
      <w:pPr>
        <w:pStyle w:val="13"/>
        <w:spacing w:before="0" w:beforeAutospacing="0" w:after="0" w:afterAutospacing="0" w:line="540" w:lineRule="exact"/>
        <w:jc w:val="center"/>
        <w:rPr>
          <w:rFonts w:hint="eastAsia"/>
          <w:color w:val="auto"/>
          <w:sz w:val="44"/>
          <w:szCs w:val="44"/>
        </w:rPr>
      </w:pPr>
    </w:p>
    <w:p w14:paraId="4BCC9A12">
      <w:pPr>
        <w:pStyle w:val="13"/>
        <w:spacing w:before="0" w:beforeAutospacing="0" w:after="0" w:afterAutospacing="0" w:line="540" w:lineRule="exact"/>
        <w:jc w:val="center"/>
        <w:rPr>
          <w:rFonts w:hint="eastAsia"/>
          <w:color w:val="auto"/>
          <w:sz w:val="44"/>
          <w:szCs w:val="44"/>
        </w:rPr>
      </w:pPr>
    </w:p>
    <w:p w14:paraId="53F7684E">
      <w:pPr>
        <w:spacing w:line="320" w:lineRule="exact"/>
        <w:rPr>
          <w:rFonts w:hint="eastAsia" w:ascii="宋体" w:hAnsi="宋体" w:cs="宋体"/>
          <w:color w:val="auto"/>
          <w:szCs w:val="21"/>
        </w:rPr>
      </w:pPr>
    </w:p>
    <w:p w14:paraId="097A229A">
      <w:pPr>
        <w:spacing w:line="320" w:lineRule="exact"/>
        <w:jc w:val="center"/>
        <w:rPr>
          <w:rFonts w:hint="eastAsia" w:ascii="宋体" w:hAnsi="宋体" w:cs="宋体"/>
          <w:b/>
          <w:color w:val="auto"/>
          <w:sz w:val="32"/>
          <w:szCs w:val="32"/>
        </w:rPr>
      </w:pPr>
      <w:r>
        <w:rPr>
          <w:rFonts w:hint="eastAsia" w:ascii="宋体" w:hAnsi="宋体" w:cs="宋体"/>
          <w:b/>
          <w:color w:val="auto"/>
          <w:sz w:val="32"/>
          <w:szCs w:val="32"/>
        </w:rPr>
        <w:t>一</w:t>
      </w:r>
      <w:r>
        <w:rPr>
          <w:rFonts w:hint="eastAsia" w:ascii="宋体" w:hAnsi="宋体" w:eastAsia="宋体" w:cs="宋体"/>
          <w:b/>
          <w:color w:val="auto"/>
          <w:sz w:val="32"/>
          <w:szCs w:val="32"/>
          <w:lang w:eastAsia="zh-CN"/>
        </w:rPr>
        <w:t>、</w:t>
      </w:r>
      <w:r>
        <w:rPr>
          <w:rFonts w:hint="eastAsia" w:ascii="宋体" w:hAnsi="宋体" w:cs="宋体"/>
          <w:b/>
          <w:color w:val="auto"/>
          <w:sz w:val="32"/>
          <w:szCs w:val="32"/>
        </w:rPr>
        <w:t>评审程序和评定成交的标准</w:t>
      </w:r>
    </w:p>
    <w:p w14:paraId="59F04E55">
      <w:pPr>
        <w:spacing w:line="320" w:lineRule="exact"/>
        <w:ind w:left="420" w:firstLine="420"/>
        <w:rPr>
          <w:rFonts w:hint="eastAsia" w:ascii="宋体" w:hAnsi="宋体" w:eastAsia="Times New Roman" w:cs="Times New Roman"/>
          <w:bCs/>
          <w:color w:val="auto"/>
          <w:kern w:val="0"/>
          <w:sz w:val="21"/>
          <w:szCs w:val="20"/>
          <w:lang w:val="en-US" w:eastAsia="zh-CN" w:bidi="ar-SA"/>
        </w:rPr>
      </w:pPr>
    </w:p>
    <w:p w14:paraId="0A0023B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（一）</w:t>
      </w:r>
      <w:r>
        <w:rPr>
          <w:rFonts w:hint="eastAsia" w:ascii="宋体" w:hAnsi="宋体" w:eastAsia="Times New Roman" w:cs="Times New Roman"/>
          <w:bCs/>
          <w:color w:val="auto"/>
          <w:kern w:val="0"/>
          <w:sz w:val="21"/>
          <w:szCs w:val="20"/>
          <w:lang w:val="en-US" w:eastAsia="zh-CN" w:bidi="ar-SA"/>
        </w:rPr>
        <w:t>遴选小组成立</w:t>
      </w:r>
    </w:p>
    <w:p w14:paraId="5C4701B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1.</w:t>
      </w:r>
      <w:r>
        <w:rPr>
          <w:rFonts w:hint="eastAsia" w:ascii="宋体" w:hAnsi="宋体" w:eastAsia="Times New Roman" w:cs="Times New Roman"/>
          <w:bCs/>
          <w:color w:val="auto"/>
          <w:kern w:val="0"/>
          <w:sz w:val="21"/>
          <w:szCs w:val="20"/>
          <w:lang w:val="en-US" w:eastAsia="zh-CN" w:bidi="ar-SA"/>
        </w:rPr>
        <w:t>遴选小组组成：遴选小组由采购人负责组织，成员应包括院内相关专家，且人数为3人以上的单数，以确保决策的客观性和公正性。</w:t>
      </w:r>
    </w:p>
    <w:p w14:paraId="1CB6F6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（二）</w:t>
      </w:r>
      <w:r>
        <w:rPr>
          <w:rFonts w:hint="eastAsia" w:ascii="宋体" w:hAnsi="宋体" w:eastAsia="Times New Roman" w:cs="Times New Roman"/>
          <w:bCs/>
          <w:color w:val="auto"/>
          <w:kern w:val="0"/>
          <w:sz w:val="21"/>
          <w:szCs w:val="20"/>
          <w:lang w:val="en-US" w:eastAsia="zh-CN" w:bidi="ar-SA"/>
        </w:rPr>
        <w:t>遴选程序</w:t>
      </w:r>
    </w:p>
    <w:p w14:paraId="510E07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1.</w:t>
      </w:r>
      <w:r>
        <w:rPr>
          <w:rFonts w:hint="eastAsia" w:ascii="宋体" w:hAnsi="宋体" w:eastAsia="Times New Roman" w:cs="Times New Roman"/>
          <w:bCs/>
          <w:color w:val="auto"/>
          <w:kern w:val="0"/>
          <w:sz w:val="21"/>
          <w:szCs w:val="20"/>
          <w:lang w:val="en-US" w:eastAsia="zh-CN" w:bidi="ar-SA"/>
        </w:rPr>
        <w:t>供应商资格审查：对参与遴选的供应商进行资格审查，确保其符合采购项目的要求。</w:t>
      </w:r>
    </w:p>
    <w:p w14:paraId="16CD6EC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2.</w:t>
      </w:r>
      <w:r>
        <w:rPr>
          <w:rFonts w:hint="eastAsia" w:ascii="宋体" w:hAnsi="宋体" w:eastAsia="Times New Roman" w:cs="Times New Roman"/>
          <w:bCs/>
          <w:color w:val="auto"/>
          <w:kern w:val="0"/>
          <w:sz w:val="21"/>
          <w:szCs w:val="20"/>
          <w:lang w:val="en-US" w:eastAsia="zh-CN" w:bidi="ar-SA"/>
        </w:rPr>
        <w:t>符合性审查：对通过资格审查的供应商提交的遴选报价文件进行符合性审查，确保其响应文件满足采购需求。</w:t>
      </w:r>
    </w:p>
    <w:p w14:paraId="0E14C1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3.</w:t>
      </w:r>
      <w:r>
        <w:rPr>
          <w:rFonts w:hint="eastAsia" w:ascii="宋体" w:hAnsi="宋体" w:eastAsia="Times New Roman" w:cs="Times New Roman"/>
          <w:bCs/>
          <w:color w:val="auto"/>
          <w:kern w:val="0"/>
          <w:sz w:val="21"/>
          <w:szCs w:val="20"/>
          <w:lang w:val="en-US" w:eastAsia="zh-CN" w:bidi="ar-SA"/>
        </w:rPr>
        <w:t>遴选评审：对符合要求且达到3家以上的供应商提交的遴选报价进行评审。评审过程中，以按照评审因素的量化指标评审得分作为评审，并按照总分从低到高进行排序。</w:t>
      </w:r>
    </w:p>
    <w:p w14:paraId="30952C7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4.</w:t>
      </w:r>
      <w:r>
        <w:rPr>
          <w:rFonts w:hint="eastAsia" w:ascii="宋体" w:hAnsi="宋体" w:eastAsia="Times New Roman" w:cs="Times New Roman"/>
          <w:bCs/>
          <w:color w:val="auto"/>
          <w:kern w:val="0"/>
          <w:sz w:val="21"/>
          <w:szCs w:val="20"/>
          <w:lang w:val="en-US" w:eastAsia="zh-CN" w:bidi="ar-SA"/>
        </w:rPr>
        <w:t>信息保密：遴选过程中，遴选小组成员不得透露与遴选有关的任何供应商的技术资料、价格和其他信息，以保证遴选的公正性。</w:t>
      </w:r>
    </w:p>
    <w:p w14:paraId="71C1762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5.</w:t>
      </w:r>
      <w:r>
        <w:rPr>
          <w:rFonts w:hint="eastAsia" w:ascii="宋体" w:hAnsi="宋体" w:eastAsia="Times New Roman" w:cs="Times New Roman"/>
          <w:bCs/>
          <w:color w:val="auto"/>
          <w:kern w:val="0"/>
          <w:sz w:val="21"/>
          <w:szCs w:val="20"/>
          <w:lang w:val="en-US" w:eastAsia="zh-CN" w:bidi="ar-SA"/>
        </w:rPr>
        <w:t>遴选记录：遴选过程全程影音记录，确保遴选过程的透明性和可追溯性。</w:t>
      </w:r>
    </w:p>
    <w:p w14:paraId="48958A3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6.</w:t>
      </w:r>
      <w:r>
        <w:rPr>
          <w:rFonts w:hint="eastAsia" w:ascii="宋体" w:hAnsi="宋体" w:eastAsia="Times New Roman" w:cs="Times New Roman"/>
          <w:bCs/>
          <w:color w:val="auto"/>
          <w:kern w:val="0"/>
          <w:sz w:val="21"/>
          <w:szCs w:val="20"/>
          <w:lang w:val="en-US" w:eastAsia="zh-CN" w:bidi="ar-SA"/>
        </w:rPr>
        <w:t>遴选结束后的约束：遴选结束后，遴选小组不得再与供应商进行任何形式的商谈，以避免影响评审结果的公正性。</w:t>
      </w:r>
    </w:p>
    <w:p w14:paraId="02FA76B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（三）</w:t>
      </w:r>
      <w:r>
        <w:rPr>
          <w:rFonts w:hint="eastAsia" w:ascii="宋体" w:hAnsi="宋体" w:eastAsia="Times New Roman" w:cs="Times New Roman"/>
          <w:bCs/>
          <w:color w:val="auto"/>
          <w:kern w:val="0"/>
          <w:sz w:val="21"/>
          <w:szCs w:val="20"/>
          <w:lang w:val="en-US" w:eastAsia="zh-CN" w:bidi="ar-SA"/>
        </w:rPr>
        <w:t>成交候选人推荐原则</w:t>
      </w:r>
    </w:p>
    <w:p w14:paraId="1260123E">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422"/>
        <w:textAlignment w:val="baseline"/>
        <w:rPr>
          <w:rFonts w:ascii="宋体" w:hAnsi="宋体" w:eastAsia="宋体" w:cs="宋体"/>
          <w:color w:val="auto"/>
          <w:spacing w:val="4"/>
          <w:sz w:val="43"/>
          <w:szCs w:val="43"/>
        </w:rPr>
      </w:pPr>
      <w:r>
        <w:rPr>
          <w:rFonts w:hint="eastAsia" w:ascii="宋体" w:hAnsi="宋体" w:eastAsia="Times New Roman" w:cs="Times New Roman"/>
          <w:bCs/>
          <w:color w:val="auto"/>
          <w:kern w:val="0"/>
          <w:sz w:val="21"/>
          <w:szCs w:val="20"/>
          <w:lang w:val="en-US" w:eastAsia="zh-CN" w:bidi="ar-SA"/>
        </w:rPr>
        <w:t>推荐原则：遴选小组根据总得分由高到低排列次序并推荐中标候选人。得分相同的，以投标</w:t>
      </w:r>
      <w:r>
        <w:rPr>
          <w:rFonts w:hint="eastAsia" w:hAnsi="宋体"/>
          <w:bCs/>
          <w:color w:val="auto"/>
          <w:sz w:val="21"/>
        </w:rPr>
        <w:t>报价得分由高到低顺序排列；若报价得分也相同，以商务部分得分由高到低顺序排列；若报价得分和商务得分均相同，以技术部分得分由高到低顺序排列。</w:t>
      </w:r>
      <w:r>
        <w:rPr>
          <w:rFonts w:hint="eastAsia" w:hAnsi="宋体"/>
          <w:color w:val="auto"/>
          <w:sz w:val="21"/>
        </w:rPr>
        <w:t>所有得分均相同时，由评标委员会随机抽取。</w:t>
      </w:r>
      <w:r>
        <w:rPr>
          <w:rFonts w:hint="eastAsia" w:hAnsi="宋体"/>
          <w:bCs/>
          <w:color w:val="auto"/>
          <w:sz w:val="21"/>
        </w:rPr>
        <w:t>投标文件满足招标文件全部实质性要求，且按照评审因素的量化指标评审得分排名前</w:t>
      </w:r>
      <w:r>
        <w:rPr>
          <w:rFonts w:hint="eastAsia" w:hAnsi="宋体" w:eastAsia="宋体"/>
          <w:bCs/>
          <w:color w:val="auto"/>
          <w:sz w:val="21"/>
          <w:lang w:val="en-US" w:eastAsia="zh-CN"/>
        </w:rPr>
        <w:t>2</w:t>
      </w:r>
      <w:r>
        <w:rPr>
          <w:rFonts w:hint="eastAsia" w:hAnsi="宋体"/>
          <w:bCs/>
          <w:color w:val="auto"/>
          <w:sz w:val="21"/>
        </w:rPr>
        <w:t>名的投标人推荐为本项目的中标候选人。</w:t>
      </w:r>
    </w:p>
    <w:p w14:paraId="649B101C">
      <w:pPr>
        <w:spacing w:line="320" w:lineRule="exact"/>
        <w:jc w:val="center"/>
        <w:rPr>
          <w:rFonts w:hint="eastAsia" w:ascii="宋体" w:hAnsi="宋体" w:eastAsia="宋体" w:cs="宋体"/>
          <w:b/>
          <w:color w:val="auto"/>
          <w:sz w:val="32"/>
          <w:szCs w:val="32"/>
          <w:lang w:val="en-US" w:eastAsia="zh-CN"/>
        </w:rPr>
      </w:pPr>
    </w:p>
    <w:p w14:paraId="16FEAC5E">
      <w:pPr>
        <w:spacing w:line="320" w:lineRule="exact"/>
        <w:jc w:val="center"/>
        <w:rPr>
          <w:rFonts w:hint="eastAsia" w:ascii="宋体" w:hAnsi="宋体" w:eastAsia="宋体" w:cs="宋体"/>
          <w:b/>
          <w:color w:val="auto"/>
          <w:sz w:val="32"/>
          <w:szCs w:val="32"/>
          <w:lang w:val="en-US" w:eastAsia="zh-CN"/>
        </w:rPr>
      </w:pPr>
    </w:p>
    <w:p w14:paraId="7E0CFA4C">
      <w:pPr>
        <w:spacing w:line="320" w:lineRule="exact"/>
        <w:jc w:val="center"/>
        <w:rPr>
          <w:rFonts w:hint="eastAsia" w:ascii="宋体" w:hAnsi="宋体" w:eastAsia="宋体" w:cs="宋体"/>
          <w:b/>
          <w:color w:val="auto"/>
          <w:sz w:val="32"/>
          <w:szCs w:val="32"/>
          <w:lang w:val="en-US" w:eastAsia="zh-CN"/>
        </w:rPr>
      </w:pPr>
    </w:p>
    <w:p w14:paraId="22BD35F7">
      <w:pPr>
        <w:spacing w:line="320" w:lineRule="exact"/>
        <w:jc w:val="center"/>
        <w:rPr>
          <w:rFonts w:hint="eastAsia" w:ascii="宋体" w:hAnsi="宋体" w:eastAsia="宋体" w:cs="宋体"/>
          <w:b/>
          <w:color w:val="auto"/>
          <w:sz w:val="32"/>
          <w:szCs w:val="32"/>
          <w:lang w:val="en-US" w:eastAsia="zh-CN"/>
        </w:rPr>
      </w:pPr>
    </w:p>
    <w:p w14:paraId="53BD5306">
      <w:pPr>
        <w:spacing w:line="320" w:lineRule="exact"/>
        <w:jc w:val="center"/>
        <w:rPr>
          <w:rFonts w:hint="eastAsia" w:ascii="宋体" w:hAnsi="宋体" w:eastAsia="宋体" w:cs="宋体"/>
          <w:b/>
          <w:color w:val="auto"/>
          <w:sz w:val="32"/>
          <w:szCs w:val="32"/>
          <w:lang w:val="en-US" w:eastAsia="zh-CN"/>
        </w:rPr>
      </w:pPr>
    </w:p>
    <w:p w14:paraId="48E27031">
      <w:pPr>
        <w:spacing w:line="320" w:lineRule="exact"/>
        <w:jc w:val="center"/>
        <w:rPr>
          <w:rFonts w:hint="eastAsia" w:ascii="宋体" w:hAnsi="宋体" w:eastAsia="宋体" w:cs="宋体"/>
          <w:b/>
          <w:color w:val="auto"/>
          <w:sz w:val="32"/>
          <w:szCs w:val="32"/>
          <w:lang w:val="en-US" w:eastAsia="zh-CN"/>
        </w:rPr>
      </w:pPr>
    </w:p>
    <w:p w14:paraId="4C88F69B">
      <w:pPr>
        <w:spacing w:line="320" w:lineRule="exact"/>
        <w:jc w:val="center"/>
        <w:rPr>
          <w:rFonts w:hint="eastAsia" w:ascii="宋体" w:hAnsi="宋体" w:eastAsia="宋体" w:cs="宋体"/>
          <w:b/>
          <w:color w:val="auto"/>
          <w:sz w:val="32"/>
          <w:szCs w:val="32"/>
          <w:lang w:val="en-US" w:eastAsia="zh-CN"/>
        </w:rPr>
      </w:pPr>
    </w:p>
    <w:p w14:paraId="129DF810">
      <w:pPr>
        <w:spacing w:line="320" w:lineRule="exact"/>
        <w:jc w:val="center"/>
        <w:rPr>
          <w:rFonts w:hint="eastAsia" w:ascii="宋体" w:hAnsi="宋体" w:eastAsia="宋体" w:cs="宋体"/>
          <w:b/>
          <w:color w:val="auto"/>
          <w:sz w:val="32"/>
          <w:szCs w:val="32"/>
          <w:lang w:val="en-US" w:eastAsia="zh-CN"/>
        </w:rPr>
      </w:pPr>
    </w:p>
    <w:p w14:paraId="3FF322D9">
      <w:pPr>
        <w:spacing w:line="320" w:lineRule="exact"/>
        <w:jc w:val="center"/>
        <w:rPr>
          <w:rFonts w:hint="eastAsia" w:ascii="宋体" w:hAnsi="宋体" w:eastAsia="宋体" w:cs="宋体"/>
          <w:b/>
          <w:color w:val="auto"/>
          <w:sz w:val="32"/>
          <w:szCs w:val="32"/>
          <w:lang w:val="en-US" w:eastAsia="zh-CN"/>
        </w:rPr>
      </w:pPr>
    </w:p>
    <w:p w14:paraId="0EA75D20">
      <w:pPr>
        <w:spacing w:line="320" w:lineRule="exact"/>
        <w:jc w:val="center"/>
        <w:rPr>
          <w:rFonts w:hint="eastAsia" w:ascii="宋体" w:hAnsi="宋体" w:eastAsia="宋体" w:cs="宋体"/>
          <w:b/>
          <w:color w:val="auto"/>
          <w:sz w:val="32"/>
          <w:szCs w:val="32"/>
          <w:lang w:val="en-US" w:eastAsia="zh-CN"/>
        </w:rPr>
      </w:pPr>
    </w:p>
    <w:p w14:paraId="5B20093F">
      <w:pPr>
        <w:spacing w:line="320" w:lineRule="exact"/>
        <w:jc w:val="center"/>
        <w:rPr>
          <w:rFonts w:hint="eastAsia" w:ascii="宋体" w:hAnsi="宋体" w:eastAsia="宋体" w:cs="宋体"/>
          <w:b/>
          <w:color w:val="auto"/>
          <w:sz w:val="32"/>
          <w:szCs w:val="32"/>
          <w:lang w:val="en-US" w:eastAsia="zh-CN"/>
        </w:rPr>
      </w:pPr>
    </w:p>
    <w:p w14:paraId="1A7DFB5C">
      <w:pPr>
        <w:spacing w:line="320" w:lineRule="exact"/>
        <w:jc w:val="center"/>
        <w:rPr>
          <w:rFonts w:hint="eastAsia" w:ascii="宋体" w:hAnsi="宋体" w:eastAsia="宋体" w:cs="宋体"/>
          <w:b/>
          <w:color w:val="auto"/>
          <w:sz w:val="32"/>
          <w:szCs w:val="32"/>
          <w:lang w:val="en-US" w:eastAsia="zh-CN"/>
        </w:rPr>
      </w:pPr>
    </w:p>
    <w:p w14:paraId="7A60DD71">
      <w:pPr>
        <w:spacing w:line="320" w:lineRule="exact"/>
        <w:jc w:val="center"/>
        <w:rPr>
          <w:rFonts w:hint="eastAsia" w:ascii="宋体" w:hAnsi="宋体" w:eastAsia="宋体" w:cs="宋体"/>
          <w:b/>
          <w:color w:val="auto"/>
          <w:sz w:val="32"/>
          <w:szCs w:val="32"/>
          <w:lang w:val="en-US" w:eastAsia="zh-CN"/>
        </w:rPr>
      </w:pPr>
    </w:p>
    <w:p w14:paraId="5C3F03D1">
      <w:pPr>
        <w:spacing w:line="320" w:lineRule="exact"/>
        <w:jc w:val="center"/>
        <w:rPr>
          <w:rFonts w:hint="eastAsia" w:ascii="宋体" w:hAnsi="宋体" w:eastAsia="宋体" w:cs="宋体"/>
          <w:b/>
          <w:color w:val="auto"/>
          <w:sz w:val="32"/>
          <w:szCs w:val="32"/>
          <w:lang w:val="en-US" w:eastAsia="zh-CN"/>
        </w:rPr>
      </w:pPr>
    </w:p>
    <w:p w14:paraId="4AD0BCDE">
      <w:pPr>
        <w:spacing w:line="320" w:lineRule="exact"/>
        <w:jc w:val="center"/>
        <w:rPr>
          <w:rFonts w:hint="eastAsia" w:ascii="宋体" w:hAnsi="宋体" w:eastAsia="宋体" w:cs="宋体"/>
          <w:b/>
          <w:color w:val="auto"/>
          <w:sz w:val="32"/>
          <w:szCs w:val="32"/>
          <w:lang w:val="en-US" w:eastAsia="zh-CN"/>
        </w:rPr>
      </w:pPr>
    </w:p>
    <w:p w14:paraId="54798CC1">
      <w:pPr>
        <w:spacing w:line="320" w:lineRule="exact"/>
        <w:jc w:val="center"/>
        <w:rPr>
          <w:rFonts w:hint="eastAsia" w:ascii="宋体" w:hAnsi="宋体" w:eastAsia="宋体" w:cs="宋体"/>
          <w:b/>
          <w:color w:val="auto"/>
          <w:sz w:val="32"/>
          <w:szCs w:val="32"/>
          <w:lang w:val="en-US" w:eastAsia="zh-CN"/>
        </w:rPr>
      </w:pPr>
    </w:p>
    <w:p w14:paraId="11443805">
      <w:pPr>
        <w:spacing w:line="320" w:lineRule="exact"/>
        <w:jc w:val="center"/>
        <w:rPr>
          <w:rFonts w:hint="eastAsia" w:ascii="宋体" w:hAnsi="宋体" w:eastAsia="宋体" w:cs="宋体"/>
          <w:b/>
          <w:color w:val="auto"/>
          <w:sz w:val="32"/>
          <w:szCs w:val="32"/>
          <w:lang w:val="en-US" w:eastAsia="zh-CN"/>
        </w:rPr>
      </w:pPr>
    </w:p>
    <w:p w14:paraId="72D0727D">
      <w:pPr>
        <w:spacing w:line="32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二、</w:t>
      </w:r>
      <w:r>
        <w:rPr>
          <w:rFonts w:hint="eastAsia" w:ascii="宋体" w:hAnsi="宋体" w:eastAsia="宋体" w:cs="宋体"/>
          <w:b/>
          <w:color w:val="auto"/>
          <w:sz w:val="32"/>
          <w:szCs w:val="32"/>
        </w:rPr>
        <w:t>采购需求</w:t>
      </w:r>
    </w:p>
    <w:p w14:paraId="48E38548">
      <w:pPr>
        <w:spacing w:line="321" w:lineRule="auto"/>
        <w:rPr>
          <w:rFonts w:ascii="Arial"/>
          <w:color w:val="auto"/>
          <w:sz w:val="21"/>
        </w:rPr>
      </w:pPr>
    </w:p>
    <w:p w14:paraId="5530BD67">
      <w:pPr>
        <w:spacing w:before="65" w:line="228" w:lineRule="auto"/>
        <w:ind w:left="14"/>
        <w:rPr>
          <w:rFonts w:ascii="宋体" w:hAnsi="宋体" w:eastAsia="宋体" w:cs="宋体"/>
          <w:color w:val="auto"/>
          <w:sz w:val="20"/>
          <w:szCs w:val="20"/>
        </w:rPr>
      </w:pPr>
      <w:r>
        <w:rPr>
          <w:rFonts w:ascii="宋体" w:hAnsi="宋体" w:eastAsia="宋体" w:cs="宋体"/>
          <w:color w:val="auto"/>
          <w:spacing w:val="2"/>
          <w:sz w:val="20"/>
          <w:szCs w:val="20"/>
        </w:rPr>
        <w:t>说明：</w:t>
      </w:r>
    </w:p>
    <w:p w14:paraId="3FC2CF7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snapToGrid w:val="0"/>
          <w:color w:val="auto"/>
          <w:kern w:val="0"/>
          <w:sz w:val="21"/>
          <w:szCs w:val="20"/>
          <w:lang w:val="en-US" w:eastAsia="zh-CN" w:bidi="ar-SA"/>
        </w:rPr>
      </w:pPr>
      <w:r>
        <w:rPr>
          <w:rFonts w:hint="default" w:ascii="宋体" w:hAnsi="宋体" w:eastAsia="Times New Roman" w:cs="Times New Roman"/>
          <w:bCs/>
          <w:snapToGrid w:val="0"/>
          <w:color w:val="auto"/>
          <w:kern w:val="0"/>
          <w:sz w:val="21"/>
          <w:szCs w:val="20"/>
          <w:lang w:val="en-US" w:eastAsia="en-US" w:bidi="ar-SA"/>
        </w:rPr>
        <w:t>1.</w:t>
      </w:r>
      <w:r>
        <w:rPr>
          <w:rFonts w:hint="eastAsia" w:ascii="宋体" w:hAnsi="宋体" w:eastAsia="Times New Roman" w:cs="Times New Roman"/>
          <w:bCs/>
          <w:snapToGrid w:val="0"/>
          <w:color w:val="auto"/>
          <w:kern w:val="0"/>
          <w:sz w:val="21"/>
          <w:szCs w:val="20"/>
          <w:lang w:val="en-US" w:eastAsia="zh-CN" w:bidi="ar-SA"/>
        </w:rPr>
        <w:t>“实质性要求 ”是指招标文件中已经指明不满足则投标无效的条款，或者不能负偏离的条款，或者采购需求中带“▲ ”的条款。</w:t>
      </w:r>
    </w:p>
    <w:p w14:paraId="4C553D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snapToGrid w:val="0"/>
          <w:color w:val="auto"/>
          <w:kern w:val="0"/>
          <w:sz w:val="21"/>
          <w:szCs w:val="20"/>
          <w:lang w:val="en-US" w:eastAsia="zh-CN" w:bidi="ar-SA"/>
        </w:rPr>
      </w:pPr>
      <w:r>
        <w:rPr>
          <w:rFonts w:hint="default" w:ascii="宋体" w:hAnsi="宋体" w:eastAsia="Times New Roman" w:cs="Times New Roman"/>
          <w:bCs/>
          <w:snapToGrid w:val="0"/>
          <w:color w:val="auto"/>
          <w:kern w:val="0"/>
          <w:sz w:val="21"/>
          <w:szCs w:val="20"/>
          <w:lang w:val="en-US" w:eastAsia="en-US" w:bidi="ar-SA"/>
        </w:rPr>
        <w:t>2.</w:t>
      </w:r>
      <w:r>
        <w:rPr>
          <w:rFonts w:hint="eastAsia" w:ascii="宋体" w:hAnsi="宋体" w:eastAsia="Times New Roman" w:cs="Times New Roman"/>
          <w:bCs/>
          <w:snapToGrid w:val="0"/>
          <w:color w:val="auto"/>
          <w:kern w:val="0"/>
          <w:sz w:val="21"/>
          <w:szCs w:val="20"/>
          <w:lang w:val="en-US" w:eastAsia="zh-CN" w:bidi="ar-SA"/>
        </w:rPr>
        <w:t>采购需求中出现的品牌、型号或者生产厂家仅起参考作用，不属于指定品牌、型号或者生产厂家的情形。投标人可参照或者选用其他相当的品牌、型号或者生产厂家替代。</w:t>
      </w:r>
    </w:p>
    <w:p w14:paraId="0711BAC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snapToGrid w:val="0"/>
          <w:color w:val="auto"/>
          <w:kern w:val="0"/>
          <w:sz w:val="21"/>
          <w:szCs w:val="20"/>
          <w:lang w:val="en-US" w:eastAsia="zh-CN" w:bidi="ar-SA"/>
        </w:rPr>
      </w:pPr>
      <w:r>
        <w:rPr>
          <w:rFonts w:hint="default" w:ascii="宋体" w:hAnsi="宋体" w:eastAsia="Times New Roman" w:cs="Times New Roman"/>
          <w:bCs/>
          <w:snapToGrid w:val="0"/>
          <w:color w:val="auto"/>
          <w:kern w:val="0"/>
          <w:sz w:val="21"/>
          <w:szCs w:val="20"/>
          <w:lang w:val="en-US" w:eastAsia="en-US" w:bidi="ar-SA"/>
        </w:rPr>
        <w:t>3.</w:t>
      </w:r>
      <w:r>
        <w:rPr>
          <w:rFonts w:hint="eastAsia" w:ascii="宋体" w:hAnsi="宋体" w:eastAsia="Times New Roman" w:cs="Times New Roman"/>
          <w:bCs/>
          <w:snapToGrid w:val="0"/>
          <w:color w:val="auto"/>
          <w:kern w:val="0"/>
          <w:sz w:val="21"/>
          <w:szCs w:val="20"/>
          <w:lang w:val="en-US" w:eastAsia="zh-CN" w:bidi="ar-SA"/>
        </w:rPr>
        <w:t xml:space="preserve"> 投标人应根据自身实际情况如实响应招标文件，对招标文件提出的要求和条件作出明确响应，否则将作无效响应处理。对于重要技术条款或技术参数应当在投标文件中提供技术支持资料，技术支持资料以招标文件中规定的形式为准，否则将视为无效技术支持资料。</w:t>
      </w:r>
    </w:p>
    <w:p w14:paraId="6F095B3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4.投标人必须为其投标产品侵犯他人的知识产权或者专利成果的行为承担相应法律责任。</w:t>
      </w:r>
    </w:p>
    <w:p w14:paraId="632F56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color w:val="auto"/>
          <w:lang w:val="en-US" w:eastAsia="en-US"/>
        </w:rPr>
      </w:pPr>
      <w:r>
        <w:rPr>
          <w:rFonts w:hint="default" w:ascii="宋体" w:hAnsi="宋体" w:eastAsia="Times New Roman" w:cs="Times New Roman"/>
          <w:bCs/>
          <w:snapToGrid w:val="0"/>
          <w:color w:val="auto"/>
          <w:kern w:val="0"/>
          <w:sz w:val="21"/>
          <w:szCs w:val="20"/>
          <w:lang w:val="en-US" w:eastAsia="en-US" w:bidi="ar-SA"/>
        </w:rPr>
        <w:t>5.采购需求中出现的相关国家标准、行业标准、地方标准，若项目执行后续出现新标准的，以新标准代替旧标准。</w:t>
      </w:r>
    </w:p>
    <w:p w14:paraId="2298377C">
      <w:pPr>
        <w:bidi w:val="0"/>
        <w:rPr>
          <w:rFonts w:hint="eastAsia" w:ascii="宋体" w:hAnsi="宋体" w:eastAsia="宋体"/>
          <w:b/>
          <w:bCs/>
          <w:color w:val="auto"/>
          <w:sz w:val="24"/>
          <w:szCs w:val="24"/>
          <w:highlight w:val="none"/>
          <w:lang w:eastAsia="zh-CN"/>
        </w:rPr>
      </w:pPr>
    </w:p>
    <w:p w14:paraId="3C706356">
      <w:pPr>
        <w:bidi w:val="0"/>
        <w:rPr>
          <w:rFonts w:hint="eastAsia" w:eastAsia="宋体"/>
          <w:color w:val="auto"/>
          <w:lang w:val="en-US" w:eastAsia="zh-CN"/>
        </w:rPr>
      </w:pP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lang w:val="en-US" w:eastAsia="zh-CN"/>
        </w:rPr>
        <w:t>一</w:t>
      </w:r>
      <w:r>
        <w:rPr>
          <w:rFonts w:hint="eastAsia" w:ascii="宋体" w:hAnsi="宋体" w:eastAsia="宋体"/>
          <w:b/>
          <w:bCs/>
          <w:color w:val="auto"/>
          <w:sz w:val="24"/>
          <w:szCs w:val="24"/>
          <w:highlight w:val="none"/>
          <w:lang w:eastAsia="zh-CN"/>
        </w:rPr>
        <w:t>）采购预算</w:t>
      </w:r>
    </w:p>
    <w:tbl>
      <w:tblPr>
        <w:tblStyle w:val="16"/>
        <w:tblW w:w="10052" w:type="dxa"/>
        <w:tblInd w:w="-5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918"/>
        <w:gridCol w:w="729"/>
        <w:gridCol w:w="739"/>
        <w:gridCol w:w="2013"/>
        <w:gridCol w:w="3166"/>
      </w:tblGrid>
      <w:tr w14:paraId="3E03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noWrap w:val="0"/>
            <w:vAlign w:val="center"/>
          </w:tcPr>
          <w:p w14:paraId="0977D218">
            <w:pPr>
              <w:pStyle w:val="13"/>
              <w:spacing w:line="360" w:lineRule="exact"/>
              <w:jc w:val="center"/>
              <w:rPr>
                <w:rFonts w:hint="default" w:ascii="宋体" w:hAnsi="宋体" w:eastAsia="宋体"/>
                <w:color w:val="auto"/>
                <w:sz w:val="24"/>
                <w:szCs w:val="24"/>
                <w:highlight w:val="none"/>
                <w:vertAlign w:val="baseline"/>
                <w:lang w:val="en-US" w:eastAsia="zh-CN"/>
              </w:rPr>
            </w:pPr>
            <w:r>
              <w:rPr>
                <w:rFonts w:hint="eastAsia" w:ascii="宋体" w:hAnsi="宋体" w:eastAsia="宋体"/>
                <w:color w:val="auto"/>
                <w:sz w:val="24"/>
                <w:szCs w:val="24"/>
                <w:highlight w:val="none"/>
                <w:vertAlign w:val="baseline"/>
                <w:lang w:val="en-US" w:eastAsia="zh-CN"/>
              </w:rPr>
              <w:t>序号</w:t>
            </w:r>
          </w:p>
        </w:tc>
        <w:tc>
          <w:tcPr>
            <w:tcW w:w="1918" w:type="dxa"/>
            <w:noWrap w:val="0"/>
            <w:vAlign w:val="center"/>
          </w:tcPr>
          <w:p w14:paraId="01111C4B">
            <w:pPr>
              <w:pStyle w:val="13"/>
              <w:spacing w:line="360" w:lineRule="exact"/>
              <w:jc w:val="center"/>
              <w:rPr>
                <w:rFonts w:hint="eastAsia" w:ascii="宋体" w:hAnsi="宋体" w:eastAsia="宋体"/>
                <w:color w:val="auto"/>
                <w:sz w:val="24"/>
                <w:szCs w:val="24"/>
                <w:highlight w:val="none"/>
                <w:vertAlign w:val="baseline"/>
                <w:lang w:eastAsia="zh-CN"/>
              </w:rPr>
            </w:pPr>
            <w:r>
              <w:rPr>
                <w:rFonts w:hint="eastAsia" w:ascii="宋体" w:hAnsi="宋体" w:eastAsia="宋体"/>
                <w:color w:val="auto"/>
                <w:sz w:val="24"/>
                <w:szCs w:val="24"/>
                <w:highlight w:val="none"/>
                <w:vertAlign w:val="baseline"/>
                <w:lang w:eastAsia="zh-CN"/>
              </w:rPr>
              <w:t>项目内容</w:t>
            </w:r>
          </w:p>
        </w:tc>
        <w:tc>
          <w:tcPr>
            <w:tcW w:w="729" w:type="dxa"/>
            <w:noWrap w:val="0"/>
            <w:vAlign w:val="center"/>
          </w:tcPr>
          <w:p w14:paraId="6D1316EE">
            <w:pPr>
              <w:pStyle w:val="13"/>
              <w:spacing w:line="360" w:lineRule="exact"/>
              <w:jc w:val="center"/>
              <w:rPr>
                <w:rFonts w:hint="eastAsia" w:ascii="宋体" w:hAnsi="宋体" w:eastAsia="宋体"/>
                <w:color w:val="auto"/>
                <w:sz w:val="24"/>
                <w:szCs w:val="24"/>
                <w:highlight w:val="none"/>
                <w:vertAlign w:val="baseline"/>
                <w:lang w:eastAsia="zh-CN"/>
              </w:rPr>
            </w:pPr>
            <w:r>
              <w:rPr>
                <w:rFonts w:hint="eastAsia" w:ascii="宋体" w:hAnsi="宋体" w:eastAsia="宋体"/>
                <w:color w:val="auto"/>
                <w:sz w:val="24"/>
                <w:szCs w:val="24"/>
                <w:highlight w:val="none"/>
                <w:vertAlign w:val="baseline"/>
                <w:lang w:eastAsia="zh-CN"/>
              </w:rPr>
              <w:t>数量</w:t>
            </w:r>
          </w:p>
        </w:tc>
        <w:tc>
          <w:tcPr>
            <w:tcW w:w="739" w:type="dxa"/>
            <w:noWrap w:val="0"/>
            <w:vAlign w:val="center"/>
          </w:tcPr>
          <w:p w14:paraId="5C758775">
            <w:pPr>
              <w:pStyle w:val="13"/>
              <w:spacing w:line="360" w:lineRule="exact"/>
              <w:jc w:val="center"/>
              <w:rPr>
                <w:rFonts w:hint="eastAsia" w:ascii="宋体" w:hAnsi="宋体" w:eastAsia="宋体"/>
                <w:color w:val="auto"/>
                <w:sz w:val="24"/>
                <w:szCs w:val="24"/>
                <w:highlight w:val="none"/>
                <w:vertAlign w:val="baseline"/>
                <w:lang w:eastAsia="zh-CN"/>
              </w:rPr>
            </w:pPr>
            <w:r>
              <w:rPr>
                <w:rFonts w:hint="eastAsia" w:ascii="宋体" w:hAnsi="宋体" w:eastAsia="宋体"/>
                <w:color w:val="auto"/>
                <w:sz w:val="24"/>
                <w:szCs w:val="24"/>
                <w:highlight w:val="none"/>
                <w:vertAlign w:val="baseline"/>
                <w:lang w:eastAsia="zh-CN"/>
              </w:rPr>
              <w:t>单位</w:t>
            </w:r>
          </w:p>
        </w:tc>
        <w:tc>
          <w:tcPr>
            <w:tcW w:w="2013" w:type="dxa"/>
            <w:noWrap w:val="0"/>
            <w:vAlign w:val="center"/>
          </w:tcPr>
          <w:p w14:paraId="373F0545">
            <w:pPr>
              <w:pStyle w:val="13"/>
              <w:spacing w:line="360" w:lineRule="exact"/>
              <w:jc w:val="center"/>
              <w:rPr>
                <w:rFonts w:hint="eastAsia" w:ascii="宋体" w:hAnsi="宋体" w:eastAsia="宋体"/>
                <w:color w:val="auto"/>
                <w:sz w:val="24"/>
                <w:szCs w:val="24"/>
                <w:highlight w:val="none"/>
                <w:vertAlign w:val="baseline"/>
                <w:lang w:eastAsia="zh-CN"/>
              </w:rPr>
            </w:pPr>
            <w:r>
              <w:rPr>
                <w:rFonts w:hint="eastAsia" w:ascii="宋体" w:hAnsi="宋体" w:eastAsia="宋体"/>
                <w:color w:val="auto"/>
                <w:sz w:val="24"/>
                <w:szCs w:val="24"/>
                <w:highlight w:val="none"/>
                <w:vertAlign w:val="baseline"/>
                <w:lang w:eastAsia="zh-CN"/>
              </w:rPr>
              <w:t>预计年采购金额（</w:t>
            </w:r>
            <w:r>
              <w:rPr>
                <w:rFonts w:hint="eastAsia" w:eastAsia="宋体"/>
                <w:color w:val="auto"/>
                <w:sz w:val="24"/>
                <w:szCs w:val="24"/>
                <w:highlight w:val="none"/>
                <w:vertAlign w:val="baseline"/>
                <w:lang w:val="en-US" w:eastAsia="zh-CN"/>
              </w:rPr>
              <w:t>万</w:t>
            </w:r>
            <w:r>
              <w:rPr>
                <w:rFonts w:hint="eastAsia" w:ascii="宋体" w:hAnsi="宋体" w:eastAsia="宋体"/>
                <w:color w:val="auto"/>
                <w:sz w:val="24"/>
                <w:szCs w:val="24"/>
                <w:highlight w:val="none"/>
                <w:vertAlign w:val="baseline"/>
                <w:lang w:eastAsia="zh-CN"/>
              </w:rPr>
              <w:t>元）</w:t>
            </w:r>
          </w:p>
        </w:tc>
        <w:tc>
          <w:tcPr>
            <w:tcW w:w="3166" w:type="dxa"/>
            <w:noWrap w:val="0"/>
            <w:vAlign w:val="center"/>
          </w:tcPr>
          <w:p w14:paraId="093486BE">
            <w:pPr>
              <w:pStyle w:val="13"/>
              <w:spacing w:line="360" w:lineRule="exact"/>
              <w:jc w:val="center"/>
              <w:rPr>
                <w:rFonts w:hint="eastAsia" w:ascii="宋体" w:hAnsi="宋体" w:eastAsia="宋体"/>
                <w:color w:val="auto"/>
                <w:sz w:val="24"/>
                <w:szCs w:val="24"/>
                <w:highlight w:val="none"/>
                <w:vertAlign w:val="baseline"/>
                <w:lang w:eastAsia="zh-CN"/>
              </w:rPr>
            </w:pPr>
            <w:r>
              <w:rPr>
                <w:rFonts w:hint="eastAsia" w:ascii="宋体" w:hAnsi="宋体" w:eastAsia="宋体"/>
                <w:color w:val="auto"/>
                <w:sz w:val="24"/>
                <w:szCs w:val="24"/>
                <w:highlight w:val="none"/>
                <w:vertAlign w:val="baseline"/>
                <w:lang w:eastAsia="zh-CN"/>
              </w:rPr>
              <w:t>拟入围供应商数量（个）</w:t>
            </w:r>
          </w:p>
        </w:tc>
      </w:tr>
      <w:tr w14:paraId="2342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1487" w:type="dxa"/>
            <w:noWrap w:val="0"/>
            <w:vAlign w:val="center"/>
          </w:tcPr>
          <w:p w14:paraId="710F67B8">
            <w:pPr>
              <w:pStyle w:val="13"/>
              <w:spacing w:line="360" w:lineRule="exact"/>
              <w:jc w:val="center"/>
              <w:rPr>
                <w:rFonts w:hint="eastAsia" w:ascii="宋体" w:hAnsi="宋体" w:eastAsia="宋体"/>
                <w:color w:val="auto"/>
                <w:sz w:val="24"/>
                <w:szCs w:val="24"/>
                <w:highlight w:val="none"/>
                <w:vertAlign w:val="baseline"/>
                <w:lang w:val="en-US" w:eastAsia="zh-CN"/>
              </w:rPr>
            </w:pPr>
            <w:r>
              <w:rPr>
                <w:rFonts w:hint="eastAsia" w:ascii="宋体" w:hAnsi="宋体" w:eastAsia="宋体"/>
                <w:color w:val="auto"/>
                <w:sz w:val="24"/>
                <w:szCs w:val="24"/>
                <w:highlight w:val="none"/>
                <w:vertAlign w:val="baseline"/>
                <w:lang w:val="en-US" w:eastAsia="zh-CN"/>
              </w:rPr>
              <w:t>1</w:t>
            </w:r>
          </w:p>
        </w:tc>
        <w:tc>
          <w:tcPr>
            <w:tcW w:w="1918" w:type="dxa"/>
            <w:noWrap w:val="0"/>
            <w:vAlign w:val="center"/>
          </w:tcPr>
          <w:p w14:paraId="128230D6">
            <w:pPr>
              <w:pStyle w:val="13"/>
              <w:spacing w:line="360" w:lineRule="exact"/>
              <w:jc w:val="center"/>
              <w:rPr>
                <w:rFonts w:hint="eastAsia" w:ascii="宋体" w:hAnsi="宋体" w:eastAsia="宋体"/>
                <w:color w:val="auto"/>
                <w:sz w:val="24"/>
                <w:szCs w:val="24"/>
                <w:highlight w:val="none"/>
                <w:vertAlign w:val="baseline"/>
                <w:lang w:eastAsia="zh-CN"/>
              </w:rPr>
            </w:pPr>
            <w:r>
              <w:rPr>
                <w:color w:val="auto"/>
                <w:spacing w:val="8"/>
              </w:rPr>
              <w:t>食堂</w:t>
            </w:r>
            <w:r>
              <w:rPr>
                <w:rFonts w:hint="eastAsia"/>
                <w:color w:val="auto"/>
                <w:spacing w:val="8"/>
                <w:lang w:val="en-US" w:eastAsia="zh-CN"/>
              </w:rPr>
              <w:t>禽类和水产类</w:t>
            </w:r>
            <w:r>
              <w:rPr>
                <w:color w:val="auto"/>
                <w:spacing w:val="8"/>
              </w:rPr>
              <w:t>食材</w:t>
            </w:r>
          </w:p>
        </w:tc>
        <w:tc>
          <w:tcPr>
            <w:tcW w:w="729" w:type="dxa"/>
            <w:noWrap w:val="0"/>
            <w:vAlign w:val="center"/>
          </w:tcPr>
          <w:p w14:paraId="5013B1FB">
            <w:pPr>
              <w:pStyle w:val="13"/>
              <w:spacing w:line="360" w:lineRule="exact"/>
              <w:jc w:val="center"/>
              <w:rPr>
                <w:rFonts w:hint="eastAsia" w:ascii="宋体" w:hAnsi="宋体" w:eastAsia="宋体"/>
                <w:color w:val="auto"/>
                <w:sz w:val="24"/>
                <w:szCs w:val="24"/>
                <w:highlight w:val="none"/>
                <w:vertAlign w:val="baseline"/>
                <w:lang w:val="en-US" w:eastAsia="zh-CN"/>
              </w:rPr>
            </w:pPr>
            <w:r>
              <w:rPr>
                <w:rFonts w:hint="eastAsia" w:ascii="宋体" w:hAnsi="宋体" w:eastAsia="宋体"/>
                <w:color w:val="auto"/>
                <w:sz w:val="24"/>
                <w:szCs w:val="24"/>
                <w:highlight w:val="none"/>
                <w:vertAlign w:val="baseline"/>
                <w:lang w:val="en-US" w:eastAsia="zh-CN"/>
              </w:rPr>
              <w:t>1</w:t>
            </w:r>
          </w:p>
        </w:tc>
        <w:tc>
          <w:tcPr>
            <w:tcW w:w="739" w:type="dxa"/>
            <w:noWrap w:val="0"/>
            <w:vAlign w:val="center"/>
          </w:tcPr>
          <w:p w14:paraId="77944B9B">
            <w:pPr>
              <w:pStyle w:val="13"/>
              <w:spacing w:line="360" w:lineRule="exact"/>
              <w:jc w:val="center"/>
              <w:rPr>
                <w:rFonts w:hint="eastAsia" w:ascii="宋体" w:hAnsi="宋体" w:eastAsia="宋体"/>
                <w:color w:val="auto"/>
                <w:sz w:val="24"/>
                <w:szCs w:val="24"/>
                <w:highlight w:val="none"/>
                <w:vertAlign w:val="baseline"/>
                <w:lang w:eastAsia="zh-CN"/>
              </w:rPr>
            </w:pPr>
            <w:r>
              <w:rPr>
                <w:rFonts w:hint="eastAsia" w:ascii="宋体" w:hAnsi="宋体" w:eastAsia="宋体"/>
                <w:color w:val="auto"/>
                <w:sz w:val="24"/>
                <w:szCs w:val="24"/>
                <w:highlight w:val="none"/>
                <w:vertAlign w:val="baseline"/>
                <w:lang w:eastAsia="zh-CN"/>
              </w:rPr>
              <w:t>批</w:t>
            </w:r>
          </w:p>
        </w:tc>
        <w:tc>
          <w:tcPr>
            <w:tcW w:w="2013" w:type="dxa"/>
            <w:noWrap w:val="0"/>
            <w:vAlign w:val="center"/>
          </w:tcPr>
          <w:p w14:paraId="0D51B981">
            <w:pPr>
              <w:pStyle w:val="13"/>
              <w:spacing w:line="360" w:lineRule="exact"/>
              <w:jc w:val="center"/>
              <w:rPr>
                <w:rFonts w:hint="default" w:ascii="宋体" w:hAnsi="宋体" w:eastAsia="宋体"/>
                <w:color w:val="auto"/>
                <w:sz w:val="24"/>
                <w:szCs w:val="24"/>
                <w:highlight w:val="none"/>
                <w:vertAlign w:val="baseline"/>
                <w:lang w:val="en-US" w:eastAsia="zh-CN"/>
              </w:rPr>
            </w:pPr>
            <w:r>
              <w:rPr>
                <w:rFonts w:hint="eastAsia" w:ascii="宋体" w:hAnsi="宋体" w:eastAsia="宋体"/>
                <w:color w:val="auto"/>
                <w:sz w:val="24"/>
                <w:szCs w:val="24"/>
                <w:highlight w:val="none"/>
                <w:vertAlign w:val="baseline"/>
                <w:lang w:val="en-US" w:eastAsia="zh-CN"/>
              </w:rPr>
              <w:t>49</w:t>
            </w:r>
          </w:p>
        </w:tc>
        <w:tc>
          <w:tcPr>
            <w:tcW w:w="3166" w:type="dxa"/>
            <w:noWrap w:val="0"/>
            <w:vAlign w:val="center"/>
          </w:tcPr>
          <w:p w14:paraId="01DCBC88">
            <w:pPr>
              <w:pStyle w:val="13"/>
              <w:spacing w:line="360" w:lineRule="exact"/>
              <w:jc w:val="center"/>
              <w:rPr>
                <w:rFonts w:hint="default" w:ascii="宋体" w:hAnsi="宋体" w:eastAsia="宋体"/>
                <w:color w:val="auto"/>
                <w:sz w:val="24"/>
                <w:szCs w:val="24"/>
                <w:highlight w:val="none"/>
                <w:vertAlign w:val="baseline"/>
                <w:lang w:val="en-US" w:eastAsia="zh-CN"/>
              </w:rPr>
            </w:pPr>
            <w:r>
              <w:rPr>
                <w:rFonts w:hint="eastAsia" w:eastAsia="宋体"/>
                <w:color w:val="auto"/>
                <w:sz w:val="24"/>
                <w:szCs w:val="24"/>
                <w:highlight w:val="none"/>
                <w:vertAlign w:val="baseline"/>
                <w:lang w:val="en-US" w:eastAsia="zh-CN"/>
              </w:rPr>
              <w:t>2</w:t>
            </w:r>
          </w:p>
        </w:tc>
      </w:tr>
    </w:tbl>
    <w:p w14:paraId="3AA21B9A">
      <w:pPr>
        <w:bidi w:val="0"/>
        <w:rPr>
          <w:color w:val="auto"/>
          <w:lang w:val="en-US" w:eastAsia="en-US"/>
        </w:rPr>
      </w:pPr>
    </w:p>
    <w:p w14:paraId="68F6519D">
      <w:pPr>
        <w:bidi w:val="0"/>
        <w:rPr>
          <w:color w:val="auto"/>
          <w:lang w:val="en-US" w:eastAsia="en-US"/>
        </w:rPr>
      </w:pPr>
    </w:p>
    <w:p w14:paraId="464E43CD">
      <w:pPr>
        <w:bidi w:val="0"/>
        <w:rPr>
          <w:color w:val="auto"/>
          <w:lang w:val="en-US" w:eastAsia="en-US"/>
        </w:rPr>
      </w:pPr>
    </w:p>
    <w:p w14:paraId="60A5D39A">
      <w:pPr>
        <w:bidi w:val="0"/>
        <w:rPr>
          <w:color w:val="auto"/>
          <w:lang w:val="en-US" w:eastAsia="en-US"/>
        </w:rPr>
      </w:pPr>
    </w:p>
    <w:p w14:paraId="63DF3189">
      <w:pPr>
        <w:bidi w:val="0"/>
        <w:rPr>
          <w:color w:val="auto"/>
          <w:lang w:val="en-US" w:eastAsia="en-US"/>
        </w:rPr>
      </w:pPr>
    </w:p>
    <w:p w14:paraId="0DCAD8B4">
      <w:pPr>
        <w:bidi w:val="0"/>
        <w:rPr>
          <w:color w:val="auto"/>
          <w:lang w:val="en-US" w:eastAsia="en-US"/>
        </w:rPr>
      </w:pPr>
    </w:p>
    <w:p w14:paraId="4E43A5E7">
      <w:pPr>
        <w:bidi w:val="0"/>
        <w:rPr>
          <w:color w:val="auto"/>
          <w:lang w:val="en-US" w:eastAsia="en-US"/>
        </w:rPr>
      </w:pPr>
    </w:p>
    <w:p w14:paraId="461DF28C">
      <w:pPr>
        <w:bidi w:val="0"/>
        <w:rPr>
          <w:color w:val="auto"/>
          <w:lang w:val="en-US" w:eastAsia="en-US"/>
        </w:rPr>
      </w:pPr>
    </w:p>
    <w:p w14:paraId="77A8FF52">
      <w:pPr>
        <w:bidi w:val="0"/>
        <w:rPr>
          <w:color w:val="auto"/>
          <w:lang w:val="en-US" w:eastAsia="en-US"/>
        </w:rPr>
      </w:pPr>
    </w:p>
    <w:p w14:paraId="45396105">
      <w:pPr>
        <w:tabs>
          <w:tab w:val="left" w:pos="816"/>
        </w:tabs>
        <w:bidi w:val="0"/>
        <w:jc w:val="left"/>
        <w:rPr>
          <w:rFonts w:hint="eastAsia" w:eastAsia="宋体"/>
          <w:color w:val="auto"/>
          <w:lang w:val="en-US" w:eastAsia="zh-CN"/>
        </w:rPr>
        <w:sectPr>
          <w:footerReference r:id="rId5" w:type="default"/>
          <w:pgSz w:w="11910" w:h="16840"/>
          <w:pgMar w:top="1431" w:right="1345" w:bottom="1088" w:left="1676" w:header="0" w:footer="929" w:gutter="0"/>
          <w:pgNumType w:fmt="decimal"/>
          <w:cols w:space="720" w:num="1"/>
        </w:sectPr>
      </w:pPr>
    </w:p>
    <w:p w14:paraId="4BFD5208">
      <w:pPr>
        <w:spacing w:before="117" w:line="228" w:lineRule="auto"/>
        <w:jc w:val="both"/>
        <w:rPr>
          <w:rFonts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（二）</w:t>
      </w:r>
      <w:r>
        <w:rPr>
          <w:rFonts w:ascii="宋体" w:hAnsi="宋体" w:eastAsia="宋体" w:cs="宋体"/>
          <w:b/>
          <w:bCs/>
          <w:color w:val="auto"/>
          <w:spacing w:val="3"/>
          <w:sz w:val="24"/>
          <w:szCs w:val="24"/>
        </w:rPr>
        <w:t>采购</w:t>
      </w:r>
      <w:r>
        <w:rPr>
          <w:rFonts w:hint="eastAsia" w:ascii="宋体" w:hAnsi="宋体" w:eastAsia="宋体" w:cs="宋体"/>
          <w:b/>
          <w:bCs/>
          <w:color w:val="auto"/>
          <w:spacing w:val="3"/>
          <w:sz w:val="24"/>
          <w:szCs w:val="24"/>
          <w:lang w:eastAsia="zh-CN"/>
        </w:rPr>
        <w:t>要求</w:t>
      </w:r>
    </w:p>
    <w:p w14:paraId="5EE515EE">
      <w:pPr>
        <w:spacing w:line="131" w:lineRule="exact"/>
        <w:rPr>
          <w:color w:val="auto"/>
        </w:rPr>
      </w:pPr>
    </w:p>
    <w:tbl>
      <w:tblPr>
        <w:tblStyle w:val="19"/>
        <w:tblW w:w="101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1330"/>
        <w:gridCol w:w="850"/>
        <w:gridCol w:w="7101"/>
      </w:tblGrid>
      <w:tr w14:paraId="7E759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71" w:type="dxa"/>
            <w:vAlign w:val="top"/>
          </w:tcPr>
          <w:p w14:paraId="3562D3E0">
            <w:pPr>
              <w:pStyle w:val="18"/>
              <w:spacing w:before="36" w:line="229" w:lineRule="auto"/>
              <w:ind w:left="232"/>
              <w:rPr>
                <w:color w:val="auto"/>
              </w:rPr>
            </w:pPr>
            <w:r>
              <w:rPr>
                <w:b/>
                <w:bCs/>
                <w:color w:val="auto"/>
                <w:spacing w:val="2"/>
              </w:rPr>
              <w:t>项号</w:t>
            </w:r>
          </w:p>
        </w:tc>
        <w:tc>
          <w:tcPr>
            <w:tcW w:w="1330" w:type="dxa"/>
            <w:vAlign w:val="top"/>
          </w:tcPr>
          <w:p w14:paraId="0B937B7F">
            <w:pPr>
              <w:pStyle w:val="18"/>
              <w:spacing w:before="36" w:line="229" w:lineRule="auto"/>
              <w:ind w:left="249"/>
              <w:rPr>
                <w:color w:val="auto"/>
              </w:rPr>
            </w:pPr>
            <w:r>
              <w:rPr>
                <w:b/>
                <w:bCs/>
                <w:color w:val="auto"/>
                <w:spacing w:val="6"/>
              </w:rPr>
              <w:t>标的名称</w:t>
            </w:r>
          </w:p>
        </w:tc>
        <w:tc>
          <w:tcPr>
            <w:tcW w:w="850" w:type="dxa"/>
            <w:vAlign w:val="top"/>
          </w:tcPr>
          <w:p w14:paraId="06A220F7">
            <w:pPr>
              <w:pStyle w:val="18"/>
              <w:spacing w:before="36" w:line="228" w:lineRule="auto"/>
              <w:ind w:left="221"/>
              <w:rPr>
                <w:color w:val="auto"/>
              </w:rPr>
            </w:pPr>
            <w:r>
              <w:rPr>
                <w:b/>
                <w:bCs/>
                <w:color w:val="auto"/>
                <w:spacing w:val="3"/>
              </w:rPr>
              <w:t>数量</w:t>
            </w:r>
          </w:p>
        </w:tc>
        <w:tc>
          <w:tcPr>
            <w:tcW w:w="7101" w:type="dxa"/>
            <w:vAlign w:val="top"/>
          </w:tcPr>
          <w:p w14:paraId="43090E38">
            <w:pPr>
              <w:pStyle w:val="18"/>
              <w:spacing w:before="36" w:line="228" w:lineRule="auto"/>
              <w:ind w:left="3034"/>
              <w:rPr>
                <w:color w:val="auto"/>
              </w:rPr>
            </w:pPr>
            <w:r>
              <w:rPr>
                <w:b/>
                <w:bCs/>
                <w:color w:val="auto"/>
                <w:spacing w:val="5"/>
              </w:rPr>
              <w:t>▲服务要求</w:t>
            </w:r>
          </w:p>
        </w:tc>
      </w:tr>
      <w:tr w14:paraId="5F83E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0" w:hRule="atLeast"/>
        </w:trPr>
        <w:tc>
          <w:tcPr>
            <w:tcW w:w="871" w:type="dxa"/>
            <w:vAlign w:val="top"/>
          </w:tcPr>
          <w:p w14:paraId="4E4E0BE7">
            <w:pPr>
              <w:rPr>
                <w:rFonts w:ascii="Arial"/>
                <w:color w:val="auto"/>
                <w:sz w:val="21"/>
              </w:rPr>
            </w:pPr>
          </w:p>
          <w:p w14:paraId="08F0BD51">
            <w:pPr>
              <w:rPr>
                <w:rFonts w:ascii="Arial"/>
                <w:color w:val="auto"/>
                <w:sz w:val="21"/>
              </w:rPr>
            </w:pPr>
          </w:p>
          <w:p w14:paraId="37C117F0">
            <w:pPr>
              <w:rPr>
                <w:rFonts w:ascii="Arial"/>
                <w:color w:val="auto"/>
                <w:sz w:val="21"/>
              </w:rPr>
            </w:pPr>
          </w:p>
          <w:p w14:paraId="6A647C84">
            <w:pPr>
              <w:rPr>
                <w:rFonts w:ascii="Arial"/>
                <w:color w:val="auto"/>
                <w:sz w:val="21"/>
              </w:rPr>
            </w:pPr>
          </w:p>
          <w:p w14:paraId="42CE6B55">
            <w:pPr>
              <w:rPr>
                <w:rFonts w:ascii="Arial"/>
                <w:color w:val="auto"/>
                <w:sz w:val="21"/>
              </w:rPr>
            </w:pPr>
          </w:p>
          <w:p w14:paraId="43C088FF">
            <w:pPr>
              <w:rPr>
                <w:rFonts w:ascii="Arial"/>
                <w:color w:val="auto"/>
                <w:sz w:val="21"/>
              </w:rPr>
            </w:pPr>
          </w:p>
          <w:p w14:paraId="4D7945B1">
            <w:pPr>
              <w:rPr>
                <w:rFonts w:ascii="Arial"/>
                <w:color w:val="auto"/>
                <w:sz w:val="21"/>
              </w:rPr>
            </w:pPr>
          </w:p>
          <w:p w14:paraId="07677165">
            <w:pPr>
              <w:spacing w:line="241" w:lineRule="auto"/>
              <w:rPr>
                <w:rFonts w:ascii="Arial"/>
                <w:color w:val="auto"/>
                <w:sz w:val="21"/>
              </w:rPr>
            </w:pPr>
          </w:p>
          <w:p w14:paraId="137D0164">
            <w:pPr>
              <w:spacing w:line="241" w:lineRule="auto"/>
              <w:rPr>
                <w:rFonts w:ascii="Arial"/>
                <w:color w:val="auto"/>
                <w:sz w:val="21"/>
              </w:rPr>
            </w:pPr>
          </w:p>
          <w:p w14:paraId="3101503D">
            <w:pPr>
              <w:spacing w:line="241" w:lineRule="auto"/>
              <w:rPr>
                <w:rFonts w:ascii="Arial"/>
                <w:color w:val="auto"/>
                <w:sz w:val="21"/>
              </w:rPr>
            </w:pPr>
          </w:p>
          <w:p w14:paraId="5C8EA907">
            <w:pPr>
              <w:spacing w:line="241" w:lineRule="auto"/>
              <w:rPr>
                <w:rFonts w:ascii="Arial"/>
                <w:color w:val="auto"/>
                <w:sz w:val="21"/>
              </w:rPr>
            </w:pPr>
          </w:p>
          <w:p w14:paraId="034B24DF">
            <w:pPr>
              <w:spacing w:line="241" w:lineRule="auto"/>
              <w:rPr>
                <w:rFonts w:ascii="Arial"/>
                <w:color w:val="auto"/>
                <w:sz w:val="21"/>
              </w:rPr>
            </w:pPr>
          </w:p>
          <w:p w14:paraId="4920DE35">
            <w:pPr>
              <w:spacing w:line="241" w:lineRule="auto"/>
              <w:rPr>
                <w:rFonts w:ascii="Arial"/>
                <w:color w:val="auto"/>
                <w:sz w:val="21"/>
              </w:rPr>
            </w:pPr>
          </w:p>
          <w:p w14:paraId="4A460840">
            <w:pPr>
              <w:spacing w:line="241" w:lineRule="auto"/>
              <w:rPr>
                <w:rFonts w:ascii="Arial"/>
                <w:color w:val="auto"/>
                <w:sz w:val="21"/>
              </w:rPr>
            </w:pPr>
          </w:p>
          <w:p w14:paraId="2F1D8573">
            <w:pPr>
              <w:spacing w:line="241" w:lineRule="auto"/>
              <w:rPr>
                <w:rFonts w:ascii="Arial"/>
                <w:color w:val="auto"/>
                <w:sz w:val="21"/>
              </w:rPr>
            </w:pPr>
          </w:p>
          <w:p w14:paraId="7862CB2A">
            <w:pPr>
              <w:spacing w:line="241" w:lineRule="auto"/>
              <w:rPr>
                <w:rFonts w:ascii="Arial"/>
                <w:color w:val="auto"/>
                <w:sz w:val="21"/>
              </w:rPr>
            </w:pPr>
          </w:p>
          <w:p w14:paraId="4FC6E745">
            <w:pPr>
              <w:spacing w:line="241" w:lineRule="auto"/>
              <w:rPr>
                <w:rFonts w:ascii="Arial"/>
                <w:color w:val="auto"/>
                <w:sz w:val="21"/>
              </w:rPr>
            </w:pPr>
          </w:p>
          <w:p w14:paraId="323E848B">
            <w:pPr>
              <w:spacing w:line="241" w:lineRule="auto"/>
              <w:rPr>
                <w:rFonts w:ascii="Arial"/>
                <w:color w:val="auto"/>
                <w:sz w:val="21"/>
              </w:rPr>
            </w:pPr>
          </w:p>
          <w:p w14:paraId="1C181665">
            <w:pPr>
              <w:spacing w:line="241" w:lineRule="auto"/>
              <w:rPr>
                <w:rFonts w:ascii="Arial"/>
                <w:color w:val="auto"/>
                <w:sz w:val="21"/>
              </w:rPr>
            </w:pPr>
          </w:p>
          <w:p w14:paraId="4FAE3842">
            <w:pPr>
              <w:spacing w:line="241" w:lineRule="auto"/>
              <w:rPr>
                <w:rFonts w:ascii="Arial"/>
                <w:color w:val="auto"/>
                <w:sz w:val="21"/>
              </w:rPr>
            </w:pPr>
          </w:p>
          <w:p w14:paraId="28AF2063">
            <w:pPr>
              <w:spacing w:line="241" w:lineRule="auto"/>
              <w:rPr>
                <w:rFonts w:ascii="Arial"/>
                <w:color w:val="auto"/>
                <w:sz w:val="21"/>
              </w:rPr>
            </w:pPr>
          </w:p>
          <w:p w14:paraId="00A396DC">
            <w:pPr>
              <w:spacing w:line="241" w:lineRule="auto"/>
              <w:rPr>
                <w:rFonts w:ascii="Arial"/>
                <w:color w:val="auto"/>
                <w:sz w:val="21"/>
              </w:rPr>
            </w:pPr>
          </w:p>
          <w:p w14:paraId="090C9099">
            <w:pPr>
              <w:spacing w:line="241" w:lineRule="auto"/>
              <w:rPr>
                <w:rFonts w:ascii="Arial"/>
                <w:color w:val="auto"/>
                <w:sz w:val="21"/>
              </w:rPr>
            </w:pPr>
          </w:p>
          <w:p w14:paraId="7F9EC7FA">
            <w:pPr>
              <w:spacing w:line="241" w:lineRule="auto"/>
              <w:rPr>
                <w:rFonts w:ascii="Arial"/>
                <w:color w:val="auto"/>
                <w:sz w:val="21"/>
              </w:rPr>
            </w:pPr>
          </w:p>
          <w:p w14:paraId="705BDFD5">
            <w:pPr>
              <w:spacing w:line="241" w:lineRule="auto"/>
              <w:rPr>
                <w:rFonts w:ascii="Arial"/>
                <w:color w:val="auto"/>
                <w:sz w:val="21"/>
              </w:rPr>
            </w:pPr>
          </w:p>
          <w:p w14:paraId="54EEF179">
            <w:pPr>
              <w:spacing w:line="241" w:lineRule="auto"/>
              <w:rPr>
                <w:rFonts w:ascii="Arial"/>
                <w:color w:val="auto"/>
                <w:sz w:val="21"/>
              </w:rPr>
            </w:pPr>
          </w:p>
          <w:p w14:paraId="6FCE7D5E">
            <w:pPr>
              <w:pStyle w:val="18"/>
              <w:spacing w:before="65" w:line="271" w:lineRule="exact"/>
              <w:ind w:left="403"/>
              <w:rPr>
                <w:color w:val="auto"/>
              </w:rPr>
            </w:pPr>
            <w:r>
              <w:rPr>
                <w:color w:val="auto"/>
                <w:position w:val="1"/>
              </w:rPr>
              <w:t>1</w:t>
            </w:r>
          </w:p>
        </w:tc>
        <w:tc>
          <w:tcPr>
            <w:tcW w:w="1330" w:type="dxa"/>
            <w:vAlign w:val="top"/>
          </w:tcPr>
          <w:p w14:paraId="35F67D7B">
            <w:pPr>
              <w:spacing w:line="242" w:lineRule="auto"/>
              <w:rPr>
                <w:rFonts w:ascii="Arial"/>
                <w:color w:val="auto"/>
                <w:sz w:val="21"/>
              </w:rPr>
            </w:pPr>
          </w:p>
          <w:p w14:paraId="14A65A7F">
            <w:pPr>
              <w:spacing w:line="242" w:lineRule="auto"/>
              <w:rPr>
                <w:rFonts w:ascii="Arial"/>
                <w:color w:val="auto"/>
                <w:sz w:val="21"/>
              </w:rPr>
            </w:pPr>
          </w:p>
          <w:p w14:paraId="68F8355A">
            <w:pPr>
              <w:spacing w:line="242" w:lineRule="auto"/>
              <w:rPr>
                <w:rFonts w:ascii="Arial"/>
                <w:color w:val="auto"/>
                <w:sz w:val="21"/>
              </w:rPr>
            </w:pPr>
          </w:p>
          <w:p w14:paraId="40A971F7">
            <w:pPr>
              <w:spacing w:line="242" w:lineRule="auto"/>
              <w:rPr>
                <w:rFonts w:ascii="Arial"/>
                <w:color w:val="auto"/>
                <w:sz w:val="21"/>
              </w:rPr>
            </w:pPr>
          </w:p>
          <w:p w14:paraId="2C094AB7">
            <w:pPr>
              <w:spacing w:line="242" w:lineRule="auto"/>
              <w:rPr>
                <w:rFonts w:ascii="Arial"/>
                <w:color w:val="auto"/>
                <w:sz w:val="21"/>
              </w:rPr>
            </w:pPr>
          </w:p>
          <w:p w14:paraId="0C0792C9">
            <w:pPr>
              <w:spacing w:line="242" w:lineRule="auto"/>
              <w:rPr>
                <w:rFonts w:ascii="Arial"/>
                <w:color w:val="auto"/>
                <w:sz w:val="21"/>
              </w:rPr>
            </w:pPr>
          </w:p>
          <w:p w14:paraId="15C5CB38">
            <w:pPr>
              <w:spacing w:line="242" w:lineRule="auto"/>
              <w:rPr>
                <w:rFonts w:ascii="Arial"/>
                <w:color w:val="auto"/>
                <w:sz w:val="21"/>
              </w:rPr>
            </w:pPr>
          </w:p>
          <w:p w14:paraId="38E94B53">
            <w:pPr>
              <w:spacing w:line="242" w:lineRule="auto"/>
              <w:rPr>
                <w:rFonts w:ascii="Arial"/>
                <w:color w:val="auto"/>
                <w:sz w:val="21"/>
              </w:rPr>
            </w:pPr>
          </w:p>
          <w:p w14:paraId="0CB7F8D8">
            <w:pPr>
              <w:spacing w:line="242" w:lineRule="auto"/>
              <w:rPr>
                <w:rFonts w:ascii="Arial"/>
                <w:color w:val="auto"/>
                <w:sz w:val="21"/>
              </w:rPr>
            </w:pPr>
          </w:p>
          <w:p w14:paraId="04FF6B8C">
            <w:pPr>
              <w:spacing w:line="242" w:lineRule="auto"/>
              <w:rPr>
                <w:rFonts w:ascii="Arial"/>
                <w:color w:val="auto"/>
                <w:sz w:val="21"/>
              </w:rPr>
            </w:pPr>
          </w:p>
          <w:p w14:paraId="33C6F187">
            <w:pPr>
              <w:spacing w:line="242" w:lineRule="auto"/>
              <w:rPr>
                <w:rFonts w:ascii="Arial"/>
                <w:color w:val="auto"/>
                <w:sz w:val="21"/>
              </w:rPr>
            </w:pPr>
          </w:p>
          <w:p w14:paraId="66455F16">
            <w:pPr>
              <w:spacing w:line="242" w:lineRule="auto"/>
              <w:rPr>
                <w:rFonts w:ascii="Arial"/>
                <w:color w:val="auto"/>
                <w:sz w:val="21"/>
              </w:rPr>
            </w:pPr>
          </w:p>
          <w:p w14:paraId="053F46AE">
            <w:pPr>
              <w:spacing w:line="242" w:lineRule="auto"/>
              <w:rPr>
                <w:rFonts w:ascii="Arial"/>
                <w:color w:val="auto"/>
                <w:sz w:val="21"/>
              </w:rPr>
            </w:pPr>
          </w:p>
          <w:p w14:paraId="1B75AE5E">
            <w:pPr>
              <w:spacing w:line="242" w:lineRule="auto"/>
              <w:rPr>
                <w:rFonts w:ascii="Arial"/>
                <w:color w:val="auto"/>
                <w:sz w:val="21"/>
              </w:rPr>
            </w:pPr>
          </w:p>
          <w:p w14:paraId="7D11DB13">
            <w:pPr>
              <w:spacing w:line="242" w:lineRule="auto"/>
              <w:rPr>
                <w:rFonts w:ascii="Arial"/>
                <w:color w:val="auto"/>
                <w:sz w:val="21"/>
              </w:rPr>
            </w:pPr>
          </w:p>
          <w:p w14:paraId="06DC4DBC">
            <w:pPr>
              <w:spacing w:line="242" w:lineRule="auto"/>
              <w:rPr>
                <w:rFonts w:ascii="Arial"/>
                <w:color w:val="auto"/>
                <w:sz w:val="21"/>
              </w:rPr>
            </w:pPr>
          </w:p>
          <w:p w14:paraId="498FA4B1">
            <w:pPr>
              <w:spacing w:line="242" w:lineRule="auto"/>
              <w:rPr>
                <w:rFonts w:ascii="Arial"/>
                <w:color w:val="auto"/>
                <w:sz w:val="21"/>
              </w:rPr>
            </w:pPr>
          </w:p>
          <w:p w14:paraId="61E775D5">
            <w:pPr>
              <w:spacing w:line="242" w:lineRule="auto"/>
              <w:rPr>
                <w:rFonts w:ascii="Arial"/>
                <w:color w:val="auto"/>
                <w:sz w:val="21"/>
              </w:rPr>
            </w:pPr>
          </w:p>
          <w:p w14:paraId="7B4D670E">
            <w:pPr>
              <w:spacing w:line="242" w:lineRule="auto"/>
              <w:rPr>
                <w:rFonts w:ascii="Arial"/>
                <w:color w:val="auto"/>
                <w:sz w:val="21"/>
              </w:rPr>
            </w:pPr>
          </w:p>
          <w:p w14:paraId="42057874">
            <w:pPr>
              <w:spacing w:line="243" w:lineRule="auto"/>
              <w:rPr>
                <w:rFonts w:ascii="Arial"/>
                <w:color w:val="auto"/>
                <w:sz w:val="21"/>
              </w:rPr>
            </w:pPr>
          </w:p>
          <w:p w14:paraId="2F1D1488">
            <w:pPr>
              <w:spacing w:line="243" w:lineRule="auto"/>
              <w:rPr>
                <w:rFonts w:ascii="Arial"/>
                <w:color w:val="auto"/>
                <w:sz w:val="21"/>
              </w:rPr>
            </w:pPr>
          </w:p>
          <w:p w14:paraId="3FD47287">
            <w:pPr>
              <w:spacing w:line="243" w:lineRule="auto"/>
              <w:rPr>
                <w:rFonts w:ascii="Arial"/>
                <w:color w:val="auto"/>
                <w:sz w:val="21"/>
              </w:rPr>
            </w:pPr>
          </w:p>
          <w:p w14:paraId="31F9367A">
            <w:pPr>
              <w:spacing w:line="243" w:lineRule="auto"/>
              <w:rPr>
                <w:rFonts w:ascii="Arial"/>
                <w:color w:val="auto"/>
                <w:sz w:val="21"/>
              </w:rPr>
            </w:pPr>
          </w:p>
          <w:p w14:paraId="01E3BC40">
            <w:pPr>
              <w:spacing w:line="243" w:lineRule="auto"/>
              <w:rPr>
                <w:rFonts w:ascii="Arial"/>
                <w:color w:val="auto"/>
                <w:sz w:val="21"/>
              </w:rPr>
            </w:pPr>
          </w:p>
          <w:p w14:paraId="292ABF38">
            <w:pPr>
              <w:spacing w:line="243" w:lineRule="auto"/>
              <w:rPr>
                <w:rFonts w:ascii="Arial"/>
                <w:color w:val="auto"/>
                <w:sz w:val="21"/>
              </w:rPr>
            </w:pPr>
          </w:p>
          <w:p w14:paraId="6BD863E4">
            <w:pPr>
              <w:pStyle w:val="18"/>
              <w:spacing w:before="65" w:line="378" w:lineRule="auto"/>
              <w:ind w:left="143" w:right="141"/>
              <w:rPr>
                <w:color w:val="auto"/>
              </w:rPr>
            </w:pPr>
            <w:r>
              <w:rPr>
                <w:rFonts w:hint="eastAsia"/>
                <w:color w:val="auto"/>
                <w:spacing w:val="8"/>
                <w:lang w:val="en-US" w:eastAsia="zh-CN"/>
              </w:rPr>
              <w:t>禽类和水产类</w:t>
            </w:r>
            <w:r>
              <w:rPr>
                <w:color w:val="auto"/>
                <w:spacing w:val="8"/>
              </w:rPr>
              <w:t>食材配送服务</w:t>
            </w:r>
          </w:p>
        </w:tc>
        <w:tc>
          <w:tcPr>
            <w:tcW w:w="850" w:type="dxa"/>
            <w:vAlign w:val="top"/>
          </w:tcPr>
          <w:p w14:paraId="7EF7E109">
            <w:pPr>
              <w:rPr>
                <w:rFonts w:ascii="Arial"/>
                <w:color w:val="auto"/>
                <w:sz w:val="21"/>
              </w:rPr>
            </w:pPr>
          </w:p>
          <w:p w14:paraId="327AB226">
            <w:pPr>
              <w:rPr>
                <w:rFonts w:ascii="Arial"/>
                <w:color w:val="auto"/>
                <w:sz w:val="21"/>
              </w:rPr>
            </w:pPr>
          </w:p>
          <w:p w14:paraId="6560E1CB">
            <w:pPr>
              <w:rPr>
                <w:rFonts w:ascii="Arial"/>
                <w:color w:val="auto"/>
                <w:sz w:val="21"/>
              </w:rPr>
            </w:pPr>
          </w:p>
          <w:p w14:paraId="3652E2BE">
            <w:pPr>
              <w:rPr>
                <w:rFonts w:ascii="Arial"/>
                <w:color w:val="auto"/>
                <w:sz w:val="21"/>
              </w:rPr>
            </w:pPr>
          </w:p>
          <w:p w14:paraId="049D7FDD">
            <w:pPr>
              <w:rPr>
                <w:rFonts w:ascii="Arial"/>
                <w:color w:val="auto"/>
                <w:sz w:val="21"/>
              </w:rPr>
            </w:pPr>
          </w:p>
          <w:p w14:paraId="4DF97A9C">
            <w:pPr>
              <w:rPr>
                <w:rFonts w:ascii="Arial"/>
                <w:color w:val="auto"/>
                <w:sz w:val="21"/>
              </w:rPr>
            </w:pPr>
          </w:p>
          <w:p w14:paraId="05B66432">
            <w:pPr>
              <w:rPr>
                <w:rFonts w:ascii="Arial"/>
                <w:color w:val="auto"/>
                <w:sz w:val="21"/>
              </w:rPr>
            </w:pPr>
          </w:p>
          <w:p w14:paraId="61E6DF56">
            <w:pPr>
              <w:spacing w:line="241" w:lineRule="auto"/>
              <w:rPr>
                <w:rFonts w:ascii="Arial"/>
                <w:color w:val="auto"/>
                <w:sz w:val="21"/>
              </w:rPr>
            </w:pPr>
          </w:p>
          <w:p w14:paraId="3A6A9337">
            <w:pPr>
              <w:spacing w:line="241" w:lineRule="auto"/>
              <w:rPr>
                <w:rFonts w:ascii="Arial"/>
                <w:color w:val="auto"/>
                <w:sz w:val="21"/>
              </w:rPr>
            </w:pPr>
          </w:p>
          <w:p w14:paraId="6517C9FA">
            <w:pPr>
              <w:spacing w:line="241" w:lineRule="auto"/>
              <w:rPr>
                <w:rFonts w:ascii="Arial"/>
                <w:color w:val="auto"/>
                <w:sz w:val="21"/>
              </w:rPr>
            </w:pPr>
          </w:p>
          <w:p w14:paraId="4C05E9CF">
            <w:pPr>
              <w:spacing w:line="241" w:lineRule="auto"/>
              <w:rPr>
                <w:rFonts w:ascii="Arial"/>
                <w:color w:val="auto"/>
                <w:sz w:val="21"/>
              </w:rPr>
            </w:pPr>
          </w:p>
          <w:p w14:paraId="3E55A4F4">
            <w:pPr>
              <w:spacing w:line="241" w:lineRule="auto"/>
              <w:rPr>
                <w:rFonts w:ascii="Arial"/>
                <w:color w:val="auto"/>
                <w:sz w:val="21"/>
              </w:rPr>
            </w:pPr>
          </w:p>
          <w:p w14:paraId="7120FBBA">
            <w:pPr>
              <w:spacing w:line="241" w:lineRule="auto"/>
              <w:rPr>
                <w:rFonts w:ascii="Arial"/>
                <w:color w:val="auto"/>
                <w:sz w:val="21"/>
              </w:rPr>
            </w:pPr>
          </w:p>
          <w:p w14:paraId="6F2BB200">
            <w:pPr>
              <w:spacing w:line="241" w:lineRule="auto"/>
              <w:rPr>
                <w:rFonts w:ascii="Arial"/>
                <w:color w:val="auto"/>
                <w:sz w:val="21"/>
              </w:rPr>
            </w:pPr>
          </w:p>
          <w:p w14:paraId="72D637A7">
            <w:pPr>
              <w:spacing w:line="241" w:lineRule="auto"/>
              <w:rPr>
                <w:rFonts w:ascii="Arial"/>
                <w:color w:val="auto"/>
                <w:sz w:val="21"/>
              </w:rPr>
            </w:pPr>
          </w:p>
          <w:p w14:paraId="43FE92EA">
            <w:pPr>
              <w:spacing w:line="241" w:lineRule="auto"/>
              <w:rPr>
                <w:rFonts w:ascii="Arial"/>
                <w:color w:val="auto"/>
                <w:sz w:val="21"/>
              </w:rPr>
            </w:pPr>
          </w:p>
          <w:p w14:paraId="683878C6">
            <w:pPr>
              <w:spacing w:line="241" w:lineRule="auto"/>
              <w:rPr>
                <w:rFonts w:ascii="Arial"/>
                <w:color w:val="auto"/>
                <w:sz w:val="21"/>
              </w:rPr>
            </w:pPr>
          </w:p>
          <w:p w14:paraId="415081C3">
            <w:pPr>
              <w:spacing w:line="241" w:lineRule="auto"/>
              <w:rPr>
                <w:rFonts w:ascii="Arial"/>
                <w:color w:val="auto"/>
                <w:sz w:val="21"/>
              </w:rPr>
            </w:pPr>
          </w:p>
          <w:p w14:paraId="0033C9DC">
            <w:pPr>
              <w:spacing w:line="241" w:lineRule="auto"/>
              <w:rPr>
                <w:rFonts w:ascii="Arial"/>
                <w:color w:val="auto"/>
                <w:sz w:val="21"/>
              </w:rPr>
            </w:pPr>
          </w:p>
          <w:p w14:paraId="3DB607CA">
            <w:pPr>
              <w:spacing w:line="241" w:lineRule="auto"/>
              <w:rPr>
                <w:rFonts w:ascii="Arial"/>
                <w:color w:val="auto"/>
                <w:sz w:val="21"/>
              </w:rPr>
            </w:pPr>
          </w:p>
          <w:p w14:paraId="38355307">
            <w:pPr>
              <w:spacing w:line="241" w:lineRule="auto"/>
              <w:rPr>
                <w:rFonts w:ascii="Arial"/>
                <w:color w:val="auto"/>
                <w:sz w:val="21"/>
              </w:rPr>
            </w:pPr>
          </w:p>
          <w:p w14:paraId="0D9FC85D">
            <w:pPr>
              <w:spacing w:line="241" w:lineRule="auto"/>
              <w:rPr>
                <w:rFonts w:ascii="Arial"/>
                <w:color w:val="auto"/>
                <w:sz w:val="21"/>
              </w:rPr>
            </w:pPr>
          </w:p>
          <w:p w14:paraId="7BBC634F">
            <w:pPr>
              <w:spacing w:line="241" w:lineRule="auto"/>
              <w:rPr>
                <w:rFonts w:ascii="Arial"/>
                <w:color w:val="auto"/>
                <w:sz w:val="21"/>
              </w:rPr>
            </w:pPr>
          </w:p>
          <w:p w14:paraId="579630EB">
            <w:pPr>
              <w:spacing w:line="241" w:lineRule="auto"/>
              <w:rPr>
                <w:rFonts w:ascii="Arial"/>
                <w:color w:val="auto"/>
                <w:sz w:val="21"/>
              </w:rPr>
            </w:pPr>
          </w:p>
          <w:p w14:paraId="4237C6DF">
            <w:pPr>
              <w:spacing w:line="241" w:lineRule="auto"/>
              <w:rPr>
                <w:rFonts w:ascii="Arial"/>
                <w:color w:val="auto"/>
                <w:sz w:val="21"/>
              </w:rPr>
            </w:pPr>
          </w:p>
          <w:p w14:paraId="2FE4DC32">
            <w:pPr>
              <w:spacing w:line="241" w:lineRule="auto"/>
              <w:rPr>
                <w:rFonts w:ascii="Arial"/>
                <w:color w:val="auto"/>
                <w:sz w:val="21"/>
              </w:rPr>
            </w:pPr>
          </w:p>
          <w:p w14:paraId="083D95FD">
            <w:pPr>
              <w:pStyle w:val="18"/>
              <w:spacing w:before="65" w:line="229" w:lineRule="auto"/>
              <w:ind w:left="261"/>
              <w:rPr>
                <w:color w:val="auto"/>
              </w:rPr>
            </w:pPr>
            <w:r>
              <w:rPr>
                <w:color w:val="auto"/>
                <w:spacing w:val="-10"/>
              </w:rPr>
              <w:t>1</w:t>
            </w:r>
            <w:r>
              <w:rPr>
                <w:color w:val="auto"/>
                <w:spacing w:val="-38"/>
              </w:rPr>
              <w:t xml:space="preserve"> </w:t>
            </w:r>
            <w:r>
              <w:rPr>
                <w:color w:val="auto"/>
                <w:spacing w:val="-10"/>
              </w:rPr>
              <w:t>项</w:t>
            </w:r>
          </w:p>
        </w:tc>
        <w:tc>
          <w:tcPr>
            <w:tcW w:w="7101" w:type="dxa"/>
            <w:vAlign w:val="top"/>
          </w:tcPr>
          <w:p w14:paraId="34F6A9CD">
            <w:pPr>
              <w:pStyle w:val="18"/>
              <w:spacing w:before="31" w:line="228" w:lineRule="auto"/>
              <w:ind w:left="116"/>
              <w:rPr>
                <w:color w:val="auto"/>
              </w:rPr>
            </w:pPr>
            <w:r>
              <w:rPr>
                <w:b/>
                <w:bCs/>
                <w:color w:val="auto"/>
                <w:spacing w:val="8"/>
              </w:rPr>
              <w:t>一、服务内容（生鲜食材配送包括但不限于以下</w:t>
            </w:r>
            <w:r>
              <w:rPr>
                <w:b/>
                <w:bCs/>
                <w:color w:val="auto"/>
                <w:spacing w:val="7"/>
              </w:rPr>
              <w:t>）</w:t>
            </w:r>
          </w:p>
          <w:p w14:paraId="552853CD">
            <w:pPr>
              <w:pStyle w:val="18"/>
              <w:spacing w:before="161" w:line="340" w:lineRule="auto"/>
              <w:ind w:left="112" w:right="107" w:firstLine="16"/>
              <w:rPr>
                <w:color w:val="auto"/>
              </w:rPr>
            </w:pPr>
            <w:r>
              <w:rPr>
                <w:rFonts w:hint="eastAsia"/>
                <w:b/>
                <w:bCs/>
                <w:color w:val="auto"/>
                <w:spacing w:val="7"/>
                <w:lang w:val="en-US" w:eastAsia="zh-CN"/>
              </w:rPr>
              <w:t>禽类：</w:t>
            </w:r>
            <w:r>
              <w:rPr>
                <w:rFonts w:hint="eastAsia"/>
                <w:b w:val="0"/>
                <w:bCs w:val="0"/>
                <w:color w:val="auto"/>
                <w:spacing w:val="7"/>
              </w:rPr>
              <w:t>黄鸡（整只）土鸡</w:t>
            </w:r>
            <w:r>
              <w:rPr>
                <w:rFonts w:hint="eastAsia"/>
                <w:b w:val="0"/>
                <w:bCs w:val="0"/>
                <w:color w:val="auto"/>
                <w:spacing w:val="7"/>
                <w:lang w:eastAsia="zh-CN"/>
              </w:rPr>
              <w:t>、</w:t>
            </w:r>
            <w:r>
              <w:rPr>
                <w:rFonts w:hint="eastAsia"/>
                <w:b w:val="0"/>
                <w:bCs w:val="0"/>
                <w:color w:val="auto"/>
                <w:spacing w:val="7"/>
              </w:rPr>
              <w:t>鸭肠</w:t>
            </w:r>
            <w:r>
              <w:rPr>
                <w:rFonts w:hint="eastAsia"/>
                <w:b w:val="0"/>
                <w:bCs w:val="0"/>
                <w:color w:val="auto"/>
                <w:spacing w:val="7"/>
                <w:lang w:eastAsia="zh-CN"/>
              </w:rPr>
              <w:t>、</w:t>
            </w:r>
            <w:r>
              <w:rPr>
                <w:rFonts w:hint="eastAsia"/>
                <w:b w:val="0"/>
                <w:bCs w:val="0"/>
                <w:color w:val="auto"/>
                <w:spacing w:val="7"/>
              </w:rPr>
              <w:t>去下巴水盆鸭</w:t>
            </w:r>
            <w:r>
              <w:rPr>
                <w:rFonts w:hint="eastAsia"/>
                <w:b w:val="0"/>
                <w:bCs w:val="0"/>
                <w:color w:val="auto"/>
                <w:spacing w:val="7"/>
                <w:lang w:eastAsia="zh-CN"/>
              </w:rPr>
              <w:t>、</w:t>
            </w:r>
            <w:r>
              <w:rPr>
                <w:rFonts w:hint="eastAsia"/>
                <w:b w:val="0"/>
                <w:bCs w:val="0"/>
                <w:color w:val="auto"/>
                <w:spacing w:val="7"/>
              </w:rPr>
              <w:t>果园鸡</w:t>
            </w:r>
            <w:r>
              <w:rPr>
                <w:rFonts w:hint="eastAsia"/>
                <w:b w:val="0"/>
                <w:bCs w:val="0"/>
                <w:color w:val="auto"/>
                <w:spacing w:val="7"/>
                <w:lang w:eastAsia="zh-CN"/>
              </w:rPr>
              <w:t>、</w:t>
            </w:r>
            <w:r>
              <w:rPr>
                <w:rFonts w:hint="eastAsia"/>
                <w:b w:val="0"/>
                <w:bCs w:val="0"/>
                <w:color w:val="auto"/>
                <w:spacing w:val="7"/>
              </w:rPr>
              <w:t>桂香土鸡</w:t>
            </w:r>
            <w:r>
              <w:rPr>
                <w:rFonts w:hint="eastAsia"/>
                <w:b w:val="0"/>
                <w:bCs w:val="0"/>
                <w:color w:val="auto"/>
                <w:spacing w:val="7"/>
                <w:lang w:eastAsia="zh-CN"/>
              </w:rPr>
              <w:t>、</w:t>
            </w:r>
            <w:r>
              <w:rPr>
                <w:rFonts w:hint="eastAsia"/>
                <w:b w:val="0"/>
                <w:bCs w:val="0"/>
                <w:color w:val="auto"/>
                <w:spacing w:val="7"/>
              </w:rPr>
              <w:t>青头鸭</w:t>
            </w:r>
            <w:r>
              <w:rPr>
                <w:rFonts w:hint="eastAsia"/>
                <w:b w:val="0"/>
                <w:bCs w:val="0"/>
                <w:color w:val="auto"/>
                <w:spacing w:val="7"/>
                <w:lang w:eastAsia="zh-CN"/>
              </w:rPr>
              <w:t>、</w:t>
            </w:r>
            <w:r>
              <w:rPr>
                <w:rFonts w:hint="eastAsia"/>
                <w:b w:val="0"/>
                <w:bCs w:val="0"/>
                <w:color w:val="auto"/>
                <w:spacing w:val="7"/>
              </w:rPr>
              <w:t>阉鸡</w:t>
            </w:r>
            <w:r>
              <w:rPr>
                <w:rFonts w:hint="eastAsia"/>
                <w:b w:val="0"/>
                <w:bCs w:val="0"/>
                <w:color w:val="auto"/>
                <w:spacing w:val="7"/>
                <w:lang w:eastAsia="zh-CN"/>
              </w:rPr>
              <w:t>、</w:t>
            </w:r>
            <w:r>
              <w:rPr>
                <w:rFonts w:hint="eastAsia"/>
                <w:b w:val="0"/>
                <w:bCs w:val="0"/>
                <w:color w:val="auto"/>
                <w:spacing w:val="7"/>
              </w:rPr>
              <w:t>月子土鸡250天</w:t>
            </w:r>
            <w:r>
              <w:rPr>
                <w:rFonts w:hint="eastAsia"/>
                <w:b w:val="0"/>
                <w:bCs w:val="0"/>
                <w:color w:val="auto"/>
                <w:spacing w:val="7"/>
                <w:lang w:eastAsia="zh-CN"/>
              </w:rPr>
              <w:t>、</w:t>
            </w:r>
            <w:r>
              <w:rPr>
                <w:rFonts w:hint="eastAsia"/>
                <w:b w:val="0"/>
                <w:bCs w:val="0"/>
                <w:color w:val="auto"/>
                <w:spacing w:val="7"/>
              </w:rPr>
              <w:t>鲜鸡中翅</w:t>
            </w:r>
            <w:r>
              <w:rPr>
                <w:rFonts w:hint="eastAsia"/>
                <w:b w:val="0"/>
                <w:bCs w:val="0"/>
                <w:color w:val="auto"/>
                <w:spacing w:val="7"/>
                <w:lang w:eastAsia="zh-CN"/>
              </w:rPr>
              <w:t>、</w:t>
            </w:r>
            <w:r>
              <w:rPr>
                <w:rFonts w:hint="eastAsia"/>
                <w:b w:val="0"/>
                <w:bCs w:val="0"/>
                <w:color w:val="auto"/>
                <w:spacing w:val="7"/>
              </w:rPr>
              <w:t>项鸡</w:t>
            </w:r>
            <w:r>
              <w:rPr>
                <w:rFonts w:hint="eastAsia"/>
                <w:b w:val="0"/>
                <w:bCs w:val="0"/>
                <w:color w:val="auto"/>
                <w:spacing w:val="7"/>
                <w:lang w:eastAsia="zh-CN"/>
              </w:rPr>
              <w:t>、</w:t>
            </w:r>
            <w:r>
              <w:rPr>
                <w:rFonts w:hint="eastAsia"/>
                <w:b w:val="0"/>
                <w:bCs w:val="0"/>
                <w:color w:val="auto"/>
                <w:spacing w:val="7"/>
              </w:rPr>
              <w:t>鸭脯肉</w:t>
            </w:r>
            <w:r>
              <w:rPr>
                <w:rFonts w:hint="eastAsia"/>
                <w:b w:val="0"/>
                <w:bCs w:val="0"/>
                <w:color w:val="auto"/>
                <w:spacing w:val="7"/>
                <w:lang w:eastAsia="zh-CN"/>
              </w:rPr>
              <w:t>、</w:t>
            </w:r>
            <w:r>
              <w:rPr>
                <w:rFonts w:hint="eastAsia"/>
                <w:b w:val="0"/>
                <w:bCs w:val="0"/>
                <w:color w:val="auto"/>
                <w:spacing w:val="7"/>
              </w:rPr>
              <w:t>鸡尖</w:t>
            </w:r>
            <w:r>
              <w:rPr>
                <w:rFonts w:hint="eastAsia"/>
                <w:b w:val="0"/>
                <w:bCs w:val="0"/>
                <w:color w:val="auto"/>
                <w:spacing w:val="7"/>
                <w:lang w:eastAsia="zh-CN"/>
              </w:rPr>
              <w:t>、</w:t>
            </w:r>
            <w:r>
              <w:rPr>
                <w:rFonts w:hint="eastAsia"/>
                <w:b w:val="0"/>
                <w:bCs w:val="0"/>
                <w:color w:val="auto"/>
                <w:spacing w:val="7"/>
              </w:rPr>
              <w:t>冻鸭腿</w:t>
            </w:r>
            <w:r>
              <w:rPr>
                <w:rFonts w:hint="eastAsia"/>
                <w:b w:val="0"/>
                <w:bCs w:val="0"/>
                <w:color w:val="auto"/>
                <w:spacing w:val="7"/>
                <w:lang w:eastAsia="zh-CN"/>
              </w:rPr>
              <w:t>、</w:t>
            </w:r>
            <w:r>
              <w:rPr>
                <w:rFonts w:hint="eastAsia"/>
                <w:b w:val="0"/>
                <w:bCs w:val="0"/>
                <w:color w:val="auto"/>
                <w:spacing w:val="7"/>
              </w:rPr>
              <w:t>鸡花肠</w:t>
            </w:r>
            <w:r>
              <w:rPr>
                <w:rFonts w:hint="eastAsia"/>
                <w:b w:val="0"/>
                <w:bCs w:val="0"/>
                <w:color w:val="auto"/>
                <w:spacing w:val="7"/>
                <w:lang w:eastAsia="zh-CN"/>
              </w:rPr>
              <w:t>、</w:t>
            </w:r>
            <w:r>
              <w:rPr>
                <w:rFonts w:hint="eastAsia"/>
                <w:b w:val="0"/>
                <w:bCs w:val="0"/>
                <w:color w:val="auto"/>
                <w:spacing w:val="7"/>
              </w:rPr>
              <w:t>鸡肝</w:t>
            </w:r>
            <w:r>
              <w:rPr>
                <w:rFonts w:hint="eastAsia"/>
                <w:b w:val="0"/>
                <w:bCs w:val="0"/>
                <w:color w:val="auto"/>
                <w:spacing w:val="7"/>
                <w:lang w:eastAsia="zh-CN"/>
              </w:rPr>
              <w:t>、</w:t>
            </w:r>
            <w:r>
              <w:rPr>
                <w:rFonts w:hint="eastAsia"/>
                <w:b w:val="0"/>
                <w:bCs w:val="0"/>
                <w:color w:val="auto"/>
                <w:spacing w:val="7"/>
              </w:rPr>
              <w:t>冻鸡中翅</w:t>
            </w:r>
            <w:r>
              <w:rPr>
                <w:rFonts w:hint="eastAsia"/>
                <w:b w:val="0"/>
                <w:bCs w:val="0"/>
                <w:color w:val="auto"/>
                <w:spacing w:val="7"/>
                <w:lang w:eastAsia="zh-CN"/>
              </w:rPr>
              <w:t>、</w:t>
            </w:r>
            <w:r>
              <w:rPr>
                <w:rFonts w:hint="eastAsia"/>
                <w:b w:val="0"/>
                <w:bCs w:val="0"/>
                <w:color w:val="auto"/>
                <w:spacing w:val="7"/>
              </w:rPr>
              <w:t>土鸭</w:t>
            </w:r>
            <w:r>
              <w:rPr>
                <w:rFonts w:hint="eastAsia"/>
                <w:b w:val="0"/>
                <w:bCs w:val="0"/>
                <w:color w:val="auto"/>
                <w:spacing w:val="7"/>
                <w:lang w:eastAsia="zh-CN"/>
              </w:rPr>
              <w:t>、</w:t>
            </w:r>
            <w:r>
              <w:rPr>
                <w:rFonts w:hint="eastAsia"/>
                <w:b w:val="0"/>
                <w:bCs w:val="0"/>
                <w:color w:val="auto"/>
                <w:spacing w:val="7"/>
              </w:rPr>
              <w:t>冻鸡翅根</w:t>
            </w:r>
            <w:r>
              <w:rPr>
                <w:rFonts w:hint="eastAsia"/>
                <w:b w:val="0"/>
                <w:bCs w:val="0"/>
                <w:color w:val="auto"/>
                <w:spacing w:val="7"/>
                <w:lang w:eastAsia="zh-CN"/>
              </w:rPr>
              <w:t>、</w:t>
            </w:r>
            <w:r>
              <w:rPr>
                <w:rFonts w:hint="eastAsia"/>
                <w:b w:val="0"/>
                <w:bCs w:val="0"/>
                <w:color w:val="auto"/>
                <w:spacing w:val="7"/>
              </w:rPr>
              <w:t>冻鸭全翅</w:t>
            </w:r>
            <w:r>
              <w:rPr>
                <w:rFonts w:hint="eastAsia"/>
                <w:b w:val="0"/>
                <w:bCs w:val="0"/>
                <w:color w:val="auto"/>
                <w:spacing w:val="7"/>
                <w:lang w:eastAsia="zh-CN"/>
              </w:rPr>
              <w:t>、</w:t>
            </w:r>
            <w:r>
              <w:rPr>
                <w:rFonts w:hint="eastAsia"/>
                <w:b w:val="0"/>
                <w:bCs w:val="0"/>
                <w:color w:val="auto"/>
                <w:spacing w:val="7"/>
              </w:rPr>
              <w:t>冻带皮鸭脚</w:t>
            </w:r>
            <w:r>
              <w:rPr>
                <w:color w:val="auto"/>
                <w:spacing w:val="8"/>
              </w:rPr>
              <w:t>等</w:t>
            </w:r>
            <w:r>
              <w:rPr>
                <w:rFonts w:hint="eastAsia"/>
                <w:color w:val="auto"/>
                <w:spacing w:val="8"/>
                <w:lang w:eastAsia="zh-CN"/>
              </w:rPr>
              <w:t>、</w:t>
            </w:r>
            <w:r>
              <w:rPr>
                <w:rFonts w:hint="eastAsia"/>
                <w:b/>
                <w:bCs/>
                <w:color w:val="auto"/>
                <w:spacing w:val="8"/>
                <w:lang w:val="en-US" w:eastAsia="zh-CN"/>
              </w:rPr>
              <w:t>水产类：</w:t>
            </w:r>
            <w:r>
              <w:rPr>
                <w:rFonts w:hint="eastAsia"/>
                <w:color w:val="auto"/>
                <w:spacing w:val="8"/>
                <w:lang w:val="en-US" w:eastAsia="zh-CN"/>
              </w:rPr>
              <w:t>禾花鱼、鲶鱼、鲈鱼、罗非鱼（约重2斤）、田螺（去尾）、秋刀鱼、草鱼、鲫鱼、鱿鱼（约1斤1条）、明虾（约28-30头）、斑节虾（约15-18头）、大斑节虾（约10-13头）、脆皖鱼、白鳝、海螺、花甲螺、多宝鱼、草鱼头、鱼丸、虾仁等</w:t>
            </w:r>
          </w:p>
          <w:p w14:paraId="6E3F1ACF">
            <w:pPr>
              <w:pStyle w:val="18"/>
              <w:spacing w:before="1" w:line="227" w:lineRule="auto"/>
              <w:ind w:left="116"/>
              <w:rPr>
                <w:color w:val="auto"/>
              </w:rPr>
            </w:pPr>
            <w:r>
              <w:rPr>
                <w:b/>
                <w:bCs/>
                <w:color w:val="auto"/>
                <w:spacing w:val="6"/>
              </w:rPr>
              <w:t>二、送货要求</w:t>
            </w:r>
          </w:p>
          <w:p w14:paraId="27641D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1.实际供货数量以采购人每次提供的订单为准。</w:t>
            </w:r>
          </w:p>
          <w:p w14:paraId="4CECA95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2.采购人提前一天以电话或邮箱、微信等方式向中标供应商下订单，订单内容包括名称、规格、数量等。</w:t>
            </w:r>
          </w:p>
          <w:p w14:paraId="324927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 xml:space="preserve">3.中标供应商须在接到采购人订单之日的第二天 </w:t>
            </w:r>
            <w:r>
              <w:rPr>
                <w:rFonts w:hint="eastAsia" w:ascii="宋体" w:hAnsi="宋体" w:eastAsia="Times New Roman" w:cs="Times New Roman"/>
                <w:bCs/>
                <w:snapToGrid w:val="0"/>
                <w:color w:val="auto"/>
                <w:kern w:val="0"/>
                <w:sz w:val="21"/>
                <w:szCs w:val="20"/>
                <w:lang w:val="en-US" w:eastAsia="zh-CN" w:bidi="ar-SA"/>
              </w:rPr>
              <w:t>6</w:t>
            </w:r>
            <w:r>
              <w:rPr>
                <w:rFonts w:hint="eastAsia" w:ascii="宋体" w:hAnsi="宋体" w:eastAsia="宋体" w:cs="Times New Roman"/>
                <w:bCs/>
                <w:snapToGrid w:val="0"/>
                <w:color w:val="auto"/>
                <w:kern w:val="0"/>
                <w:sz w:val="21"/>
                <w:szCs w:val="20"/>
                <w:lang w:val="en-US" w:eastAsia="zh-CN" w:bidi="ar-SA"/>
              </w:rPr>
              <w:t>：</w:t>
            </w:r>
            <w:r>
              <w:rPr>
                <w:rFonts w:hint="default" w:ascii="宋体" w:hAnsi="宋体" w:eastAsia="Times New Roman" w:cs="Times New Roman"/>
                <w:bCs/>
                <w:snapToGrid w:val="0"/>
                <w:color w:val="auto"/>
                <w:kern w:val="0"/>
                <w:sz w:val="21"/>
                <w:szCs w:val="20"/>
                <w:lang w:val="en-US" w:eastAsia="en-US" w:bidi="ar-SA"/>
              </w:rPr>
              <w:t>30 前，将采购人所订购的货物送至采购人指定的地点【</w:t>
            </w:r>
            <w:r>
              <w:rPr>
                <w:rFonts w:hint="eastAsia" w:ascii="宋体" w:hAnsi="宋体" w:eastAsia="Times New Roman" w:cs="Times New Roman"/>
                <w:bCs/>
                <w:snapToGrid w:val="0"/>
                <w:color w:val="auto"/>
                <w:kern w:val="0"/>
                <w:sz w:val="21"/>
                <w:szCs w:val="20"/>
                <w:lang w:val="en-US" w:eastAsia="zh-CN" w:bidi="ar-SA"/>
              </w:rPr>
              <w:t>防城港市第一人民医院文昌院区和防城院区</w:t>
            </w:r>
            <w:r>
              <w:rPr>
                <w:rFonts w:hint="default" w:ascii="宋体" w:hAnsi="宋体" w:eastAsia="Times New Roman" w:cs="Times New Roman"/>
                <w:bCs/>
                <w:snapToGrid w:val="0"/>
                <w:color w:val="auto"/>
                <w:kern w:val="0"/>
                <w:sz w:val="21"/>
                <w:szCs w:val="20"/>
                <w:lang w:val="en-US" w:eastAsia="en-US" w:bidi="ar-SA"/>
              </w:rPr>
              <w:t xml:space="preserve"> 】。</w:t>
            </w:r>
          </w:p>
          <w:p w14:paraId="1E7BCE3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4.中标供应商应当根据采购人实际情况，按与采购人的约定，在规定的时间内将预定的货物数量送到指定地点。紧急情况不论数量多少，不能以任何理由推脱，一旦影响到采购人的正常运转，中标供应商应承担相应的损失。除客观不可抗力外，中标供应商不得推迟送货。如确需延迟送货的，中标供应商应在得知情况的同时告知采购人并征得采购人同意。</w:t>
            </w:r>
          </w:p>
          <w:p w14:paraId="65A3E41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5.中标供应商应根据采购人实际要求运送货物，负责进行简单处理。</w:t>
            </w:r>
          </w:p>
          <w:p w14:paraId="2AE893C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6.每次送货，中标供应商须委派一名专门负责人且配备食材配送车辆，负责货物的运输、过秤，并协助采购人验收货品，货品的品种和重量以采购人验收的结果为准，经验收合格后签字确认。</w:t>
            </w:r>
          </w:p>
          <w:p w14:paraId="6A61281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7.盛装容器必须清洁干净无破损，肉类容器必须加盖防渗漏。</w:t>
            </w:r>
          </w:p>
          <w:p w14:paraId="1015881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8.中标供应商须严格按照各采购人的指令配送商品的数量，不得随意增减数量，否则，采购人有权拒收。如因市场流通问题确实需要变更的，应事先书面申请，并经采购人同意后方可改变。</w:t>
            </w:r>
          </w:p>
          <w:p w14:paraId="7E1478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color w:val="auto"/>
                <w:spacing w:val="8"/>
              </w:rPr>
            </w:pPr>
            <w:r>
              <w:rPr>
                <w:rFonts w:hint="default" w:ascii="宋体" w:hAnsi="宋体" w:eastAsia="Times New Roman" w:cs="Times New Roman"/>
                <w:bCs/>
                <w:snapToGrid w:val="0"/>
                <w:color w:val="auto"/>
                <w:kern w:val="0"/>
                <w:sz w:val="21"/>
                <w:szCs w:val="20"/>
                <w:lang w:val="en-US" w:eastAsia="en-US" w:bidi="ar-SA"/>
              </w:rPr>
              <w:t>9.采购人发现所采购货物不能正常使用的，中标供应商应无条件退换。中标供应商未能履行投标文件和合同所定事项,或供应不合格的、假冒伪劣、以次充好的商品，采购人退货后将记录在案，并对中标供应商予以处罚，要承担因此产生的一切损失和费用。</w:t>
            </w:r>
          </w:p>
        </w:tc>
      </w:tr>
    </w:tbl>
    <w:p w14:paraId="33F61F25">
      <w:pPr>
        <w:rPr>
          <w:rFonts w:ascii="Arial"/>
          <w:color w:val="auto"/>
          <w:sz w:val="21"/>
        </w:rPr>
      </w:pPr>
    </w:p>
    <w:p w14:paraId="3A015636">
      <w:pPr>
        <w:rPr>
          <w:rFonts w:ascii="Arial" w:hAnsi="Arial" w:eastAsia="Arial" w:cs="Arial"/>
          <w:color w:val="auto"/>
          <w:sz w:val="21"/>
          <w:szCs w:val="21"/>
        </w:rPr>
        <w:sectPr>
          <w:footerReference r:id="rId6" w:type="default"/>
          <w:pgSz w:w="11911" w:h="16839"/>
          <w:pgMar w:top="1431" w:right="789" w:bottom="1142" w:left="964" w:header="0" w:footer="905" w:gutter="0"/>
          <w:pgNumType w:fmt="decimal"/>
          <w:cols w:space="720" w:num="1"/>
        </w:sectPr>
      </w:pPr>
    </w:p>
    <w:p w14:paraId="448ECB7C">
      <w:pPr>
        <w:spacing w:line="87" w:lineRule="exact"/>
        <w:rPr>
          <w:color w:val="auto"/>
        </w:rPr>
      </w:pPr>
    </w:p>
    <w:tbl>
      <w:tblPr>
        <w:tblStyle w:val="19"/>
        <w:tblW w:w="101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915"/>
        <w:gridCol w:w="2"/>
        <w:gridCol w:w="113"/>
        <w:gridCol w:w="298"/>
        <w:gridCol w:w="778"/>
        <w:gridCol w:w="71"/>
        <w:gridCol w:w="4884"/>
        <w:gridCol w:w="2123"/>
        <w:gridCol w:w="89"/>
        <w:gridCol w:w="1"/>
      </w:tblGrid>
      <w:tr w14:paraId="7384B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830" w:hRule="atLeast"/>
        </w:trPr>
        <w:tc>
          <w:tcPr>
            <w:tcW w:w="871" w:type="dxa"/>
            <w:vAlign w:val="top"/>
          </w:tcPr>
          <w:p w14:paraId="6EB7593F">
            <w:pPr>
              <w:rPr>
                <w:rFonts w:ascii="Arial"/>
                <w:color w:val="auto"/>
                <w:sz w:val="21"/>
              </w:rPr>
            </w:pPr>
          </w:p>
        </w:tc>
        <w:tc>
          <w:tcPr>
            <w:tcW w:w="1328" w:type="dxa"/>
            <w:gridSpan w:val="4"/>
            <w:vAlign w:val="top"/>
          </w:tcPr>
          <w:p w14:paraId="297FC971">
            <w:pPr>
              <w:rPr>
                <w:rFonts w:ascii="Arial"/>
                <w:color w:val="auto"/>
                <w:sz w:val="21"/>
              </w:rPr>
            </w:pPr>
          </w:p>
        </w:tc>
        <w:tc>
          <w:tcPr>
            <w:tcW w:w="849" w:type="dxa"/>
            <w:gridSpan w:val="2"/>
            <w:vAlign w:val="top"/>
          </w:tcPr>
          <w:p w14:paraId="5F891ABF">
            <w:pPr>
              <w:rPr>
                <w:rFonts w:ascii="Arial"/>
                <w:color w:val="auto"/>
                <w:sz w:val="21"/>
              </w:rPr>
            </w:pPr>
          </w:p>
        </w:tc>
        <w:tc>
          <w:tcPr>
            <w:tcW w:w="7096" w:type="dxa"/>
            <w:gridSpan w:val="3"/>
            <w:vAlign w:val="top"/>
          </w:tcPr>
          <w:p w14:paraId="19A3B0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eastAsia" w:ascii="宋体" w:hAnsi="宋体" w:eastAsia="Times New Roman" w:cs="Times New Roman"/>
                <w:bCs/>
                <w:snapToGrid w:val="0"/>
                <w:color w:val="auto"/>
                <w:kern w:val="0"/>
                <w:sz w:val="21"/>
                <w:szCs w:val="20"/>
                <w:lang w:val="en-US" w:eastAsia="zh-CN" w:bidi="ar-SA"/>
              </w:rPr>
              <w:t>1</w:t>
            </w:r>
            <w:r>
              <w:rPr>
                <w:rFonts w:hint="default" w:ascii="宋体" w:hAnsi="宋体" w:eastAsia="Times New Roman" w:cs="Times New Roman"/>
                <w:bCs/>
                <w:snapToGrid w:val="0"/>
                <w:color w:val="auto"/>
                <w:kern w:val="0"/>
                <w:sz w:val="21"/>
                <w:szCs w:val="20"/>
                <w:lang w:val="en-US" w:eastAsia="en-US" w:bidi="ar-SA"/>
              </w:rPr>
              <w:t>0.送货专员在医院活动必须严格遵守采购人各项规章制度，不得做出有损采购人形象和利益的事情。</w:t>
            </w:r>
          </w:p>
          <w:p w14:paraId="6A9066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11.中标供应商不得泄露采购人的商业秘密。泄密造成采购人损失的，中标供应商将承担由此产生的一切损失和法律责任。</w:t>
            </w:r>
          </w:p>
          <w:p w14:paraId="205A2DB7">
            <w:pPr>
              <w:pStyle w:val="18"/>
              <w:spacing w:before="160" w:line="228" w:lineRule="auto"/>
              <w:ind w:left="113"/>
              <w:rPr>
                <w:color w:val="auto"/>
              </w:rPr>
            </w:pPr>
            <w:r>
              <w:rPr>
                <w:b/>
                <w:bCs/>
                <w:color w:val="auto"/>
                <w:spacing w:val="7"/>
              </w:rPr>
              <w:t>三、商品供货要求</w:t>
            </w:r>
          </w:p>
          <w:p w14:paraId="40A331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snapToGrid w:val="0"/>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1.肉类生产企业的资质证明（首次供应时提供）：《营业执照》《动物防疫合格证》《食品生产许可证》。</w:t>
            </w:r>
          </w:p>
          <w:p w14:paraId="7153A9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color w:val="auto"/>
              </w:rPr>
            </w:pPr>
            <w:r>
              <w:rPr>
                <w:rFonts w:hint="eastAsia" w:ascii="宋体" w:hAnsi="宋体" w:eastAsia="Times New Roman" w:cs="Times New Roman"/>
                <w:bCs/>
                <w:snapToGrid w:val="0"/>
                <w:color w:val="auto"/>
                <w:kern w:val="0"/>
                <w:sz w:val="21"/>
                <w:szCs w:val="20"/>
                <w:lang w:val="en-US" w:eastAsia="zh-CN" w:bidi="ar-SA"/>
              </w:rPr>
              <w:t>2.服从采购人的监督、协调、指导与管理。凡是《中华人民共和国食品安全法》禁止经营的食品一律不得采购和使用，严禁配送有毒、有害、过期、变质、假冒伪劣等不合格食品。</w:t>
            </w:r>
          </w:p>
        </w:tc>
      </w:tr>
      <w:tr w14:paraId="6A7E0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27" w:hRule="atLeast"/>
        </w:trPr>
        <w:tc>
          <w:tcPr>
            <w:tcW w:w="10144" w:type="dxa"/>
            <w:gridSpan w:val="10"/>
            <w:vAlign w:val="top"/>
          </w:tcPr>
          <w:p w14:paraId="5C3CCACA">
            <w:pPr>
              <w:pStyle w:val="18"/>
              <w:spacing w:before="33" w:line="228" w:lineRule="auto"/>
              <w:ind w:left="123"/>
              <w:rPr>
                <w:color w:val="auto"/>
              </w:rPr>
            </w:pPr>
            <w:r>
              <w:rPr>
                <w:b/>
                <w:bCs/>
                <w:color w:val="auto"/>
                <w:spacing w:val="6"/>
              </w:rPr>
              <w:t>▲商务要求</w:t>
            </w:r>
          </w:p>
        </w:tc>
      </w:tr>
      <w:tr w14:paraId="134D8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27" w:hRule="atLeast"/>
        </w:trPr>
        <w:tc>
          <w:tcPr>
            <w:tcW w:w="1786" w:type="dxa"/>
            <w:gridSpan w:val="2"/>
            <w:vAlign w:val="top"/>
          </w:tcPr>
          <w:p w14:paraId="38F868AC">
            <w:pPr>
              <w:pStyle w:val="18"/>
              <w:spacing w:before="34" w:line="229" w:lineRule="auto"/>
              <w:ind w:left="691"/>
              <w:rPr>
                <w:color w:val="auto"/>
              </w:rPr>
            </w:pPr>
            <w:r>
              <w:rPr>
                <w:b/>
                <w:bCs/>
                <w:color w:val="auto"/>
                <w:spacing w:val="2"/>
              </w:rPr>
              <w:t>项目</w:t>
            </w:r>
          </w:p>
        </w:tc>
        <w:tc>
          <w:tcPr>
            <w:tcW w:w="8358" w:type="dxa"/>
            <w:gridSpan w:val="8"/>
            <w:vAlign w:val="top"/>
          </w:tcPr>
          <w:p w14:paraId="76246B04">
            <w:pPr>
              <w:pStyle w:val="18"/>
              <w:spacing w:before="34" w:line="230" w:lineRule="auto"/>
              <w:ind w:left="3976"/>
              <w:rPr>
                <w:color w:val="auto"/>
              </w:rPr>
            </w:pPr>
            <w:r>
              <w:rPr>
                <w:b/>
                <w:bCs/>
                <w:color w:val="auto"/>
                <w:spacing w:val="3"/>
              </w:rPr>
              <w:t>要求</w:t>
            </w:r>
          </w:p>
        </w:tc>
      </w:tr>
      <w:tr w14:paraId="4C49D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27" w:hRule="atLeast"/>
        </w:trPr>
        <w:tc>
          <w:tcPr>
            <w:tcW w:w="1786" w:type="dxa"/>
            <w:gridSpan w:val="2"/>
            <w:vAlign w:val="top"/>
          </w:tcPr>
          <w:p w14:paraId="2B736E17">
            <w:pPr>
              <w:pStyle w:val="18"/>
              <w:spacing w:before="33" w:line="229" w:lineRule="auto"/>
              <w:ind w:left="376"/>
              <w:rPr>
                <w:color w:val="auto"/>
              </w:rPr>
            </w:pPr>
            <w:r>
              <w:rPr>
                <w:color w:val="auto"/>
                <w:spacing w:val="7"/>
              </w:rPr>
              <w:t>合同签订期</w:t>
            </w:r>
          </w:p>
        </w:tc>
        <w:tc>
          <w:tcPr>
            <w:tcW w:w="8358" w:type="dxa"/>
            <w:gridSpan w:val="8"/>
            <w:vAlign w:val="top"/>
          </w:tcPr>
          <w:p w14:paraId="6BE8D774">
            <w:pPr>
              <w:pStyle w:val="18"/>
              <w:spacing w:before="33" w:line="228" w:lineRule="auto"/>
              <w:ind w:left="146"/>
              <w:rPr>
                <w:color w:val="auto"/>
              </w:rPr>
            </w:pPr>
            <w:r>
              <w:rPr>
                <w:color w:val="auto"/>
                <w:spacing w:val="6"/>
              </w:rPr>
              <w:t>自中标通知书发出之日起</w:t>
            </w:r>
            <w:r>
              <w:rPr>
                <w:color w:val="auto"/>
                <w:spacing w:val="-27"/>
              </w:rPr>
              <w:t xml:space="preserve"> </w:t>
            </w:r>
            <w:r>
              <w:rPr>
                <w:color w:val="auto"/>
                <w:spacing w:val="6"/>
              </w:rPr>
              <w:t>25</w:t>
            </w:r>
            <w:r>
              <w:rPr>
                <w:color w:val="auto"/>
                <w:spacing w:val="-40"/>
              </w:rPr>
              <w:t xml:space="preserve"> </w:t>
            </w:r>
            <w:r>
              <w:rPr>
                <w:color w:val="auto"/>
                <w:spacing w:val="6"/>
              </w:rPr>
              <w:t>个日历日内签订合同。</w:t>
            </w:r>
          </w:p>
        </w:tc>
      </w:tr>
      <w:tr w14:paraId="689B4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860" w:hRule="atLeast"/>
        </w:trPr>
        <w:tc>
          <w:tcPr>
            <w:tcW w:w="1786" w:type="dxa"/>
            <w:gridSpan w:val="2"/>
            <w:vAlign w:val="top"/>
          </w:tcPr>
          <w:p w14:paraId="135E167B">
            <w:pPr>
              <w:pStyle w:val="18"/>
              <w:spacing w:before="74" w:line="379" w:lineRule="auto"/>
              <w:ind w:left="689" w:right="157" w:hanging="525"/>
              <w:rPr>
                <w:color w:val="auto"/>
              </w:rPr>
            </w:pPr>
            <w:r>
              <w:rPr>
                <w:color w:val="auto"/>
                <w:spacing w:val="8"/>
              </w:rPr>
              <w:t>服务期限及服务</w:t>
            </w:r>
            <w:r>
              <w:rPr>
                <w:color w:val="auto"/>
                <w:spacing w:val="4"/>
              </w:rPr>
              <w:t>地点</w:t>
            </w:r>
          </w:p>
        </w:tc>
        <w:tc>
          <w:tcPr>
            <w:tcW w:w="8358" w:type="dxa"/>
            <w:gridSpan w:val="8"/>
            <w:vAlign w:val="top"/>
          </w:tcPr>
          <w:p w14:paraId="68497D10">
            <w:pPr>
              <w:pStyle w:val="18"/>
              <w:spacing w:before="32" w:line="228" w:lineRule="auto"/>
              <w:ind w:left="127"/>
              <w:rPr>
                <w:color w:val="auto"/>
              </w:rPr>
            </w:pPr>
            <w:r>
              <w:rPr>
                <w:color w:val="auto"/>
                <w:spacing w:val="4"/>
              </w:rPr>
              <w:t>1.服务期限：</w:t>
            </w:r>
            <w:r>
              <w:rPr>
                <w:color w:val="auto"/>
                <w:spacing w:val="-37"/>
              </w:rPr>
              <w:t xml:space="preserve"> </w:t>
            </w:r>
            <w:r>
              <w:rPr>
                <w:color w:val="auto"/>
                <w:spacing w:val="4"/>
              </w:rPr>
              <w:t>自合同签订之日起</w:t>
            </w:r>
            <w:r>
              <w:rPr>
                <w:rFonts w:hint="eastAsia"/>
                <w:color w:val="auto"/>
                <w:spacing w:val="4"/>
                <w:lang w:val="en-US" w:eastAsia="zh-CN"/>
              </w:rPr>
              <w:t>一</w:t>
            </w:r>
            <w:r>
              <w:rPr>
                <w:color w:val="auto"/>
                <w:spacing w:val="4"/>
              </w:rPr>
              <w:t>年。</w:t>
            </w:r>
          </w:p>
          <w:p w14:paraId="1FF26514">
            <w:pPr>
              <w:pStyle w:val="18"/>
              <w:spacing w:before="160" w:line="228" w:lineRule="auto"/>
              <w:ind w:left="114"/>
              <w:rPr>
                <w:color w:val="auto"/>
              </w:rPr>
            </w:pPr>
            <w:r>
              <w:rPr>
                <w:color w:val="auto"/>
                <w:spacing w:val="10"/>
              </w:rPr>
              <w:t>2.服务地点：</w:t>
            </w:r>
            <w:r>
              <w:rPr>
                <w:rFonts w:hint="eastAsia"/>
                <w:color w:val="auto"/>
                <w:spacing w:val="15"/>
                <w:lang w:val="en-US" w:eastAsia="zh-CN"/>
              </w:rPr>
              <w:t>防城港市第一人民医院文昌院区和防城院区</w:t>
            </w:r>
            <w:r>
              <w:rPr>
                <w:color w:val="auto"/>
                <w:spacing w:val="-55"/>
              </w:rPr>
              <w:t xml:space="preserve"> </w:t>
            </w:r>
            <w:r>
              <w:rPr>
                <w:color w:val="auto"/>
                <w:spacing w:val="10"/>
              </w:rPr>
              <w:t>。</w:t>
            </w:r>
          </w:p>
        </w:tc>
      </w:tr>
      <w:tr w14:paraId="36379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2333" w:hRule="atLeast"/>
        </w:trPr>
        <w:tc>
          <w:tcPr>
            <w:tcW w:w="1786" w:type="dxa"/>
            <w:gridSpan w:val="2"/>
            <w:vAlign w:val="top"/>
          </w:tcPr>
          <w:p w14:paraId="04738444">
            <w:pPr>
              <w:spacing w:line="246" w:lineRule="auto"/>
              <w:rPr>
                <w:rFonts w:ascii="Arial"/>
                <w:color w:val="auto"/>
                <w:sz w:val="21"/>
              </w:rPr>
            </w:pPr>
          </w:p>
          <w:p w14:paraId="69EEBFC0">
            <w:pPr>
              <w:spacing w:line="246" w:lineRule="auto"/>
              <w:rPr>
                <w:rFonts w:ascii="Arial"/>
                <w:color w:val="auto"/>
                <w:sz w:val="21"/>
              </w:rPr>
            </w:pPr>
          </w:p>
          <w:p w14:paraId="71923D19">
            <w:pPr>
              <w:spacing w:line="246" w:lineRule="auto"/>
              <w:rPr>
                <w:rFonts w:ascii="Arial"/>
                <w:color w:val="auto"/>
                <w:sz w:val="21"/>
              </w:rPr>
            </w:pPr>
          </w:p>
          <w:p w14:paraId="0C5AA0D4">
            <w:pPr>
              <w:spacing w:line="247" w:lineRule="auto"/>
              <w:rPr>
                <w:rFonts w:ascii="Arial"/>
                <w:color w:val="auto"/>
                <w:sz w:val="21"/>
              </w:rPr>
            </w:pPr>
          </w:p>
          <w:p w14:paraId="1DAB9869">
            <w:pPr>
              <w:pStyle w:val="18"/>
              <w:spacing w:before="65" w:line="228" w:lineRule="auto"/>
              <w:ind w:left="164"/>
              <w:rPr>
                <w:color w:val="auto"/>
              </w:rPr>
            </w:pPr>
            <w:r>
              <w:rPr>
                <w:color w:val="auto"/>
                <w:spacing w:val="8"/>
              </w:rPr>
              <w:t>付款方式及条件</w:t>
            </w:r>
          </w:p>
        </w:tc>
        <w:tc>
          <w:tcPr>
            <w:tcW w:w="8358" w:type="dxa"/>
            <w:gridSpan w:val="8"/>
            <w:vAlign w:val="top"/>
          </w:tcPr>
          <w:p w14:paraId="4FD56602">
            <w:pPr>
              <w:pStyle w:val="18"/>
              <w:spacing w:before="34" w:line="377" w:lineRule="auto"/>
              <w:ind w:left="111" w:right="37" w:firstLine="439"/>
              <w:jc w:val="both"/>
              <w:rPr>
                <w:color w:val="auto"/>
              </w:rPr>
            </w:pPr>
            <w:r>
              <w:rPr>
                <w:color w:val="auto"/>
                <w:spacing w:val="4"/>
              </w:rPr>
              <w:t>中标供应商的送货单必须详细注明商品的时间、品种、单价、数量、送货单不得涂改。</w:t>
            </w:r>
            <w:r>
              <w:rPr>
                <w:color w:val="auto"/>
                <w:spacing w:val="10"/>
              </w:rPr>
              <w:t>标记不清的，采购人将拒绝签收。结算期末中标供应商还应提供送货清单供采购人结算。</w:t>
            </w:r>
            <w:r>
              <w:rPr>
                <w:color w:val="auto"/>
                <w:spacing w:val="8"/>
              </w:rPr>
              <w:t>双方核对无误后签字确认。</w:t>
            </w:r>
          </w:p>
          <w:p w14:paraId="00B72DC4">
            <w:pPr>
              <w:pStyle w:val="18"/>
              <w:spacing w:before="2" w:line="364" w:lineRule="auto"/>
              <w:ind w:left="119" w:right="107" w:firstLine="425"/>
              <w:jc w:val="both"/>
              <w:rPr>
                <w:color w:val="auto"/>
              </w:rPr>
            </w:pPr>
            <w:r>
              <w:rPr>
                <w:rFonts w:hint="eastAsia"/>
                <w:color w:val="auto"/>
                <w:spacing w:val="8"/>
              </w:rPr>
              <w:t>货款按月以采购人实际购买的种类及数量结算，中标供应商按月开具全额发票给采购人，采购人自收到发票之日起</w:t>
            </w:r>
            <w:r>
              <w:rPr>
                <w:rFonts w:hint="eastAsia"/>
                <w:color w:val="auto"/>
                <w:spacing w:val="8"/>
                <w:lang w:val="en-US" w:eastAsia="zh-CN"/>
              </w:rPr>
              <w:t>15</w:t>
            </w:r>
            <w:r>
              <w:rPr>
                <w:rFonts w:hint="eastAsia"/>
                <w:color w:val="auto"/>
                <w:spacing w:val="8"/>
              </w:rPr>
              <w:t>个工作日内付清货款。</w:t>
            </w:r>
          </w:p>
        </w:tc>
      </w:tr>
      <w:tr w14:paraId="1734E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980" w:hRule="atLeast"/>
        </w:trPr>
        <w:tc>
          <w:tcPr>
            <w:tcW w:w="1786" w:type="dxa"/>
            <w:gridSpan w:val="2"/>
            <w:vAlign w:val="top"/>
          </w:tcPr>
          <w:p w14:paraId="1636910E">
            <w:pPr>
              <w:spacing w:line="260" w:lineRule="auto"/>
              <w:rPr>
                <w:rFonts w:ascii="Arial"/>
                <w:color w:val="auto"/>
                <w:sz w:val="21"/>
              </w:rPr>
            </w:pPr>
          </w:p>
          <w:p w14:paraId="7CFFCA6A">
            <w:pPr>
              <w:spacing w:line="260" w:lineRule="auto"/>
              <w:rPr>
                <w:rFonts w:ascii="Arial"/>
                <w:color w:val="auto"/>
                <w:sz w:val="21"/>
              </w:rPr>
            </w:pPr>
          </w:p>
          <w:p w14:paraId="6FDDD780">
            <w:pPr>
              <w:spacing w:line="261" w:lineRule="auto"/>
              <w:rPr>
                <w:rFonts w:ascii="Arial"/>
                <w:color w:val="auto"/>
                <w:sz w:val="21"/>
              </w:rPr>
            </w:pPr>
          </w:p>
          <w:p w14:paraId="657FE3D9">
            <w:pPr>
              <w:pStyle w:val="18"/>
              <w:spacing w:before="65" w:line="227" w:lineRule="auto"/>
              <w:ind w:left="272"/>
              <w:rPr>
                <w:color w:val="auto"/>
              </w:rPr>
            </w:pPr>
            <w:r>
              <w:rPr>
                <w:color w:val="auto"/>
                <w:spacing w:val="7"/>
              </w:rPr>
              <w:t>投标报价要求</w:t>
            </w:r>
          </w:p>
        </w:tc>
        <w:tc>
          <w:tcPr>
            <w:tcW w:w="8358" w:type="dxa"/>
            <w:gridSpan w:val="8"/>
            <w:vAlign w:val="top"/>
          </w:tcPr>
          <w:p w14:paraId="0346FEC6">
            <w:pPr>
              <w:pStyle w:val="18"/>
              <w:numPr>
                <w:ilvl w:val="0"/>
                <w:numId w:val="0"/>
              </w:numPr>
              <w:spacing w:before="35" w:line="302" w:lineRule="auto"/>
              <w:ind w:left="113" w:leftChars="0" w:firstLine="430" w:firstLineChars="0"/>
              <w:rPr>
                <w:color w:val="auto"/>
              </w:rPr>
            </w:pPr>
            <w:r>
              <w:rPr>
                <w:rFonts w:ascii="宋体" w:hAnsi="宋体" w:eastAsia="宋体" w:cs="宋体"/>
                <w:snapToGrid w:val="0"/>
                <w:color w:val="auto"/>
                <w:kern w:val="0"/>
                <w:sz w:val="20"/>
                <w:szCs w:val="20"/>
                <w:lang w:val="en-US" w:eastAsia="en-US" w:bidi="ar-SA"/>
              </w:rPr>
              <w:t>1.</w:t>
            </w:r>
            <w:r>
              <w:rPr>
                <w:color w:val="auto"/>
                <w:spacing w:val="3"/>
              </w:rPr>
              <w:t>投标报价按折扣报价。</w:t>
            </w:r>
            <w:r>
              <w:rPr>
                <w:color w:val="auto"/>
                <w:spacing w:val="7"/>
              </w:rPr>
              <w:t>折扣报价最高不超过</w:t>
            </w:r>
            <w:r>
              <w:rPr>
                <w:color w:val="auto"/>
                <w:spacing w:val="-35"/>
              </w:rPr>
              <w:t xml:space="preserve"> </w:t>
            </w:r>
            <w:r>
              <w:rPr>
                <w:color w:val="auto"/>
                <w:spacing w:val="7"/>
              </w:rPr>
              <w:t>9</w:t>
            </w:r>
            <w:r>
              <w:rPr>
                <w:rFonts w:hint="eastAsia"/>
                <w:color w:val="auto"/>
                <w:spacing w:val="7"/>
                <w:lang w:val="en-US" w:eastAsia="zh-CN"/>
              </w:rPr>
              <w:t>2</w:t>
            </w:r>
            <w:r>
              <w:rPr>
                <w:color w:val="auto"/>
                <w:spacing w:val="7"/>
              </w:rPr>
              <w:t>%，即要求折扣报价范围≤9</w:t>
            </w:r>
            <w:r>
              <w:rPr>
                <w:rFonts w:hint="eastAsia"/>
                <w:color w:val="auto"/>
                <w:spacing w:val="7"/>
                <w:lang w:val="en-US" w:eastAsia="zh-CN"/>
              </w:rPr>
              <w:t>2</w:t>
            </w:r>
            <w:r>
              <w:rPr>
                <w:color w:val="auto"/>
                <w:spacing w:val="7"/>
              </w:rPr>
              <w:t>%，否则，作无效报价处理。</w:t>
            </w:r>
          </w:p>
          <w:p w14:paraId="7251412B">
            <w:pPr>
              <w:pStyle w:val="18"/>
              <w:numPr>
                <w:ilvl w:val="0"/>
                <w:numId w:val="0"/>
              </w:numPr>
              <w:spacing w:before="35" w:line="302" w:lineRule="auto"/>
              <w:ind w:left="113" w:leftChars="0" w:firstLine="430" w:firstLineChars="0"/>
              <w:rPr>
                <w:color w:val="auto"/>
                <w:spacing w:val="8"/>
              </w:rPr>
            </w:pPr>
            <w:r>
              <w:rPr>
                <w:rFonts w:hint="eastAsia" w:ascii="宋体" w:hAnsi="宋体" w:eastAsia="宋体" w:cs="宋体"/>
                <w:snapToGrid w:val="0"/>
                <w:color w:val="auto"/>
                <w:kern w:val="0"/>
                <w:sz w:val="20"/>
                <w:szCs w:val="20"/>
                <w:lang w:val="en-US" w:eastAsia="zh-CN" w:bidi="ar-SA"/>
              </w:rPr>
              <w:t>2.</w:t>
            </w:r>
            <w:r>
              <w:rPr>
                <w:rFonts w:ascii="宋体" w:hAnsi="宋体" w:eastAsia="宋体" w:cs="宋体"/>
                <w:snapToGrid w:val="0"/>
                <w:color w:val="auto"/>
                <w:kern w:val="0"/>
                <w:sz w:val="20"/>
                <w:szCs w:val="20"/>
                <w:lang w:val="en-US" w:eastAsia="en-US" w:bidi="ar-SA"/>
              </w:rPr>
              <w:t>投标中标折扣将作为食材或货物实际结算的合同折扣率，结算时以实际采购量进行结算。基准价每</w:t>
            </w:r>
            <w:r>
              <w:rPr>
                <w:rFonts w:hint="eastAsia" w:ascii="宋体" w:hAnsi="宋体" w:eastAsia="宋体" w:cs="宋体"/>
                <w:snapToGrid w:val="0"/>
                <w:color w:val="auto"/>
                <w:kern w:val="0"/>
                <w:sz w:val="20"/>
                <w:szCs w:val="20"/>
                <w:lang w:val="en-US" w:eastAsia="zh-CN" w:bidi="ar-SA"/>
              </w:rPr>
              <w:t>一</w:t>
            </w:r>
            <w:r>
              <w:rPr>
                <w:rFonts w:ascii="宋体" w:hAnsi="宋体" w:eastAsia="宋体" w:cs="宋体"/>
                <w:snapToGrid w:val="0"/>
                <w:color w:val="auto"/>
                <w:kern w:val="0"/>
                <w:sz w:val="20"/>
                <w:szCs w:val="20"/>
                <w:lang w:val="en-US" w:eastAsia="en-US" w:bidi="ar-SA"/>
              </w:rPr>
              <w:t>个月更新一次，由采购人抽选</w:t>
            </w:r>
            <w:r>
              <w:rPr>
                <w:rFonts w:hint="eastAsia" w:ascii="宋体" w:hAnsi="宋体" w:eastAsia="宋体" w:cs="宋体"/>
                <w:snapToGrid w:val="0"/>
                <w:color w:val="auto"/>
                <w:kern w:val="0"/>
                <w:sz w:val="20"/>
                <w:szCs w:val="20"/>
                <w:lang w:val="en-US" w:eastAsia="zh-CN" w:bidi="ar-SA"/>
              </w:rPr>
              <w:t>防城港</w:t>
            </w:r>
            <w:r>
              <w:rPr>
                <w:rFonts w:ascii="宋体" w:hAnsi="宋体" w:eastAsia="宋体" w:cs="宋体"/>
                <w:snapToGrid w:val="0"/>
                <w:color w:val="auto"/>
                <w:kern w:val="0"/>
                <w:sz w:val="20"/>
                <w:szCs w:val="20"/>
                <w:lang w:val="en-US" w:eastAsia="en-US" w:bidi="ar-SA"/>
              </w:rPr>
              <w:t>市内各农贸市场、蔬菜批发市场、大型超市等三家（或以上）超市或商家，与中标供应商一起对需采购的食材进行市场询价</w:t>
            </w:r>
            <w:r>
              <w:rPr>
                <w:rFonts w:hint="eastAsia" w:ascii="宋体" w:hAnsi="宋体" w:eastAsia="宋体" w:cs="宋体"/>
                <w:snapToGrid w:val="0"/>
                <w:color w:val="auto"/>
                <w:kern w:val="0"/>
                <w:sz w:val="20"/>
                <w:szCs w:val="20"/>
                <w:lang w:val="en-US" w:eastAsia="zh-CN" w:bidi="ar-SA"/>
              </w:rPr>
              <w:t>，</w:t>
            </w:r>
            <w:r>
              <w:rPr>
                <w:rFonts w:ascii="宋体" w:hAnsi="宋体" w:eastAsia="宋体" w:cs="宋体"/>
                <w:snapToGrid w:val="0"/>
                <w:color w:val="auto"/>
                <w:kern w:val="0"/>
                <w:sz w:val="20"/>
                <w:szCs w:val="20"/>
                <w:lang w:val="en-US" w:eastAsia="en-US" w:bidi="ar-SA"/>
              </w:rPr>
              <w:t>中标供应商根据市场询价的最低价（特价、会员价除外）为基准价</w:t>
            </w:r>
            <w:r>
              <w:rPr>
                <w:rFonts w:hint="eastAsia" w:ascii="宋体" w:hAnsi="宋体" w:eastAsia="宋体" w:cs="宋体"/>
                <w:snapToGrid w:val="0"/>
                <w:color w:val="auto"/>
                <w:kern w:val="0"/>
                <w:sz w:val="20"/>
                <w:szCs w:val="20"/>
                <w:lang w:val="en-US" w:eastAsia="zh-CN" w:bidi="ar-SA"/>
              </w:rPr>
              <w:t>，</w:t>
            </w:r>
            <w:r>
              <w:rPr>
                <w:rFonts w:ascii="宋体" w:hAnsi="宋体" w:eastAsia="宋体" w:cs="宋体"/>
                <w:snapToGrid w:val="0"/>
                <w:color w:val="auto"/>
                <w:kern w:val="0"/>
                <w:sz w:val="20"/>
                <w:szCs w:val="20"/>
                <w:lang w:val="en-US" w:eastAsia="en-US" w:bidi="ar-SA"/>
              </w:rPr>
              <w:t>结算单价=基准价×中标折扣，作为下个月物品采购价执行。结算价款按实际采购数量乘以结算单价。</w:t>
            </w:r>
          </w:p>
          <w:p w14:paraId="2F6E03F5">
            <w:pPr>
              <w:pStyle w:val="18"/>
              <w:numPr>
                <w:ilvl w:val="0"/>
                <w:numId w:val="0"/>
              </w:numPr>
              <w:spacing w:before="35" w:line="302" w:lineRule="auto"/>
              <w:ind w:left="113" w:leftChars="0" w:firstLine="430" w:firstLineChars="0"/>
              <w:rPr>
                <w:rFonts w:hint="eastAsia" w:ascii="宋体" w:hAnsi="宋体" w:eastAsia="宋体" w:cs="宋体"/>
                <w:snapToGrid w:val="0"/>
                <w:color w:val="auto"/>
                <w:kern w:val="0"/>
                <w:sz w:val="20"/>
                <w:szCs w:val="20"/>
                <w:lang w:val="en-US" w:eastAsia="zh-CN" w:bidi="ar-SA"/>
              </w:rPr>
            </w:pPr>
            <w:r>
              <w:rPr>
                <w:rFonts w:hint="eastAsia" w:ascii="宋体" w:hAnsi="宋体" w:eastAsia="宋体" w:cs="宋体"/>
                <w:snapToGrid w:val="0"/>
                <w:color w:val="auto"/>
                <w:kern w:val="0"/>
                <w:sz w:val="20"/>
                <w:szCs w:val="20"/>
                <w:lang w:val="en-US" w:eastAsia="en-US" w:bidi="ar-SA"/>
              </w:rPr>
              <w:t>3.</w:t>
            </w:r>
            <w:r>
              <w:rPr>
                <w:rFonts w:hint="eastAsia" w:ascii="宋体" w:hAnsi="宋体" w:eastAsia="宋体" w:cs="宋体"/>
                <w:snapToGrid w:val="0"/>
                <w:color w:val="auto"/>
                <w:kern w:val="0"/>
                <w:sz w:val="20"/>
                <w:szCs w:val="20"/>
                <w:lang w:val="en-US" w:eastAsia="zh-CN" w:bidi="ar-SA"/>
              </w:rPr>
              <w:t>中标供应商依据采购人提供的食品采购需求计划，在规定时间内向采购人食堂配送食品及食堂加工原料物品等。</w:t>
            </w:r>
          </w:p>
          <w:p w14:paraId="1488BF93">
            <w:pPr>
              <w:pStyle w:val="18"/>
              <w:numPr>
                <w:ilvl w:val="0"/>
                <w:numId w:val="0"/>
              </w:numPr>
              <w:spacing w:before="35" w:line="302" w:lineRule="auto"/>
              <w:ind w:left="113" w:leftChars="0" w:firstLine="430" w:firstLineChars="0"/>
              <w:rPr>
                <w:rFonts w:hint="eastAsia" w:ascii="宋体" w:hAnsi="宋体" w:eastAsia="宋体" w:cs="宋体"/>
                <w:snapToGrid w:val="0"/>
                <w:color w:val="auto"/>
                <w:kern w:val="0"/>
                <w:sz w:val="20"/>
                <w:szCs w:val="20"/>
                <w:lang w:val="en-US" w:eastAsia="zh-CN" w:bidi="ar-SA"/>
              </w:rPr>
            </w:pPr>
            <w:r>
              <w:rPr>
                <w:rFonts w:hint="eastAsia" w:ascii="宋体" w:hAnsi="宋体" w:eastAsia="宋体" w:cs="宋体"/>
                <w:snapToGrid w:val="0"/>
                <w:color w:val="auto"/>
                <w:kern w:val="0"/>
                <w:sz w:val="20"/>
                <w:szCs w:val="20"/>
                <w:lang w:val="en-US" w:eastAsia="en-US" w:bidi="ar-SA"/>
              </w:rPr>
              <w:t>4.</w:t>
            </w:r>
            <w:r>
              <w:rPr>
                <w:rFonts w:hint="eastAsia" w:ascii="宋体" w:hAnsi="宋体" w:eastAsia="宋体" w:cs="宋体"/>
                <w:snapToGrid w:val="0"/>
                <w:color w:val="auto"/>
                <w:kern w:val="0"/>
                <w:sz w:val="20"/>
                <w:szCs w:val="20"/>
                <w:lang w:val="en-US" w:eastAsia="zh-CN" w:bidi="ar-SA"/>
              </w:rPr>
              <w:t>中标供应商的上述价格包含原料费、运输费、人工费、交货验收费、税费等。</w:t>
            </w:r>
          </w:p>
          <w:p w14:paraId="61D84449">
            <w:pPr>
              <w:pStyle w:val="18"/>
              <w:numPr>
                <w:ilvl w:val="0"/>
                <w:numId w:val="0"/>
              </w:numPr>
              <w:spacing w:before="35" w:line="302" w:lineRule="auto"/>
              <w:ind w:left="113" w:leftChars="0" w:firstLine="430" w:firstLineChars="0"/>
              <w:rPr>
                <w:rFonts w:hint="eastAsia" w:ascii="宋体" w:hAnsi="宋体" w:eastAsia="宋体" w:cs="宋体"/>
                <w:snapToGrid w:val="0"/>
                <w:color w:val="auto"/>
                <w:kern w:val="0"/>
                <w:sz w:val="20"/>
                <w:szCs w:val="20"/>
                <w:lang w:val="en-US" w:eastAsia="zh-CN" w:bidi="ar-SA"/>
              </w:rPr>
            </w:pPr>
            <w:r>
              <w:rPr>
                <w:rFonts w:hint="eastAsia" w:ascii="宋体" w:hAnsi="宋体" w:eastAsia="宋体" w:cs="宋体"/>
                <w:snapToGrid w:val="0"/>
                <w:color w:val="auto"/>
                <w:kern w:val="0"/>
                <w:sz w:val="20"/>
                <w:szCs w:val="20"/>
                <w:lang w:val="en-US" w:eastAsia="zh-CN" w:bidi="ar-SA"/>
              </w:rPr>
              <w:t>5.中标供应商承诺给予采购人优惠，具体如下：</w:t>
            </w:r>
          </w:p>
          <w:p w14:paraId="1D819914">
            <w:pPr>
              <w:pStyle w:val="18"/>
              <w:numPr>
                <w:ilvl w:val="0"/>
                <w:numId w:val="0"/>
              </w:numPr>
              <w:spacing w:before="35" w:line="302" w:lineRule="auto"/>
              <w:ind w:left="113" w:leftChars="0" w:firstLine="430" w:firstLineChars="0"/>
              <w:rPr>
                <w:rFonts w:hint="eastAsia" w:ascii="宋体" w:hAnsi="宋体" w:eastAsia="宋体" w:cs="宋体"/>
                <w:snapToGrid w:val="0"/>
                <w:color w:val="auto"/>
                <w:kern w:val="0"/>
                <w:sz w:val="20"/>
                <w:szCs w:val="20"/>
                <w:lang w:val="en-US" w:eastAsia="zh-CN" w:bidi="ar-SA"/>
              </w:rPr>
            </w:pPr>
            <w:r>
              <w:rPr>
                <w:rFonts w:hint="eastAsia" w:ascii="宋体" w:hAnsi="宋体" w:eastAsia="宋体" w:cs="宋体"/>
                <w:snapToGrid w:val="0"/>
                <w:color w:val="auto"/>
                <w:kern w:val="0"/>
                <w:sz w:val="20"/>
                <w:szCs w:val="20"/>
                <w:lang w:val="en-US" w:eastAsia="zh-CN" w:bidi="ar-SA"/>
              </w:rPr>
              <w:t>（1）保证产品质量的同时，价格不得高于市场价格。</w:t>
            </w:r>
          </w:p>
          <w:p w14:paraId="6984B4AB">
            <w:pPr>
              <w:pStyle w:val="18"/>
              <w:numPr>
                <w:ilvl w:val="0"/>
                <w:numId w:val="0"/>
              </w:numPr>
              <w:spacing w:before="35" w:line="302" w:lineRule="auto"/>
              <w:ind w:left="113" w:leftChars="0" w:firstLine="430" w:firstLineChars="0"/>
              <w:rPr>
                <w:color w:val="auto"/>
              </w:rPr>
            </w:pPr>
            <w:r>
              <w:rPr>
                <w:rFonts w:hint="eastAsia" w:ascii="宋体" w:hAnsi="宋体" w:eastAsia="宋体" w:cs="宋体"/>
                <w:snapToGrid w:val="0"/>
                <w:color w:val="auto"/>
                <w:kern w:val="0"/>
                <w:sz w:val="20"/>
                <w:szCs w:val="20"/>
                <w:lang w:val="en-US" w:eastAsia="zh-CN" w:bidi="ar-SA"/>
              </w:rPr>
              <w:t>（2）如签收后 12 小时内发现出现质量问题，无条件一小时内完成更换。</w:t>
            </w:r>
          </w:p>
        </w:tc>
      </w:tr>
      <w:tr w14:paraId="2C3FE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920" w:hRule="atLeast"/>
        </w:trPr>
        <w:tc>
          <w:tcPr>
            <w:tcW w:w="1786" w:type="dxa"/>
            <w:gridSpan w:val="2"/>
            <w:vAlign w:val="top"/>
          </w:tcPr>
          <w:p w14:paraId="47DFFBF1">
            <w:pPr>
              <w:pStyle w:val="18"/>
              <w:spacing w:before="65" w:line="227" w:lineRule="auto"/>
              <w:ind w:left="272"/>
              <w:rPr>
                <w:rFonts w:hint="eastAsia"/>
                <w:color w:val="auto"/>
                <w:spacing w:val="7"/>
                <w:lang w:eastAsia="zh-CN"/>
              </w:rPr>
            </w:pPr>
          </w:p>
          <w:p w14:paraId="4D9A44D8">
            <w:pPr>
              <w:pStyle w:val="18"/>
              <w:spacing w:before="65" w:line="227" w:lineRule="auto"/>
              <w:ind w:left="272"/>
              <w:rPr>
                <w:rFonts w:hint="eastAsia"/>
                <w:color w:val="auto"/>
                <w:spacing w:val="7"/>
                <w:lang w:eastAsia="zh-CN"/>
              </w:rPr>
            </w:pPr>
          </w:p>
          <w:p w14:paraId="047ACE8A">
            <w:pPr>
              <w:pStyle w:val="18"/>
              <w:spacing w:before="65" w:line="227" w:lineRule="auto"/>
              <w:ind w:left="272"/>
              <w:rPr>
                <w:rFonts w:hint="eastAsia"/>
                <w:color w:val="auto"/>
                <w:spacing w:val="7"/>
                <w:lang w:eastAsia="zh-CN"/>
              </w:rPr>
            </w:pPr>
          </w:p>
          <w:p w14:paraId="1DC8DA3C">
            <w:pPr>
              <w:pStyle w:val="18"/>
              <w:spacing w:before="65" w:line="227" w:lineRule="auto"/>
              <w:ind w:left="272"/>
              <w:rPr>
                <w:rFonts w:hint="eastAsia"/>
                <w:color w:val="auto"/>
                <w:spacing w:val="7"/>
                <w:lang w:eastAsia="zh-CN"/>
              </w:rPr>
            </w:pPr>
          </w:p>
          <w:p w14:paraId="322DF2D7">
            <w:pPr>
              <w:pStyle w:val="18"/>
              <w:spacing w:before="65" w:line="227" w:lineRule="auto"/>
              <w:ind w:left="272"/>
              <w:rPr>
                <w:rFonts w:hint="eastAsia"/>
                <w:color w:val="auto"/>
                <w:spacing w:val="7"/>
                <w:lang w:eastAsia="zh-CN"/>
              </w:rPr>
            </w:pPr>
          </w:p>
          <w:p w14:paraId="0110D7FE">
            <w:pPr>
              <w:pStyle w:val="18"/>
              <w:spacing w:before="65" w:line="227" w:lineRule="auto"/>
              <w:ind w:left="272"/>
              <w:rPr>
                <w:rFonts w:hint="eastAsia"/>
                <w:color w:val="auto"/>
                <w:spacing w:val="7"/>
                <w:lang w:eastAsia="zh-CN"/>
              </w:rPr>
            </w:pPr>
          </w:p>
          <w:p w14:paraId="4B3F2FDD">
            <w:pPr>
              <w:pStyle w:val="18"/>
              <w:spacing w:before="65" w:line="227" w:lineRule="auto"/>
              <w:ind w:left="272"/>
              <w:rPr>
                <w:rFonts w:hint="eastAsia"/>
                <w:color w:val="auto"/>
                <w:spacing w:val="7"/>
                <w:lang w:eastAsia="zh-CN"/>
              </w:rPr>
            </w:pPr>
            <w:r>
              <w:rPr>
                <w:rFonts w:hint="eastAsia"/>
                <w:color w:val="auto"/>
                <w:spacing w:val="7"/>
                <w:lang w:eastAsia="zh-CN"/>
              </w:rPr>
              <w:t>验收标准</w:t>
            </w:r>
          </w:p>
        </w:tc>
        <w:tc>
          <w:tcPr>
            <w:tcW w:w="8358" w:type="dxa"/>
            <w:gridSpan w:val="8"/>
            <w:vAlign w:val="top"/>
          </w:tcPr>
          <w:p w14:paraId="58A6B2CC">
            <w:pPr>
              <w:pStyle w:val="18"/>
              <w:spacing w:before="34" w:line="377" w:lineRule="auto"/>
              <w:ind w:left="110" w:right="107" w:firstLine="420"/>
              <w:jc w:val="both"/>
              <w:rPr>
                <w:color w:val="auto"/>
              </w:rPr>
            </w:pPr>
            <w:r>
              <w:rPr>
                <w:color w:val="auto"/>
                <w:spacing w:val="9"/>
              </w:rPr>
              <w:t>物料的验收工作由采购人和中标供应商共同进行。</w:t>
            </w:r>
            <w:r>
              <w:rPr>
                <w:color w:val="auto"/>
                <w:spacing w:val="8"/>
              </w:rPr>
              <w:t>中标供应商提供的产品须经过采购</w:t>
            </w:r>
            <w:r>
              <w:rPr>
                <w:color w:val="auto"/>
                <w:spacing w:val="9"/>
              </w:rPr>
              <w:t>人指定人的感官检验、外观检验和试用检验，若产品外</w:t>
            </w:r>
            <w:r>
              <w:rPr>
                <w:color w:val="auto"/>
                <w:spacing w:val="8"/>
              </w:rPr>
              <w:t>观、包装、形式不符合要求、感官</w:t>
            </w:r>
            <w:r>
              <w:rPr>
                <w:color w:val="auto"/>
                <w:spacing w:val="9"/>
              </w:rPr>
              <w:t>检验不能达到食品卫生要求，当即拒收；中标供应商不能满足</w:t>
            </w:r>
            <w:r>
              <w:rPr>
                <w:color w:val="auto"/>
                <w:spacing w:val="8"/>
              </w:rPr>
              <w:t>食品的质、量及售后服务要求时，采购人有权进行处罚。</w:t>
            </w:r>
          </w:p>
          <w:p w14:paraId="7E7C6C0A">
            <w:pPr>
              <w:pStyle w:val="18"/>
              <w:spacing w:before="2" w:line="376" w:lineRule="auto"/>
              <w:ind w:left="110" w:right="107" w:firstLine="419"/>
              <w:jc w:val="both"/>
              <w:rPr>
                <w:color w:val="auto"/>
              </w:rPr>
            </w:pPr>
            <w:r>
              <w:rPr>
                <w:color w:val="auto"/>
                <w:spacing w:val="9"/>
              </w:rPr>
              <w:t>验收工作的一般程序为：根据食品请购清单的具</w:t>
            </w:r>
            <w:r>
              <w:rPr>
                <w:color w:val="auto"/>
                <w:spacing w:val="8"/>
              </w:rPr>
              <w:t>体要求，对所购物料进行清点、外观</w:t>
            </w:r>
            <w:r>
              <w:rPr>
                <w:color w:val="auto"/>
                <w:spacing w:val="9"/>
              </w:rPr>
              <w:t>检查以及对物料的各项指标和性能进行实测，并逐项记录。检</w:t>
            </w:r>
            <w:r>
              <w:rPr>
                <w:color w:val="auto"/>
                <w:spacing w:val="8"/>
              </w:rPr>
              <w:t>测结束后，验收人员在验收</w:t>
            </w:r>
            <w:r>
              <w:rPr>
                <w:color w:val="auto"/>
                <w:spacing w:val="9"/>
              </w:rPr>
              <w:t>单上签字。对未能通过验收的，一律退货、更换直至验收合格。</w:t>
            </w:r>
          </w:p>
          <w:p w14:paraId="4F53406B">
            <w:pPr>
              <w:pStyle w:val="18"/>
              <w:numPr>
                <w:ilvl w:val="0"/>
                <w:numId w:val="0"/>
              </w:numPr>
              <w:spacing w:before="35" w:line="302" w:lineRule="auto"/>
              <w:ind w:left="543" w:leftChars="0"/>
              <w:rPr>
                <w:color w:val="auto"/>
                <w:spacing w:val="7"/>
              </w:rPr>
            </w:pPr>
            <w:r>
              <w:rPr>
                <w:color w:val="auto"/>
                <w:spacing w:val="9"/>
              </w:rPr>
              <w:t>来货量大于订货量时按订货量验收，来货量小于订货量</w:t>
            </w:r>
            <w:r>
              <w:rPr>
                <w:color w:val="auto"/>
                <w:spacing w:val="-27"/>
              </w:rPr>
              <w:t xml:space="preserve"> </w:t>
            </w:r>
            <w:r>
              <w:rPr>
                <w:color w:val="auto"/>
                <w:spacing w:val="9"/>
              </w:rPr>
              <w:t>85%，则告知中标供应商必须</w:t>
            </w:r>
            <w:r>
              <w:rPr>
                <w:color w:val="auto"/>
                <w:spacing w:val="7"/>
              </w:rPr>
              <w:t>在</w:t>
            </w:r>
            <w:r>
              <w:rPr>
                <w:color w:val="auto"/>
                <w:spacing w:val="-16"/>
              </w:rPr>
              <w:t xml:space="preserve"> </w:t>
            </w:r>
            <w:r>
              <w:rPr>
                <w:color w:val="auto"/>
                <w:spacing w:val="7"/>
              </w:rPr>
              <w:t>1</w:t>
            </w:r>
            <w:r>
              <w:rPr>
                <w:color w:val="auto"/>
                <w:spacing w:val="-34"/>
              </w:rPr>
              <w:t xml:space="preserve"> </w:t>
            </w:r>
            <w:r>
              <w:rPr>
                <w:color w:val="auto"/>
                <w:spacing w:val="7"/>
              </w:rPr>
              <w:t>小时内补齐，若无法补齐数量，则按缺货金额的</w:t>
            </w:r>
            <w:r>
              <w:rPr>
                <w:color w:val="auto"/>
                <w:spacing w:val="-22"/>
              </w:rPr>
              <w:t xml:space="preserve"> </w:t>
            </w:r>
            <w:r>
              <w:rPr>
                <w:color w:val="auto"/>
                <w:spacing w:val="7"/>
              </w:rPr>
              <w:t>10%在当月货款中进行扣罚。</w:t>
            </w:r>
          </w:p>
        </w:tc>
      </w:tr>
      <w:tr w14:paraId="74192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788" w:type="dxa"/>
            <w:gridSpan w:val="3"/>
            <w:vMerge w:val="restart"/>
            <w:tcBorders>
              <w:top w:val="single" w:color="auto" w:sz="0" w:space="0"/>
            </w:tcBorders>
            <w:vAlign w:val="top"/>
          </w:tcPr>
          <w:p w14:paraId="18CE28F1">
            <w:pPr>
              <w:rPr>
                <w:rFonts w:hint="eastAsia"/>
                <w:color w:val="auto"/>
                <w:sz w:val="21"/>
                <w:lang w:eastAsia="zh-CN"/>
              </w:rPr>
            </w:pPr>
          </w:p>
          <w:p w14:paraId="7C482DD7">
            <w:pPr>
              <w:rPr>
                <w:rFonts w:hint="eastAsia"/>
                <w:color w:val="auto"/>
                <w:sz w:val="21"/>
                <w:lang w:eastAsia="zh-CN"/>
              </w:rPr>
            </w:pPr>
          </w:p>
          <w:p w14:paraId="392220E1">
            <w:pPr>
              <w:rPr>
                <w:rFonts w:hint="eastAsia"/>
                <w:color w:val="auto"/>
                <w:sz w:val="21"/>
                <w:lang w:eastAsia="zh-CN"/>
              </w:rPr>
            </w:pPr>
          </w:p>
          <w:p w14:paraId="6BC5FB71">
            <w:pPr>
              <w:rPr>
                <w:rFonts w:hint="eastAsia"/>
                <w:color w:val="auto"/>
                <w:sz w:val="21"/>
                <w:lang w:eastAsia="zh-CN"/>
              </w:rPr>
            </w:pPr>
          </w:p>
          <w:p w14:paraId="5B99E91C">
            <w:pPr>
              <w:rPr>
                <w:rFonts w:hint="eastAsia"/>
                <w:color w:val="auto"/>
                <w:sz w:val="21"/>
                <w:lang w:eastAsia="zh-CN"/>
              </w:rPr>
            </w:pPr>
          </w:p>
          <w:p w14:paraId="4C19D492">
            <w:pPr>
              <w:rPr>
                <w:rFonts w:hint="eastAsia"/>
                <w:color w:val="auto"/>
                <w:sz w:val="21"/>
                <w:lang w:eastAsia="zh-CN"/>
              </w:rPr>
            </w:pPr>
          </w:p>
          <w:p w14:paraId="1286BD26">
            <w:pPr>
              <w:rPr>
                <w:rFonts w:hint="eastAsia"/>
                <w:color w:val="auto"/>
                <w:sz w:val="21"/>
                <w:lang w:eastAsia="zh-CN"/>
              </w:rPr>
            </w:pPr>
          </w:p>
          <w:p w14:paraId="6B87E30A">
            <w:pPr>
              <w:rPr>
                <w:rFonts w:hint="eastAsia"/>
                <w:color w:val="auto"/>
                <w:sz w:val="21"/>
                <w:lang w:eastAsia="zh-CN"/>
              </w:rPr>
            </w:pPr>
          </w:p>
          <w:p w14:paraId="2882EF3E">
            <w:pPr>
              <w:rPr>
                <w:rFonts w:hint="eastAsia"/>
                <w:color w:val="auto"/>
                <w:sz w:val="21"/>
                <w:lang w:eastAsia="zh-CN"/>
              </w:rPr>
            </w:pPr>
          </w:p>
          <w:p w14:paraId="465588D0">
            <w:pPr>
              <w:rPr>
                <w:rFonts w:hint="eastAsia"/>
                <w:color w:val="auto"/>
                <w:sz w:val="21"/>
                <w:lang w:eastAsia="zh-CN"/>
              </w:rPr>
            </w:pPr>
          </w:p>
          <w:p w14:paraId="7EBAA0BC">
            <w:pPr>
              <w:rPr>
                <w:rFonts w:hint="eastAsia"/>
                <w:color w:val="auto"/>
                <w:sz w:val="21"/>
                <w:lang w:eastAsia="zh-CN"/>
              </w:rPr>
            </w:pPr>
          </w:p>
          <w:p w14:paraId="7493A8F8">
            <w:pPr>
              <w:rPr>
                <w:rFonts w:hint="eastAsia"/>
                <w:color w:val="auto"/>
                <w:sz w:val="21"/>
                <w:lang w:eastAsia="zh-CN"/>
              </w:rPr>
            </w:pPr>
          </w:p>
          <w:p w14:paraId="2907FA3D">
            <w:pPr>
              <w:rPr>
                <w:rFonts w:hint="eastAsia"/>
                <w:color w:val="auto"/>
                <w:sz w:val="21"/>
                <w:lang w:eastAsia="zh-CN"/>
              </w:rPr>
            </w:pPr>
          </w:p>
          <w:p w14:paraId="6E2AF176">
            <w:pPr>
              <w:rPr>
                <w:rFonts w:hint="eastAsia"/>
                <w:color w:val="auto"/>
                <w:sz w:val="21"/>
                <w:lang w:eastAsia="zh-CN"/>
              </w:rPr>
            </w:pPr>
          </w:p>
          <w:p w14:paraId="681D26C0">
            <w:pPr>
              <w:rPr>
                <w:rFonts w:hint="eastAsia"/>
                <w:color w:val="auto"/>
                <w:sz w:val="21"/>
                <w:lang w:eastAsia="zh-CN"/>
              </w:rPr>
            </w:pPr>
          </w:p>
          <w:p w14:paraId="5F89201C">
            <w:pPr>
              <w:rPr>
                <w:rFonts w:hint="eastAsia"/>
                <w:color w:val="auto"/>
                <w:sz w:val="21"/>
                <w:lang w:eastAsia="zh-CN"/>
              </w:rPr>
            </w:pPr>
          </w:p>
          <w:p w14:paraId="24F0F946">
            <w:pPr>
              <w:rPr>
                <w:rFonts w:hint="eastAsia"/>
                <w:color w:val="auto"/>
                <w:sz w:val="21"/>
                <w:lang w:eastAsia="zh-CN"/>
              </w:rPr>
            </w:pPr>
          </w:p>
          <w:p w14:paraId="27123DC9">
            <w:pPr>
              <w:rPr>
                <w:rFonts w:hint="eastAsia"/>
                <w:color w:val="auto"/>
                <w:sz w:val="21"/>
                <w:lang w:eastAsia="zh-CN"/>
              </w:rPr>
            </w:pPr>
          </w:p>
          <w:p w14:paraId="6CD7F5FB">
            <w:pPr>
              <w:rPr>
                <w:rFonts w:hint="eastAsia" w:ascii="Arial"/>
                <w:color w:val="auto"/>
                <w:sz w:val="21"/>
                <w:lang w:eastAsia="zh-CN"/>
              </w:rPr>
            </w:pPr>
            <w:r>
              <w:rPr>
                <w:rFonts w:hint="eastAsia"/>
                <w:color w:val="auto"/>
                <w:sz w:val="21"/>
                <w:lang w:eastAsia="zh-CN"/>
              </w:rPr>
              <w:t xml:space="preserve">   验收标准</w:t>
            </w:r>
          </w:p>
        </w:tc>
        <w:tc>
          <w:tcPr>
            <w:tcW w:w="113" w:type="dxa"/>
            <w:tcBorders>
              <w:top w:val="nil"/>
              <w:bottom w:val="nil"/>
            </w:tcBorders>
            <w:vAlign w:val="top"/>
          </w:tcPr>
          <w:p w14:paraId="00A85F17">
            <w:pPr>
              <w:rPr>
                <w:rFonts w:ascii="Arial"/>
                <w:color w:val="auto"/>
                <w:sz w:val="21"/>
              </w:rPr>
            </w:pPr>
          </w:p>
        </w:tc>
        <w:tc>
          <w:tcPr>
            <w:tcW w:w="1076" w:type="dxa"/>
            <w:gridSpan w:val="2"/>
            <w:vAlign w:val="top"/>
          </w:tcPr>
          <w:p w14:paraId="4E36475C">
            <w:pPr>
              <w:pStyle w:val="18"/>
              <w:spacing w:before="34" w:line="232" w:lineRule="auto"/>
              <w:ind w:left="348"/>
              <w:rPr>
                <w:color w:val="auto"/>
              </w:rPr>
            </w:pPr>
            <w:r>
              <w:rPr>
                <w:color w:val="auto"/>
                <w:spacing w:val="-2"/>
              </w:rPr>
              <w:t>品名</w:t>
            </w:r>
          </w:p>
        </w:tc>
        <w:tc>
          <w:tcPr>
            <w:tcW w:w="4955" w:type="dxa"/>
            <w:gridSpan w:val="2"/>
            <w:vAlign w:val="top"/>
          </w:tcPr>
          <w:p w14:paraId="4D47FEEF">
            <w:pPr>
              <w:pStyle w:val="18"/>
              <w:spacing w:before="34" w:line="228" w:lineRule="auto"/>
              <w:ind w:left="1849"/>
              <w:rPr>
                <w:color w:val="auto"/>
              </w:rPr>
            </w:pPr>
            <w:r>
              <w:rPr>
                <w:color w:val="auto"/>
                <w:spacing w:val="10"/>
              </w:rPr>
              <w:t>质量验收标准</w:t>
            </w:r>
          </w:p>
        </w:tc>
        <w:tc>
          <w:tcPr>
            <w:tcW w:w="2123" w:type="dxa"/>
            <w:vAlign w:val="top"/>
          </w:tcPr>
          <w:p w14:paraId="1E903A50">
            <w:pPr>
              <w:pStyle w:val="18"/>
              <w:spacing w:before="34" w:line="229" w:lineRule="auto"/>
              <w:ind w:left="699"/>
              <w:rPr>
                <w:color w:val="auto"/>
              </w:rPr>
            </w:pPr>
            <w:r>
              <w:rPr>
                <w:color w:val="auto"/>
                <w:spacing w:val="10"/>
              </w:rPr>
              <w:t>扣秤标准</w:t>
            </w:r>
          </w:p>
        </w:tc>
        <w:tc>
          <w:tcPr>
            <w:tcW w:w="90" w:type="dxa"/>
            <w:gridSpan w:val="2"/>
            <w:tcBorders>
              <w:top w:val="nil"/>
              <w:bottom w:val="nil"/>
            </w:tcBorders>
            <w:vAlign w:val="top"/>
          </w:tcPr>
          <w:p w14:paraId="5BAA75FD">
            <w:pPr>
              <w:rPr>
                <w:rFonts w:ascii="Arial"/>
                <w:color w:val="auto"/>
                <w:sz w:val="21"/>
              </w:rPr>
            </w:pPr>
          </w:p>
        </w:tc>
      </w:tr>
      <w:tr w14:paraId="12296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9" w:hRule="atLeast"/>
        </w:trPr>
        <w:tc>
          <w:tcPr>
            <w:tcW w:w="1788" w:type="dxa"/>
            <w:gridSpan w:val="3"/>
            <w:vMerge w:val="continue"/>
            <w:tcBorders>
              <w:top w:val="single" w:color="auto" w:sz="0" w:space="0"/>
              <w:bottom w:val="single" w:color="auto" w:sz="0" w:space="0"/>
            </w:tcBorders>
            <w:vAlign w:val="top"/>
          </w:tcPr>
          <w:p w14:paraId="487D47B4">
            <w:pPr>
              <w:rPr>
                <w:rFonts w:ascii="Arial"/>
                <w:color w:val="auto"/>
                <w:sz w:val="21"/>
              </w:rPr>
            </w:pPr>
          </w:p>
        </w:tc>
        <w:tc>
          <w:tcPr>
            <w:tcW w:w="113" w:type="dxa"/>
            <w:tcBorders>
              <w:top w:val="nil"/>
              <w:bottom w:val="nil"/>
            </w:tcBorders>
            <w:vAlign w:val="top"/>
          </w:tcPr>
          <w:p w14:paraId="53B533BE">
            <w:pPr>
              <w:rPr>
                <w:rFonts w:ascii="Arial"/>
                <w:color w:val="auto"/>
                <w:sz w:val="21"/>
              </w:rPr>
            </w:pPr>
          </w:p>
        </w:tc>
        <w:tc>
          <w:tcPr>
            <w:tcW w:w="1076" w:type="dxa"/>
            <w:gridSpan w:val="2"/>
            <w:vAlign w:val="top"/>
          </w:tcPr>
          <w:p w14:paraId="5A2BBDB5">
            <w:pPr>
              <w:spacing w:line="259" w:lineRule="auto"/>
              <w:rPr>
                <w:rFonts w:ascii="Arial"/>
                <w:color w:val="auto"/>
                <w:sz w:val="21"/>
              </w:rPr>
            </w:pPr>
          </w:p>
          <w:p w14:paraId="77AE0258">
            <w:pPr>
              <w:spacing w:line="260" w:lineRule="auto"/>
              <w:rPr>
                <w:rFonts w:ascii="Arial"/>
                <w:color w:val="auto"/>
                <w:sz w:val="21"/>
              </w:rPr>
            </w:pPr>
          </w:p>
          <w:p w14:paraId="075F008E">
            <w:pPr>
              <w:spacing w:line="260" w:lineRule="auto"/>
              <w:rPr>
                <w:rFonts w:ascii="Arial"/>
                <w:color w:val="auto"/>
                <w:sz w:val="21"/>
              </w:rPr>
            </w:pPr>
          </w:p>
          <w:p w14:paraId="7739A024">
            <w:pPr>
              <w:pStyle w:val="18"/>
              <w:spacing w:before="65" w:line="229" w:lineRule="auto"/>
              <w:ind w:left="367" w:leftChars="0"/>
              <w:rPr>
                <w:color w:val="auto"/>
              </w:rPr>
            </w:pPr>
            <w:r>
              <w:rPr>
                <w:color w:val="auto"/>
                <w:spacing w:val="4"/>
              </w:rPr>
              <w:t>鲜鸭</w:t>
            </w:r>
          </w:p>
        </w:tc>
        <w:tc>
          <w:tcPr>
            <w:tcW w:w="4955" w:type="dxa"/>
            <w:gridSpan w:val="2"/>
            <w:vAlign w:val="top"/>
          </w:tcPr>
          <w:p w14:paraId="120B3A47">
            <w:pPr>
              <w:spacing w:line="372" w:lineRule="auto"/>
              <w:rPr>
                <w:rFonts w:ascii="Arial"/>
                <w:color w:val="auto"/>
                <w:sz w:val="21"/>
              </w:rPr>
            </w:pPr>
          </w:p>
          <w:p w14:paraId="0E8F5078">
            <w:pPr>
              <w:pStyle w:val="18"/>
              <w:spacing w:before="65" w:line="379" w:lineRule="auto"/>
              <w:ind w:left="105" w:leftChars="0" w:right="102" w:rightChars="0" w:hanging="1" w:firstLineChars="0"/>
              <w:jc w:val="both"/>
              <w:rPr>
                <w:color w:val="auto"/>
              </w:rPr>
            </w:pPr>
            <w:r>
              <w:rPr>
                <w:color w:val="auto"/>
                <w:spacing w:val="7"/>
              </w:rPr>
              <w:t>表皮光滑而有光泽、肉质弹性好且丰满、表皮无毛或少毛、无破皮、无花皮、无显眼瘀块；无注水、肚内无一切内脏、无血水、无异味</w:t>
            </w:r>
          </w:p>
        </w:tc>
        <w:tc>
          <w:tcPr>
            <w:tcW w:w="2123" w:type="dxa"/>
            <w:vMerge w:val="restart"/>
            <w:tcBorders>
              <w:bottom w:val="nil"/>
            </w:tcBorders>
            <w:vAlign w:val="top"/>
          </w:tcPr>
          <w:p w14:paraId="2206FA53">
            <w:pPr>
              <w:spacing w:line="280" w:lineRule="auto"/>
              <w:rPr>
                <w:rFonts w:ascii="Arial"/>
                <w:color w:val="auto"/>
                <w:sz w:val="21"/>
              </w:rPr>
            </w:pPr>
          </w:p>
          <w:p w14:paraId="3940E758">
            <w:pPr>
              <w:spacing w:line="280" w:lineRule="auto"/>
              <w:rPr>
                <w:rFonts w:ascii="Arial"/>
                <w:color w:val="auto"/>
                <w:sz w:val="21"/>
              </w:rPr>
            </w:pPr>
          </w:p>
          <w:p w14:paraId="718B1651">
            <w:pPr>
              <w:spacing w:line="281" w:lineRule="auto"/>
              <w:rPr>
                <w:rFonts w:ascii="Arial"/>
                <w:color w:val="auto"/>
                <w:sz w:val="21"/>
              </w:rPr>
            </w:pPr>
          </w:p>
          <w:p w14:paraId="0DC85FBF">
            <w:pPr>
              <w:spacing w:line="281" w:lineRule="auto"/>
              <w:rPr>
                <w:rFonts w:ascii="Arial"/>
                <w:color w:val="auto"/>
                <w:sz w:val="21"/>
              </w:rPr>
            </w:pPr>
          </w:p>
          <w:p w14:paraId="1D351FA9">
            <w:pPr>
              <w:spacing w:line="281" w:lineRule="auto"/>
              <w:rPr>
                <w:rFonts w:ascii="Arial"/>
                <w:color w:val="auto"/>
                <w:sz w:val="21"/>
              </w:rPr>
            </w:pPr>
          </w:p>
          <w:p w14:paraId="1DED76A3">
            <w:pPr>
              <w:pStyle w:val="18"/>
              <w:spacing w:before="65" w:line="378" w:lineRule="auto"/>
              <w:ind w:left="117"/>
              <w:jc w:val="both"/>
              <w:rPr>
                <w:color w:val="auto"/>
              </w:rPr>
            </w:pPr>
            <w:r>
              <w:rPr>
                <w:color w:val="auto"/>
                <w:spacing w:val="22"/>
              </w:rPr>
              <w:t>根据现场实际情况和</w:t>
            </w:r>
            <w:r>
              <w:rPr>
                <w:color w:val="auto"/>
              </w:rPr>
              <w:t>实际需求量，临场与中</w:t>
            </w:r>
            <w:r>
              <w:rPr>
                <w:color w:val="auto"/>
                <w:spacing w:val="18"/>
                <w:w w:val="116"/>
              </w:rPr>
              <w:t>标供应商协议扣秤</w:t>
            </w:r>
            <w:r>
              <w:rPr>
                <w:color w:val="auto"/>
              </w:rPr>
              <w:t>1-5%，严重不符合质量</w:t>
            </w:r>
            <w:r>
              <w:rPr>
                <w:color w:val="auto"/>
                <w:spacing w:val="6"/>
              </w:rPr>
              <w:t>标准者可拒收</w:t>
            </w:r>
          </w:p>
        </w:tc>
        <w:tc>
          <w:tcPr>
            <w:tcW w:w="90" w:type="dxa"/>
            <w:gridSpan w:val="2"/>
            <w:tcBorders>
              <w:top w:val="nil"/>
              <w:bottom w:val="nil"/>
            </w:tcBorders>
            <w:vAlign w:val="top"/>
          </w:tcPr>
          <w:p w14:paraId="6C8EBD96">
            <w:pPr>
              <w:rPr>
                <w:rFonts w:ascii="Arial"/>
                <w:color w:val="auto"/>
                <w:sz w:val="21"/>
              </w:rPr>
            </w:pPr>
          </w:p>
        </w:tc>
      </w:tr>
      <w:tr w14:paraId="5341E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4" w:hRule="atLeast"/>
        </w:trPr>
        <w:tc>
          <w:tcPr>
            <w:tcW w:w="1788" w:type="dxa"/>
            <w:gridSpan w:val="3"/>
            <w:vMerge w:val="continue"/>
            <w:tcBorders>
              <w:top w:val="single" w:color="auto" w:sz="0" w:space="0"/>
              <w:bottom w:val="single" w:color="auto" w:sz="0" w:space="0"/>
            </w:tcBorders>
            <w:vAlign w:val="top"/>
          </w:tcPr>
          <w:p w14:paraId="19CC606B">
            <w:pPr>
              <w:rPr>
                <w:rFonts w:ascii="Arial"/>
                <w:color w:val="auto"/>
                <w:sz w:val="21"/>
              </w:rPr>
            </w:pPr>
          </w:p>
        </w:tc>
        <w:tc>
          <w:tcPr>
            <w:tcW w:w="113" w:type="dxa"/>
            <w:tcBorders>
              <w:top w:val="nil"/>
              <w:bottom w:val="nil"/>
            </w:tcBorders>
            <w:vAlign w:val="top"/>
          </w:tcPr>
          <w:p w14:paraId="3FE49DAD">
            <w:pPr>
              <w:rPr>
                <w:rFonts w:ascii="Arial"/>
                <w:color w:val="auto"/>
                <w:sz w:val="21"/>
              </w:rPr>
            </w:pPr>
          </w:p>
        </w:tc>
        <w:tc>
          <w:tcPr>
            <w:tcW w:w="1076" w:type="dxa"/>
            <w:gridSpan w:val="2"/>
            <w:vAlign w:val="top"/>
          </w:tcPr>
          <w:p w14:paraId="411C78BD">
            <w:pPr>
              <w:pStyle w:val="18"/>
              <w:spacing w:before="241" w:line="229" w:lineRule="auto"/>
              <w:ind w:left="364" w:leftChars="0"/>
              <w:rPr>
                <w:color w:val="auto"/>
              </w:rPr>
            </w:pPr>
            <w:r>
              <w:rPr>
                <w:color w:val="auto"/>
                <w:spacing w:val="4"/>
              </w:rPr>
              <w:t>鲜鸡</w:t>
            </w:r>
          </w:p>
        </w:tc>
        <w:tc>
          <w:tcPr>
            <w:tcW w:w="4955" w:type="dxa"/>
            <w:gridSpan w:val="2"/>
            <w:vAlign w:val="top"/>
          </w:tcPr>
          <w:p w14:paraId="22254A77">
            <w:pPr>
              <w:pStyle w:val="18"/>
              <w:spacing w:before="37" w:line="363" w:lineRule="auto"/>
              <w:ind w:left="108" w:leftChars="0" w:right="1" w:rightChars="0"/>
              <w:rPr>
                <w:color w:val="auto"/>
              </w:rPr>
            </w:pPr>
            <w:r>
              <w:rPr>
                <w:color w:val="auto"/>
                <w:spacing w:val="3"/>
              </w:rPr>
              <w:t>具有该品种应有的外形特征、大小符合要求、</w:t>
            </w:r>
            <w:r>
              <w:rPr>
                <w:color w:val="auto"/>
                <w:spacing w:val="2"/>
              </w:rPr>
              <w:t>鸡肚内无</w:t>
            </w:r>
            <w:r>
              <w:rPr>
                <w:color w:val="auto"/>
                <w:spacing w:val="3"/>
              </w:rPr>
              <w:t>一切内脏、眼球饱满、皮肤有光泽、因品种不同而呈淡</w:t>
            </w:r>
            <w:r>
              <w:rPr>
                <w:color w:val="auto"/>
              </w:rPr>
              <w:t>黄、淡红、灰白或灰黑等色、肌肉切面有光泽、</w:t>
            </w:r>
            <w:r>
              <w:rPr>
                <w:color w:val="auto"/>
                <w:spacing w:val="-1"/>
              </w:rPr>
              <w:t>外表微干或微湿润、不粘手、指压后的凹陷立即恢复，具有鲜</w:t>
            </w:r>
            <w:r>
              <w:rPr>
                <w:color w:val="auto"/>
                <w:spacing w:val="-5"/>
              </w:rPr>
              <w:t>鸡肉正常气味，淤血斑无或极少，无打水症状、无破皮、</w:t>
            </w:r>
            <w:r>
              <w:rPr>
                <w:color w:val="auto"/>
                <w:spacing w:val="8"/>
              </w:rPr>
              <w:t>鸡的翼部或鸡关节，不能有骨折和因骨折破皮而使骨</w:t>
            </w:r>
            <w:r>
              <w:rPr>
                <w:color w:val="auto"/>
                <w:spacing w:val="4"/>
              </w:rPr>
              <w:t>头外露</w:t>
            </w:r>
          </w:p>
        </w:tc>
        <w:tc>
          <w:tcPr>
            <w:tcW w:w="2123" w:type="dxa"/>
            <w:vMerge w:val="continue"/>
            <w:tcBorders>
              <w:top w:val="nil"/>
              <w:bottom w:val="nil"/>
            </w:tcBorders>
            <w:vAlign w:val="top"/>
          </w:tcPr>
          <w:p w14:paraId="07729E70">
            <w:pPr>
              <w:rPr>
                <w:rFonts w:ascii="Arial"/>
                <w:color w:val="auto"/>
                <w:sz w:val="21"/>
              </w:rPr>
            </w:pPr>
          </w:p>
        </w:tc>
        <w:tc>
          <w:tcPr>
            <w:tcW w:w="90" w:type="dxa"/>
            <w:gridSpan w:val="2"/>
            <w:tcBorders>
              <w:top w:val="nil"/>
              <w:bottom w:val="nil"/>
            </w:tcBorders>
            <w:vAlign w:val="top"/>
          </w:tcPr>
          <w:p w14:paraId="7A797259">
            <w:pPr>
              <w:rPr>
                <w:rFonts w:ascii="Arial"/>
                <w:color w:val="auto"/>
                <w:sz w:val="21"/>
              </w:rPr>
            </w:pPr>
          </w:p>
        </w:tc>
      </w:tr>
      <w:tr w14:paraId="1FD2F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 w:hRule="atLeast"/>
        </w:trPr>
        <w:tc>
          <w:tcPr>
            <w:tcW w:w="1788" w:type="dxa"/>
            <w:gridSpan w:val="3"/>
            <w:vMerge w:val="continue"/>
            <w:tcBorders>
              <w:top w:val="single" w:color="auto" w:sz="0" w:space="0"/>
              <w:bottom w:val="single" w:color="auto" w:sz="0" w:space="0"/>
            </w:tcBorders>
            <w:vAlign w:val="top"/>
          </w:tcPr>
          <w:p w14:paraId="10E3EE58">
            <w:pPr>
              <w:rPr>
                <w:rFonts w:ascii="Arial"/>
                <w:color w:val="auto"/>
                <w:sz w:val="21"/>
              </w:rPr>
            </w:pPr>
          </w:p>
        </w:tc>
        <w:tc>
          <w:tcPr>
            <w:tcW w:w="113" w:type="dxa"/>
            <w:tcBorders>
              <w:top w:val="nil"/>
              <w:bottom w:val="nil"/>
            </w:tcBorders>
            <w:vAlign w:val="top"/>
          </w:tcPr>
          <w:p w14:paraId="2565DB18">
            <w:pPr>
              <w:rPr>
                <w:rFonts w:ascii="Arial"/>
                <w:color w:val="auto"/>
                <w:sz w:val="21"/>
              </w:rPr>
            </w:pPr>
          </w:p>
        </w:tc>
        <w:tc>
          <w:tcPr>
            <w:tcW w:w="1076" w:type="dxa"/>
            <w:gridSpan w:val="2"/>
            <w:vAlign w:val="top"/>
          </w:tcPr>
          <w:p w14:paraId="0B15E8DA">
            <w:pPr>
              <w:pStyle w:val="18"/>
              <w:spacing w:before="242" w:line="228" w:lineRule="auto"/>
              <w:ind w:left="368" w:leftChars="0"/>
              <w:rPr>
                <w:color w:val="auto"/>
              </w:rPr>
            </w:pPr>
            <w:r>
              <w:rPr>
                <w:color w:val="auto"/>
                <w:spacing w:val="3"/>
              </w:rPr>
              <w:t>鱼类</w:t>
            </w:r>
          </w:p>
        </w:tc>
        <w:tc>
          <w:tcPr>
            <w:tcW w:w="4955" w:type="dxa"/>
            <w:gridSpan w:val="2"/>
            <w:vAlign w:val="top"/>
          </w:tcPr>
          <w:p w14:paraId="0DFE3C5E">
            <w:pPr>
              <w:pStyle w:val="18"/>
              <w:spacing w:before="38" w:line="228" w:lineRule="auto"/>
              <w:jc w:val="left"/>
              <w:rPr>
                <w:color w:val="auto"/>
                <w:spacing w:val="-1"/>
              </w:rPr>
            </w:pPr>
            <w:r>
              <w:rPr>
                <w:color w:val="auto"/>
                <w:spacing w:val="-1"/>
              </w:rPr>
              <w:t>游水生猛，对外界刺激敏感，无翻肚；</w:t>
            </w:r>
          </w:p>
          <w:p w14:paraId="2E73568F">
            <w:pPr>
              <w:pStyle w:val="18"/>
              <w:spacing w:before="38" w:line="228" w:lineRule="auto"/>
              <w:jc w:val="left"/>
              <w:rPr>
                <w:color w:val="auto"/>
              </w:rPr>
            </w:pPr>
            <w:r>
              <w:rPr>
                <w:color w:val="auto"/>
                <w:spacing w:val="-1"/>
              </w:rPr>
              <w:t>无嘴烂及其他外</w:t>
            </w:r>
            <w:r>
              <w:rPr>
                <w:rFonts w:hint="eastAsia"/>
                <w:color w:val="auto"/>
                <w:spacing w:val="-1"/>
                <w:lang w:eastAsia="zh-CN"/>
              </w:rPr>
              <w:t>表</w:t>
            </w:r>
            <w:r>
              <w:rPr>
                <w:color w:val="auto"/>
                <w:spacing w:val="-1"/>
              </w:rPr>
              <w:t>损伤。</w:t>
            </w:r>
          </w:p>
          <w:p w14:paraId="043CD54B">
            <w:pPr>
              <w:pStyle w:val="18"/>
              <w:spacing w:before="160" w:line="228" w:lineRule="auto"/>
              <w:jc w:val="left"/>
              <w:rPr>
                <w:color w:val="auto"/>
              </w:rPr>
            </w:pPr>
            <w:r>
              <w:rPr>
                <w:color w:val="auto"/>
                <w:spacing w:val="-1"/>
              </w:rPr>
              <w:t>鱼鳞完整有光泽，不易脱落，眼隔膜有光泽、透明，眼球突出；</w:t>
            </w:r>
            <w:r>
              <w:rPr>
                <w:color w:val="auto"/>
                <w:spacing w:val="9"/>
              </w:rPr>
              <w:t>腹部坚实不膨胀，肛门内部洁净无异常红尾</w:t>
            </w:r>
            <w:r>
              <w:rPr>
                <w:rFonts w:hint="eastAsia"/>
                <w:color w:val="auto"/>
                <w:spacing w:val="9"/>
                <w:lang w:eastAsia="zh-CN"/>
              </w:rPr>
              <w:t>。</w:t>
            </w:r>
            <w:r>
              <w:rPr>
                <w:color w:val="auto"/>
                <w:spacing w:val="9"/>
              </w:rPr>
              <w:t>大小均匀</w:t>
            </w:r>
          </w:p>
        </w:tc>
        <w:tc>
          <w:tcPr>
            <w:tcW w:w="2123" w:type="dxa"/>
            <w:vMerge w:val="continue"/>
            <w:tcBorders>
              <w:top w:val="nil"/>
              <w:bottom w:val="nil"/>
            </w:tcBorders>
            <w:vAlign w:val="top"/>
          </w:tcPr>
          <w:p w14:paraId="34BABCF5">
            <w:pPr>
              <w:rPr>
                <w:rFonts w:ascii="Arial"/>
                <w:color w:val="auto"/>
                <w:sz w:val="21"/>
              </w:rPr>
            </w:pPr>
          </w:p>
        </w:tc>
        <w:tc>
          <w:tcPr>
            <w:tcW w:w="90" w:type="dxa"/>
            <w:gridSpan w:val="2"/>
            <w:tcBorders>
              <w:top w:val="nil"/>
              <w:bottom w:val="nil"/>
            </w:tcBorders>
            <w:vAlign w:val="top"/>
          </w:tcPr>
          <w:p w14:paraId="44C10D3E">
            <w:pPr>
              <w:rPr>
                <w:rFonts w:ascii="Arial"/>
                <w:color w:val="auto"/>
                <w:sz w:val="21"/>
              </w:rPr>
            </w:pPr>
          </w:p>
        </w:tc>
      </w:tr>
      <w:tr w14:paraId="03868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2" w:hRule="atLeast"/>
        </w:trPr>
        <w:tc>
          <w:tcPr>
            <w:tcW w:w="1788" w:type="dxa"/>
            <w:gridSpan w:val="3"/>
            <w:vMerge w:val="continue"/>
            <w:tcBorders>
              <w:top w:val="single" w:color="auto" w:sz="0" w:space="0"/>
              <w:bottom w:val="single" w:color="auto" w:sz="0" w:space="0"/>
            </w:tcBorders>
            <w:vAlign w:val="top"/>
          </w:tcPr>
          <w:p w14:paraId="09BECDE8">
            <w:pPr>
              <w:rPr>
                <w:rFonts w:ascii="Arial"/>
                <w:color w:val="auto"/>
                <w:sz w:val="21"/>
              </w:rPr>
            </w:pPr>
          </w:p>
        </w:tc>
        <w:tc>
          <w:tcPr>
            <w:tcW w:w="113" w:type="dxa"/>
            <w:tcBorders>
              <w:top w:val="nil"/>
              <w:bottom w:val="nil"/>
            </w:tcBorders>
            <w:vAlign w:val="top"/>
          </w:tcPr>
          <w:p w14:paraId="0B834BDE">
            <w:pPr>
              <w:rPr>
                <w:rFonts w:ascii="Arial"/>
                <w:color w:val="auto"/>
                <w:sz w:val="21"/>
              </w:rPr>
            </w:pPr>
          </w:p>
        </w:tc>
        <w:tc>
          <w:tcPr>
            <w:tcW w:w="1076" w:type="dxa"/>
            <w:gridSpan w:val="2"/>
            <w:vAlign w:val="top"/>
          </w:tcPr>
          <w:p w14:paraId="3C65E921">
            <w:pPr>
              <w:spacing w:line="352" w:lineRule="auto"/>
              <w:rPr>
                <w:rFonts w:ascii="Arial"/>
                <w:color w:val="auto"/>
                <w:sz w:val="21"/>
              </w:rPr>
            </w:pPr>
          </w:p>
          <w:p w14:paraId="79DDE8F0">
            <w:pPr>
              <w:spacing w:line="353" w:lineRule="auto"/>
              <w:rPr>
                <w:rFonts w:ascii="Arial"/>
                <w:color w:val="auto"/>
                <w:sz w:val="21"/>
              </w:rPr>
            </w:pPr>
          </w:p>
          <w:p w14:paraId="13B4D825">
            <w:pPr>
              <w:pStyle w:val="18"/>
              <w:spacing w:before="65" w:line="228" w:lineRule="auto"/>
              <w:ind w:left="364" w:leftChars="0"/>
              <w:rPr>
                <w:color w:val="auto"/>
              </w:rPr>
            </w:pPr>
            <w:r>
              <w:rPr>
                <w:color w:val="auto"/>
                <w:spacing w:val="4"/>
              </w:rPr>
              <w:t>虾类</w:t>
            </w:r>
          </w:p>
        </w:tc>
        <w:tc>
          <w:tcPr>
            <w:tcW w:w="4955" w:type="dxa"/>
            <w:gridSpan w:val="2"/>
            <w:vAlign w:val="top"/>
          </w:tcPr>
          <w:p w14:paraId="69ACCA15">
            <w:pPr>
              <w:spacing w:line="300" w:lineRule="auto"/>
              <w:rPr>
                <w:rFonts w:ascii="Arial"/>
                <w:color w:val="auto"/>
                <w:sz w:val="21"/>
              </w:rPr>
            </w:pPr>
          </w:p>
          <w:p w14:paraId="638E8024">
            <w:pPr>
              <w:pStyle w:val="18"/>
              <w:spacing w:before="65" w:line="377" w:lineRule="auto"/>
              <w:ind w:left="115" w:leftChars="0" w:right="27" w:rightChars="0"/>
              <w:jc w:val="both"/>
              <w:rPr>
                <w:color w:val="auto"/>
              </w:rPr>
            </w:pPr>
            <w:r>
              <w:rPr>
                <w:color w:val="auto"/>
                <w:spacing w:val="13"/>
              </w:rPr>
              <w:t>游水快</w:t>
            </w:r>
            <w:r>
              <w:rPr>
                <w:rFonts w:hint="eastAsia"/>
                <w:color w:val="auto"/>
                <w:spacing w:val="13"/>
                <w:lang w:eastAsia="zh-CN"/>
              </w:rPr>
              <w:t>，</w:t>
            </w:r>
            <w:r>
              <w:rPr>
                <w:color w:val="auto"/>
                <w:spacing w:val="13"/>
              </w:rPr>
              <w:t>对外界刺激敏感；头尾完整，有一定弯曲度；虾眼突起，虾身较挺，肉质坚实；虾壳发亮、发硬，呈青绿色或</w:t>
            </w:r>
            <w:r>
              <w:rPr>
                <w:color w:val="auto"/>
                <w:spacing w:val="9"/>
              </w:rPr>
              <w:t>青白色</w:t>
            </w:r>
          </w:p>
        </w:tc>
        <w:tc>
          <w:tcPr>
            <w:tcW w:w="2123" w:type="dxa"/>
            <w:vMerge w:val="continue"/>
            <w:tcBorders>
              <w:top w:val="nil"/>
              <w:bottom w:val="nil"/>
            </w:tcBorders>
            <w:vAlign w:val="top"/>
          </w:tcPr>
          <w:p w14:paraId="3BD14FA5">
            <w:pPr>
              <w:rPr>
                <w:rFonts w:ascii="Arial"/>
                <w:color w:val="auto"/>
                <w:sz w:val="21"/>
              </w:rPr>
            </w:pPr>
          </w:p>
        </w:tc>
        <w:tc>
          <w:tcPr>
            <w:tcW w:w="90" w:type="dxa"/>
            <w:gridSpan w:val="2"/>
            <w:tcBorders>
              <w:top w:val="nil"/>
              <w:bottom w:val="nil"/>
            </w:tcBorders>
            <w:vAlign w:val="top"/>
          </w:tcPr>
          <w:p w14:paraId="0FCD570E">
            <w:pPr>
              <w:rPr>
                <w:rFonts w:ascii="Arial"/>
                <w:color w:val="auto"/>
                <w:sz w:val="21"/>
              </w:rPr>
            </w:pPr>
          </w:p>
        </w:tc>
      </w:tr>
    </w:tbl>
    <w:p w14:paraId="741641DB">
      <w:pPr>
        <w:spacing w:line="167" w:lineRule="exact"/>
        <w:rPr>
          <w:rFonts w:ascii="Arial"/>
          <w:color w:val="auto"/>
          <w:sz w:val="14"/>
        </w:rPr>
      </w:pPr>
    </w:p>
    <w:tbl>
      <w:tblPr>
        <w:tblStyle w:val="19"/>
        <w:tblpPr w:leftFromText="180" w:rightFromText="180" w:vertAnchor="text" w:horzAnchor="page" w:tblpX="961" w:tblpY="85"/>
        <w:tblOverlap w:val="never"/>
        <w:tblW w:w="1014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8"/>
        <w:gridCol w:w="113"/>
        <w:gridCol w:w="1047"/>
        <w:gridCol w:w="4988"/>
        <w:gridCol w:w="2116"/>
        <w:gridCol w:w="96"/>
      </w:tblGrid>
      <w:tr w14:paraId="14EB0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trPr>
        <w:tc>
          <w:tcPr>
            <w:tcW w:w="1788" w:type="dxa"/>
            <w:vMerge w:val="restart"/>
            <w:tcBorders>
              <w:top w:val="single" w:color="auto" w:sz="0" w:space="0"/>
              <w:left w:val="single" w:color="auto" w:sz="4" w:space="0"/>
              <w:bottom w:val="single" w:color="auto" w:sz="0" w:space="0"/>
              <w:right w:val="single" w:color="auto" w:sz="4" w:space="0"/>
            </w:tcBorders>
            <w:vAlign w:val="top"/>
          </w:tcPr>
          <w:p w14:paraId="33AF619D">
            <w:pPr>
              <w:rPr>
                <w:rFonts w:ascii="Arial"/>
                <w:color w:val="auto"/>
                <w:sz w:val="21"/>
              </w:rPr>
            </w:pPr>
          </w:p>
        </w:tc>
        <w:tc>
          <w:tcPr>
            <w:tcW w:w="113" w:type="dxa"/>
            <w:tcBorders>
              <w:left w:val="single" w:color="auto" w:sz="4" w:space="0"/>
              <w:bottom w:val="single" w:color="auto" w:sz="4" w:space="0"/>
            </w:tcBorders>
            <w:vAlign w:val="top"/>
          </w:tcPr>
          <w:p w14:paraId="463A965A">
            <w:pPr>
              <w:rPr>
                <w:rFonts w:ascii="Arial"/>
                <w:color w:val="auto"/>
                <w:sz w:val="21"/>
              </w:rPr>
            </w:pPr>
          </w:p>
        </w:tc>
        <w:tc>
          <w:tcPr>
            <w:tcW w:w="1047" w:type="dxa"/>
            <w:tcBorders>
              <w:bottom w:val="single" w:color="auto" w:sz="4" w:space="0"/>
            </w:tcBorders>
            <w:shd w:val="clear" w:color="auto" w:fill="auto"/>
            <w:vAlign w:val="top"/>
          </w:tcPr>
          <w:p w14:paraId="11392141">
            <w:pPr>
              <w:spacing w:line="277" w:lineRule="auto"/>
              <w:rPr>
                <w:rFonts w:ascii="Arial"/>
                <w:color w:val="auto"/>
                <w:sz w:val="21"/>
              </w:rPr>
            </w:pPr>
          </w:p>
          <w:p w14:paraId="59D01DDA">
            <w:pPr>
              <w:spacing w:line="277" w:lineRule="auto"/>
              <w:rPr>
                <w:rFonts w:ascii="Arial"/>
                <w:color w:val="auto"/>
                <w:sz w:val="21"/>
              </w:rPr>
            </w:pPr>
          </w:p>
          <w:p w14:paraId="401461B3">
            <w:pPr>
              <w:spacing w:line="277" w:lineRule="auto"/>
              <w:rPr>
                <w:rFonts w:ascii="Arial"/>
                <w:color w:val="auto"/>
                <w:sz w:val="21"/>
              </w:rPr>
            </w:pPr>
          </w:p>
          <w:p w14:paraId="28D26B14">
            <w:pPr>
              <w:spacing w:line="278" w:lineRule="auto"/>
              <w:rPr>
                <w:rFonts w:ascii="Arial"/>
                <w:color w:val="auto"/>
                <w:sz w:val="21"/>
              </w:rPr>
            </w:pPr>
          </w:p>
          <w:p w14:paraId="7D8C54B9">
            <w:pPr>
              <w:spacing w:line="278" w:lineRule="auto"/>
              <w:rPr>
                <w:rFonts w:ascii="Arial"/>
                <w:color w:val="auto"/>
                <w:sz w:val="21"/>
              </w:rPr>
            </w:pPr>
          </w:p>
          <w:p w14:paraId="76D69F60">
            <w:pPr>
              <w:pStyle w:val="18"/>
              <w:spacing w:before="65" w:line="229" w:lineRule="auto"/>
              <w:ind w:left="263" w:leftChars="0"/>
              <w:rPr>
                <w:rFonts w:ascii="宋体" w:hAnsi="宋体" w:eastAsia="宋体" w:cs="宋体"/>
                <w:snapToGrid w:val="0"/>
                <w:color w:val="auto"/>
                <w:kern w:val="0"/>
                <w:sz w:val="20"/>
                <w:szCs w:val="20"/>
                <w:lang w:val="en-US" w:eastAsia="en-US" w:bidi="ar-SA"/>
              </w:rPr>
            </w:pPr>
            <w:r>
              <w:rPr>
                <w:color w:val="auto"/>
                <w:spacing w:val="7"/>
              </w:rPr>
              <w:t>冰鲜鱼</w:t>
            </w:r>
          </w:p>
        </w:tc>
        <w:tc>
          <w:tcPr>
            <w:tcW w:w="4988" w:type="dxa"/>
            <w:tcBorders>
              <w:bottom w:val="single" w:color="auto" w:sz="4" w:space="0"/>
            </w:tcBorders>
            <w:shd w:val="clear" w:color="auto" w:fill="auto"/>
            <w:vAlign w:val="top"/>
          </w:tcPr>
          <w:p w14:paraId="1CFA7D97">
            <w:pPr>
              <w:pStyle w:val="18"/>
              <w:spacing w:before="1" w:line="365" w:lineRule="auto"/>
              <w:ind w:left="0" w:leftChars="0" w:right="102" w:rightChars="0" w:firstLine="0" w:firstLineChars="0"/>
              <w:rPr>
                <w:rFonts w:ascii="宋体" w:hAnsi="宋体" w:eastAsia="宋体" w:cs="宋体"/>
                <w:snapToGrid w:val="0"/>
                <w:color w:val="auto"/>
                <w:kern w:val="0"/>
                <w:sz w:val="20"/>
                <w:szCs w:val="20"/>
                <w:lang w:val="en-US" w:eastAsia="en-US" w:bidi="ar-SA"/>
              </w:rPr>
            </w:pPr>
            <w:r>
              <w:rPr>
                <w:color w:val="auto"/>
                <w:spacing w:val="8"/>
              </w:rPr>
              <w:t>鳍平直紧贴鱼体，鳞片上覆有冻结的黏液层，天然色泽鲜明而不浑浊。眼球不突出，透明重复冰冻的鱼鳞</w:t>
            </w:r>
            <w:r>
              <w:rPr>
                <w:color w:val="auto"/>
                <w:spacing w:val="7"/>
              </w:rPr>
              <w:t>呈暗色，解冻后,有光泽，有一层清洁透明的黏液，鳞</w:t>
            </w:r>
            <w:r>
              <w:rPr>
                <w:color w:val="auto"/>
                <w:spacing w:val="11"/>
              </w:rPr>
              <w:t>片完整、不易脱落，具有海水鱼或淡水鱼固有气味，</w:t>
            </w:r>
            <w:r>
              <w:rPr>
                <w:color w:val="auto"/>
                <w:spacing w:val="7"/>
              </w:rPr>
              <w:t>鱼眼澄清透明，眼球饱满凸出，角膜透明，鳃鲜红、清晰，腹部坚实、无胀气、裂现象、肛孔白色凹陷，肉质坚实，有弹性，骨肉不分离。解冻后与鲜品特征相同。外包装箱完好无破损，有生产日期.</w:t>
            </w:r>
          </w:p>
        </w:tc>
        <w:tc>
          <w:tcPr>
            <w:tcW w:w="2116" w:type="dxa"/>
            <w:vMerge w:val="restart"/>
            <w:tcBorders>
              <w:bottom w:val="single" w:color="auto" w:sz="4" w:space="0"/>
            </w:tcBorders>
            <w:vAlign w:val="top"/>
          </w:tcPr>
          <w:p w14:paraId="790677B9">
            <w:pPr>
              <w:rPr>
                <w:rFonts w:ascii="Arial"/>
                <w:color w:val="auto"/>
                <w:sz w:val="21"/>
              </w:rPr>
            </w:pPr>
          </w:p>
          <w:p w14:paraId="593821E3">
            <w:pPr>
              <w:bidi w:val="0"/>
              <w:rPr>
                <w:rFonts w:ascii="Arial" w:hAnsi="Arial" w:eastAsia="Arial" w:cs="Arial"/>
                <w:snapToGrid w:val="0"/>
                <w:color w:val="auto"/>
                <w:kern w:val="0"/>
                <w:sz w:val="21"/>
                <w:szCs w:val="21"/>
                <w:lang w:val="en-US" w:eastAsia="en-US" w:bidi="ar-SA"/>
              </w:rPr>
            </w:pPr>
          </w:p>
          <w:p w14:paraId="6AF1AD0A">
            <w:pPr>
              <w:bidi w:val="0"/>
              <w:rPr>
                <w:color w:val="auto"/>
                <w:lang w:val="en-US" w:eastAsia="en-US"/>
              </w:rPr>
            </w:pPr>
          </w:p>
          <w:p w14:paraId="56306DE4">
            <w:pPr>
              <w:bidi w:val="0"/>
              <w:rPr>
                <w:color w:val="auto"/>
                <w:lang w:val="en-US" w:eastAsia="en-US"/>
              </w:rPr>
            </w:pPr>
          </w:p>
          <w:p w14:paraId="16FFB5C7">
            <w:pPr>
              <w:bidi w:val="0"/>
              <w:rPr>
                <w:color w:val="auto"/>
                <w:lang w:val="en-US" w:eastAsia="en-US"/>
              </w:rPr>
            </w:pPr>
            <w:r>
              <w:rPr>
                <w:rFonts w:hint="eastAsia"/>
                <w:color w:val="auto"/>
                <w:spacing w:val="23"/>
                <w:lang w:eastAsia="zh-CN"/>
              </w:rPr>
              <w:t>根据</w:t>
            </w:r>
            <w:r>
              <w:rPr>
                <w:color w:val="auto"/>
                <w:spacing w:val="23"/>
              </w:rPr>
              <w:t>现场实际情况</w:t>
            </w:r>
            <w:r>
              <w:rPr>
                <w:color w:val="auto"/>
                <w:spacing w:val="14"/>
              </w:rPr>
              <w:t>和实际需求量</w:t>
            </w:r>
            <w:r>
              <w:rPr>
                <w:color w:val="auto"/>
                <w:spacing w:val="-54"/>
              </w:rPr>
              <w:t xml:space="preserve"> </w:t>
            </w:r>
            <w:r>
              <w:rPr>
                <w:color w:val="auto"/>
                <w:spacing w:val="14"/>
              </w:rPr>
              <w:t>，临场</w:t>
            </w:r>
            <w:r>
              <w:rPr>
                <w:color w:val="auto"/>
                <w:spacing w:val="23"/>
              </w:rPr>
              <w:t>与中标供应商协议</w:t>
            </w:r>
            <w:r>
              <w:rPr>
                <w:color w:val="auto"/>
                <w:spacing w:val="8"/>
              </w:rPr>
              <w:t>扣秤</w:t>
            </w:r>
            <w:r>
              <w:rPr>
                <w:color w:val="auto"/>
                <w:spacing w:val="-16"/>
              </w:rPr>
              <w:t xml:space="preserve"> </w:t>
            </w:r>
            <w:r>
              <w:rPr>
                <w:color w:val="auto"/>
                <w:spacing w:val="8"/>
              </w:rPr>
              <w:t>1-5%，严重不符</w:t>
            </w:r>
            <w:r>
              <w:rPr>
                <w:color w:val="auto"/>
                <w:spacing w:val="18"/>
              </w:rPr>
              <w:t>合质量标准者可拒收</w:t>
            </w:r>
          </w:p>
          <w:p w14:paraId="6D18F33A">
            <w:pPr>
              <w:bidi w:val="0"/>
              <w:rPr>
                <w:color w:val="auto"/>
                <w:lang w:val="en-US" w:eastAsia="en-US"/>
              </w:rPr>
            </w:pPr>
          </w:p>
          <w:p w14:paraId="33E51241">
            <w:pPr>
              <w:bidi w:val="0"/>
              <w:rPr>
                <w:color w:val="auto"/>
                <w:lang w:val="en-US" w:eastAsia="en-US"/>
              </w:rPr>
            </w:pPr>
          </w:p>
          <w:p w14:paraId="0F882B6E">
            <w:pPr>
              <w:bidi w:val="0"/>
              <w:rPr>
                <w:color w:val="auto"/>
                <w:lang w:val="en-US" w:eastAsia="en-US"/>
              </w:rPr>
            </w:pPr>
          </w:p>
          <w:p w14:paraId="4E885A04">
            <w:pPr>
              <w:bidi w:val="0"/>
              <w:rPr>
                <w:color w:val="auto"/>
                <w:lang w:val="en-US" w:eastAsia="en-US"/>
              </w:rPr>
            </w:pPr>
          </w:p>
          <w:p w14:paraId="1F665B9B">
            <w:pPr>
              <w:bidi w:val="0"/>
              <w:rPr>
                <w:color w:val="auto"/>
                <w:lang w:val="en-US" w:eastAsia="en-US"/>
              </w:rPr>
            </w:pPr>
          </w:p>
          <w:p w14:paraId="55EBD3E6">
            <w:pPr>
              <w:bidi w:val="0"/>
              <w:rPr>
                <w:color w:val="auto"/>
                <w:lang w:val="en-US" w:eastAsia="en-US"/>
              </w:rPr>
            </w:pPr>
          </w:p>
          <w:p w14:paraId="272E6217">
            <w:pPr>
              <w:bidi w:val="0"/>
              <w:rPr>
                <w:color w:val="auto"/>
                <w:lang w:val="en-US" w:eastAsia="en-US"/>
              </w:rPr>
            </w:pPr>
          </w:p>
          <w:p w14:paraId="4054D737">
            <w:pPr>
              <w:pStyle w:val="18"/>
              <w:spacing w:before="33" w:line="377" w:lineRule="auto"/>
              <w:ind w:left="0" w:leftChars="0" w:right="22" w:firstLine="0" w:firstLineChars="0"/>
              <w:rPr>
                <w:color w:val="auto"/>
              </w:rPr>
            </w:pPr>
            <w:r>
              <w:rPr>
                <w:color w:val="auto"/>
                <w:spacing w:val="14"/>
              </w:rPr>
              <w:t>外包装箱需完好</w:t>
            </w:r>
            <w:r>
              <w:rPr>
                <w:color w:val="auto"/>
                <w:spacing w:val="-57"/>
              </w:rPr>
              <w:t xml:space="preserve"> </w:t>
            </w:r>
            <w:r>
              <w:rPr>
                <w:color w:val="auto"/>
                <w:spacing w:val="14"/>
              </w:rPr>
              <w:t>、且</w:t>
            </w:r>
            <w:r>
              <w:rPr>
                <w:color w:val="auto"/>
                <w:spacing w:val="19"/>
              </w:rPr>
              <w:t>符合质量标准；严重</w:t>
            </w:r>
            <w:r>
              <w:rPr>
                <w:color w:val="auto"/>
                <w:spacing w:val="21"/>
              </w:rPr>
              <w:t>不符合质量标准者</w:t>
            </w:r>
          </w:p>
          <w:p w14:paraId="3142A74F">
            <w:pPr>
              <w:bidi w:val="0"/>
              <w:ind w:firstLine="384" w:firstLineChars="0"/>
              <w:jc w:val="left"/>
              <w:rPr>
                <w:color w:val="auto"/>
                <w:lang w:val="en-US" w:eastAsia="en-US"/>
              </w:rPr>
            </w:pPr>
            <w:r>
              <w:rPr>
                <w:color w:val="auto"/>
                <w:spacing w:val="15"/>
              </w:rPr>
              <w:t>可拒收；注冰明显者</w:t>
            </w:r>
            <w:r>
              <w:rPr>
                <w:color w:val="auto"/>
                <w:spacing w:val="7"/>
              </w:rPr>
              <w:t>拒收</w:t>
            </w:r>
          </w:p>
        </w:tc>
        <w:tc>
          <w:tcPr>
            <w:tcW w:w="96" w:type="dxa"/>
            <w:tcBorders>
              <w:bottom w:val="single" w:color="auto" w:sz="4" w:space="0"/>
            </w:tcBorders>
            <w:vAlign w:val="top"/>
          </w:tcPr>
          <w:p w14:paraId="593CE3BF">
            <w:pPr>
              <w:rPr>
                <w:rFonts w:ascii="Arial"/>
                <w:color w:val="auto"/>
                <w:sz w:val="21"/>
              </w:rPr>
            </w:pPr>
          </w:p>
        </w:tc>
      </w:tr>
      <w:tr w14:paraId="4E995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788" w:type="dxa"/>
            <w:vMerge w:val="continue"/>
            <w:tcBorders>
              <w:top w:val="single" w:color="auto" w:sz="0" w:space="0"/>
              <w:left w:val="single" w:color="auto" w:sz="4" w:space="0"/>
              <w:bottom w:val="single" w:color="auto" w:sz="0" w:space="0"/>
              <w:right w:val="single" w:color="auto" w:sz="4" w:space="0"/>
            </w:tcBorders>
            <w:vAlign w:val="top"/>
          </w:tcPr>
          <w:p w14:paraId="3331EE70">
            <w:pPr>
              <w:rPr>
                <w:rFonts w:ascii="Arial"/>
                <w:color w:val="auto"/>
                <w:sz w:val="21"/>
              </w:rPr>
            </w:pPr>
          </w:p>
        </w:tc>
        <w:tc>
          <w:tcPr>
            <w:tcW w:w="113" w:type="dxa"/>
            <w:tcBorders>
              <w:top w:val="single" w:color="auto" w:sz="4" w:space="0"/>
              <w:left w:val="single" w:color="auto" w:sz="4" w:space="0"/>
              <w:bottom w:val="single" w:color="auto" w:sz="4" w:space="0"/>
            </w:tcBorders>
            <w:vAlign w:val="top"/>
          </w:tcPr>
          <w:p w14:paraId="599747B2">
            <w:pPr>
              <w:rPr>
                <w:rFonts w:ascii="Arial"/>
                <w:color w:val="auto"/>
                <w:sz w:val="21"/>
              </w:rPr>
            </w:pPr>
          </w:p>
        </w:tc>
        <w:tc>
          <w:tcPr>
            <w:tcW w:w="1047" w:type="dxa"/>
            <w:tcBorders>
              <w:top w:val="single" w:color="auto" w:sz="4" w:space="0"/>
              <w:bottom w:val="single" w:color="auto" w:sz="4" w:space="0"/>
            </w:tcBorders>
            <w:shd w:val="clear" w:color="auto" w:fill="auto"/>
            <w:vAlign w:val="top"/>
          </w:tcPr>
          <w:p w14:paraId="0BACF42C">
            <w:pPr>
              <w:pStyle w:val="18"/>
              <w:spacing w:before="237" w:line="228" w:lineRule="auto"/>
              <w:ind w:left="368" w:leftChars="0"/>
              <w:rPr>
                <w:rFonts w:ascii="宋体" w:hAnsi="宋体" w:eastAsia="宋体" w:cs="宋体"/>
                <w:snapToGrid w:val="0"/>
                <w:color w:val="auto"/>
                <w:kern w:val="0"/>
                <w:sz w:val="20"/>
                <w:szCs w:val="20"/>
                <w:lang w:val="en-US" w:eastAsia="en-US" w:bidi="ar-SA"/>
              </w:rPr>
            </w:pPr>
            <w:r>
              <w:rPr>
                <w:rFonts w:hint="eastAsia"/>
                <w:color w:val="auto"/>
                <w:spacing w:val="4"/>
                <w:lang w:val="en-US" w:eastAsia="zh-CN"/>
              </w:rPr>
              <w:t>冰</w:t>
            </w:r>
            <w:r>
              <w:rPr>
                <w:color w:val="auto"/>
                <w:spacing w:val="4"/>
              </w:rPr>
              <w:t>虾类</w:t>
            </w:r>
          </w:p>
        </w:tc>
        <w:tc>
          <w:tcPr>
            <w:tcW w:w="4988" w:type="dxa"/>
            <w:tcBorders>
              <w:top w:val="single" w:color="auto" w:sz="4" w:space="0"/>
              <w:bottom w:val="single" w:color="auto" w:sz="4" w:space="0"/>
            </w:tcBorders>
            <w:shd w:val="clear" w:color="auto" w:fill="auto"/>
            <w:vAlign w:val="top"/>
          </w:tcPr>
          <w:p w14:paraId="7EDDC636">
            <w:pPr>
              <w:pStyle w:val="18"/>
              <w:spacing w:before="33" w:line="359" w:lineRule="auto"/>
              <w:ind w:left="128" w:leftChars="0" w:right="78" w:rightChars="0" w:hanging="11" w:firstLineChars="0"/>
              <w:rPr>
                <w:rFonts w:ascii="宋体" w:hAnsi="宋体" w:eastAsia="宋体" w:cs="宋体"/>
                <w:snapToGrid w:val="0"/>
                <w:color w:val="auto"/>
                <w:kern w:val="0"/>
                <w:sz w:val="20"/>
                <w:szCs w:val="20"/>
                <w:lang w:val="en-US" w:eastAsia="en-US" w:bidi="ar-SA"/>
              </w:rPr>
            </w:pPr>
            <w:r>
              <w:rPr>
                <w:color w:val="auto"/>
                <w:spacing w:val="8"/>
              </w:rPr>
              <w:t>头尾完整，有一定弯曲度，虾身较挺，半透明不发红</w:t>
            </w:r>
            <w:r>
              <w:rPr>
                <w:color w:val="auto"/>
                <w:spacing w:val="13"/>
              </w:rPr>
              <w:t xml:space="preserve"> </w:t>
            </w:r>
            <w:r>
              <w:rPr>
                <w:color w:val="auto"/>
                <w:spacing w:val="4"/>
              </w:rPr>
              <w:t>,</w:t>
            </w:r>
            <w:r>
              <w:rPr>
                <w:color w:val="auto"/>
                <w:spacing w:val="74"/>
              </w:rPr>
              <w:t xml:space="preserve"> </w:t>
            </w:r>
            <w:r>
              <w:rPr>
                <w:color w:val="auto"/>
                <w:spacing w:val="4"/>
              </w:rPr>
              <w:t>外壳有光泽，稍湿润，气味正常</w:t>
            </w:r>
          </w:p>
        </w:tc>
        <w:tc>
          <w:tcPr>
            <w:tcW w:w="2116" w:type="dxa"/>
            <w:vMerge w:val="continue"/>
            <w:tcBorders>
              <w:top w:val="single" w:color="auto" w:sz="4" w:space="0"/>
              <w:bottom w:val="single" w:color="auto" w:sz="4" w:space="0"/>
            </w:tcBorders>
            <w:vAlign w:val="top"/>
          </w:tcPr>
          <w:p w14:paraId="42C7FDCE">
            <w:pPr>
              <w:rPr>
                <w:rFonts w:ascii="Arial"/>
                <w:color w:val="auto"/>
                <w:sz w:val="21"/>
              </w:rPr>
            </w:pPr>
          </w:p>
        </w:tc>
        <w:tc>
          <w:tcPr>
            <w:tcW w:w="96" w:type="dxa"/>
            <w:tcBorders>
              <w:top w:val="single" w:color="auto" w:sz="4" w:space="0"/>
              <w:bottom w:val="single" w:color="auto" w:sz="4" w:space="0"/>
            </w:tcBorders>
            <w:vAlign w:val="top"/>
          </w:tcPr>
          <w:p w14:paraId="6181BD87">
            <w:pPr>
              <w:rPr>
                <w:rFonts w:ascii="Arial"/>
                <w:color w:val="auto"/>
                <w:sz w:val="21"/>
              </w:rPr>
            </w:pPr>
          </w:p>
        </w:tc>
      </w:tr>
      <w:tr w14:paraId="02E43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1788" w:type="dxa"/>
            <w:vMerge w:val="continue"/>
            <w:tcBorders>
              <w:top w:val="single" w:color="auto" w:sz="0" w:space="0"/>
              <w:left w:val="single" w:color="auto" w:sz="4" w:space="0"/>
              <w:bottom w:val="single" w:color="auto" w:sz="0" w:space="0"/>
              <w:right w:val="single" w:color="auto" w:sz="4" w:space="0"/>
            </w:tcBorders>
            <w:vAlign w:val="top"/>
          </w:tcPr>
          <w:p w14:paraId="64D58488">
            <w:pPr>
              <w:rPr>
                <w:rFonts w:ascii="Arial"/>
                <w:color w:val="auto"/>
                <w:sz w:val="21"/>
              </w:rPr>
            </w:pPr>
          </w:p>
        </w:tc>
        <w:tc>
          <w:tcPr>
            <w:tcW w:w="113" w:type="dxa"/>
            <w:tcBorders>
              <w:top w:val="single" w:color="auto" w:sz="4" w:space="0"/>
              <w:left w:val="single" w:color="auto" w:sz="4" w:space="0"/>
              <w:bottom w:val="nil"/>
            </w:tcBorders>
            <w:vAlign w:val="top"/>
          </w:tcPr>
          <w:p w14:paraId="28941DE1">
            <w:pPr>
              <w:rPr>
                <w:rFonts w:ascii="Arial"/>
                <w:color w:val="auto"/>
                <w:sz w:val="21"/>
              </w:rPr>
            </w:pPr>
          </w:p>
        </w:tc>
        <w:tc>
          <w:tcPr>
            <w:tcW w:w="1047" w:type="dxa"/>
            <w:tcBorders>
              <w:top w:val="single" w:color="auto" w:sz="4" w:space="0"/>
            </w:tcBorders>
            <w:shd w:val="clear" w:color="auto" w:fill="auto"/>
            <w:vAlign w:val="top"/>
          </w:tcPr>
          <w:p w14:paraId="0F77C3F9">
            <w:pPr>
              <w:spacing w:line="260" w:lineRule="auto"/>
              <w:rPr>
                <w:rFonts w:ascii="Arial"/>
                <w:color w:val="auto"/>
                <w:sz w:val="21"/>
              </w:rPr>
            </w:pPr>
          </w:p>
          <w:p w14:paraId="59689D22">
            <w:pPr>
              <w:spacing w:line="260" w:lineRule="auto"/>
              <w:rPr>
                <w:rFonts w:ascii="Arial"/>
                <w:color w:val="auto"/>
                <w:sz w:val="21"/>
              </w:rPr>
            </w:pPr>
          </w:p>
          <w:p w14:paraId="2103F97B">
            <w:pPr>
              <w:spacing w:line="261" w:lineRule="auto"/>
              <w:rPr>
                <w:rFonts w:ascii="Arial"/>
                <w:color w:val="auto"/>
                <w:sz w:val="21"/>
              </w:rPr>
            </w:pPr>
          </w:p>
          <w:p w14:paraId="4FF6B37F">
            <w:pPr>
              <w:pStyle w:val="18"/>
              <w:spacing w:before="65" w:line="229" w:lineRule="auto"/>
              <w:ind w:left="263" w:leftChars="0"/>
              <w:rPr>
                <w:rFonts w:ascii="宋体" w:hAnsi="宋体" w:eastAsia="宋体" w:cs="宋体"/>
                <w:snapToGrid w:val="0"/>
                <w:color w:val="auto"/>
                <w:kern w:val="0"/>
                <w:sz w:val="20"/>
                <w:szCs w:val="20"/>
                <w:lang w:val="en-US" w:eastAsia="en-US" w:bidi="ar-SA"/>
              </w:rPr>
            </w:pPr>
            <w:r>
              <w:rPr>
                <w:color w:val="auto"/>
                <w:spacing w:val="7"/>
              </w:rPr>
              <w:t>冰鱿鱼</w:t>
            </w:r>
          </w:p>
        </w:tc>
        <w:tc>
          <w:tcPr>
            <w:tcW w:w="4988" w:type="dxa"/>
            <w:tcBorders>
              <w:top w:val="single" w:color="auto" w:sz="4" w:space="0"/>
            </w:tcBorders>
            <w:shd w:val="clear" w:color="auto" w:fill="auto"/>
            <w:vAlign w:val="top"/>
          </w:tcPr>
          <w:p w14:paraId="64C79E93">
            <w:pPr>
              <w:spacing w:line="288" w:lineRule="auto"/>
              <w:rPr>
                <w:rFonts w:ascii="Arial"/>
                <w:color w:val="auto"/>
                <w:sz w:val="21"/>
              </w:rPr>
            </w:pPr>
          </w:p>
          <w:p w14:paraId="63BD9E7C">
            <w:pPr>
              <w:spacing w:line="289" w:lineRule="auto"/>
              <w:rPr>
                <w:rFonts w:ascii="Arial"/>
                <w:color w:val="auto"/>
                <w:sz w:val="21"/>
              </w:rPr>
            </w:pPr>
          </w:p>
          <w:p w14:paraId="109E0AE3">
            <w:pPr>
              <w:pStyle w:val="18"/>
              <w:spacing w:before="65" w:line="378" w:lineRule="auto"/>
              <w:ind w:left="114" w:leftChars="0" w:right="75" w:rightChars="0" w:firstLine="1" w:firstLineChars="0"/>
              <w:rPr>
                <w:rFonts w:ascii="宋体" w:hAnsi="宋体" w:eastAsia="宋体" w:cs="宋体"/>
                <w:snapToGrid w:val="0"/>
                <w:color w:val="auto"/>
                <w:kern w:val="0"/>
                <w:sz w:val="20"/>
                <w:szCs w:val="20"/>
                <w:lang w:val="en-US" w:eastAsia="en-US" w:bidi="ar-SA"/>
              </w:rPr>
            </w:pPr>
            <w:r>
              <w:rPr>
                <w:color w:val="auto"/>
                <w:spacing w:val="8"/>
              </w:rPr>
              <w:t>色鲜艳，皮微红，有光泽，多黏液，体形完整，肌肉</w:t>
            </w:r>
            <w:r>
              <w:rPr>
                <w:color w:val="auto"/>
                <w:spacing w:val="10"/>
              </w:rPr>
              <w:t>柔软光滑，有弹性</w:t>
            </w:r>
          </w:p>
        </w:tc>
        <w:tc>
          <w:tcPr>
            <w:tcW w:w="2116" w:type="dxa"/>
            <w:vMerge w:val="continue"/>
            <w:tcBorders>
              <w:top w:val="single" w:color="auto" w:sz="4" w:space="0"/>
            </w:tcBorders>
            <w:vAlign w:val="top"/>
          </w:tcPr>
          <w:p w14:paraId="7BEC92D0">
            <w:pPr>
              <w:rPr>
                <w:rFonts w:ascii="Arial"/>
                <w:color w:val="auto"/>
                <w:sz w:val="21"/>
              </w:rPr>
            </w:pPr>
          </w:p>
        </w:tc>
        <w:tc>
          <w:tcPr>
            <w:tcW w:w="96" w:type="dxa"/>
            <w:tcBorders>
              <w:top w:val="single" w:color="auto" w:sz="4" w:space="0"/>
              <w:bottom w:val="nil"/>
            </w:tcBorders>
            <w:vAlign w:val="top"/>
          </w:tcPr>
          <w:p w14:paraId="1600B4AE">
            <w:pPr>
              <w:rPr>
                <w:rFonts w:ascii="Arial"/>
                <w:color w:val="auto"/>
                <w:sz w:val="21"/>
              </w:rPr>
            </w:pPr>
          </w:p>
        </w:tc>
      </w:tr>
      <w:tr w14:paraId="00E5E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2" w:hRule="atLeast"/>
        </w:trPr>
        <w:tc>
          <w:tcPr>
            <w:tcW w:w="1788" w:type="dxa"/>
            <w:vMerge w:val="continue"/>
            <w:tcBorders>
              <w:top w:val="single" w:color="auto" w:sz="0" w:space="0"/>
              <w:left w:val="single" w:color="auto" w:sz="4" w:space="0"/>
              <w:bottom w:val="single" w:color="auto" w:sz="0" w:space="0"/>
              <w:right w:val="single" w:color="auto" w:sz="4" w:space="0"/>
            </w:tcBorders>
            <w:vAlign w:val="top"/>
          </w:tcPr>
          <w:p w14:paraId="2D91198F">
            <w:pPr>
              <w:rPr>
                <w:rFonts w:ascii="Arial"/>
                <w:color w:val="auto"/>
                <w:sz w:val="21"/>
              </w:rPr>
            </w:pPr>
          </w:p>
        </w:tc>
        <w:tc>
          <w:tcPr>
            <w:tcW w:w="113" w:type="dxa"/>
            <w:tcBorders>
              <w:top w:val="nil"/>
              <w:left w:val="single" w:color="auto" w:sz="4" w:space="0"/>
              <w:bottom w:val="single" w:color="auto" w:sz="4" w:space="0"/>
            </w:tcBorders>
            <w:vAlign w:val="top"/>
          </w:tcPr>
          <w:p w14:paraId="3461E466">
            <w:pPr>
              <w:rPr>
                <w:rFonts w:ascii="Arial"/>
                <w:color w:val="auto"/>
                <w:sz w:val="21"/>
              </w:rPr>
            </w:pPr>
          </w:p>
        </w:tc>
        <w:tc>
          <w:tcPr>
            <w:tcW w:w="1047" w:type="dxa"/>
            <w:tcBorders>
              <w:bottom w:val="single" w:color="auto" w:sz="4" w:space="0"/>
            </w:tcBorders>
            <w:shd w:val="clear" w:color="auto" w:fill="auto"/>
            <w:vAlign w:val="top"/>
          </w:tcPr>
          <w:p w14:paraId="37366B25">
            <w:pPr>
              <w:spacing w:line="297" w:lineRule="auto"/>
              <w:rPr>
                <w:rFonts w:ascii="Arial"/>
                <w:color w:val="auto"/>
                <w:sz w:val="21"/>
              </w:rPr>
            </w:pPr>
          </w:p>
          <w:p w14:paraId="6D0F2BC9">
            <w:pPr>
              <w:spacing w:line="298" w:lineRule="auto"/>
              <w:rPr>
                <w:rFonts w:ascii="Arial"/>
                <w:color w:val="auto"/>
                <w:sz w:val="21"/>
              </w:rPr>
            </w:pPr>
          </w:p>
          <w:p w14:paraId="2BA07FD6">
            <w:pPr>
              <w:spacing w:line="298" w:lineRule="auto"/>
              <w:rPr>
                <w:rFonts w:ascii="Arial"/>
                <w:color w:val="auto"/>
                <w:sz w:val="21"/>
              </w:rPr>
            </w:pPr>
          </w:p>
          <w:p w14:paraId="30BD708B">
            <w:pPr>
              <w:spacing w:line="298" w:lineRule="auto"/>
              <w:rPr>
                <w:rFonts w:ascii="Arial"/>
                <w:color w:val="auto"/>
                <w:sz w:val="21"/>
              </w:rPr>
            </w:pPr>
          </w:p>
          <w:p w14:paraId="379F907D">
            <w:pPr>
              <w:pStyle w:val="18"/>
              <w:spacing w:before="65" w:line="228" w:lineRule="auto"/>
              <w:ind w:left="259" w:leftChars="0"/>
              <w:rPr>
                <w:rFonts w:ascii="宋体" w:hAnsi="宋体" w:eastAsia="宋体" w:cs="宋体"/>
                <w:snapToGrid w:val="0"/>
                <w:color w:val="auto"/>
                <w:kern w:val="0"/>
                <w:sz w:val="20"/>
                <w:szCs w:val="20"/>
                <w:lang w:val="en-US" w:eastAsia="en-US" w:bidi="ar-SA"/>
              </w:rPr>
            </w:pPr>
            <w:r>
              <w:rPr>
                <w:color w:val="auto"/>
                <w:spacing w:val="7"/>
              </w:rPr>
              <w:t>冻鱼类</w:t>
            </w:r>
          </w:p>
        </w:tc>
        <w:tc>
          <w:tcPr>
            <w:tcW w:w="4988" w:type="dxa"/>
            <w:tcBorders>
              <w:bottom w:val="single" w:color="auto" w:sz="4" w:space="0"/>
            </w:tcBorders>
            <w:shd w:val="clear" w:color="auto" w:fill="auto"/>
            <w:vAlign w:val="top"/>
          </w:tcPr>
          <w:p w14:paraId="63AF567C">
            <w:pPr>
              <w:pStyle w:val="18"/>
              <w:spacing w:before="35" w:line="372" w:lineRule="auto"/>
              <w:ind w:left="114" w:leftChars="0"/>
              <w:jc w:val="both"/>
              <w:rPr>
                <w:rFonts w:ascii="宋体" w:hAnsi="宋体" w:eastAsia="宋体" w:cs="宋体"/>
                <w:snapToGrid w:val="0"/>
                <w:color w:val="auto"/>
                <w:kern w:val="0"/>
                <w:sz w:val="20"/>
                <w:szCs w:val="20"/>
                <w:lang w:val="en-US" w:eastAsia="en-US" w:bidi="ar-SA"/>
              </w:rPr>
            </w:pPr>
            <w:r>
              <w:rPr>
                <w:color w:val="auto"/>
                <w:spacing w:val="4"/>
              </w:rPr>
              <w:t>鳍平直紧贴鱼体，鳞片上覆有冻结的黏液层，天然色泽鲜明而</w:t>
            </w:r>
            <w:r>
              <w:rPr>
                <w:color w:val="auto"/>
                <w:spacing w:val="6"/>
              </w:rPr>
              <w:t>不浑浊。眼球不突出，透明重复冰冻的鱼鳞呈暗色，解冻后，</w:t>
            </w:r>
            <w:r>
              <w:rPr>
                <w:color w:val="auto"/>
                <w:spacing w:val="4"/>
              </w:rPr>
              <w:t>有光泽，有一层清洁透明的黏液，鳞片完整</w:t>
            </w:r>
            <w:r>
              <w:rPr>
                <w:color w:val="auto"/>
                <w:spacing w:val="3"/>
              </w:rPr>
              <w:t>、不易脱落，具有</w:t>
            </w:r>
            <w:r>
              <w:rPr>
                <w:color w:val="auto"/>
                <w:spacing w:val="-1"/>
              </w:rPr>
              <w:t>海水鱼或淡水鱼固有气味，眼球饱满凸出，角膜透明，鳃鲜红、清晰，腹部坚实、无胀气、裂现象、肛孔白色凹陷，肉质坚实，</w:t>
            </w:r>
            <w:r>
              <w:rPr>
                <w:color w:val="auto"/>
                <w:spacing w:val="4"/>
              </w:rPr>
              <w:t>有弹性，骨肉不分离。解冻后与鲜品特征相</w:t>
            </w:r>
            <w:r>
              <w:rPr>
                <w:color w:val="auto"/>
                <w:spacing w:val="3"/>
              </w:rPr>
              <w:t>同。外包装箱完好</w:t>
            </w:r>
            <w:r>
              <w:rPr>
                <w:color w:val="auto"/>
                <w:spacing w:val="6"/>
              </w:rPr>
              <w:t>无破损，有生产日期。</w:t>
            </w:r>
          </w:p>
        </w:tc>
        <w:tc>
          <w:tcPr>
            <w:tcW w:w="2116" w:type="dxa"/>
            <w:tcBorders>
              <w:bottom w:val="single" w:color="auto" w:sz="4" w:space="0"/>
            </w:tcBorders>
            <w:vAlign w:val="top"/>
          </w:tcPr>
          <w:p w14:paraId="4B692BFD">
            <w:pPr>
              <w:pStyle w:val="18"/>
              <w:spacing w:before="282" w:line="377" w:lineRule="auto"/>
              <w:ind w:left="0" w:leftChars="0" w:right="1" w:firstLine="0" w:firstLineChars="0"/>
              <w:rPr>
                <w:rFonts w:hint="eastAsia"/>
                <w:color w:val="auto"/>
                <w:spacing w:val="5"/>
                <w:lang w:val="en-US" w:eastAsia="zh-CN"/>
              </w:rPr>
            </w:pPr>
            <w:r>
              <w:rPr>
                <w:rFonts w:hint="eastAsia"/>
                <w:color w:val="auto"/>
                <w:spacing w:val="5"/>
                <w:lang w:eastAsia="zh-CN"/>
              </w:rPr>
              <w:t>扣</w:t>
            </w:r>
            <w:r>
              <w:rPr>
                <w:color w:val="auto"/>
                <w:spacing w:val="5"/>
              </w:rPr>
              <w:t>秤标准</w:t>
            </w:r>
            <w:r>
              <w:rPr>
                <w:rFonts w:hint="eastAsia"/>
                <w:color w:val="auto"/>
                <w:spacing w:val="5"/>
                <w:lang w:val="en-US" w:eastAsia="zh-CN"/>
              </w:rPr>
              <w:t xml:space="preserve">         </w:t>
            </w:r>
          </w:p>
          <w:p w14:paraId="13FC11CC">
            <w:pPr>
              <w:pStyle w:val="18"/>
              <w:spacing w:before="282" w:line="377" w:lineRule="auto"/>
              <w:ind w:left="0" w:leftChars="0" w:right="1" w:firstLine="0" w:firstLineChars="0"/>
              <w:rPr>
                <w:rFonts w:hint="eastAsia" w:eastAsia="宋体"/>
                <w:color w:val="auto"/>
                <w:spacing w:val="7"/>
                <w:lang w:val="en-US" w:eastAsia="zh-CN"/>
              </w:rPr>
            </w:pPr>
            <w:r>
              <w:rPr>
                <w:rFonts w:hint="eastAsia"/>
                <w:color w:val="auto"/>
                <w:spacing w:val="5"/>
                <w:lang w:val="en-US" w:eastAsia="zh-CN"/>
              </w:rPr>
              <w:t>外</w:t>
            </w:r>
            <w:r>
              <w:rPr>
                <w:color w:val="auto"/>
                <w:spacing w:val="-36"/>
              </w:rPr>
              <w:t xml:space="preserve"> </w:t>
            </w:r>
            <w:r>
              <w:rPr>
                <w:color w:val="auto"/>
                <w:spacing w:val="-1"/>
              </w:rPr>
              <w:t>包</w:t>
            </w:r>
            <w:r>
              <w:rPr>
                <w:color w:val="auto"/>
                <w:spacing w:val="-29"/>
              </w:rPr>
              <w:t xml:space="preserve"> </w:t>
            </w:r>
            <w:r>
              <w:rPr>
                <w:color w:val="auto"/>
                <w:spacing w:val="-1"/>
              </w:rPr>
              <w:t>装</w:t>
            </w:r>
            <w:r>
              <w:rPr>
                <w:color w:val="auto"/>
                <w:spacing w:val="-36"/>
              </w:rPr>
              <w:t xml:space="preserve"> </w:t>
            </w:r>
            <w:r>
              <w:rPr>
                <w:color w:val="auto"/>
                <w:spacing w:val="-1"/>
              </w:rPr>
              <w:t>箱</w:t>
            </w:r>
            <w:r>
              <w:rPr>
                <w:color w:val="auto"/>
                <w:spacing w:val="-19"/>
              </w:rPr>
              <w:t xml:space="preserve"> </w:t>
            </w:r>
            <w:r>
              <w:rPr>
                <w:color w:val="auto"/>
                <w:spacing w:val="-1"/>
              </w:rPr>
              <w:t>需</w:t>
            </w:r>
            <w:r>
              <w:rPr>
                <w:color w:val="auto"/>
                <w:spacing w:val="12"/>
              </w:rPr>
              <w:t>完好、且符合</w:t>
            </w:r>
            <w:r>
              <w:rPr>
                <w:color w:val="auto"/>
                <w:spacing w:val="11"/>
              </w:rPr>
              <w:t>质量标准；严</w:t>
            </w:r>
            <w:r>
              <w:rPr>
                <w:color w:val="auto"/>
                <w:spacing w:val="-1"/>
              </w:rPr>
              <w:t>重</w:t>
            </w:r>
            <w:r>
              <w:rPr>
                <w:color w:val="auto"/>
                <w:spacing w:val="-43"/>
              </w:rPr>
              <w:t xml:space="preserve"> </w:t>
            </w:r>
            <w:r>
              <w:rPr>
                <w:color w:val="auto"/>
                <w:spacing w:val="-1"/>
              </w:rPr>
              <w:t>不</w:t>
            </w:r>
            <w:r>
              <w:rPr>
                <w:color w:val="auto"/>
                <w:spacing w:val="-28"/>
              </w:rPr>
              <w:t xml:space="preserve"> </w:t>
            </w:r>
            <w:r>
              <w:rPr>
                <w:color w:val="auto"/>
                <w:spacing w:val="-1"/>
              </w:rPr>
              <w:t>符</w:t>
            </w:r>
            <w:r>
              <w:rPr>
                <w:color w:val="auto"/>
                <w:spacing w:val="-24"/>
              </w:rPr>
              <w:t xml:space="preserve"> </w:t>
            </w:r>
            <w:r>
              <w:rPr>
                <w:color w:val="auto"/>
                <w:spacing w:val="-1"/>
              </w:rPr>
              <w:t>合</w:t>
            </w:r>
            <w:r>
              <w:rPr>
                <w:color w:val="auto"/>
                <w:spacing w:val="-29"/>
              </w:rPr>
              <w:t xml:space="preserve"> </w:t>
            </w:r>
            <w:r>
              <w:rPr>
                <w:color w:val="auto"/>
                <w:spacing w:val="-1"/>
              </w:rPr>
              <w:t>质量</w:t>
            </w:r>
            <w:r>
              <w:rPr>
                <w:color w:val="auto"/>
                <w:spacing w:val="-31"/>
              </w:rPr>
              <w:t xml:space="preserve"> </w:t>
            </w:r>
            <w:r>
              <w:rPr>
                <w:color w:val="auto"/>
                <w:spacing w:val="-1"/>
              </w:rPr>
              <w:t>标</w:t>
            </w:r>
            <w:r>
              <w:rPr>
                <w:color w:val="auto"/>
                <w:spacing w:val="-28"/>
              </w:rPr>
              <w:t xml:space="preserve"> </w:t>
            </w:r>
            <w:r>
              <w:rPr>
                <w:color w:val="auto"/>
                <w:spacing w:val="-1"/>
              </w:rPr>
              <w:t>准</w:t>
            </w:r>
            <w:r>
              <w:rPr>
                <w:color w:val="auto"/>
                <w:spacing w:val="-33"/>
              </w:rPr>
              <w:t xml:space="preserve"> </w:t>
            </w:r>
            <w:r>
              <w:rPr>
                <w:color w:val="auto"/>
                <w:spacing w:val="-1"/>
              </w:rPr>
              <w:t>者</w:t>
            </w:r>
            <w:r>
              <w:rPr>
                <w:color w:val="auto"/>
                <w:spacing w:val="-32"/>
              </w:rPr>
              <w:t xml:space="preserve"> </w:t>
            </w:r>
            <w:r>
              <w:rPr>
                <w:color w:val="auto"/>
                <w:spacing w:val="-1"/>
              </w:rPr>
              <w:t>可</w:t>
            </w:r>
            <w:r>
              <w:rPr>
                <w:color w:val="auto"/>
                <w:spacing w:val="15"/>
              </w:rPr>
              <w:t>拒收；注冰明</w:t>
            </w:r>
            <w:r>
              <w:rPr>
                <w:color w:val="auto"/>
                <w:spacing w:val="7"/>
              </w:rPr>
              <w:t>显者拒收</w:t>
            </w:r>
            <w:r>
              <w:rPr>
                <w:rFonts w:hint="eastAsia"/>
                <w:color w:val="auto"/>
                <w:spacing w:val="7"/>
                <w:lang w:val="en-US" w:eastAsia="zh-CN"/>
              </w:rPr>
              <w:t xml:space="preserve"> </w:t>
            </w:r>
            <w:r>
              <w:rPr>
                <w:color w:val="auto"/>
                <w:spacing w:val="7"/>
              </w:rPr>
              <w:t>根据现场实际情况和</w:t>
            </w:r>
            <w:r>
              <w:rPr>
                <w:color w:val="auto"/>
                <w:spacing w:val="-1"/>
              </w:rPr>
              <w:t>实际需求量，临场与中</w:t>
            </w:r>
            <w:r>
              <w:rPr>
                <w:color w:val="auto"/>
                <w:spacing w:val="7"/>
              </w:rPr>
              <w:t>标供应商协议扣秤</w:t>
            </w:r>
            <w:r>
              <w:rPr>
                <w:color w:val="auto"/>
                <w:spacing w:val="-2"/>
              </w:rPr>
              <w:t>1-5%，严重不符合质量</w:t>
            </w:r>
            <w:r>
              <w:rPr>
                <w:color w:val="auto"/>
                <w:spacing w:val="6"/>
              </w:rPr>
              <w:t>标准者可拒收</w:t>
            </w:r>
          </w:p>
          <w:p w14:paraId="04AB7A39">
            <w:pPr>
              <w:pStyle w:val="18"/>
              <w:spacing w:before="65" w:line="229" w:lineRule="auto"/>
              <w:ind w:right="13"/>
              <w:jc w:val="both"/>
              <w:rPr>
                <w:color w:val="auto"/>
                <w:spacing w:val="7"/>
              </w:rPr>
            </w:pPr>
          </w:p>
        </w:tc>
        <w:tc>
          <w:tcPr>
            <w:tcW w:w="96" w:type="dxa"/>
            <w:tcBorders>
              <w:top w:val="nil"/>
              <w:bottom w:val="single" w:color="auto" w:sz="4" w:space="0"/>
            </w:tcBorders>
            <w:vAlign w:val="top"/>
          </w:tcPr>
          <w:p w14:paraId="294873E0">
            <w:pPr>
              <w:rPr>
                <w:rFonts w:ascii="Arial"/>
                <w:color w:val="auto"/>
                <w:sz w:val="21"/>
              </w:rPr>
            </w:pPr>
          </w:p>
        </w:tc>
      </w:tr>
      <w:tr w14:paraId="49E3F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4" w:hRule="atLeast"/>
        </w:trPr>
        <w:tc>
          <w:tcPr>
            <w:tcW w:w="1788" w:type="dxa"/>
            <w:tcBorders>
              <w:top w:val="single" w:color="auto" w:sz="0" w:space="0"/>
              <w:left w:val="single" w:color="auto" w:sz="4" w:space="0"/>
              <w:bottom w:val="single" w:color="auto" w:sz="0" w:space="0"/>
              <w:right w:val="single" w:color="auto" w:sz="4" w:space="0"/>
            </w:tcBorders>
            <w:vAlign w:val="top"/>
          </w:tcPr>
          <w:p w14:paraId="16EB252F">
            <w:pPr>
              <w:rPr>
                <w:rFonts w:hint="eastAsia"/>
                <w:color w:val="auto"/>
                <w:sz w:val="21"/>
                <w:lang w:eastAsia="zh-CN"/>
              </w:rPr>
            </w:pPr>
          </w:p>
          <w:p w14:paraId="1DD0C97A">
            <w:pPr>
              <w:rPr>
                <w:rFonts w:hint="eastAsia"/>
                <w:color w:val="auto"/>
                <w:sz w:val="21"/>
                <w:lang w:eastAsia="zh-CN"/>
              </w:rPr>
            </w:pPr>
          </w:p>
          <w:p w14:paraId="1A6B9D84">
            <w:pPr>
              <w:rPr>
                <w:rFonts w:hint="eastAsia"/>
                <w:color w:val="auto"/>
                <w:sz w:val="21"/>
                <w:lang w:eastAsia="zh-CN"/>
              </w:rPr>
            </w:pPr>
          </w:p>
          <w:p w14:paraId="0C8E0A8C">
            <w:pPr>
              <w:rPr>
                <w:rFonts w:hint="eastAsia"/>
                <w:color w:val="auto"/>
                <w:sz w:val="21"/>
                <w:lang w:eastAsia="zh-CN"/>
              </w:rPr>
            </w:pPr>
          </w:p>
          <w:p w14:paraId="611F7B47">
            <w:pPr>
              <w:rPr>
                <w:rFonts w:hint="eastAsia"/>
                <w:color w:val="auto"/>
                <w:sz w:val="21"/>
                <w:lang w:eastAsia="zh-CN"/>
              </w:rPr>
            </w:pPr>
          </w:p>
          <w:p w14:paraId="2237DA44">
            <w:pPr>
              <w:rPr>
                <w:rFonts w:hint="eastAsia"/>
                <w:color w:val="auto"/>
                <w:sz w:val="21"/>
                <w:lang w:eastAsia="zh-CN"/>
              </w:rPr>
            </w:pPr>
          </w:p>
          <w:p w14:paraId="604201B2">
            <w:pPr>
              <w:rPr>
                <w:rFonts w:hint="eastAsia"/>
                <w:color w:val="auto"/>
                <w:sz w:val="21"/>
                <w:lang w:eastAsia="zh-CN"/>
              </w:rPr>
            </w:pPr>
          </w:p>
          <w:p w14:paraId="1F79B656">
            <w:pPr>
              <w:rPr>
                <w:rFonts w:hint="eastAsia"/>
                <w:color w:val="auto"/>
                <w:sz w:val="21"/>
                <w:lang w:eastAsia="zh-CN"/>
              </w:rPr>
            </w:pPr>
          </w:p>
          <w:p w14:paraId="0BBE0D64">
            <w:pPr>
              <w:rPr>
                <w:rFonts w:hint="eastAsia"/>
                <w:color w:val="auto"/>
                <w:sz w:val="21"/>
                <w:lang w:eastAsia="zh-CN"/>
              </w:rPr>
            </w:pPr>
          </w:p>
          <w:p w14:paraId="2AE11740">
            <w:pPr>
              <w:rPr>
                <w:rFonts w:hint="eastAsia" w:ascii="Arial"/>
                <w:color w:val="auto"/>
                <w:sz w:val="21"/>
                <w:lang w:eastAsia="zh-CN"/>
              </w:rPr>
            </w:pPr>
            <w:r>
              <w:rPr>
                <w:rFonts w:hint="eastAsia"/>
                <w:color w:val="auto"/>
                <w:sz w:val="21"/>
                <w:lang w:eastAsia="zh-CN"/>
              </w:rPr>
              <w:t xml:space="preserve">    其他要求</w:t>
            </w:r>
          </w:p>
        </w:tc>
        <w:tc>
          <w:tcPr>
            <w:tcW w:w="8360" w:type="dxa"/>
            <w:gridSpan w:val="5"/>
            <w:tcBorders>
              <w:top w:val="single" w:color="auto" w:sz="4" w:space="0"/>
              <w:left w:val="single" w:color="auto" w:sz="4" w:space="0"/>
              <w:bottom w:val="single" w:color="auto" w:sz="4" w:space="0"/>
            </w:tcBorders>
            <w:vAlign w:val="top"/>
          </w:tcPr>
          <w:p w14:paraId="4A2FABAB">
            <w:pPr>
              <w:pStyle w:val="18"/>
              <w:spacing w:before="31" w:line="327" w:lineRule="auto"/>
              <w:ind w:left="116" w:right="16" w:firstLine="430"/>
              <w:rPr>
                <w:color w:val="auto"/>
                <w:sz w:val="18"/>
                <w:szCs w:val="18"/>
              </w:rPr>
            </w:pPr>
            <w:r>
              <w:rPr>
                <w:color w:val="auto"/>
                <w:spacing w:val="11"/>
                <w:sz w:val="18"/>
                <w:szCs w:val="18"/>
              </w:rPr>
              <w:t>1. 采购人指定人与中标供应商在响应及履</w:t>
            </w:r>
            <w:r>
              <w:rPr>
                <w:color w:val="auto"/>
                <w:spacing w:val="10"/>
                <w:sz w:val="18"/>
                <w:szCs w:val="18"/>
              </w:rPr>
              <w:t>行合同过程中，必须遵守《中华人民共和</w:t>
            </w:r>
            <w:r>
              <w:rPr>
                <w:color w:val="auto"/>
                <w:spacing w:val="6"/>
                <w:sz w:val="18"/>
                <w:szCs w:val="18"/>
              </w:rPr>
              <w:t>国食品安全法》《中华人民共和国反不正当竞争法》《</w:t>
            </w:r>
            <w:r>
              <w:rPr>
                <w:color w:val="auto"/>
                <w:spacing w:val="5"/>
                <w:sz w:val="18"/>
                <w:szCs w:val="18"/>
              </w:rPr>
              <w:t>中华人民共和国消费者权益保障法》</w:t>
            </w:r>
            <w:r>
              <w:rPr>
                <w:color w:val="auto"/>
                <w:sz w:val="18"/>
                <w:szCs w:val="18"/>
              </w:rPr>
              <w:t xml:space="preserve"> </w:t>
            </w:r>
            <w:r>
              <w:rPr>
                <w:color w:val="auto"/>
                <w:spacing w:val="9"/>
                <w:sz w:val="18"/>
                <w:szCs w:val="18"/>
              </w:rPr>
              <w:t>《中华人民共和国经济合同法》及相关的国家法律、法规。</w:t>
            </w:r>
          </w:p>
          <w:p w14:paraId="4E99EE0B">
            <w:pPr>
              <w:pStyle w:val="18"/>
              <w:spacing w:before="161" w:line="328" w:lineRule="auto"/>
              <w:ind w:left="114" w:right="109" w:firstLine="418"/>
              <w:rPr>
                <w:color w:val="auto"/>
                <w:sz w:val="18"/>
                <w:szCs w:val="18"/>
              </w:rPr>
            </w:pPr>
            <w:r>
              <w:rPr>
                <w:color w:val="auto"/>
                <w:spacing w:val="11"/>
                <w:sz w:val="18"/>
                <w:szCs w:val="18"/>
              </w:rPr>
              <w:t>2. 本项目所指的货物及服务应符合招标文件所述的标准；如果没有提及适</w:t>
            </w:r>
            <w:r>
              <w:rPr>
                <w:color w:val="auto"/>
                <w:spacing w:val="10"/>
                <w:sz w:val="18"/>
                <w:szCs w:val="18"/>
              </w:rPr>
              <w:t>用标准，</w:t>
            </w:r>
            <w:r>
              <w:rPr>
                <w:color w:val="auto"/>
                <w:spacing w:val="9"/>
                <w:sz w:val="18"/>
                <w:szCs w:val="18"/>
              </w:rPr>
              <w:t>则应符合中华人民共和国国家标准或行业标准</w:t>
            </w:r>
            <w:r>
              <w:rPr>
                <w:color w:val="auto"/>
                <w:spacing w:val="8"/>
                <w:sz w:val="18"/>
                <w:szCs w:val="18"/>
              </w:rPr>
              <w:t>；这些标准必须是有关机构发布的最新版本</w:t>
            </w:r>
            <w:r>
              <w:rPr>
                <w:color w:val="auto"/>
                <w:spacing w:val="4"/>
                <w:sz w:val="18"/>
                <w:szCs w:val="18"/>
              </w:rPr>
              <w:t>的标准。</w:t>
            </w:r>
          </w:p>
          <w:p w14:paraId="57BF2CAB">
            <w:pPr>
              <w:pStyle w:val="18"/>
              <w:spacing w:before="157" w:line="340" w:lineRule="auto"/>
              <w:ind w:left="111" w:right="101" w:firstLine="423"/>
              <w:rPr>
                <w:color w:val="auto"/>
                <w:sz w:val="18"/>
                <w:szCs w:val="18"/>
              </w:rPr>
            </w:pPr>
            <w:r>
              <w:rPr>
                <w:color w:val="auto"/>
                <w:spacing w:val="10"/>
                <w:sz w:val="18"/>
                <w:szCs w:val="18"/>
              </w:rPr>
              <w:t>3.</w:t>
            </w:r>
            <w:r>
              <w:rPr>
                <w:color w:val="auto"/>
                <w:spacing w:val="42"/>
                <w:sz w:val="18"/>
                <w:szCs w:val="18"/>
              </w:rPr>
              <w:t xml:space="preserve"> </w:t>
            </w:r>
            <w:r>
              <w:rPr>
                <w:color w:val="auto"/>
                <w:spacing w:val="10"/>
                <w:sz w:val="18"/>
                <w:szCs w:val="18"/>
              </w:rPr>
              <w:t>中标供应商应充分理解并认真遵循招标文件的要求，所提供的货物必须是满足招</w:t>
            </w:r>
            <w:r>
              <w:rPr>
                <w:color w:val="auto"/>
                <w:spacing w:val="9"/>
                <w:sz w:val="18"/>
                <w:szCs w:val="18"/>
              </w:rPr>
              <w:t>标文件要求。保证合同货品均为正规生产的新鲜（冰鲜除外）检验合格、</w:t>
            </w:r>
            <w:r>
              <w:rPr>
                <w:color w:val="auto"/>
                <w:spacing w:val="8"/>
                <w:sz w:val="18"/>
                <w:szCs w:val="18"/>
              </w:rPr>
              <w:t>无毒、无辐射、</w:t>
            </w:r>
            <w:r>
              <w:rPr>
                <w:color w:val="auto"/>
                <w:spacing w:val="9"/>
                <w:sz w:val="18"/>
                <w:szCs w:val="18"/>
              </w:rPr>
              <w:t>无侵权货品，符合国家有关卫生、质量、包装和保质标准，</w:t>
            </w:r>
            <w:r>
              <w:rPr>
                <w:color w:val="auto"/>
                <w:spacing w:val="8"/>
                <w:sz w:val="18"/>
                <w:szCs w:val="18"/>
              </w:rPr>
              <w:t>有使用有效期的货品，其剩余</w:t>
            </w:r>
            <w:r>
              <w:rPr>
                <w:color w:val="auto"/>
                <w:spacing w:val="7"/>
                <w:sz w:val="18"/>
                <w:szCs w:val="18"/>
              </w:rPr>
              <w:t>有效期不得少于标注有效期的</w:t>
            </w:r>
            <w:r>
              <w:rPr>
                <w:color w:val="auto"/>
                <w:spacing w:val="-30"/>
                <w:sz w:val="18"/>
                <w:szCs w:val="18"/>
              </w:rPr>
              <w:t xml:space="preserve"> </w:t>
            </w:r>
            <w:r>
              <w:rPr>
                <w:color w:val="auto"/>
                <w:spacing w:val="7"/>
                <w:sz w:val="18"/>
                <w:szCs w:val="18"/>
              </w:rPr>
              <w:t>80%。</w:t>
            </w:r>
          </w:p>
          <w:p w14:paraId="37766D7E">
            <w:pPr>
              <w:pStyle w:val="18"/>
              <w:spacing w:before="161" w:line="303" w:lineRule="auto"/>
              <w:ind w:left="111" w:right="109" w:firstLine="418"/>
              <w:rPr>
                <w:color w:val="auto"/>
                <w:spacing w:val="8"/>
                <w:sz w:val="18"/>
                <w:szCs w:val="18"/>
              </w:rPr>
            </w:pPr>
            <w:r>
              <w:rPr>
                <w:color w:val="auto"/>
                <w:spacing w:val="11"/>
                <w:sz w:val="18"/>
                <w:szCs w:val="18"/>
              </w:rPr>
              <w:t>4. 货物有包装的，货物的包装必须完整清洁（</w:t>
            </w:r>
            <w:r>
              <w:rPr>
                <w:color w:val="auto"/>
                <w:spacing w:val="10"/>
                <w:sz w:val="18"/>
                <w:szCs w:val="18"/>
              </w:rPr>
              <w:t>无损、无污、无皱</w:t>
            </w:r>
            <w:r>
              <w:rPr>
                <w:color w:val="auto"/>
                <w:spacing w:val="17"/>
                <w:sz w:val="18"/>
                <w:szCs w:val="18"/>
              </w:rPr>
              <w:t>），</w:t>
            </w:r>
            <w:r>
              <w:rPr>
                <w:color w:val="auto"/>
                <w:spacing w:val="10"/>
                <w:sz w:val="18"/>
                <w:szCs w:val="18"/>
              </w:rPr>
              <w:t>采购人指定人</w:t>
            </w:r>
            <w:r>
              <w:rPr>
                <w:color w:val="auto"/>
                <w:spacing w:val="8"/>
                <w:sz w:val="18"/>
                <w:szCs w:val="18"/>
              </w:rPr>
              <w:t>有权拒收包装不整齐、已拆封的商品。</w:t>
            </w:r>
          </w:p>
          <w:p w14:paraId="05D74F62">
            <w:pPr>
              <w:pStyle w:val="18"/>
              <w:spacing w:before="161" w:line="303" w:lineRule="auto"/>
              <w:ind w:left="111" w:right="109" w:firstLine="418"/>
              <w:rPr>
                <w:color w:val="auto"/>
                <w:spacing w:val="9"/>
                <w:sz w:val="18"/>
                <w:szCs w:val="18"/>
              </w:rPr>
            </w:pPr>
            <w:r>
              <w:rPr>
                <w:rFonts w:hint="eastAsia"/>
                <w:color w:val="auto"/>
                <w:spacing w:val="8"/>
                <w:sz w:val="18"/>
                <w:szCs w:val="18"/>
                <w:lang w:eastAsia="zh-CN"/>
              </w:rPr>
              <w:t xml:space="preserve">5. </w:t>
            </w:r>
            <w:r>
              <w:rPr>
                <w:color w:val="auto"/>
                <w:spacing w:val="10"/>
                <w:sz w:val="18"/>
                <w:szCs w:val="18"/>
              </w:rPr>
              <w:t>采购人指定人发现商品出现损坏（包括表面损坏</w:t>
            </w:r>
            <w:r>
              <w:rPr>
                <w:color w:val="auto"/>
                <w:spacing w:val="26"/>
                <w:sz w:val="18"/>
                <w:szCs w:val="18"/>
              </w:rPr>
              <w:t>），</w:t>
            </w:r>
            <w:r>
              <w:rPr>
                <w:color w:val="auto"/>
                <w:spacing w:val="10"/>
                <w:sz w:val="18"/>
                <w:szCs w:val="18"/>
              </w:rPr>
              <w:t>或出现水渍、串味、受潮等</w:t>
            </w:r>
            <w:r>
              <w:rPr>
                <w:color w:val="auto"/>
                <w:spacing w:val="9"/>
                <w:sz w:val="18"/>
                <w:szCs w:val="18"/>
              </w:rPr>
              <w:t>导致货物性质改变的，中标供应商必须无条件退货或更换商品。</w:t>
            </w:r>
          </w:p>
          <w:p w14:paraId="7D635E6F">
            <w:pPr>
              <w:pStyle w:val="18"/>
              <w:spacing w:before="161" w:line="303" w:lineRule="auto"/>
              <w:ind w:left="111" w:right="109" w:firstLine="418"/>
              <w:rPr>
                <w:color w:val="auto"/>
                <w:sz w:val="18"/>
                <w:szCs w:val="18"/>
              </w:rPr>
            </w:pPr>
            <w:r>
              <w:rPr>
                <w:color w:val="auto"/>
                <w:spacing w:val="10"/>
                <w:sz w:val="18"/>
                <w:szCs w:val="18"/>
              </w:rPr>
              <w:t>6.</w:t>
            </w:r>
            <w:r>
              <w:rPr>
                <w:color w:val="auto"/>
                <w:spacing w:val="44"/>
                <w:sz w:val="18"/>
                <w:szCs w:val="18"/>
              </w:rPr>
              <w:t xml:space="preserve"> </w:t>
            </w:r>
            <w:r>
              <w:rPr>
                <w:color w:val="auto"/>
                <w:spacing w:val="10"/>
                <w:sz w:val="18"/>
                <w:szCs w:val="18"/>
              </w:rPr>
              <w:t>中标供应商保证所提供的鲜肉类、生禽、鲜水产的多样性和季节性，以保证新鲜</w:t>
            </w:r>
            <w:r>
              <w:rPr>
                <w:color w:val="auto"/>
                <w:sz w:val="18"/>
                <w:szCs w:val="18"/>
              </w:rPr>
              <w:t>感。</w:t>
            </w:r>
          </w:p>
          <w:p w14:paraId="2D01BDD8">
            <w:pPr>
              <w:pStyle w:val="18"/>
              <w:spacing w:before="155" w:line="303" w:lineRule="auto"/>
              <w:ind w:left="111" w:right="109" w:firstLine="424"/>
              <w:rPr>
                <w:color w:val="auto"/>
                <w:sz w:val="18"/>
                <w:szCs w:val="18"/>
              </w:rPr>
            </w:pPr>
            <w:r>
              <w:rPr>
                <w:color w:val="auto"/>
                <w:spacing w:val="10"/>
                <w:sz w:val="18"/>
                <w:szCs w:val="18"/>
              </w:rPr>
              <w:t>7.</w:t>
            </w:r>
            <w:r>
              <w:rPr>
                <w:color w:val="auto"/>
                <w:spacing w:val="41"/>
                <w:sz w:val="18"/>
                <w:szCs w:val="18"/>
              </w:rPr>
              <w:t xml:space="preserve"> </w:t>
            </w:r>
            <w:r>
              <w:rPr>
                <w:color w:val="auto"/>
                <w:spacing w:val="10"/>
                <w:sz w:val="18"/>
                <w:szCs w:val="18"/>
              </w:rPr>
              <w:t>中标供应商提供的</w:t>
            </w:r>
            <w:r>
              <w:rPr>
                <w:rFonts w:hint="eastAsia"/>
                <w:color w:val="auto"/>
                <w:spacing w:val="10"/>
                <w:sz w:val="18"/>
                <w:szCs w:val="18"/>
                <w:lang w:val="en-US" w:eastAsia="zh-CN"/>
              </w:rPr>
              <w:t>商品必须为经</w:t>
            </w:r>
            <w:r>
              <w:rPr>
                <w:color w:val="auto"/>
                <w:spacing w:val="10"/>
                <w:sz w:val="18"/>
                <w:szCs w:val="18"/>
              </w:rPr>
              <w:t>品质检验</w:t>
            </w:r>
            <w:r>
              <w:rPr>
                <w:color w:val="auto"/>
                <w:spacing w:val="6"/>
                <w:sz w:val="18"/>
                <w:szCs w:val="18"/>
              </w:rPr>
              <w:t>合格的产品。</w:t>
            </w:r>
          </w:p>
          <w:p w14:paraId="4EE54FB2">
            <w:pPr>
              <w:pStyle w:val="18"/>
              <w:spacing w:before="164" w:line="302" w:lineRule="auto"/>
              <w:ind w:left="130" w:right="109" w:firstLine="401"/>
              <w:rPr>
                <w:color w:val="auto"/>
                <w:sz w:val="18"/>
                <w:szCs w:val="18"/>
              </w:rPr>
            </w:pPr>
            <w:r>
              <w:rPr>
                <w:rFonts w:hint="eastAsia"/>
                <w:color w:val="auto"/>
                <w:spacing w:val="10"/>
                <w:sz w:val="18"/>
                <w:szCs w:val="18"/>
                <w:lang w:val="en-US" w:eastAsia="zh-CN"/>
              </w:rPr>
              <w:t>8</w:t>
            </w:r>
            <w:r>
              <w:rPr>
                <w:color w:val="auto"/>
                <w:spacing w:val="10"/>
                <w:sz w:val="18"/>
                <w:szCs w:val="18"/>
              </w:rPr>
              <w:t>.</w:t>
            </w:r>
            <w:r>
              <w:rPr>
                <w:color w:val="auto"/>
                <w:spacing w:val="45"/>
                <w:sz w:val="18"/>
                <w:szCs w:val="18"/>
              </w:rPr>
              <w:t xml:space="preserve"> </w:t>
            </w:r>
            <w:r>
              <w:rPr>
                <w:color w:val="auto"/>
                <w:spacing w:val="10"/>
                <w:sz w:val="18"/>
                <w:szCs w:val="18"/>
              </w:rPr>
              <w:t>中标供应商应能够配合采购人指定人及时更新所提供的符合</w:t>
            </w:r>
            <w:r>
              <w:rPr>
                <w:rFonts w:hint="eastAsia"/>
                <w:color w:val="auto"/>
                <w:spacing w:val="10"/>
                <w:sz w:val="18"/>
                <w:szCs w:val="18"/>
                <w:lang w:val="en-US" w:eastAsia="zh-CN"/>
              </w:rPr>
              <w:t>防城港</w:t>
            </w:r>
            <w:r>
              <w:rPr>
                <w:color w:val="auto"/>
                <w:spacing w:val="10"/>
                <w:sz w:val="18"/>
                <w:szCs w:val="18"/>
              </w:rPr>
              <w:t>市疾病预防控制</w:t>
            </w:r>
            <w:r>
              <w:rPr>
                <w:color w:val="auto"/>
                <w:spacing w:val="8"/>
                <w:sz w:val="18"/>
                <w:szCs w:val="18"/>
              </w:rPr>
              <w:t>中心（</w:t>
            </w:r>
            <w:r>
              <w:rPr>
                <w:rFonts w:hint="eastAsia"/>
                <w:color w:val="auto"/>
                <w:spacing w:val="8"/>
                <w:sz w:val="18"/>
                <w:szCs w:val="18"/>
                <w:lang w:val="en-US" w:eastAsia="zh-CN"/>
              </w:rPr>
              <w:t>防城港</w:t>
            </w:r>
            <w:r>
              <w:rPr>
                <w:color w:val="auto"/>
                <w:spacing w:val="8"/>
                <w:sz w:val="18"/>
                <w:szCs w:val="18"/>
              </w:rPr>
              <w:t>市卫生监督所）的有效证明材料。</w:t>
            </w:r>
          </w:p>
          <w:p w14:paraId="5F58AED0">
            <w:pPr>
              <w:pStyle w:val="18"/>
              <w:spacing w:before="162" w:line="302" w:lineRule="auto"/>
              <w:ind w:left="113" w:right="107" w:firstLine="432"/>
              <w:rPr>
                <w:color w:val="auto"/>
                <w:sz w:val="18"/>
                <w:szCs w:val="18"/>
              </w:rPr>
            </w:pPr>
            <w:r>
              <w:rPr>
                <w:rFonts w:hint="eastAsia"/>
                <w:color w:val="auto"/>
                <w:spacing w:val="7"/>
                <w:sz w:val="18"/>
                <w:szCs w:val="18"/>
                <w:lang w:val="en-US" w:eastAsia="zh-CN"/>
              </w:rPr>
              <w:t>9</w:t>
            </w:r>
            <w:r>
              <w:rPr>
                <w:color w:val="auto"/>
                <w:spacing w:val="7"/>
                <w:sz w:val="18"/>
                <w:szCs w:val="18"/>
              </w:rPr>
              <w:t>.</w:t>
            </w:r>
            <w:r>
              <w:rPr>
                <w:color w:val="auto"/>
                <w:spacing w:val="37"/>
                <w:sz w:val="18"/>
                <w:szCs w:val="18"/>
              </w:rPr>
              <w:t xml:space="preserve"> </w:t>
            </w:r>
            <w:r>
              <w:rPr>
                <w:color w:val="auto"/>
                <w:spacing w:val="7"/>
                <w:sz w:val="18"/>
                <w:szCs w:val="18"/>
              </w:rPr>
              <w:t>中标供应商提供假冒伪劣、过期、变质的、有毒食品的，一经发现，除按采购人</w:t>
            </w:r>
            <w:r>
              <w:rPr>
                <w:color w:val="auto"/>
                <w:spacing w:val="9"/>
                <w:sz w:val="18"/>
                <w:szCs w:val="18"/>
              </w:rPr>
              <w:t>指定人要求无条件退货或换货外，还将受到如下处罚：</w:t>
            </w:r>
          </w:p>
          <w:p w14:paraId="4456F457">
            <w:pPr>
              <w:pStyle w:val="18"/>
              <w:spacing w:before="164" w:line="302" w:lineRule="auto"/>
              <w:ind w:left="114" w:right="109" w:firstLine="425"/>
              <w:rPr>
                <w:color w:val="auto"/>
                <w:sz w:val="18"/>
                <w:szCs w:val="18"/>
              </w:rPr>
            </w:pPr>
            <w:r>
              <w:rPr>
                <w:color w:val="auto"/>
                <w:spacing w:val="10"/>
                <w:sz w:val="18"/>
                <w:szCs w:val="18"/>
              </w:rPr>
              <w:t>（1）</w:t>
            </w:r>
            <w:r>
              <w:rPr>
                <w:color w:val="auto"/>
                <w:spacing w:val="-57"/>
                <w:sz w:val="18"/>
                <w:szCs w:val="18"/>
              </w:rPr>
              <w:t xml:space="preserve"> </w:t>
            </w:r>
            <w:r>
              <w:rPr>
                <w:color w:val="auto"/>
                <w:spacing w:val="10"/>
                <w:sz w:val="18"/>
                <w:szCs w:val="18"/>
              </w:rPr>
              <w:t>中标供应商提供假冒伪劣、过期、变质食品的，要求无条件退</w:t>
            </w:r>
            <w:r>
              <w:rPr>
                <w:color w:val="auto"/>
                <w:spacing w:val="9"/>
                <w:sz w:val="18"/>
                <w:szCs w:val="18"/>
              </w:rPr>
              <w:t>货或换货外，被</w:t>
            </w:r>
            <w:r>
              <w:rPr>
                <w:color w:val="auto"/>
                <w:spacing w:val="8"/>
                <w:sz w:val="18"/>
                <w:szCs w:val="18"/>
              </w:rPr>
              <w:t>处以当次供应食品货款</w:t>
            </w:r>
            <w:r>
              <w:rPr>
                <w:color w:val="auto"/>
                <w:spacing w:val="-31"/>
                <w:sz w:val="18"/>
                <w:szCs w:val="18"/>
              </w:rPr>
              <w:t xml:space="preserve"> </w:t>
            </w:r>
            <w:r>
              <w:rPr>
                <w:color w:val="auto"/>
                <w:spacing w:val="8"/>
                <w:sz w:val="18"/>
                <w:szCs w:val="18"/>
              </w:rPr>
              <w:t>2</w:t>
            </w:r>
            <w:r>
              <w:rPr>
                <w:color w:val="auto"/>
                <w:spacing w:val="-38"/>
                <w:sz w:val="18"/>
                <w:szCs w:val="18"/>
              </w:rPr>
              <w:t xml:space="preserve"> </w:t>
            </w:r>
            <w:r>
              <w:rPr>
                <w:color w:val="auto"/>
                <w:spacing w:val="8"/>
                <w:sz w:val="18"/>
                <w:szCs w:val="18"/>
              </w:rPr>
              <w:t>倍的罚款，罚款由供货结算款内扣除。</w:t>
            </w:r>
          </w:p>
          <w:p w14:paraId="1FFAD4D4">
            <w:pPr>
              <w:pStyle w:val="18"/>
              <w:spacing w:before="161" w:line="340" w:lineRule="auto"/>
              <w:ind w:left="110" w:right="109" w:firstLine="430"/>
              <w:rPr>
                <w:color w:val="auto"/>
                <w:spacing w:val="5"/>
                <w:sz w:val="18"/>
                <w:szCs w:val="18"/>
              </w:rPr>
            </w:pPr>
            <w:r>
              <w:rPr>
                <w:color w:val="auto"/>
                <w:spacing w:val="10"/>
                <w:sz w:val="18"/>
                <w:szCs w:val="18"/>
              </w:rPr>
              <w:t>（2）</w:t>
            </w:r>
            <w:r>
              <w:rPr>
                <w:color w:val="auto"/>
                <w:spacing w:val="-57"/>
                <w:sz w:val="18"/>
                <w:szCs w:val="18"/>
              </w:rPr>
              <w:t xml:space="preserve"> </w:t>
            </w:r>
            <w:r>
              <w:rPr>
                <w:color w:val="auto"/>
                <w:spacing w:val="10"/>
                <w:sz w:val="18"/>
                <w:szCs w:val="18"/>
              </w:rPr>
              <w:t>中标供应商提供有毒食品的，造成食品安全事故的，经有关单</w:t>
            </w:r>
            <w:r>
              <w:rPr>
                <w:color w:val="auto"/>
                <w:spacing w:val="9"/>
                <w:sz w:val="18"/>
                <w:szCs w:val="18"/>
              </w:rPr>
              <w:t>位鉴定原因后，如确实为中标供应商提供之食品问题，中标供应商除需</w:t>
            </w:r>
            <w:r>
              <w:rPr>
                <w:color w:val="auto"/>
                <w:spacing w:val="8"/>
                <w:sz w:val="18"/>
                <w:szCs w:val="18"/>
              </w:rPr>
              <w:t>负担全数之医药费，采购人取消中</w:t>
            </w:r>
            <w:r>
              <w:rPr>
                <w:color w:val="auto"/>
                <w:spacing w:val="9"/>
                <w:sz w:val="18"/>
                <w:szCs w:val="18"/>
              </w:rPr>
              <w:t>标供应商供货资格，取消中标供应商供货合同，中标供</w:t>
            </w:r>
            <w:r>
              <w:rPr>
                <w:color w:val="auto"/>
                <w:spacing w:val="8"/>
                <w:sz w:val="18"/>
                <w:szCs w:val="18"/>
              </w:rPr>
              <w:t>应商同时承担相应的民事及刑事法</w:t>
            </w:r>
            <w:r>
              <w:rPr>
                <w:color w:val="auto"/>
                <w:spacing w:val="5"/>
                <w:sz w:val="18"/>
                <w:szCs w:val="18"/>
              </w:rPr>
              <w:t>律责任。</w:t>
            </w:r>
          </w:p>
          <w:p w14:paraId="59D47823">
            <w:pPr>
              <w:pStyle w:val="18"/>
              <w:spacing w:before="161" w:line="303" w:lineRule="auto"/>
              <w:ind w:left="111" w:right="109" w:firstLine="418"/>
              <w:rPr>
                <w:color w:val="auto"/>
                <w:spacing w:val="9"/>
                <w:sz w:val="18"/>
                <w:szCs w:val="18"/>
              </w:rPr>
            </w:pPr>
            <w:r>
              <w:rPr>
                <w:rFonts w:hint="eastAsia"/>
                <w:color w:val="auto"/>
                <w:spacing w:val="10"/>
                <w:sz w:val="18"/>
                <w:szCs w:val="18"/>
                <w:lang w:val="en-US" w:eastAsia="zh-CN"/>
              </w:rPr>
              <w:t xml:space="preserve">10.  </w:t>
            </w:r>
            <w:r>
              <w:rPr>
                <w:rFonts w:hint="eastAsia"/>
                <w:color w:val="auto"/>
                <w:spacing w:val="10"/>
                <w:sz w:val="18"/>
                <w:szCs w:val="18"/>
                <w:lang w:val="en-US" w:eastAsia="en-US"/>
              </w:rPr>
              <w:t>每个中标人在服务期限内按招标人要求</w:t>
            </w:r>
            <w:r>
              <w:rPr>
                <w:rFonts w:hint="eastAsia"/>
                <w:color w:val="auto"/>
                <w:spacing w:val="10"/>
                <w:sz w:val="18"/>
                <w:szCs w:val="18"/>
                <w:lang w:val="en-US" w:eastAsia="zh-CN"/>
              </w:rPr>
              <w:t>进行</w:t>
            </w:r>
            <w:r>
              <w:rPr>
                <w:rFonts w:hint="eastAsia"/>
                <w:color w:val="auto"/>
                <w:spacing w:val="10"/>
                <w:sz w:val="18"/>
                <w:szCs w:val="18"/>
                <w:lang w:val="en-US" w:eastAsia="en-US"/>
              </w:rPr>
              <w:t>配送，具体配送品种及数量由招标人根据各中标人的产品价格、服务质量、产品质量等因素再确定。招标人不保证所有中标人在入围采购有效期内都能在采购范围内承接到业务。</w:t>
            </w:r>
          </w:p>
        </w:tc>
      </w:tr>
    </w:tbl>
    <w:p w14:paraId="4EB123B3">
      <w:pPr>
        <w:spacing w:line="167" w:lineRule="exact"/>
        <w:rPr>
          <w:rFonts w:ascii="Arial" w:hAnsi="Arial" w:eastAsia="Arial" w:cs="Arial"/>
          <w:color w:val="auto"/>
          <w:sz w:val="14"/>
          <w:szCs w:val="14"/>
        </w:rPr>
        <w:sectPr>
          <w:footerReference r:id="rId7" w:type="default"/>
          <w:pgSz w:w="11911" w:h="16839"/>
          <w:pgMar w:top="1431" w:right="789" w:bottom="1089" w:left="964" w:header="0" w:footer="929" w:gutter="0"/>
          <w:pgNumType w:fmt="decimal"/>
          <w:cols w:space="720" w:num="1"/>
        </w:sectPr>
      </w:pPr>
    </w:p>
    <w:p w14:paraId="67488675">
      <w:pPr>
        <w:spacing w:line="87" w:lineRule="exact"/>
        <w:rPr>
          <w:color w:val="auto"/>
        </w:rPr>
      </w:pPr>
    </w:p>
    <w:p w14:paraId="3DE77493">
      <w:pPr>
        <w:spacing w:line="189" w:lineRule="exact"/>
        <w:rPr>
          <w:rFonts w:ascii="Arial"/>
          <w:color w:val="auto"/>
          <w:sz w:val="16"/>
        </w:rPr>
      </w:pPr>
    </w:p>
    <w:p w14:paraId="404304A2">
      <w:pPr>
        <w:spacing w:line="440" w:lineRule="exact"/>
        <w:jc w:val="center"/>
        <w:rPr>
          <w:rFonts w:hint="eastAsia" w:ascii="宋体" w:hAnsi="宋体" w:cs="宋体"/>
          <w:b/>
          <w:color w:val="auto"/>
          <w:sz w:val="32"/>
          <w:szCs w:val="32"/>
        </w:rPr>
      </w:pPr>
    </w:p>
    <w:p w14:paraId="70B60D39">
      <w:pPr>
        <w:spacing w:line="440" w:lineRule="exact"/>
        <w:jc w:val="center"/>
        <w:rPr>
          <w:rFonts w:hint="eastAsia" w:ascii="宋体" w:hAnsi="宋体" w:cs="宋体"/>
          <w:b/>
          <w:color w:val="auto"/>
          <w:sz w:val="32"/>
          <w:szCs w:val="32"/>
        </w:rPr>
      </w:pPr>
      <w:r>
        <w:rPr>
          <w:rFonts w:hint="eastAsia" w:ascii="宋体" w:hAnsi="宋体" w:cs="宋体"/>
          <w:b/>
          <w:color w:val="auto"/>
          <w:sz w:val="32"/>
          <w:szCs w:val="32"/>
        </w:rPr>
        <w:t>三</w:t>
      </w:r>
      <w:r>
        <w:rPr>
          <w:rFonts w:hint="eastAsia" w:ascii="宋体" w:hAnsi="宋体" w:eastAsia="宋体" w:cs="宋体"/>
          <w:b/>
          <w:color w:val="auto"/>
          <w:sz w:val="32"/>
          <w:szCs w:val="32"/>
          <w:lang w:eastAsia="zh-CN"/>
        </w:rPr>
        <w:t>、</w:t>
      </w:r>
      <w:r>
        <w:rPr>
          <w:rFonts w:hint="eastAsia" w:ascii="宋体" w:hAnsi="宋体" w:cs="宋体"/>
          <w:b/>
          <w:color w:val="auto"/>
          <w:sz w:val="32"/>
          <w:szCs w:val="32"/>
        </w:rPr>
        <w:t>评标细则及评分办法</w:t>
      </w:r>
    </w:p>
    <w:p w14:paraId="557AA527">
      <w:pPr>
        <w:snapToGrid w:val="0"/>
        <w:spacing w:line="480" w:lineRule="exact"/>
        <w:ind w:firstLine="480"/>
        <w:rPr>
          <w:rFonts w:hint="eastAsia" w:ascii="宋体" w:hAnsi="宋体" w:cs="宋体"/>
          <w:color w:val="auto"/>
        </w:rPr>
      </w:pPr>
      <w:r>
        <w:rPr>
          <w:rFonts w:hint="eastAsia" w:ascii="宋体" w:hAnsi="宋体" w:eastAsia="宋体" w:cs="宋体"/>
          <w:color w:val="auto"/>
          <w:lang w:eastAsia="zh-CN"/>
        </w:rPr>
        <w:t>（一）</w:t>
      </w:r>
      <w:r>
        <w:rPr>
          <w:rFonts w:hint="eastAsia" w:ascii="宋体" w:hAnsi="宋体" w:cs="宋体"/>
          <w:color w:val="auto"/>
        </w:rPr>
        <w:t>本项目评标办法采用综合评分办法。</w:t>
      </w:r>
    </w:p>
    <w:p w14:paraId="4D97885D">
      <w:pPr>
        <w:snapToGrid w:val="0"/>
        <w:spacing w:line="480" w:lineRule="exact"/>
        <w:ind w:firstLine="480"/>
        <w:rPr>
          <w:rFonts w:hint="eastAsia" w:ascii="宋体" w:hAnsi="宋体" w:cs="宋体"/>
          <w:color w:val="auto"/>
        </w:rPr>
      </w:pPr>
      <w:r>
        <w:rPr>
          <w:rFonts w:hint="eastAsia" w:ascii="宋体" w:hAnsi="宋体" w:eastAsia="宋体" w:cs="宋体"/>
          <w:color w:val="auto"/>
          <w:lang w:eastAsia="zh-CN"/>
        </w:rPr>
        <w:t>（二）</w:t>
      </w:r>
      <w:r>
        <w:rPr>
          <w:rFonts w:hint="eastAsia" w:ascii="宋体" w:hAnsi="宋体" w:cs="宋体"/>
          <w:color w:val="auto"/>
        </w:rPr>
        <w:t>评委对文件进行资格审查及符合性鉴定。对实质上不响应采购文件要求的投标予以拒绝。</w:t>
      </w:r>
    </w:p>
    <w:p w14:paraId="6F07977B">
      <w:pPr>
        <w:snapToGrid w:val="0"/>
        <w:spacing w:line="480" w:lineRule="exact"/>
        <w:ind w:firstLine="480"/>
        <w:rPr>
          <w:rFonts w:hint="eastAsia" w:ascii="宋体" w:hAnsi="宋体" w:cs="宋体"/>
          <w:color w:val="auto"/>
        </w:rPr>
      </w:pPr>
      <w:r>
        <w:rPr>
          <w:rFonts w:hint="eastAsia" w:ascii="宋体" w:hAnsi="宋体" w:eastAsia="宋体" w:cs="宋体"/>
          <w:color w:val="auto"/>
          <w:lang w:eastAsia="zh-CN"/>
        </w:rPr>
        <w:t>（三）</w:t>
      </w:r>
      <w:r>
        <w:rPr>
          <w:rFonts w:hint="eastAsia" w:ascii="宋体" w:hAnsi="宋体" w:cs="宋体"/>
          <w:color w:val="auto"/>
        </w:rPr>
        <w:t>评委对通过资格审查及符合性鉴定的响应文件进行技术及商务评审。具体评审方法如下：</w:t>
      </w:r>
    </w:p>
    <w:p w14:paraId="2243A3CC">
      <w:pPr>
        <w:bidi w:val="0"/>
        <w:jc w:val="left"/>
        <w:rPr>
          <w:color w:val="auto"/>
          <w:lang w:val="en-US" w:eastAsia="en-US"/>
        </w:rPr>
      </w:pPr>
    </w:p>
    <w:tbl>
      <w:tblPr>
        <w:tblStyle w:val="19"/>
        <w:tblW w:w="10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1710"/>
        <w:gridCol w:w="1904"/>
        <w:gridCol w:w="5979"/>
      </w:tblGrid>
      <w:tr w14:paraId="21857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276" w:type="dxa"/>
            <w:gridSpan w:val="2"/>
            <w:noWrap w:val="0"/>
            <w:vAlign w:val="top"/>
          </w:tcPr>
          <w:p w14:paraId="2CBFCA7F">
            <w:pPr>
              <w:pStyle w:val="18"/>
              <w:spacing w:before="224" w:line="230" w:lineRule="auto"/>
              <w:ind w:left="933"/>
              <w:rPr>
                <w:color w:val="auto"/>
              </w:rPr>
            </w:pPr>
            <w:r>
              <w:rPr>
                <w:color w:val="auto"/>
                <w:spacing w:val="5"/>
              </w:rPr>
              <w:t>序号</w:t>
            </w:r>
          </w:p>
        </w:tc>
        <w:tc>
          <w:tcPr>
            <w:tcW w:w="1904" w:type="dxa"/>
            <w:noWrap w:val="0"/>
            <w:vAlign w:val="top"/>
          </w:tcPr>
          <w:p w14:paraId="5DACB98B">
            <w:pPr>
              <w:pStyle w:val="18"/>
              <w:spacing w:before="225" w:line="228" w:lineRule="auto"/>
              <w:ind w:left="536"/>
              <w:rPr>
                <w:color w:val="auto"/>
              </w:rPr>
            </w:pPr>
            <w:r>
              <w:rPr>
                <w:color w:val="auto"/>
                <w:spacing w:val="7"/>
              </w:rPr>
              <w:t>评审因素</w:t>
            </w:r>
          </w:p>
        </w:tc>
        <w:tc>
          <w:tcPr>
            <w:tcW w:w="5979" w:type="dxa"/>
            <w:noWrap w:val="0"/>
            <w:vAlign w:val="top"/>
          </w:tcPr>
          <w:p w14:paraId="31656D3E">
            <w:pPr>
              <w:pStyle w:val="18"/>
              <w:spacing w:before="225" w:line="229" w:lineRule="auto"/>
              <w:ind w:left="2501"/>
              <w:rPr>
                <w:color w:val="auto"/>
              </w:rPr>
            </w:pPr>
            <w:r>
              <w:rPr>
                <w:color w:val="auto"/>
                <w:spacing w:val="7"/>
              </w:rPr>
              <w:t>评标标准</w:t>
            </w:r>
          </w:p>
        </w:tc>
      </w:tr>
      <w:tr w14:paraId="2D06E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66" w:type="dxa"/>
            <w:noWrap w:val="0"/>
            <w:vAlign w:val="top"/>
          </w:tcPr>
          <w:p w14:paraId="6EC6B68E">
            <w:pPr>
              <w:spacing w:line="270" w:lineRule="auto"/>
              <w:rPr>
                <w:rFonts w:ascii="Arial"/>
                <w:color w:val="auto"/>
                <w:sz w:val="21"/>
              </w:rPr>
            </w:pPr>
          </w:p>
          <w:p w14:paraId="0594B04E">
            <w:pPr>
              <w:spacing w:line="270" w:lineRule="auto"/>
              <w:rPr>
                <w:rFonts w:ascii="Arial"/>
                <w:color w:val="auto"/>
                <w:sz w:val="21"/>
              </w:rPr>
            </w:pPr>
          </w:p>
          <w:p w14:paraId="026577D6">
            <w:pPr>
              <w:spacing w:line="270" w:lineRule="auto"/>
              <w:rPr>
                <w:rFonts w:ascii="Arial"/>
                <w:color w:val="auto"/>
                <w:sz w:val="21"/>
              </w:rPr>
            </w:pPr>
          </w:p>
          <w:p w14:paraId="200616A1">
            <w:pPr>
              <w:spacing w:line="270" w:lineRule="auto"/>
              <w:rPr>
                <w:rFonts w:ascii="Arial"/>
                <w:color w:val="auto"/>
                <w:sz w:val="21"/>
              </w:rPr>
            </w:pPr>
          </w:p>
          <w:p w14:paraId="6D12DADB">
            <w:pPr>
              <w:spacing w:line="270" w:lineRule="auto"/>
              <w:rPr>
                <w:rFonts w:ascii="Arial"/>
                <w:color w:val="auto"/>
                <w:sz w:val="21"/>
              </w:rPr>
            </w:pPr>
          </w:p>
          <w:p w14:paraId="23DCD473">
            <w:pPr>
              <w:spacing w:line="271" w:lineRule="auto"/>
              <w:rPr>
                <w:rFonts w:ascii="Arial"/>
                <w:color w:val="auto"/>
                <w:sz w:val="21"/>
              </w:rPr>
            </w:pPr>
          </w:p>
          <w:p w14:paraId="6363124C">
            <w:pPr>
              <w:spacing w:line="271" w:lineRule="auto"/>
              <w:rPr>
                <w:rFonts w:ascii="Arial"/>
                <w:color w:val="auto"/>
                <w:sz w:val="21"/>
              </w:rPr>
            </w:pPr>
          </w:p>
          <w:p w14:paraId="1B484233">
            <w:pPr>
              <w:pStyle w:val="18"/>
              <w:spacing w:before="65" w:line="271" w:lineRule="exact"/>
              <w:ind w:left="251"/>
              <w:rPr>
                <w:color w:val="auto"/>
              </w:rPr>
            </w:pPr>
            <w:r>
              <w:rPr>
                <w:color w:val="auto"/>
                <w:position w:val="1"/>
              </w:rPr>
              <w:t>1</w:t>
            </w:r>
          </w:p>
        </w:tc>
        <w:tc>
          <w:tcPr>
            <w:tcW w:w="1710" w:type="dxa"/>
            <w:noWrap w:val="0"/>
            <w:vAlign w:val="top"/>
          </w:tcPr>
          <w:p w14:paraId="4D0D9EDF">
            <w:pPr>
              <w:spacing w:line="279" w:lineRule="auto"/>
              <w:rPr>
                <w:rFonts w:ascii="Arial"/>
                <w:b/>
                <w:bCs/>
                <w:color w:val="auto"/>
                <w:sz w:val="21"/>
              </w:rPr>
            </w:pPr>
          </w:p>
          <w:p w14:paraId="3EDC5964">
            <w:pPr>
              <w:spacing w:line="279" w:lineRule="auto"/>
              <w:rPr>
                <w:rFonts w:ascii="Arial"/>
                <w:b/>
                <w:bCs/>
                <w:color w:val="auto"/>
                <w:sz w:val="21"/>
              </w:rPr>
            </w:pPr>
          </w:p>
          <w:p w14:paraId="7691B799">
            <w:pPr>
              <w:spacing w:line="279" w:lineRule="auto"/>
              <w:rPr>
                <w:rFonts w:ascii="Arial"/>
                <w:b/>
                <w:bCs/>
                <w:color w:val="auto"/>
                <w:sz w:val="21"/>
              </w:rPr>
            </w:pPr>
          </w:p>
          <w:p w14:paraId="46D79B60">
            <w:pPr>
              <w:spacing w:line="279" w:lineRule="auto"/>
              <w:rPr>
                <w:rFonts w:ascii="Arial"/>
                <w:b/>
                <w:bCs/>
                <w:color w:val="auto"/>
                <w:sz w:val="21"/>
              </w:rPr>
            </w:pPr>
          </w:p>
          <w:p w14:paraId="4A56C191">
            <w:pPr>
              <w:spacing w:line="280" w:lineRule="auto"/>
              <w:rPr>
                <w:rFonts w:ascii="Arial"/>
                <w:b/>
                <w:bCs/>
                <w:color w:val="auto"/>
                <w:sz w:val="21"/>
              </w:rPr>
            </w:pPr>
          </w:p>
          <w:p w14:paraId="5AF7D7D8">
            <w:pPr>
              <w:pStyle w:val="18"/>
              <w:spacing w:before="65" w:line="227" w:lineRule="auto"/>
              <w:ind w:left="544"/>
              <w:rPr>
                <w:b/>
                <w:bCs/>
                <w:color w:val="auto"/>
              </w:rPr>
            </w:pPr>
            <w:r>
              <w:rPr>
                <w:b/>
                <w:bCs/>
                <w:color w:val="auto"/>
                <w:spacing w:val="6"/>
              </w:rPr>
              <w:t>价格分</w:t>
            </w:r>
          </w:p>
          <w:p w14:paraId="4AA6D0FB">
            <w:pPr>
              <w:pStyle w:val="18"/>
              <w:spacing w:before="253" w:line="228" w:lineRule="auto"/>
              <w:ind w:left="186"/>
              <w:rPr>
                <w:b/>
                <w:bCs/>
                <w:color w:val="auto"/>
              </w:rPr>
            </w:pPr>
            <w:r>
              <w:rPr>
                <w:b/>
                <w:bCs/>
                <w:color w:val="auto"/>
              </w:rPr>
              <w:t>（满分</w:t>
            </w:r>
            <w:r>
              <w:rPr>
                <w:b/>
                <w:bCs/>
                <w:color w:val="auto"/>
                <w:spacing w:val="-30"/>
              </w:rPr>
              <w:t xml:space="preserve"> </w:t>
            </w:r>
            <w:r>
              <w:rPr>
                <w:b/>
                <w:bCs/>
                <w:color w:val="auto"/>
                <w:u w:val="single" w:color="auto"/>
              </w:rPr>
              <w:t>30</w:t>
            </w:r>
            <w:r>
              <w:rPr>
                <w:b/>
                <w:bCs/>
                <w:color w:val="auto"/>
                <w:spacing w:val="-35"/>
                <w:u w:val="single" w:color="auto"/>
              </w:rPr>
              <w:t xml:space="preserve"> </w:t>
            </w:r>
            <w:r>
              <w:rPr>
                <w:b/>
                <w:bCs/>
                <w:color w:val="auto"/>
              </w:rPr>
              <w:t>分）</w:t>
            </w:r>
          </w:p>
        </w:tc>
        <w:tc>
          <w:tcPr>
            <w:tcW w:w="1904" w:type="dxa"/>
            <w:noWrap w:val="0"/>
            <w:vAlign w:val="top"/>
          </w:tcPr>
          <w:p w14:paraId="169E01B1">
            <w:pPr>
              <w:spacing w:line="270" w:lineRule="auto"/>
              <w:rPr>
                <w:rFonts w:ascii="Arial"/>
                <w:b/>
                <w:bCs/>
                <w:color w:val="auto"/>
                <w:sz w:val="21"/>
              </w:rPr>
            </w:pPr>
          </w:p>
          <w:p w14:paraId="04B68EFC">
            <w:pPr>
              <w:spacing w:line="270" w:lineRule="auto"/>
              <w:rPr>
                <w:rFonts w:ascii="Arial"/>
                <w:b/>
                <w:bCs/>
                <w:color w:val="auto"/>
                <w:sz w:val="21"/>
              </w:rPr>
            </w:pPr>
          </w:p>
          <w:p w14:paraId="5080F4A0">
            <w:pPr>
              <w:spacing w:line="270" w:lineRule="auto"/>
              <w:rPr>
                <w:rFonts w:ascii="Arial"/>
                <w:b/>
                <w:bCs/>
                <w:color w:val="auto"/>
                <w:sz w:val="21"/>
              </w:rPr>
            </w:pPr>
          </w:p>
          <w:p w14:paraId="397ADC80">
            <w:pPr>
              <w:spacing w:line="270" w:lineRule="auto"/>
              <w:rPr>
                <w:rFonts w:ascii="Arial"/>
                <w:b/>
                <w:bCs/>
                <w:color w:val="auto"/>
                <w:sz w:val="21"/>
              </w:rPr>
            </w:pPr>
          </w:p>
          <w:p w14:paraId="1868E9FC">
            <w:pPr>
              <w:spacing w:line="270" w:lineRule="auto"/>
              <w:rPr>
                <w:rFonts w:ascii="Arial"/>
                <w:b/>
                <w:bCs/>
                <w:color w:val="auto"/>
                <w:sz w:val="21"/>
              </w:rPr>
            </w:pPr>
          </w:p>
          <w:p w14:paraId="177D1240">
            <w:pPr>
              <w:spacing w:line="271" w:lineRule="auto"/>
              <w:rPr>
                <w:rFonts w:ascii="Arial"/>
                <w:b/>
                <w:bCs/>
                <w:color w:val="auto"/>
                <w:sz w:val="21"/>
              </w:rPr>
            </w:pPr>
          </w:p>
          <w:p w14:paraId="7D8153E2">
            <w:pPr>
              <w:spacing w:line="271" w:lineRule="auto"/>
              <w:rPr>
                <w:rFonts w:ascii="Arial"/>
                <w:b/>
                <w:bCs/>
                <w:color w:val="auto"/>
                <w:sz w:val="21"/>
              </w:rPr>
            </w:pPr>
          </w:p>
          <w:p w14:paraId="243F4058">
            <w:pPr>
              <w:pStyle w:val="18"/>
              <w:spacing w:before="65" w:line="227" w:lineRule="auto"/>
              <w:ind w:left="539"/>
              <w:rPr>
                <w:b/>
                <w:bCs/>
                <w:color w:val="auto"/>
              </w:rPr>
            </w:pPr>
            <w:r>
              <w:rPr>
                <w:b/>
                <w:bCs/>
                <w:color w:val="auto"/>
                <w:spacing w:val="6"/>
              </w:rPr>
              <w:t>投标报价</w:t>
            </w:r>
          </w:p>
        </w:tc>
        <w:tc>
          <w:tcPr>
            <w:tcW w:w="5979" w:type="dxa"/>
            <w:noWrap w:val="0"/>
            <w:vAlign w:val="top"/>
          </w:tcPr>
          <w:p w14:paraId="5F6F6DAD">
            <w:pPr>
              <w:pStyle w:val="18"/>
              <w:spacing w:before="1" w:line="344" w:lineRule="auto"/>
              <w:ind w:left="120" w:right="109" w:firstLine="3"/>
              <w:rPr>
                <w:color w:val="auto"/>
              </w:rPr>
            </w:pPr>
            <w:r>
              <w:rPr>
                <w:color w:val="auto"/>
                <w:spacing w:val="11"/>
              </w:rPr>
              <w:t>（</w:t>
            </w:r>
            <w:r>
              <w:rPr>
                <w:rFonts w:hint="eastAsia"/>
                <w:color w:val="auto"/>
                <w:spacing w:val="11"/>
                <w:lang w:val="en-US" w:eastAsia="zh-CN"/>
              </w:rPr>
              <w:t>1</w:t>
            </w:r>
            <w:r>
              <w:rPr>
                <w:color w:val="auto"/>
                <w:spacing w:val="11"/>
              </w:rPr>
              <w:t>）评标报价为投标人的投标折扣率，评标报价只是作为评</w:t>
            </w:r>
            <w:r>
              <w:rPr>
                <w:color w:val="auto"/>
                <w:spacing w:val="9"/>
              </w:rPr>
              <w:t>审时使用。最终中标人的中标折扣率等于投标折</w:t>
            </w:r>
            <w:r>
              <w:rPr>
                <w:color w:val="auto"/>
                <w:spacing w:val="8"/>
              </w:rPr>
              <w:t>扣率。</w:t>
            </w:r>
          </w:p>
          <w:p w14:paraId="52F3FD50">
            <w:pPr>
              <w:pStyle w:val="18"/>
              <w:spacing w:before="253" w:line="344" w:lineRule="auto"/>
              <w:ind w:left="114" w:right="211" w:firstLine="10"/>
              <w:rPr>
                <w:color w:val="auto"/>
              </w:rPr>
            </w:pPr>
            <w:r>
              <w:rPr>
                <w:color w:val="auto"/>
                <w:spacing w:val="7"/>
              </w:rPr>
              <w:t>（</w:t>
            </w:r>
            <w:r>
              <w:rPr>
                <w:rFonts w:hint="eastAsia"/>
                <w:color w:val="auto"/>
                <w:spacing w:val="7"/>
                <w:lang w:val="en-US" w:eastAsia="zh-CN"/>
              </w:rPr>
              <w:t>2</w:t>
            </w:r>
            <w:r>
              <w:rPr>
                <w:color w:val="auto"/>
                <w:spacing w:val="7"/>
              </w:rPr>
              <w:t>）</w:t>
            </w:r>
            <w:r>
              <w:rPr>
                <w:rFonts w:hint="eastAsia"/>
                <w:color w:val="auto"/>
                <w:spacing w:val="7"/>
                <w:lang w:eastAsia="zh-CN"/>
              </w:rPr>
              <w:t>在</w:t>
            </w:r>
            <w:r>
              <w:rPr>
                <w:color w:val="auto"/>
                <w:spacing w:val="7"/>
              </w:rPr>
              <w:t>满足招标文件要求</w:t>
            </w:r>
            <w:r>
              <w:rPr>
                <w:rFonts w:hint="eastAsia"/>
                <w:color w:val="auto"/>
                <w:spacing w:val="7"/>
                <w:lang w:eastAsia="zh-CN"/>
              </w:rPr>
              <w:t>的前提下，以</w:t>
            </w:r>
            <w:r>
              <w:rPr>
                <w:color w:val="auto"/>
                <w:spacing w:val="7"/>
              </w:rPr>
              <w:t>最低投标折扣率为评标基准价，</w:t>
            </w:r>
            <w:r>
              <w:rPr>
                <w:color w:val="auto"/>
                <w:spacing w:val="4"/>
              </w:rPr>
              <w:t>基准价得分为</w:t>
            </w:r>
            <w:r>
              <w:rPr>
                <w:color w:val="auto"/>
                <w:spacing w:val="-28"/>
              </w:rPr>
              <w:t xml:space="preserve"> </w:t>
            </w:r>
            <w:r>
              <w:rPr>
                <w:color w:val="auto"/>
                <w:spacing w:val="4"/>
              </w:rPr>
              <w:t>30</w:t>
            </w:r>
            <w:r>
              <w:rPr>
                <w:color w:val="auto"/>
                <w:spacing w:val="-38"/>
              </w:rPr>
              <w:t xml:space="preserve"> </w:t>
            </w:r>
            <w:r>
              <w:rPr>
                <w:color w:val="auto"/>
                <w:spacing w:val="4"/>
              </w:rPr>
              <w:t>分。</w:t>
            </w:r>
          </w:p>
          <w:p w14:paraId="2F1F2E0E">
            <w:pPr>
              <w:pStyle w:val="18"/>
              <w:spacing w:before="253" w:line="227" w:lineRule="auto"/>
              <w:ind w:left="124"/>
              <w:rPr>
                <w:color w:val="auto"/>
              </w:rPr>
            </w:pPr>
            <w:r>
              <w:rPr>
                <w:color w:val="auto"/>
                <w:spacing w:val="6"/>
              </w:rPr>
              <w:t>（</w:t>
            </w:r>
            <w:r>
              <w:rPr>
                <w:rFonts w:hint="eastAsia"/>
                <w:color w:val="auto"/>
                <w:spacing w:val="6"/>
                <w:lang w:val="en-US" w:eastAsia="zh-CN"/>
              </w:rPr>
              <w:t>3</w:t>
            </w:r>
            <w:r>
              <w:rPr>
                <w:color w:val="auto"/>
                <w:spacing w:val="6"/>
              </w:rPr>
              <w:t>）价格分计算公式：</w:t>
            </w:r>
          </w:p>
          <w:p w14:paraId="6B1A8ADD">
            <w:pPr>
              <w:pStyle w:val="18"/>
              <w:spacing w:before="255" w:line="227" w:lineRule="auto"/>
              <w:ind w:left="534"/>
              <w:rPr>
                <w:color w:val="auto"/>
              </w:rPr>
            </w:pPr>
            <w:r>
              <w:rPr>
                <w:color w:val="auto"/>
                <w:spacing w:val="8"/>
              </w:rPr>
              <w:t>价格分=(评标基准价／投标折扣率)×30 分</w:t>
            </w:r>
          </w:p>
        </w:tc>
      </w:tr>
      <w:tr w14:paraId="5C0FE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566" w:type="dxa"/>
            <w:noWrap w:val="0"/>
            <w:vAlign w:val="top"/>
          </w:tcPr>
          <w:p w14:paraId="71544E96">
            <w:pPr>
              <w:spacing w:line="242" w:lineRule="auto"/>
              <w:rPr>
                <w:rFonts w:ascii="Arial"/>
                <w:color w:val="auto"/>
                <w:sz w:val="21"/>
              </w:rPr>
            </w:pPr>
          </w:p>
          <w:p w14:paraId="1F5E64FA">
            <w:pPr>
              <w:spacing w:line="242" w:lineRule="auto"/>
              <w:rPr>
                <w:rFonts w:ascii="Arial"/>
                <w:color w:val="auto"/>
                <w:sz w:val="21"/>
              </w:rPr>
            </w:pPr>
          </w:p>
          <w:p w14:paraId="49AE5045">
            <w:pPr>
              <w:spacing w:line="242" w:lineRule="auto"/>
              <w:rPr>
                <w:rFonts w:ascii="Arial"/>
                <w:color w:val="auto"/>
                <w:sz w:val="21"/>
              </w:rPr>
            </w:pPr>
          </w:p>
          <w:p w14:paraId="38A5A7DD">
            <w:pPr>
              <w:spacing w:line="242" w:lineRule="auto"/>
              <w:rPr>
                <w:rFonts w:ascii="Arial"/>
                <w:color w:val="auto"/>
                <w:sz w:val="21"/>
              </w:rPr>
            </w:pPr>
          </w:p>
          <w:p w14:paraId="139D6352">
            <w:pPr>
              <w:spacing w:line="242" w:lineRule="auto"/>
              <w:rPr>
                <w:rFonts w:ascii="Arial"/>
                <w:color w:val="auto"/>
                <w:sz w:val="21"/>
              </w:rPr>
            </w:pPr>
          </w:p>
          <w:p w14:paraId="3403E5A9">
            <w:pPr>
              <w:spacing w:line="242" w:lineRule="auto"/>
              <w:rPr>
                <w:rFonts w:ascii="Arial"/>
                <w:color w:val="auto"/>
                <w:sz w:val="21"/>
              </w:rPr>
            </w:pPr>
          </w:p>
          <w:p w14:paraId="4821F1AD">
            <w:pPr>
              <w:spacing w:line="242" w:lineRule="auto"/>
              <w:rPr>
                <w:rFonts w:ascii="Arial"/>
                <w:color w:val="auto"/>
                <w:sz w:val="21"/>
              </w:rPr>
            </w:pPr>
          </w:p>
          <w:p w14:paraId="03A736FD">
            <w:pPr>
              <w:spacing w:line="242" w:lineRule="auto"/>
              <w:rPr>
                <w:rFonts w:ascii="Arial"/>
                <w:color w:val="auto"/>
                <w:sz w:val="21"/>
              </w:rPr>
            </w:pPr>
          </w:p>
          <w:p w14:paraId="67FFD4FB">
            <w:pPr>
              <w:spacing w:line="242" w:lineRule="auto"/>
              <w:rPr>
                <w:rFonts w:ascii="Arial"/>
                <w:color w:val="auto"/>
                <w:sz w:val="21"/>
              </w:rPr>
            </w:pPr>
          </w:p>
          <w:p w14:paraId="03585CAB">
            <w:pPr>
              <w:spacing w:line="242" w:lineRule="auto"/>
              <w:rPr>
                <w:rFonts w:ascii="Arial"/>
                <w:color w:val="auto"/>
                <w:sz w:val="21"/>
              </w:rPr>
            </w:pPr>
          </w:p>
          <w:p w14:paraId="08F072A7">
            <w:pPr>
              <w:spacing w:line="242" w:lineRule="auto"/>
              <w:rPr>
                <w:rFonts w:ascii="Arial"/>
                <w:color w:val="auto"/>
                <w:sz w:val="21"/>
              </w:rPr>
            </w:pPr>
          </w:p>
          <w:p w14:paraId="2E77D4F3">
            <w:pPr>
              <w:spacing w:line="243" w:lineRule="auto"/>
              <w:rPr>
                <w:rFonts w:ascii="Arial"/>
                <w:color w:val="auto"/>
                <w:sz w:val="21"/>
              </w:rPr>
            </w:pPr>
          </w:p>
          <w:p w14:paraId="5222D4BC">
            <w:pPr>
              <w:spacing w:line="243" w:lineRule="auto"/>
              <w:rPr>
                <w:rFonts w:ascii="Arial"/>
                <w:color w:val="auto"/>
                <w:sz w:val="21"/>
              </w:rPr>
            </w:pPr>
          </w:p>
          <w:p w14:paraId="429A7300">
            <w:pPr>
              <w:spacing w:line="243" w:lineRule="auto"/>
              <w:rPr>
                <w:rFonts w:ascii="Arial"/>
                <w:color w:val="auto"/>
                <w:sz w:val="21"/>
              </w:rPr>
            </w:pPr>
          </w:p>
          <w:p w14:paraId="09137A41">
            <w:pPr>
              <w:spacing w:line="243" w:lineRule="auto"/>
              <w:rPr>
                <w:rFonts w:ascii="Arial"/>
                <w:color w:val="auto"/>
                <w:sz w:val="21"/>
              </w:rPr>
            </w:pPr>
          </w:p>
          <w:p w14:paraId="443E43B8">
            <w:pPr>
              <w:pStyle w:val="18"/>
              <w:spacing w:before="65" w:line="270" w:lineRule="exact"/>
              <w:ind w:left="238" w:leftChars="0"/>
              <w:rPr>
                <w:color w:val="auto"/>
                <w:position w:val="1"/>
              </w:rPr>
            </w:pPr>
            <w:r>
              <w:rPr>
                <w:color w:val="auto"/>
                <w:position w:val="1"/>
              </w:rPr>
              <w:t>2</w:t>
            </w:r>
          </w:p>
        </w:tc>
        <w:tc>
          <w:tcPr>
            <w:tcW w:w="1710" w:type="dxa"/>
            <w:noWrap w:val="0"/>
            <w:vAlign w:val="top"/>
          </w:tcPr>
          <w:p w14:paraId="4E6707CC">
            <w:pPr>
              <w:spacing w:line="241" w:lineRule="auto"/>
              <w:rPr>
                <w:rFonts w:ascii="Arial"/>
                <w:b/>
                <w:bCs/>
                <w:color w:val="auto"/>
                <w:sz w:val="21"/>
              </w:rPr>
            </w:pPr>
          </w:p>
          <w:p w14:paraId="1C3BB081">
            <w:pPr>
              <w:spacing w:line="241" w:lineRule="auto"/>
              <w:rPr>
                <w:rFonts w:ascii="Arial"/>
                <w:b/>
                <w:bCs/>
                <w:color w:val="auto"/>
                <w:sz w:val="21"/>
              </w:rPr>
            </w:pPr>
          </w:p>
          <w:p w14:paraId="357E8E84">
            <w:pPr>
              <w:spacing w:line="242" w:lineRule="auto"/>
              <w:rPr>
                <w:rFonts w:ascii="Arial"/>
                <w:b/>
                <w:bCs/>
                <w:color w:val="auto"/>
                <w:sz w:val="21"/>
              </w:rPr>
            </w:pPr>
          </w:p>
          <w:p w14:paraId="04BD6E49">
            <w:pPr>
              <w:spacing w:line="242" w:lineRule="auto"/>
              <w:rPr>
                <w:rFonts w:ascii="Arial"/>
                <w:b/>
                <w:bCs/>
                <w:color w:val="auto"/>
                <w:sz w:val="21"/>
              </w:rPr>
            </w:pPr>
          </w:p>
          <w:p w14:paraId="7A5117FD">
            <w:pPr>
              <w:spacing w:line="242" w:lineRule="auto"/>
              <w:rPr>
                <w:rFonts w:ascii="Arial"/>
                <w:b/>
                <w:bCs/>
                <w:color w:val="auto"/>
                <w:sz w:val="21"/>
              </w:rPr>
            </w:pPr>
          </w:p>
          <w:p w14:paraId="4DAE64CF">
            <w:pPr>
              <w:spacing w:line="242" w:lineRule="auto"/>
              <w:rPr>
                <w:rFonts w:ascii="Arial"/>
                <w:b/>
                <w:bCs/>
                <w:color w:val="auto"/>
                <w:sz w:val="21"/>
              </w:rPr>
            </w:pPr>
          </w:p>
          <w:p w14:paraId="78D93594">
            <w:pPr>
              <w:spacing w:line="242" w:lineRule="auto"/>
              <w:rPr>
                <w:rFonts w:ascii="Arial"/>
                <w:b/>
                <w:bCs/>
                <w:color w:val="auto"/>
                <w:sz w:val="21"/>
              </w:rPr>
            </w:pPr>
          </w:p>
          <w:p w14:paraId="46EC109E">
            <w:pPr>
              <w:spacing w:line="242" w:lineRule="auto"/>
              <w:rPr>
                <w:rFonts w:ascii="Arial"/>
                <w:b/>
                <w:bCs/>
                <w:color w:val="auto"/>
                <w:sz w:val="21"/>
              </w:rPr>
            </w:pPr>
          </w:p>
          <w:p w14:paraId="08721960">
            <w:pPr>
              <w:spacing w:line="242" w:lineRule="auto"/>
              <w:rPr>
                <w:rFonts w:ascii="Arial"/>
                <w:b/>
                <w:bCs/>
                <w:color w:val="auto"/>
                <w:sz w:val="21"/>
              </w:rPr>
            </w:pPr>
          </w:p>
          <w:p w14:paraId="5FAD37C7">
            <w:pPr>
              <w:spacing w:line="242" w:lineRule="auto"/>
              <w:rPr>
                <w:rFonts w:ascii="Arial"/>
                <w:b/>
                <w:bCs/>
                <w:color w:val="auto"/>
                <w:sz w:val="21"/>
              </w:rPr>
            </w:pPr>
          </w:p>
          <w:p w14:paraId="7405A4C6">
            <w:pPr>
              <w:spacing w:line="242" w:lineRule="auto"/>
              <w:rPr>
                <w:rFonts w:ascii="Arial"/>
                <w:b/>
                <w:bCs/>
                <w:color w:val="auto"/>
                <w:sz w:val="21"/>
              </w:rPr>
            </w:pPr>
          </w:p>
          <w:p w14:paraId="630643F6">
            <w:pPr>
              <w:spacing w:line="242" w:lineRule="auto"/>
              <w:rPr>
                <w:rFonts w:ascii="Arial"/>
                <w:b/>
                <w:bCs/>
                <w:color w:val="auto"/>
                <w:sz w:val="21"/>
              </w:rPr>
            </w:pPr>
          </w:p>
          <w:p w14:paraId="3F8A7182">
            <w:pPr>
              <w:spacing w:line="242" w:lineRule="auto"/>
              <w:rPr>
                <w:rFonts w:ascii="Arial"/>
                <w:b/>
                <w:bCs/>
                <w:color w:val="auto"/>
                <w:sz w:val="21"/>
              </w:rPr>
            </w:pPr>
          </w:p>
          <w:p w14:paraId="54D3315C">
            <w:pPr>
              <w:spacing w:line="242" w:lineRule="auto"/>
              <w:rPr>
                <w:rFonts w:ascii="Arial"/>
                <w:b/>
                <w:bCs/>
                <w:color w:val="auto"/>
                <w:sz w:val="21"/>
              </w:rPr>
            </w:pPr>
          </w:p>
          <w:p w14:paraId="4314AACE">
            <w:pPr>
              <w:pStyle w:val="18"/>
              <w:spacing w:before="65" w:line="228" w:lineRule="auto"/>
              <w:ind w:left="544"/>
              <w:rPr>
                <w:b/>
                <w:bCs/>
                <w:color w:val="auto"/>
              </w:rPr>
            </w:pPr>
            <w:r>
              <w:rPr>
                <w:b/>
                <w:bCs/>
                <w:color w:val="auto"/>
                <w:spacing w:val="6"/>
              </w:rPr>
              <w:t>技术分</w:t>
            </w:r>
          </w:p>
          <w:p w14:paraId="1808812A">
            <w:pPr>
              <w:pStyle w:val="18"/>
              <w:spacing w:before="254" w:line="228" w:lineRule="auto"/>
              <w:ind w:left="186" w:leftChars="0"/>
              <w:rPr>
                <w:b/>
                <w:bCs/>
                <w:color w:val="auto"/>
              </w:rPr>
            </w:pPr>
            <w:r>
              <w:rPr>
                <w:b/>
                <w:bCs/>
                <w:color w:val="auto"/>
                <w:spacing w:val="1"/>
              </w:rPr>
              <w:t>（满分</w:t>
            </w:r>
            <w:r>
              <w:rPr>
                <w:b/>
                <w:bCs/>
                <w:color w:val="auto"/>
                <w:spacing w:val="-37"/>
              </w:rPr>
              <w:t xml:space="preserve"> </w:t>
            </w:r>
            <w:r>
              <w:rPr>
                <w:rFonts w:hint="eastAsia"/>
                <w:b/>
                <w:bCs/>
                <w:color w:val="auto"/>
                <w:spacing w:val="-37"/>
                <w:lang w:val="en-US" w:eastAsia="zh-CN"/>
              </w:rPr>
              <w:t xml:space="preserve">3 2   </w:t>
            </w:r>
            <w:r>
              <w:rPr>
                <w:b/>
                <w:bCs/>
                <w:color w:val="auto"/>
                <w:spacing w:val="-35"/>
              </w:rPr>
              <w:t xml:space="preserve"> </w:t>
            </w:r>
            <w:r>
              <w:rPr>
                <w:b/>
                <w:bCs/>
                <w:color w:val="auto"/>
                <w:spacing w:val="1"/>
              </w:rPr>
              <w:t>分）</w:t>
            </w:r>
          </w:p>
        </w:tc>
        <w:tc>
          <w:tcPr>
            <w:tcW w:w="1904" w:type="dxa"/>
            <w:noWrap w:val="0"/>
            <w:vAlign w:val="top"/>
          </w:tcPr>
          <w:p w14:paraId="2A270732">
            <w:pPr>
              <w:spacing w:line="241" w:lineRule="auto"/>
              <w:rPr>
                <w:rFonts w:ascii="Arial"/>
                <w:b/>
                <w:bCs/>
                <w:color w:val="auto"/>
                <w:sz w:val="21"/>
              </w:rPr>
            </w:pPr>
          </w:p>
          <w:p w14:paraId="5C3D72CA">
            <w:pPr>
              <w:spacing w:line="241" w:lineRule="auto"/>
              <w:rPr>
                <w:rFonts w:ascii="Arial"/>
                <w:b/>
                <w:bCs/>
                <w:color w:val="auto"/>
                <w:sz w:val="21"/>
              </w:rPr>
            </w:pPr>
          </w:p>
          <w:p w14:paraId="209DE002">
            <w:pPr>
              <w:spacing w:line="241" w:lineRule="auto"/>
              <w:rPr>
                <w:rFonts w:ascii="Arial"/>
                <w:b/>
                <w:bCs/>
                <w:color w:val="auto"/>
                <w:sz w:val="21"/>
              </w:rPr>
            </w:pPr>
          </w:p>
          <w:p w14:paraId="6BC212B1">
            <w:pPr>
              <w:spacing w:line="241" w:lineRule="auto"/>
              <w:rPr>
                <w:rFonts w:ascii="Arial"/>
                <w:b/>
                <w:bCs/>
                <w:color w:val="auto"/>
                <w:sz w:val="21"/>
              </w:rPr>
            </w:pPr>
          </w:p>
          <w:p w14:paraId="1B03EA62">
            <w:pPr>
              <w:spacing w:line="241" w:lineRule="auto"/>
              <w:rPr>
                <w:rFonts w:ascii="Arial"/>
                <w:b/>
                <w:bCs/>
                <w:color w:val="auto"/>
                <w:sz w:val="21"/>
              </w:rPr>
            </w:pPr>
          </w:p>
          <w:p w14:paraId="72290360">
            <w:pPr>
              <w:spacing w:line="241" w:lineRule="auto"/>
              <w:rPr>
                <w:rFonts w:ascii="Arial"/>
                <w:b/>
                <w:bCs/>
                <w:color w:val="auto"/>
                <w:sz w:val="21"/>
              </w:rPr>
            </w:pPr>
          </w:p>
          <w:p w14:paraId="7429E0A5">
            <w:pPr>
              <w:spacing w:line="241" w:lineRule="auto"/>
              <w:rPr>
                <w:rFonts w:ascii="Arial"/>
                <w:b/>
                <w:bCs/>
                <w:color w:val="auto"/>
                <w:sz w:val="21"/>
              </w:rPr>
            </w:pPr>
          </w:p>
          <w:p w14:paraId="5E3D50A2">
            <w:pPr>
              <w:spacing w:line="241" w:lineRule="auto"/>
              <w:rPr>
                <w:rFonts w:ascii="Arial"/>
                <w:b/>
                <w:bCs/>
                <w:color w:val="auto"/>
                <w:sz w:val="21"/>
              </w:rPr>
            </w:pPr>
          </w:p>
          <w:p w14:paraId="6B8DAAB0">
            <w:pPr>
              <w:spacing w:line="241" w:lineRule="auto"/>
              <w:rPr>
                <w:rFonts w:ascii="Arial"/>
                <w:b/>
                <w:bCs/>
                <w:color w:val="auto"/>
                <w:sz w:val="21"/>
              </w:rPr>
            </w:pPr>
          </w:p>
          <w:p w14:paraId="0124B0BF">
            <w:pPr>
              <w:spacing w:line="242" w:lineRule="auto"/>
              <w:rPr>
                <w:rFonts w:ascii="Arial"/>
                <w:b/>
                <w:bCs/>
                <w:color w:val="auto"/>
                <w:sz w:val="21"/>
              </w:rPr>
            </w:pPr>
          </w:p>
          <w:p w14:paraId="37EEFC43">
            <w:pPr>
              <w:spacing w:line="242" w:lineRule="auto"/>
              <w:rPr>
                <w:rFonts w:ascii="Arial"/>
                <w:b/>
                <w:bCs/>
                <w:color w:val="auto"/>
                <w:sz w:val="21"/>
              </w:rPr>
            </w:pPr>
          </w:p>
          <w:p w14:paraId="1B0C2A6C">
            <w:pPr>
              <w:spacing w:line="242" w:lineRule="auto"/>
              <w:rPr>
                <w:rFonts w:ascii="Arial"/>
                <w:b/>
                <w:bCs/>
                <w:color w:val="auto"/>
                <w:sz w:val="21"/>
              </w:rPr>
            </w:pPr>
          </w:p>
          <w:p w14:paraId="3470DFDC">
            <w:pPr>
              <w:spacing w:line="242" w:lineRule="auto"/>
              <w:rPr>
                <w:rFonts w:ascii="Arial"/>
                <w:b/>
                <w:bCs/>
                <w:color w:val="auto"/>
                <w:sz w:val="21"/>
              </w:rPr>
            </w:pPr>
          </w:p>
          <w:p w14:paraId="707628F8">
            <w:pPr>
              <w:pStyle w:val="18"/>
              <w:spacing w:before="65" w:line="462" w:lineRule="auto"/>
              <w:ind w:left="535" w:right="107" w:hanging="413"/>
              <w:rPr>
                <w:b/>
                <w:bCs/>
                <w:color w:val="auto"/>
              </w:rPr>
            </w:pPr>
            <w:r>
              <w:rPr>
                <w:b/>
                <w:bCs/>
                <w:color w:val="auto"/>
                <w:spacing w:val="-4"/>
              </w:rPr>
              <w:t>（1）管理制度、实</w:t>
            </w:r>
            <w:r>
              <w:rPr>
                <w:b/>
                <w:bCs/>
                <w:color w:val="auto"/>
                <w:spacing w:val="7"/>
              </w:rPr>
              <w:t>施方案分</w:t>
            </w:r>
          </w:p>
          <w:p w14:paraId="343E7FB2">
            <w:pPr>
              <w:pStyle w:val="18"/>
              <w:spacing w:line="228" w:lineRule="auto"/>
              <w:ind w:left="285" w:leftChars="0"/>
              <w:rPr>
                <w:b/>
                <w:bCs/>
                <w:color w:val="auto"/>
                <w:spacing w:val="6"/>
              </w:rPr>
            </w:pPr>
            <w:r>
              <w:rPr>
                <w:b/>
                <w:bCs/>
                <w:color w:val="auto"/>
              </w:rPr>
              <w:t>（满分</w:t>
            </w:r>
            <w:r>
              <w:rPr>
                <w:b/>
                <w:bCs/>
                <w:color w:val="auto"/>
                <w:spacing w:val="-30"/>
              </w:rPr>
              <w:t xml:space="preserve"> </w:t>
            </w:r>
            <w:r>
              <w:rPr>
                <w:rFonts w:hint="eastAsia"/>
                <w:b/>
                <w:bCs/>
                <w:color w:val="auto"/>
                <w:lang w:val="en-US" w:eastAsia="zh-CN"/>
              </w:rPr>
              <w:t>24</w:t>
            </w:r>
            <w:r>
              <w:rPr>
                <w:b/>
                <w:bCs/>
                <w:color w:val="auto"/>
              </w:rPr>
              <w:t>分）</w:t>
            </w:r>
          </w:p>
        </w:tc>
        <w:tc>
          <w:tcPr>
            <w:tcW w:w="5979" w:type="dxa"/>
            <w:noWrap w:val="0"/>
            <w:vAlign w:val="top"/>
          </w:tcPr>
          <w:p w14:paraId="3FA0350A">
            <w:pPr>
              <w:pStyle w:val="18"/>
              <w:spacing w:before="222" w:line="228" w:lineRule="auto"/>
              <w:rPr>
                <w:b/>
                <w:bCs/>
                <w:color w:val="auto"/>
              </w:rPr>
            </w:pPr>
            <w:r>
              <w:rPr>
                <w:b/>
                <w:bCs/>
                <w:color w:val="auto"/>
                <w:spacing w:val="4"/>
              </w:rPr>
              <w:t>管理制度分（满分</w:t>
            </w:r>
            <w:r>
              <w:rPr>
                <w:b/>
                <w:bCs/>
                <w:color w:val="auto"/>
                <w:spacing w:val="-33"/>
              </w:rPr>
              <w:t xml:space="preserve"> </w:t>
            </w:r>
            <w:r>
              <w:rPr>
                <w:b/>
                <w:bCs/>
                <w:color w:val="auto"/>
                <w:spacing w:val="4"/>
              </w:rPr>
              <w:t>8</w:t>
            </w:r>
            <w:r>
              <w:rPr>
                <w:b/>
                <w:bCs/>
                <w:color w:val="auto"/>
                <w:spacing w:val="-35"/>
              </w:rPr>
              <w:t xml:space="preserve"> </w:t>
            </w:r>
            <w:r>
              <w:rPr>
                <w:b/>
                <w:bCs/>
                <w:color w:val="auto"/>
                <w:spacing w:val="4"/>
              </w:rPr>
              <w:t>分）</w:t>
            </w:r>
          </w:p>
          <w:p w14:paraId="5AD5E8CE">
            <w:pPr>
              <w:pStyle w:val="18"/>
              <w:spacing w:before="251" w:line="228" w:lineRule="auto"/>
              <w:ind w:left="682"/>
              <w:rPr>
                <w:color w:val="auto"/>
              </w:rPr>
            </w:pPr>
            <w:r>
              <w:rPr>
                <w:color w:val="auto"/>
                <w:spacing w:val="9"/>
              </w:rPr>
              <w:t>基本要求，评标委员会根据投标人提供的组织管理、</w:t>
            </w:r>
          </w:p>
          <w:p w14:paraId="5C496759">
            <w:pPr>
              <w:pStyle w:val="18"/>
              <w:spacing w:before="251" w:line="462" w:lineRule="auto"/>
              <w:ind w:left="113" w:right="174" w:firstLine="2"/>
              <w:rPr>
                <w:color w:val="auto"/>
              </w:rPr>
            </w:pPr>
            <w:r>
              <w:rPr>
                <w:color w:val="auto"/>
                <w:spacing w:val="9"/>
              </w:rPr>
              <w:t>人员与部门职责分工、健康管理、培训、考核、奖惩、食品协议准入、进货检查、色标、食品质量自检、食品存储、运</w:t>
            </w:r>
            <w:r>
              <w:rPr>
                <w:color w:val="auto"/>
                <w:spacing w:val="5"/>
              </w:rPr>
              <w:t>输、退市、召回、溯源、档案管理、台账、财务、食品安全、</w:t>
            </w:r>
            <w:r>
              <w:rPr>
                <w:color w:val="auto"/>
                <w:spacing w:val="9"/>
              </w:rPr>
              <w:t>企业责任、食品安全事故处理、应急处置、人员管理、员工</w:t>
            </w:r>
            <w:r>
              <w:rPr>
                <w:color w:val="auto"/>
                <w:spacing w:val="5"/>
              </w:rPr>
              <w:t>食品安全及配送人员培训、考核、责任追究等制度的针对性、</w:t>
            </w:r>
            <w:r>
              <w:rPr>
                <w:color w:val="auto"/>
                <w:spacing w:val="8"/>
              </w:rPr>
              <w:t>完善性、可行性、实用性等方面独立打分：</w:t>
            </w:r>
          </w:p>
          <w:p w14:paraId="2FE323DD">
            <w:pPr>
              <w:pStyle w:val="18"/>
              <w:spacing w:before="1" w:line="460" w:lineRule="auto"/>
              <w:ind w:left="114" w:right="245" w:firstLine="572"/>
              <w:rPr>
                <w:color w:val="auto"/>
              </w:rPr>
            </w:pPr>
            <w:r>
              <w:rPr>
                <w:color w:val="auto"/>
                <w:spacing w:val="5"/>
              </w:rPr>
              <w:t>一档（2</w:t>
            </w:r>
            <w:r>
              <w:rPr>
                <w:color w:val="auto"/>
                <w:spacing w:val="-23"/>
              </w:rPr>
              <w:t xml:space="preserve"> </w:t>
            </w:r>
            <w:r>
              <w:rPr>
                <w:color w:val="auto"/>
                <w:spacing w:val="5"/>
              </w:rPr>
              <w:t>分）投标人提供的各项管理制度全面详细性与</w:t>
            </w:r>
            <w:r>
              <w:rPr>
                <w:color w:val="auto"/>
                <w:spacing w:val="8"/>
              </w:rPr>
              <w:t>针对性不足，可行性一般。</w:t>
            </w:r>
          </w:p>
          <w:p w14:paraId="5C16B4E7">
            <w:pPr>
              <w:pStyle w:val="18"/>
              <w:spacing w:before="2" w:line="461" w:lineRule="auto"/>
              <w:ind w:left="114" w:right="245" w:firstLine="571"/>
              <w:rPr>
                <w:color w:val="auto"/>
              </w:rPr>
            </w:pPr>
            <w:r>
              <w:rPr>
                <w:color w:val="auto"/>
                <w:spacing w:val="7"/>
              </w:rPr>
              <w:t>二档（4</w:t>
            </w:r>
            <w:r>
              <w:rPr>
                <w:color w:val="auto"/>
                <w:spacing w:val="-38"/>
              </w:rPr>
              <w:t xml:space="preserve"> </w:t>
            </w:r>
            <w:r>
              <w:rPr>
                <w:color w:val="auto"/>
                <w:spacing w:val="7"/>
              </w:rPr>
              <w:t>分</w:t>
            </w:r>
            <w:r>
              <w:rPr>
                <w:color w:val="auto"/>
                <w:spacing w:val="-9"/>
              </w:rPr>
              <w:t>）：</w:t>
            </w:r>
            <w:r>
              <w:rPr>
                <w:color w:val="auto"/>
                <w:spacing w:val="7"/>
              </w:rPr>
              <w:t>投标人提供的各项管理制度比较全面详</w:t>
            </w:r>
            <w:r>
              <w:rPr>
                <w:color w:val="auto"/>
                <w:spacing w:val="8"/>
              </w:rPr>
              <w:t>细、具有一定的针对性与可操作性。</w:t>
            </w:r>
          </w:p>
          <w:p w14:paraId="55699F20">
            <w:pPr>
              <w:pStyle w:val="18"/>
              <w:spacing w:before="2" w:line="391" w:lineRule="auto"/>
              <w:ind w:left="114" w:leftChars="0" w:right="245" w:rightChars="0" w:firstLine="568" w:firstLineChars="0"/>
              <w:jc w:val="both"/>
              <w:rPr>
                <w:color w:val="auto"/>
                <w:spacing w:val="8"/>
              </w:rPr>
            </w:pPr>
            <w:r>
              <w:rPr>
                <w:color w:val="auto"/>
                <w:spacing w:val="7"/>
              </w:rPr>
              <w:t>三档（6</w:t>
            </w:r>
            <w:r>
              <w:rPr>
                <w:color w:val="auto"/>
                <w:spacing w:val="-37"/>
              </w:rPr>
              <w:t xml:space="preserve"> </w:t>
            </w:r>
            <w:r>
              <w:rPr>
                <w:color w:val="auto"/>
                <w:spacing w:val="7"/>
              </w:rPr>
              <w:t>分</w:t>
            </w:r>
            <w:r>
              <w:rPr>
                <w:color w:val="auto"/>
                <w:spacing w:val="-8"/>
              </w:rPr>
              <w:t>）：</w:t>
            </w:r>
            <w:r>
              <w:rPr>
                <w:color w:val="auto"/>
                <w:spacing w:val="7"/>
              </w:rPr>
              <w:t>投标人针对本项目提供的各项管理制度</w:t>
            </w:r>
            <w:r>
              <w:rPr>
                <w:color w:val="auto"/>
                <w:spacing w:val="9"/>
              </w:rPr>
              <w:t>全面详细，覆盖基本要求的全部内容可操作性较强，可以较</w:t>
            </w:r>
            <w:r>
              <w:rPr>
                <w:color w:val="auto"/>
                <w:spacing w:val="7"/>
              </w:rPr>
              <w:t>好满足项目需要。</w:t>
            </w:r>
          </w:p>
        </w:tc>
      </w:tr>
      <w:tr w14:paraId="68D08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9" w:hRule="atLeast"/>
        </w:trPr>
        <w:tc>
          <w:tcPr>
            <w:tcW w:w="566" w:type="dxa"/>
            <w:vMerge w:val="restart"/>
            <w:tcBorders>
              <w:bottom w:val="nil"/>
            </w:tcBorders>
            <w:noWrap w:val="0"/>
            <w:vAlign w:val="top"/>
          </w:tcPr>
          <w:p w14:paraId="4C4752B3">
            <w:pPr>
              <w:rPr>
                <w:rFonts w:ascii="Arial"/>
                <w:color w:val="auto"/>
                <w:sz w:val="21"/>
              </w:rPr>
            </w:pPr>
          </w:p>
        </w:tc>
        <w:tc>
          <w:tcPr>
            <w:tcW w:w="1710" w:type="dxa"/>
            <w:vMerge w:val="restart"/>
            <w:tcBorders>
              <w:bottom w:val="nil"/>
            </w:tcBorders>
            <w:noWrap w:val="0"/>
            <w:vAlign w:val="top"/>
          </w:tcPr>
          <w:p w14:paraId="2750A3B5">
            <w:pPr>
              <w:rPr>
                <w:rFonts w:ascii="Arial"/>
                <w:color w:val="auto"/>
                <w:sz w:val="21"/>
              </w:rPr>
            </w:pPr>
          </w:p>
        </w:tc>
        <w:tc>
          <w:tcPr>
            <w:tcW w:w="1904" w:type="dxa"/>
            <w:vMerge w:val="restart"/>
            <w:tcBorders>
              <w:bottom w:val="nil"/>
            </w:tcBorders>
            <w:noWrap w:val="0"/>
            <w:vAlign w:val="top"/>
          </w:tcPr>
          <w:p w14:paraId="589B792D">
            <w:pPr>
              <w:rPr>
                <w:rFonts w:ascii="Arial"/>
                <w:color w:val="auto"/>
                <w:sz w:val="21"/>
              </w:rPr>
            </w:pPr>
          </w:p>
        </w:tc>
        <w:tc>
          <w:tcPr>
            <w:tcW w:w="5979" w:type="dxa"/>
            <w:noWrap w:val="0"/>
            <w:vAlign w:val="top"/>
          </w:tcPr>
          <w:p w14:paraId="7F8F32D5">
            <w:pPr>
              <w:pStyle w:val="18"/>
              <w:spacing w:before="223" w:line="462" w:lineRule="auto"/>
              <w:ind w:left="115" w:right="189" w:firstLine="586"/>
              <w:jc w:val="both"/>
              <w:rPr>
                <w:color w:val="auto"/>
              </w:rPr>
            </w:pPr>
            <w:r>
              <w:rPr>
                <w:color w:val="auto"/>
                <w:spacing w:val="1"/>
              </w:rPr>
              <w:t>四档（8</w:t>
            </w:r>
            <w:r>
              <w:rPr>
                <w:color w:val="auto"/>
                <w:spacing w:val="-36"/>
              </w:rPr>
              <w:t xml:space="preserve"> </w:t>
            </w:r>
            <w:r>
              <w:rPr>
                <w:color w:val="auto"/>
                <w:spacing w:val="1"/>
              </w:rPr>
              <w:t>分</w:t>
            </w:r>
            <w:r>
              <w:rPr>
                <w:color w:val="auto"/>
                <w:spacing w:val="-25"/>
              </w:rPr>
              <w:t>）：</w:t>
            </w:r>
            <w:r>
              <w:rPr>
                <w:color w:val="auto"/>
                <w:spacing w:val="1"/>
              </w:rPr>
              <w:t>投标人提供的各项管理制度全面、完整，</w:t>
            </w:r>
            <w:r>
              <w:rPr>
                <w:color w:val="auto"/>
                <w:spacing w:val="10"/>
              </w:rPr>
              <w:t>完善，覆盖基本要求的全部内容并有所扩展可操作性较高，</w:t>
            </w:r>
            <w:r>
              <w:rPr>
                <w:color w:val="auto"/>
                <w:spacing w:val="8"/>
              </w:rPr>
              <w:t>实用性较强，对项目实施具有较好的规范作用。</w:t>
            </w:r>
          </w:p>
          <w:p w14:paraId="6BF88CA5">
            <w:pPr>
              <w:pStyle w:val="18"/>
              <w:spacing w:line="227" w:lineRule="auto"/>
              <w:ind w:left="534"/>
              <w:rPr>
                <w:color w:val="auto"/>
              </w:rPr>
            </w:pPr>
            <w:r>
              <w:rPr>
                <w:b/>
                <w:bCs/>
                <w:color w:val="auto"/>
                <w:spacing w:val="7"/>
              </w:rPr>
              <w:t>注：未提供管理制度的本项不得分。</w:t>
            </w:r>
          </w:p>
        </w:tc>
      </w:tr>
      <w:tr w14:paraId="2D7AD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3" w:hRule="atLeast"/>
        </w:trPr>
        <w:tc>
          <w:tcPr>
            <w:tcW w:w="566" w:type="dxa"/>
            <w:vMerge w:val="continue"/>
            <w:tcBorders>
              <w:top w:val="nil"/>
            </w:tcBorders>
            <w:noWrap w:val="0"/>
            <w:vAlign w:val="top"/>
          </w:tcPr>
          <w:p w14:paraId="558AA2E1">
            <w:pPr>
              <w:rPr>
                <w:rFonts w:ascii="Arial"/>
                <w:color w:val="auto"/>
                <w:sz w:val="21"/>
              </w:rPr>
            </w:pPr>
          </w:p>
        </w:tc>
        <w:tc>
          <w:tcPr>
            <w:tcW w:w="1710" w:type="dxa"/>
            <w:vMerge w:val="continue"/>
            <w:tcBorders>
              <w:top w:val="nil"/>
            </w:tcBorders>
            <w:noWrap w:val="0"/>
            <w:vAlign w:val="top"/>
          </w:tcPr>
          <w:p w14:paraId="26F53692">
            <w:pPr>
              <w:rPr>
                <w:rFonts w:ascii="Arial"/>
                <w:color w:val="auto"/>
                <w:sz w:val="21"/>
              </w:rPr>
            </w:pPr>
          </w:p>
        </w:tc>
        <w:tc>
          <w:tcPr>
            <w:tcW w:w="1904" w:type="dxa"/>
            <w:vMerge w:val="continue"/>
            <w:tcBorders>
              <w:top w:val="nil"/>
            </w:tcBorders>
            <w:noWrap w:val="0"/>
            <w:vAlign w:val="top"/>
          </w:tcPr>
          <w:p w14:paraId="2E6A5491">
            <w:pPr>
              <w:rPr>
                <w:rFonts w:ascii="Arial"/>
                <w:color w:val="auto"/>
                <w:sz w:val="21"/>
              </w:rPr>
            </w:pPr>
          </w:p>
        </w:tc>
        <w:tc>
          <w:tcPr>
            <w:tcW w:w="5979" w:type="dxa"/>
            <w:noWrap w:val="0"/>
            <w:vAlign w:val="top"/>
          </w:tcPr>
          <w:p w14:paraId="174FD5B2">
            <w:pPr>
              <w:pStyle w:val="18"/>
              <w:spacing w:before="221" w:line="228" w:lineRule="auto"/>
              <w:ind w:left="124"/>
              <w:rPr>
                <w:b/>
                <w:bCs/>
                <w:color w:val="auto"/>
              </w:rPr>
            </w:pPr>
            <w:r>
              <w:rPr>
                <w:b/>
                <w:bCs/>
                <w:color w:val="auto"/>
                <w:spacing w:val="5"/>
              </w:rPr>
              <w:t>食材安全管理方案（满分</w:t>
            </w:r>
            <w:r>
              <w:rPr>
                <w:rFonts w:hint="eastAsia"/>
                <w:b/>
                <w:bCs/>
                <w:color w:val="auto"/>
                <w:spacing w:val="-14"/>
                <w:lang w:val="en-US" w:eastAsia="zh-CN"/>
              </w:rPr>
              <w:t>8</w:t>
            </w:r>
            <w:r>
              <w:rPr>
                <w:b/>
                <w:bCs/>
                <w:color w:val="auto"/>
                <w:spacing w:val="5"/>
              </w:rPr>
              <w:t>分）</w:t>
            </w:r>
          </w:p>
          <w:p w14:paraId="6506119B">
            <w:pPr>
              <w:pStyle w:val="18"/>
              <w:spacing w:before="251" w:line="462" w:lineRule="auto"/>
              <w:ind w:left="112" w:right="108" w:firstLine="420"/>
              <w:jc w:val="both"/>
              <w:rPr>
                <w:color w:val="auto"/>
              </w:rPr>
            </w:pPr>
            <w:r>
              <w:rPr>
                <w:color w:val="auto"/>
                <w:spacing w:val="7"/>
              </w:rPr>
              <w:t>评委根据投标人提供的食材安全管理方案，要点包括：①</w:t>
            </w:r>
            <w:r>
              <w:rPr>
                <w:color w:val="auto"/>
                <w:spacing w:val="8"/>
              </w:rPr>
              <w:t>进货采购渠道、②食材控制管理措施、③检</w:t>
            </w:r>
            <w:r>
              <w:rPr>
                <w:color w:val="auto"/>
                <w:spacing w:val="7"/>
              </w:rPr>
              <w:t>验检疫措施、④食</w:t>
            </w:r>
            <w:r>
              <w:rPr>
                <w:color w:val="auto"/>
                <w:spacing w:val="9"/>
              </w:rPr>
              <w:t>材质量标准、⑤追溯方式等进行独立评审</w:t>
            </w:r>
            <w:r>
              <w:rPr>
                <w:color w:val="auto"/>
                <w:spacing w:val="-59"/>
              </w:rPr>
              <w:t xml:space="preserve"> </w:t>
            </w:r>
            <w:r>
              <w:rPr>
                <w:color w:val="auto"/>
                <w:spacing w:val="9"/>
              </w:rPr>
              <w:t>:</w:t>
            </w:r>
          </w:p>
          <w:p w14:paraId="141D27BA">
            <w:pPr>
              <w:pStyle w:val="18"/>
              <w:spacing w:before="1" w:line="461" w:lineRule="auto"/>
              <w:ind w:left="122" w:right="108" w:firstLine="415"/>
              <w:jc w:val="both"/>
              <w:rPr>
                <w:color w:val="auto"/>
              </w:rPr>
            </w:pPr>
            <w:r>
              <w:rPr>
                <w:color w:val="auto"/>
                <w:spacing w:val="8"/>
              </w:rPr>
              <w:t>一档（0</w:t>
            </w:r>
            <w:r>
              <w:rPr>
                <w:color w:val="auto"/>
                <w:spacing w:val="-35"/>
              </w:rPr>
              <w:t xml:space="preserve"> </w:t>
            </w:r>
            <w:r>
              <w:rPr>
                <w:color w:val="auto"/>
                <w:spacing w:val="8"/>
              </w:rPr>
              <w:t>分</w:t>
            </w:r>
            <w:r>
              <w:rPr>
                <w:color w:val="auto"/>
                <w:spacing w:val="16"/>
              </w:rPr>
              <w:t>）：</w:t>
            </w:r>
            <w:r>
              <w:rPr>
                <w:color w:val="auto"/>
                <w:spacing w:val="8"/>
              </w:rPr>
              <w:t>投标人未提供食材安全管理方案，或方案</w:t>
            </w:r>
            <w:r>
              <w:rPr>
                <w:color w:val="auto"/>
                <w:spacing w:val="7"/>
              </w:rPr>
              <w:t>内容严重缺失，未涵盖关键要点，无法体现对食材安全的管理</w:t>
            </w:r>
            <w:r>
              <w:rPr>
                <w:color w:val="auto"/>
              </w:rPr>
              <w:t>能力。</w:t>
            </w:r>
          </w:p>
          <w:p w14:paraId="5B0EA544">
            <w:pPr>
              <w:pStyle w:val="18"/>
              <w:spacing w:before="1" w:line="461" w:lineRule="auto"/>
              <w:ind w:left="113" w:right="108" w:firstLine="424"/>
              <w:jc w:val="both"/>
              <w:rPr>
                <w:color w:val="auto"/>
              </w:rPr>
            </w:pPr>
            <w:r>
              <w:rPr>
                <w:color w:val="auto"/>
                <w:spacing w:val="8"/>
              </w:rPr>
              <w:t>二档（</w:t>
            </w:r>
            <w:r>
              <w:rPr>
                <w:rFonts w:hint="eastAsia"/>
                <w:color w:val="auto"/>
                <w:spacing w:val="8"/>
                <w:lang w:val="en-US" w:eastAsia="zh-CN"/>
              </w:rPr>
              <w:t>2</w:t>
            </w:r>
            <w:r>
              <w:rPr>
                <w:color w:val="auto"/>
                <w:spacing w:val="-35"/>
              </w:rPr>
              <w:t xml:space="preserve"> </w:t>
            </w:r>
            <w:r>
              <w:rPr>
                <w:color w:val="auto"/>
                <w:spacing w:val="8"/>
              </w:rPr>
              <w:t>分</w:t>
            </w:r>
            <w:r>
              <w:rPr>
                <w:color w:val="auto"/>
                <w:spacing w:val="16"/>
              </w:rPr>
              <w:t>）：</w:t>
            </w:r>
            <w:r>
              <w:rPr>
                <w:color w:val="auto"/>
                <w:spacing w:val="8"/>
              </w:rPr>
              <w:t>食材安全管理方案在进货采购渠道、食材</w:t>
            </w:r>
            <w:r>
              <w:rPr>
                <w:color w:val="auto"/>
                <w:spacing w:val="7"/>
              </w:rPr>
              <w:t>控制管理措施、检验检疫措施、食材质量标准和追溯方式等方面均有描述，仅达到采购文件的基本要求，缺乏具体措施和深</w:t>
            </w:r>
            <w:r>
              <w:rPr>
                <w:color w:val="auto"/>
              </w:rPr>
              <w:t>度。</w:t>
            </w:r>
          </w:p>
          <w:p w14:paraId="322C2CF5">
            <w:pPr>
              <w:pStyle w:val="18"/>
              <w:spacing w:before="1" w:line="461" w:lineRule="auto"/>
              <w:ind w:left="113" w:right="108" w:firstLine="420"/>
              <w:jc w:val="both"/>
              <w:rPr>
                <w:color w:val="auto"/>
              </w:rPr>
            </w:pPr>
            <w:r>
              <w:rPr>
                <w:color w:val="auto"/>
                <w:spacing w:val="8"/>
              </w:rPr>
              <w:t>三档（</w:t>
            </w:r>
            <w:r>
              <w:rPr>
                <w:rFonts w:hint="eastAsia"/>
                <w:color w:val="auto"/>
                <w:spacing w:val="8"/>
                <w:lang w:val="en-US" w:eastAsia="zh-CN"/>
              </w:rPr>
              <w:t>4</w:t>
            </w:r>
            <w:r>
              <w:rPr>
                <w:color w:val="auto"/>
                <w:spacing w:val="-34"/>
              </w:rPr>
              <w:t xml:space="preserve"> </w:t>
            </w:r>
            <w:r>
              <w:rPr>
                <w:color w:val="auto"/>
                <w:spacing w:val="8"/>
              </w:rPr>
              <w:t>分</w:t>
            </w:r>
            <w:r>
              <w:rPr>
                <w:color w:val="auto"/>
                <w:spacing w:val="17"/>
              </w:rPr>
              <w:t>）：</w:t>
            </w:r>
            <w:r>
              <w:rPr>
                <w:color w:val="auto"/>
                <w:spacing w:val="8"/>
              </w:rPr>
              <w:t>食材安全管理方案在进货采购渠道、食材</w:t>
            </w:r>
            <w:r>
              <w:rPr>
                <w:color w:val="auto"/>
                <w:spacing w:val="7"/>
              </w:rPr>
              <w:t>控制管理措施、检验检疫措施、食材质量标准和追溯方式等方</w:t>
            </w:r>
            <w:r>
              <w:rPr>
                <w:color w:val="auto"/>
                <w:spacing w:val="9"/>
              </w:rPr>
              <w:t>面描述清晰、全面、详细，能体现基本的管理思路。</w:t>
            </w:r>
          </w:p>
          <w:p w14:paraId="1D81F1D3">
            <w:pPr>
              <w:pStyle w:val="18"/>
              <w:spacing w:before="6" w:line="440" w:lineRule="auto"/>
              <w:ind w:left="112" w:right="90" w:firstLine="441"/>
              <w:jc w:val="both"/>
              <w:rPr>
                <w:color w:val="auto"/>
                <w:spacing w:val="9"/>
              </w:rPr>
            </w:pPr>
            <w:r>
              <w:rPr>
                <w:color w:val="auto"/>
                <w:spacing w:val="6"/>
              </w:rPr>
              <w:t>四档（</w:t>
            </w:r>
            <w:r>
              <w:rPr>
                <w:rFonts w:hint="eastAsia"/>
                <w:color w:val="auto"/>
                <w:spacing w:val="6"/>
                <w:lang w:val="en-US" w:eastAsia="zh-CN"/>
              </w:rPr>
              <w:t>6</w:t>
            </w:r>
            <w:r>
              <w:rPr>
                <w:color w:val="auto"/>
                <w:spacing w:val="6"/>
              </w:rPr>
              <w:t>分）</w:t>
            </w:r>
            <w:r>
              <w:rPr>
                <w:color w:val="auto"/>
                <w:spacing w:val="-50"/>
              </w:rPr>
              <w:t xml:space="preserve"> </w:t>
            </w:r>
            <w:r>
              <w:rPr>
                <w:color w:val="auto"/>
                <w:spacing w:val="6"/>
              </w:rPr>
              <w:t>: 食材安全管理方案在以下方</w:t>
            </w:r>
            <w:r>
              <w:rPr>
                <w:color w:val="auto"/>
                <w:spacing w:val="5"/>
              </w:rPr>
              <w:t>面描述清晰明</w:t>
            </w:r>
            <w:r>
              <w:rPr>
                <w:color w:val="auto"/>
                <w:spacing w:val="9"/>
              </w:rPr>
              <w:t>确、全面系统、详细具体：</w:t>
            </w:r>
          </w:p>
          <w:p w14:paraId="5DF0AA12">
            <w:pPr>
              <w:pStyle w:val="18"/>
              <w:spacing w:before="6" w:line="440" w:lineRule="auto"/>
              <w:ind w:left="112" w:right="90" w:firstLine="441"/>
              <w:jc w:val="both"/>
              <w:rPr>
                <w:rFonts w:hint="eastAsia"/>
                <w:color w:val="auto"/>
                <w:spacing w:val="9"/>
                <w:lang w:eastAsia="zh-CN"/>
              </w:rPr>
            </w:pPr>
            <w:r>
              <w:rPr>
                <w:color w:val="auto"/>
                <w:spacing w:val="9"/>
              </w:rPr>
              <w:t>1.进货采购渠道：</w:t>
            </w:r>
            <w:r>
              <w:rPr>
                <w:color w:val="auto"/>
                <w:spacing w:val="-44"/>
              </w:rPr>
              <w:t xml:space="preserve"> </w:t>
            </w:r>
            <w:r>
              <w:rPr>
                <w:color w:val="auto"/>
                <w:spacing w:val="9"/>
              </w:rPr>
              <w:t>明确列出主要供应商名录，并说明选择标准（如资质、信誉、配送能力</w:t>
            </w:r>
            <w:r>
              <w:rPr>
                <w:color w:val="auto"/>
              </w:rPr>
              <w:t>）</w:t>
            </w:r>
            <w:r>
              <w:rPr>
                <w:rFonts w:hint="eastAsia"/>
                <w:color w:val="auto"/>
                <w:spacing w:val="9"/>
                <w:lang w:eastAsia="zh-CN"/>
              </w:rPr>
              <w:t>；</w:t>
            </w:r>
          </w:p>
          <w:p w14:paraId="68AB474A">
            <w:pPr>
              <w:pStyle w:val="18"/>
              <w:spacing w:before="6" w:line="440" w:lineRule="auto"/>
              <w:ind w:left="112" w:right="90" w:firstLine="441"/>
              <w:jc w:val="both"/>
              <w:rPr>
                <w:rFonts w:hint="eastAsia" w:eastAsia="宋体"/>
                <w:color w:val="auto"/>
                <w:spacing w:val="11"/>
                <w:lang w:eastAsia="zh-CN"/>
              </w:rPr>
            </w:pPr>
            <w:r>
              <w:rPr>
                <w:color w:val="auto"/>
                <w:spacing w:val="9"/>
              </w:rPr>
              <w:t>2. 食</w:t>
            </w:r>
            <w:r>
              <w:rPr>
                <w:color w:val="auto"/>
                <w:spacing w:val="8"/>
              </w:rPr>
              <w:t>材控制管理措施：建立从采购、运输、仓储</w:t>
            </w:r>
            <w:r>
              <w:rPr>
                <w:color w:val="auto"/>
                <w:spacing w:val="7"/>
              </w:rPr>
              <w:t>到配送全过程的温</w:t>
            </w:r>
            <w:r>
              <w:rPr>
                <w:color w:val="auto"/>
                <w:spacing w:val="8"/>
              </w:rPr>
              <w:t>控、防污染、防交叉污染措施，特别是对生</w:t>
            </w:r>
            <w:r>
              <w:rPr>
                <w:color w:val="auto"/>
                <w:spacing w:val="7"/>
              </w:rPr>
              <w:t>鲜、冷冻、即食类</w:t>
            </w:r>
            <w:r>
              <w:rPr>
                <w:color w:val="auto"/>
                <w:spacing w:val="11"/>
              </w:rPr>
              <w:t>食材的特殊管理要求</w:t>
            </w:r>
            <w:r>
              <w:rPr>
                <w:rFonts w:hint="eastAsia"/>
                <w:color w:val="auto"/>
                <w:spacing w:val="11"/>
                <w:lang w:eastAsia="zh-CN"/>
              </w:rPr>
              <w:t>；</w:t>
            </w:r>
          </w:p>
          <w:p w14:paraId="16A8269E">
            <w:pPr>
              <w:pStyle w:val="18"/>
              <w:spacing w:before="6" w:line="440" w:lineRule="auto"/>
              <w:ind w:left="112" w:right="90" w:firstLine="441"/>
              <w:jc w:val="both"/>
              <w:rPr>
                <w:rFonts w:hint="eastAsia" w:eastAsia="宋体"/>
                <w:color w:val="auto"/>
                <w:spacing w:val="11"/>
                <w:lang w:eastAsia="zh-CN"/>
              </w:rPr>
            </w:pPr>
            <w:r>
              <w:rPr>
                <w:color w:val="auto"/>
                <w:spacing w:val="11"/>
              </w:rPr>
              <w:t>3.检验检疫措施：除提供《动物检疫</w:t>
            </w:r>
            <w:r>
              <w:rPr>
                <w:color w:val="auto"/>
                <w:spacing w:val="8"/>
              </w:rPr>
              <w:t>合格证明》等法定文件外，主动承诺对高风险食材（如禽类、水产品</w:t>
            </w:r>
            <w:r>
              <w:rPr>
                <w:rFonts w:hint="eastAsia"/>
                <w:color w:val="auto"/>
                <w:spacing w:val="8"/>
                <w:lang w:val="en-US" w:eastAsia="zh-CN"/>
              </w:rPr>
              <w:t>等</w:t>
            </w:r>
            <w:r>
              <w:rPr>
                <w:color w:val="auto"/>
                <w:spacing w:val="8"/>
              </w:rPr>
              <w:t>）进行批批自检或送第三方检</w:t>
            </w:r>
            <w:r>
              <w:rPr>
                <w:color w:val="auto"/>
                <w:spacing w:val="7"/>
              </w:rPr>
              <w:t>测，检测项目包括</w:t>
            </w:r>
            <w:r>
              <w:rPr>
                <w:color w:val="auto"/>
                <w:spacing w:val="11"/>
              </w:rPr>
              <w:t>但不限于瘦肉精、农残、微生物等</w:t>
            </w:r>
            <w:r>
              <w:rPr>
                <w:rFonts w:hint="eastAsia"/>
                <w:color w:val="auto"/>
                <w:spacing w:val="11"/>
                <w:lang w:eastAsia="zh-CN"/>
              </w:rPr>
              <w:t>；</w:t>
            </w:r>
          </w:p>
          <w:p w14:paraId="517A1ECE">
            <w:pPr>
              <w:pStyle w:val="18"/>
              <w:spacing w:before="6" w:line="440" w:lineRule="auto"/>
              <w:ind w:left="112" w:right="90" w:firstLine="441"/>
              <w:jc w:val="both"/>
              <w:rPr>
                <w:color w:val="auto"/>
              </w:rPr>
            </w:pPr>
            <w:r>
              <w:rPr>
                <w:color w:val="auto"/>
                <w:spacing w:val="11"/>
              </w:rPr>
              <w:t>4. 食材质量标准：承诺</w:t>
            </w:r>
            <w:r>
              <w:rPr>
                <w:color w:val="auto"/>
                <w:spacing w:val="15"/>
              </w:rPr>
              <w:t>所供食材符合国家强制标准，</w:t>
            </w:r>
          </w:p>
        </w:tc>
      </w:tr>
    </w:tbl>
    <w:p w14:paraId="241DFB15">
      <w:pPr>
        <w:spacing w:line="132" w:lineRule="exact"/>
        <w:rPr>
          <w:rFonts w:ascii="Arial"/>
          <w:color w:val="auto"/>
          <w:sz w:val="11"/>
        </w:rPr>
      </w:pPr>
    </w:p>
    <w:p w14:paraId="708303A0">
      <w:pPr>
        <w:spacing w:line="132" w:lineRule="exact"/>
        <w:rPr>
          <w:rFonts w:ascii="Arial" w:hAnsi="Arial" w:eastAsia="Arial" w:cs="Arial"/>
          <w:color w:val="auto"/>
          <w:sz w:val="11"/>
          <w:szCs w:val="11"/>
        </w:rPr>
        <w:sectPr>
          <w:footerReference r:id="rId8" w:type="default"/>
          <w:pgSz w:w="11911" w:h="16839"/>
          <w:pgMar w:top="400" w:right="857" w:bottom="1149" w:left="1032" w:header="0" w:footer="913" w:gutter="0"/>
          <w:pgNumType w:fmt="decimal"/>
          <w:cols w:space="720" w:num="1"/>
        </w:sectPr>
      </w:pPr>
    </w:p>
    <w:p w14:paraId="514552F2">
      <w:pPr>
        <w:spacing w:before="39"/>
        <w:rPr>
          <w:color w:val="auto"/>
        </w:rPr>
      </w:pPr>
    </w:p>
    <w:p w14:paraId="2C9C7F24">
      <w:pPr>
        <w:spacing w:before="38"/>
        <w:rPr>
          <w:color w:val="auto"/>
        </w:rPr>
      </w:pPr>
    </w:p>
    <w:p w14:paraId="26AAA7C2">
      <w:pPr>
        <w:spacing w:before="38"/>
        <w:rPr>
          <w:color w:val="auto"/>
        </w:rPr>
      </w:pPr>
    </w:p>
    <w:p w14:paraId="5CAE018C">
      <w:pPr>
        <w:spacing w:before="38"/>
        <w:rPr>
          <w:color w:val="auto"/>
        </w:rPr>
      </w:pPr>
    </w:p>
    <w:tbl>
      <w:tblPr>
        <w:tblStyle w:val="19"/>
        <w:tblW w:w="100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1710"/>
        <w:gridCol w:w="1904"/>
        <w:gridCol w:w="5836"/>
      </w:tblGrid>
      <w:tr w14:paraId="12D8C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66" w:type="dxa"/>
            <w:vMerge w:val="restart"/>
            <w:noWrap w:val="0"/>
            <w:vAlign w:val="top"/>
          </w:tcPr>
          <w:p w14:paraId="73A2316B">
            <w:pPr>
              <w:rPr>
                <w:rFonts w:ascii="Arial"/>
                <w:color w:val="auto"/>
                <w:sz w:val="21"/>
              </w:rPr>
            </w:pPr>
          </w:p>
        </w:tc>
        <w:tc>
          <w:tcPr>
            <w:tcW w:w="1710" w:type="dxa"/>
            <w:vMerge w:val="restart"/>
            <w:noWrap w:val="0"/>
            <w:vAlign w:val="top"/>
          </w:tcPr>
          <w:p w14:paraId="4B41CDD0">
            <w:pPr>
              <w:rPr>
                <w:rFonts w:ascii="Arial"/>
                <w:color w:val="auto"/>
                <w:sz w:val="21"/>
              </w:rPr>
            </w:pPr>
          </w:p>
        </w:tc>
        <w:tc>
          <w:tcPr>
            <w:tcW w:w="1904" w:type="dxa"/>
            <w:vMerge w:val="restart"/>
            <w:noWrap w:val="0"/>
            <w:vAlign w:val="top"/>
          </w:tcPr>
          <w:p w14:paraId="7549C17B">
            <w:pPr>
              <w:rPr>
                <w:rFonts w:ascii="Arial"/>
                <w:color w:val="auto"/>
                <w:sz w:val="21"/>
              </w:rPr>
            </w:pPr>
          </w:p>
        </w:tc>
        <w:tc>
          <w:tcPr>
            <w:tcW w:w="5836" w:type="dxa"/>
            <w:noWrap w:val="0"/>
            <w:vAlign w:val="top"/>
          </w:tcPr>
          <w:p w14:paraId="23C8C292">
            <w:pPr>
              <w:pStyle w:val="18"/>
              <w:spacing w:before="6" w:line="440" w:lineRule="auto"/>
              <w:ind w:right="90"/>
              <w:jc w:val="both"/>
              <w:rPr>
                <w:rFonts w:hint="eastAsia"/>
                <w:color w:val="auto"/>
                <w:spacing w:val="11"/>
                <w:lang w:eastAsia="zh-CN"/>
              </w:rPr>
            </w:pPr>
            <w:r>
              <w:rPr>
                <w:color w:val="auto"/>
                <w:spacing w:val="15"/>
              </w:rPr>
              <w:t>并针对采购清单中的每类食材</w:t>
            </w:r>
            <w:r>
              <w:rPr>
                <w:color w:val="auto"/>
                <w:spacing w:val="8"/>
              </w:rPr>
              <w:t>（如肉类</w:t>
            </w:r>
            <w:r>
              <w:rPr>
                <w:rFonts w:hint="eastAsia"/>
                <w:color w:val="auto"/>
                <w:spacing w:val="8"/>
                <w:lang w:val="en-US" w:eastAsia="zh-CN"/>
              </w:rPr>
              <w:t>等</w:t>
            </w:r>
            <w:r>
              <w:rPr>
                <w:color w:val="auto"/>
                <w:spacing w:val="8"/>
              </w:rPr>
              <w:t>）制定具体</w:t>
            </w:r>
            <w:r>
              <w:rPr>
                <w:color w:val="auto"/>
                <w:spacing w:val="11"/>
              </w:rPr>
              <w:t>的、高于行业通用标准的内部验收细则</w:t>
            </w:r>
            <w:r>
              <w:rPr>
                <w:rFonts w:hint="eastAsia"/>
                <w:color w:val="auto"/>
                <w:spacing w:val="11"/>
                <w:lang w:eastAsia="zh-CN"/>
              </w:rPr>
              <w:t>；</w:t>
            </w:r>
          </w:p>
          <w:p w14:paraId="7F78D752">
            <w:pPr>
              <w:pStyle w:val="18"/>
              <w:spacing w:before="6" w:line="440" w:lineRule="auto"/>
              <w:ind w:left="112" w:right="90" w:firstLine="441"/>
              <w:jc w:val="both"/>
              <w:rPr>
                <w:color w:val="auto"/>
              </w:rPr>
            </w:pPr>
            <w:r>
              <w:rPr>
                <w:color w:val="auto"/>
                <w:spacing w:val="11"/>
              </w:rPr>
              <w:t>5. 追溯方式：建立完善的电子化追溯系统，</w:t>
            </w:r>
            <w:r>
              <w:rPr>
                <w:color w:val="auto"/>
                <w:spacing w:val="6"/>
              </w:rPr>
              <w:t>实现“一物一码</w:t>
            </w:r>
            <w:r>
              <w:rPr>
                <w:color w:val="auto"/>
                <w:spacing w:val="-56"/>
              </w:rPr>
              <w:t xml:space="preserve"> </w:t>
            </w:r>
            <w:r>
              <w:rPr>
                <w:color w:val="auto"/>
                <w:spacing w:val="6"/>
              </w:rPr>
              <w:t>”，可追溯食材的产地、供应商、批次、检测</w:t>
            </w:r>
            <w:r>
              <w:rPr>
                <w:color w:val="auto"/>
                <w:spacing w:val="8"/>
              </w:rPr>
              <w:t>报告等信息，响应采购人需求。</w:t>
            </w:r>
          </w:p>
          <w:p w14:paraId="65517797">
            <w:pPr>
              <w:pStyle w:val="18"/>
              <w:spacing w:line="228" w:lineRule="auto"/>
              <w:ind w:right="14"/>
              <w:jc w:val="right"/>
              <w:rPr>
                <w:color w:val="auto"/>
              </w:rPr>
            </w:pPr>
            <w:r>
              <w:rPr>
                <w:color w:val="auto"/>
                <w:spacing w:val="3"/>
              </w:rPr>
              <w:t>五档（</w:t>
            </w:r>
            <w:r>
              <w:rPr>
                <w:rFonts w:hint="eastAsia"/>
                <w:color w:val="auto"/>
                <w:spacing w:val="3"/>
                <w:lang w:val="en-US" w:eastAsia="zh-CN"/>
              </w:rPr>
              <w:t>8</w:t>
            </w:r>
            <w:r>
              <w:rPr>
                <w:color w:val="auto"/>
                <w:spacing w:val="3"/>
              </w:rPr>
              <w:t>分）: 在四档基础上，方案具有针对</w:t>
            </w:r>
            <w:r>
              <w:rPr>
                <w:color w:val="auto"/>
                <w:spacing w:val="2"/>
              </w:rPr>
              <w:t>性和前瞻性，</w:t>
            </w:r>
          </w:p>
          <w:p w14:paraId="79E85AC2">
            <w:pPr>
              <w:pStyle w:val="18"/>
              <w:spacing w:before="251" w:line="462" w:lineRule="auto"/>
              <w:ind w:left="113" w:right="89" w:firstLine="5"/>
              <w:jc w:val="both"/>
              <w:rPr>
                <w:color w:val="auto"/>
                <w:spacing w:val="7"/>
              </w:rPr>
            </w:pPr>
            <w:r>
              <w:rPr>
                <w:color w:val="auto"/>
                <w:spacing w:val="6"/>
              </w:rPr>
              <w:t>并体现主动作为：1.承诺建立“供应商黑名单</w:t>
            </w:r>
            <w:r>
              <w:rPr>
                <w:color w:val="auto"/>
                <w:spacing w:val="-66"/>
              </w:rPr>
              <w:t xml:space="preserve"> </w:t>
            </w:r>
            <w:r>
              <w:rPr>
                <w:color w:val="auto"/>
                <w:spacing w:val="6"/>
              </w:rPr>
              <w:t>”制度，对出现</w:t>
            </w:r>
            <w:r>
              <w:rPr>
                <w:color w:val="auto"/>
                <w:spacing w:val="11"/>
              </w:rPr>
              <w:t>质量问题的供应商立即停止合作</w:t>
            </w:r>
            <w:r>
              <w:rPr>
                <w:rFonts w:hint="eastAsia"/>
                <w:color w:val="auto"/>
                <w:spacing w:val="11"/>
                <w:lang w:eastAsia="zh-CN"/>
              </w:rPr>
              <w:t>；</w:t>
            </w:r>
            <w:r>
              <w:rPr>
                <w:color w:val="auto"/>
                <w:spacing w:val="11"/>
              </w:rPr>
              <w:t>2. 提出创新性的风</w:t>
            </w:r>
            <w:r>
              <w:rPr>
                <w:color w:val="auto"/>
                <w:spacing w:val="10"/>
              </w:rPr>
              <w:t>险预警</w:t>
            </w:r>
            <w:r>
              <w:rPr>
                <w:color w:val="auto"/>
                <w:spacing w:val="7"/>
              </w:rPr>
              <w:t>机制，如利用大数据分析市场供应风险</w:t>
            </w:r>
            <w:r>
              <w:rPr>
                <w:rFonts w:hint="eastAsia"/>
                <w:color w:val="auto"/>
                <w:spacing w:val="7"/>
                <w:lang w:eastAsia="zh-CN"/>
              </w:rPr>
              <w:t>；</w:t>
            </w:r>
            <w:r>
              <w:rPr>
                <w:color w:val="auto"/>
                <w:spacing w:val="7"/>
              </w:rPr>
              <w:t>3.主动积极地开展检</w:t>
            </w:r>
            <w:r>
              <w:rPr>
                <w:color w:val="auto"/>
                <w:spacing w:val="8"/>
              </w:rPr>
              <w:t>验工作，并承诺向采购人定期提供检测报告和安全分析报告</w:t>
            </w:r>
            <w:r>
              <w:rPr>
                <w:rFonts w:hint="eastAsia"/>
                <w:color w:val="auto"/>
                <w:spacing w:val="8"/>
                <w:lang w:eastAsia="zh-CN"/>
              </w:rPr>
              <w:t>；</w:t>
            </w:r>
            <w:r>
              <w:rPr>
                <w:rFonts w:ascii="宋体" w:hAnsi="宋体" w:eastAsia="宋体" w:cs="宋体"/>
                <w:snapToGrid w:val="0"/>
                <w:color w:val="auto"/>
                <w:spacing w:val="7"/>
                <w:kern w:val="0"/>
                <w:sz w:val="20"/>
                <w:szCs w:val="20"/>
                <w:lang w:val="en-US" w:eastAsia="en-US" w:bidi="ar-SA"/>
              </w:rPr>
              <w:t>4.</w:t>
            </w:r>
            <w:r>
              <w:rPr>
                <w:color w:val="auto"/>
                <w:spacing w:val="7"/>
              </w:rPr>
              <w:t>各项措施环环相扣，形成闭环管理，能有效保障食材从源头到餐桌的全链条安全，且方案与</w:t>
            </w:r>
            <w:r>
              <w:rPr>
                <w:rFonts w:hint="eastAsia"/>
                <w:color w:val="auto"/>
                <w:spacing w:val="7"/>
                <w:lang w:val="en-US" w:eastAsia="zh-CN"/>
              </w:rPr>
              <w:t>防城港市第一人民医院</w:t>
            </w:r>
            <w:r>
              <w:rPr>
                <w:color w:val="auto"/>
                <w:spacing w:val="7"/>
              </w:rPr>
              <w:t>的医院环境和食品安全要求高度匹配。</w:t>
            </w:r>
          </w:p>
        </w:tc>
      </w:tr>
      <w:tr w14:paraId="497EB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1" w:hRule="atLeast"/>
        </w:trPr>
        <w:tc>
          <w:tcPr>
            <w:tcW w:w="566" w:type="dxa"/>
            <w:vMerge w:val="continue"/>
            <w:tcBorders>
              <w:bottom w:val="nil"/>
            </w:tcBorders>
            <w:noWrap w:val="0"/>
            <w:vAlign w:val="top"/>
          </w:tcPr>
          <w:p w14:paraId="625CDC96">
            <w:pPr>
              <w:pStyle w:val="18"/>
              <w:spacing w:line="391" w:lineRule="auto"/>
              <w:ind w:left="113" w:leftChars="0" w:right="108" w:rightChars="0"/>
              <w:jc w:val="both"/>
              <w:rPr>
                <w:color w:val="auto"/>
              </w:rPr>
            </w:pPr>
          </w:p>
        </w:tc>
        <w:tc>
          <w:tcPr>
            <w:tcW w:w="1710" w:type="dxa"/>
            <w:vMerge w:val="continue"/>
            <w:tcBorders>
              <w:bottom w:val="nil"/>
            </w:tcBorders>
            <w:noWrap w:val="0"/>
            <w:vAlign w:val="top"/>
          </w:tcPr>
          <w:p w14:paraId="43F889AE">
            <w:pPr>
              <w:pStyle w:val="18"/>
              <w:spacing w:line="391" w:lineRule="auto"/>
              <w:ind w:left="113" w:leftChars="0" w:right="108" w:rightChars="0"/>
              <w:jc w:val="both"/>
              <w:rPr>
                <w:color w:val="auto"/>
              </w:rPr>
            </w:pPr>
          </w:p>
        </w:tc>
        <w:tc>
          <w:tcPr>
            <w:tcW w:w="1904" w:type="dxa"/>
            <w:vMerge w:val="continue"/>
            <w:tcBorders>
              <w:bottom w:val="nil"/>
            </w:tcBorders>
            <w:noWrap w:val="0"/>
            <w:vAlign w:val="top"/>
          </w:tcPr>
          <w:p w14:paraId="633134C7">
            <w:pPr>
              <w:pStyle w:val="18"/>
              <w:spacing w:line="391" w:lineRule="auto"/>
              <w:ind w:left="113" w:leftChars="0" w:right="108" w:rightChars="0"/>
              <w:jc w:val="both"/>
              <w:rPr>
                <w:color w:val="auto"/>
              </w:rPr>
            </w:pPr>
          </w:p>
        </w:tc>
        <w:tc>
          <w:tcPr>
            <w:tcW w:w="5836" w:type="dxa"/>
            <w:noWrap w:val="0"/>
            <w:vAlign w:val="top"/>
          </w:tcPr>
          <w:p w14:paraId="3A62327F">
            <w:pPr>
              <w:pStyle w:val="18"/>
              <w:spacing w:before="224" w:line="228" w:lineRule="auto"/>
              <w:rPr>
                <w:b/>
                <w:bCs/>
                <w:color w:val="auto"/>
              </w:rPr>
            </w:pPr>
            <w:r>
              <w:rPr>
                <w:b/>
                <w:bCs/>
                <w:color w:val="auto"/>
                <w:spacing w:val="4"/>
              </w:rPr>
              <w:t>配送服务方案（满分</w:t>
            </w:r>
            <w:r>
              <w:rPr>
                <w:b/>
                <w:bCs/>
                <w:color w:val="auto"/>
                <w:spacing w:val="-8"/>
              </w:rPr>
              <w:t xml:space="preserve"> </w:t>
            </w:r>
            <w:r>
              <w:rPr>
                <w:rFonts w:hint="eastAsia"/>
                <w:b/>
                <w:bCs/>
                <w:color w:val="auto"/>
                <w:spacing w:val="-8"/>
                <w:lang w:val="en-US" w:eastAsia="zh-CN"/>
              </w:rPr>
              <w:t>8</w:t>
            </w:r>
            <w:r>
              <w:rPr>
                <w:b/>
                <w:bCs/>
                <w:color w:val="auto"/>
                <w:spacing w:val="-38"/>
              </w:rPr>
              <w:t xml:space="preserve"> </w:t>
            </w:r>
            <w:r>
              <w:rPr>
                <w:b/>
                <w:bCs/>
                <w:color w:val="auto"/>
                <w:spacing w:val="4"/>
              </w:rPr>
              <w:t>分）</w:t>
            </w:r>
          </w:p>
          <w:p w14:paraId="63430147">
            <w:pPr>
              <w:pStyle w:val="18"/>
              <w:spacing w:before="250" w:line="462" w:lineRule="auto"/>
              <w:ind w:left="113" w:right="108" w:firstLine="420"/>
              <w:jc w:val="both"/>
              <w:rPr>
                <w:color w:val="auto"/>
              </w:rPr>
            </w:pPr>
            <w:r>
              <w:rPr>
                <w:color w:val="auto"/>
                <w:spacing w:val="7"/>
              </w:rPr>
              <w:t>评标小组根据投标人提供的配送服务方案进行评审，要点包括：①对食堂食材配送的熟悉程度；②经营理念；③经营措</w:t>
            </w:r>
            <w:r>
              <w:rPr>
                <w:color w:val="auto"/>
                <w:spacing w:val="8"/>
              </w:rPr>
              <w:t>施和计划可行性；④应急预案。</w:t>
            </w:r>
          </w:p>
          <w:p w14:paraId="14F793B3">
            <w:pPr>
              <w:pStyle w:val="18"/>
              <w:spacing w:before="1" w:line="461" w:lineRule="auto"/>
              <w:ind w:left="114" w:right="111" w:firstLine="422"/>
              <w:rPr>
                <w:rFonts w:hint="eastAsia" w:eastAsia="宋体"/>
                <w:color w:val="auto"/>
                <w:lang w:eastAsia="zh-CN"/>
              </w:rPr>
            </w:pPr>
            <w:r>
              <w:rPr>
                <w:color w:val="auto"/>
                <w:spacing w:val="8"/>
              </w:rPr>
              <w:t>一档（0</w:t>
            </w:r>
            <w:r>
              <w:rPr>
                <w:color w:val="auto"/>
                <w:spacing w:val="-35"/>
              </w:rPr>
              <w:t xml:space="preserve"> </w:t>
            </w:r>
            <w:r>
              <w:rPr>
                <w:color w:val="auto"/>
                <w:spacing w:val="8"/>
              </w:rPr>
              <w:t>分</w:t>
            </w:r>
            <w:r>
              <w:rPr>
                <w:color w:val="auto"/>
                <w:spacing w:val="16"/>
              </w:rPr>
              <w:t>）：</w:t>
            </w:r>
            <w:r>
              <w:rPr>
                <w:color w:val="auto"/>
                <w:spacing w:val="8"/>
              </w:rPr>
              <w:t>投标人未提供配送服务方案，或方案要点严重缺失，无法体现对项目需求的理解</w:t>
            </w:r>
            <w:r>
              <w:rPr>
                <w:rFonts w:hint="eastAsia"/>
                <w:color w:val="auto"/>
                <w:spacing w:val="8"/>
                <w:lang w:eastAsia="zh-CN"/>
              </w:rPr>
              <w:t>；</w:t>
            </w:r>
          </w:p>
          <w:p w14:paraId="030FF5C3">
            <w:pPr>
              <w:pStyle w:val="18"/>
              <w:spacing w:before="1" w:line="461" w:lineRule="auto"/>
              <w:ind w:left="113" w:right="108" w:firstLine="424"/>
              <w:jc w:val="both"/>
              <w:rPr>
                <w:rFonts w:hint="eastAsia" w:eastAsia="宋体"/>
                <w:color w:val="auto"/>
                <w:lang w:eastAsia="zh-CN"/>
              </w:rPr>
            </w:pPr>
            <w:r>
              <w:rPr>
                <w:color w:val="auto"/>
                <w:spacing w:val="8"/>
              </w:rPr>
              <w:t>二档（</w:t>
            </w:r>
            <w:r>
              <w:rPr>
                <w:rFonts w:hint="eastAsia"/>
                <w:color w:val="auto"/>
                <w:spacing w:val="8"/>
                <w:lang w:val="en-US" w:eastAsia="zh-CN"/>
              </w:rPr>
              <w:t>2</w:t>
            </w:r>
            <w:r>
              <w:rPr>
                <w:color w:val="auto"/>
                <w:spacing w:val="-35"/>
              </w:rPr>
              <w:t xml:space="preserve"> </w:t>
            </w:r>
            <w:r>
              <w:rPr>
                <w:color w:val="auto"/>
                <w:spacing w:val="8"/>
              </w:rPr>
              <w:t>分</w:t>
            </w:r>
            <w:r>
              <w:rPr>
                <w:color w:val="auto"/>
                <w:spacing w:val="16"/>
              </w:rPr>
              <w:t>）：</w:t>
            </w:r>
            <w:r>
              <w:rPr>
                <w:color w:val="auto"/>
                <w:spacing w:val="8"/>
              </w:rPr>
              <w:t>配送服务方案在对食堂食材配送的熟悉程</w:t>
            </w:r>
            <w:r>
              <w:rPr>
                <w:color w:val="auto"/>
                <w:spacing w:val="7"/>
              </w:rPr>
              <w:t>度、经营理念、经营措施和计划可行性和应急预案等方面均有</w:t>
            </w:r>
            <w:r>
              <w:rPr>
                <w:color w:val="auto"/>
                <w:spacing w:val="9"/>
              </w:rPr>
              <w:t>描述，仅达到采购文件的基本要求，缺乏实质性内容</w:t>
            </w:r>
            <w:r>
              <w:rPr>
                <w:rFonts w:hint="eastAsia"/>
                <w:color w:val="auto"/>
                <w:spacing w:val="9"/>
                <w:lang w:eastAsia="zh-CN"/>
              </w:rPr>
              <w:t>；</w:t>
            </w:r>
          </w:p>
          <w:p w14:paraId="396E2922">
            <w:pPr>
              <w:pStyle w:val="18"/>
              <w:spacing w:before="1" w:line="461" w:lineRule="auto"/>
              <w:ind w:left="113" w:right="108" w:firstLine="420"/>
              <w:rPr>
                <w:rFonts w:hint="eastAsia" w:eastAsia="宋体"/>
                <w:color w:val="auto"/>
                <w:spacing w:val="9"/>
                <w:lang w:eastAsia="zh-CN"/>
              </w:rPr>
            </w:pPr>
            <w:r>
              <w:rPr>
                <w:color w:val="auto"/>
                <w:spacing w:val="6"/>
              </w:rPr>
              <w:t>三档（</w:t>
            </w:r>
            <w:r>
              <w:rPr>
                <w:rFonts w:hint="eastAsia"/>
                <w:color w:val="auto"/>
                <w:spacing w:val="6"/>
                <w:lang w:val="en-US" w:eastAsia="zh-CN"/>
              </w:rPr>
              <w:t>4</w:t>
            </w:r>
            <w:r>
              <w:rPr>
                <w:color w:val="auto"/>
                <w:spacing w:val="-22"/>
              </w:rPr>
              <w:t xml:space="preserve"> </w:t>
            </w:r>
            <w:r>
              <w:rPr>
                <w:color w:val="auto"/>
                <w:spacing w:val="6"/>
              </w:rPr>
              <w:t>分）</w:t>
            </w:r>
            <w:r>
              <w:rPr>
                <w:color w:val="auto"/>
                <w:spacing w:val="-50"/>
              </w:rPr>
              <w:t xml:space="preserve"> </w:t>
            </w:r>
            <w:r>
              <w:rPr>
                <w:color w:val="auto"/>
                <w:spacing w:val="6"/>
              </w:rPr>
              <w:t>: 配送服务方案在对食堂食材配送的熟悉程</w:t>
            </w:r>
            <w:r>
              <w:rPr>
                <w:color w:val="auto"/>
                <w:spacing w:val="7"/>
              </w:rPr>
              <w:t>度、经营理念、经营措施和计划可行性和应急预案等方面描述</w:t>
            </w:r>
            <w:r>
              <w:rPr>
                <w:color w:val="auto"/>
                <w:spacing w:val="9"/>
              </w:rPr>
              <w:t>清晰、全面、详细，表明投标人具备基本的配送服务能力</w:t>
            </w:r>
            <w:r>
              <w:rPr>
                <w:rFonts w:hint="eastAsia"/>
                <w:color w:val="auto"/>
                <w:spacing w:val="9"/>
                <w:lang w:eastAsia="zh-CN"/>
              </w:rPr>
              <w:t>；</w:t>
            </w:r>
          </w:p>
          <w:p w14:paraId="31B9C223">
            <w:pPr>
              <w:pStyle w:val="18"/>
              <w:spacing w:before="1" w:line="461" w:lineRule="auto"/>
              <w:ind w:left="113" w:right="108" w:firstLine="420"/>
              <w:rPr>
                <w:rFonts w:hint="eastAsia"/>
                <w:color w:val="auto"/>
                <w:spacing w:val="3"/>
                <w:lang w:eastAsia="zh-CN"/>
              </w:rPr>
            </w:pPr>
            <w:r>
              <w:rPr>
                <w:color w:val="auto"/>
                <w:spacing w:val="6"/>
              </w:rPr>
              <w:t>四档（</w:t>
            </w:r>
            <w:r>
              <w:rPr>
                <w:rFonts w:hint="eastAsia"/>
                <w:color w:val="auto"/>
                <w:spacing w:val="6"/>
                <w:lang w:val="en-US" w:eastAsia="zh-CN"/>
              </w:rPr>
              <w:t>6</w:t>
            </w:r>
            <w:r>
              <w:rPr>
                <w:color w:val="auto"/>
                <w:spacing w:val="6"/>
              </w:rPr>
              <w:t>分）</w:t>
            </w:r>
            <w:r>
              <w:rPr>
                <w:color w:val="auto"/>
                <w:spacing w:val="-50"/>
              </w:rPr>
              <w:t xml:space="preserve"> </w:t>
            </w:r>
            <w:r>
              <w:rPr>
                <w:color w:val="auto"/>
                <w:spacing w:val="6"/>
              </w:rPr>
              <w:t>: 配送服务方案在以下方面描述清</w:t>
            </w:r>
            <w:r>
              <w:rPr>
                <w:color w:val="auto"/>
                <w:spacing w:val="5"/>
              </w:rPr>
              <w:t>晰明确、</w:t>
            </w:r>
            <w:r>
              <w:rPr>
                <w:color w:val="auto"/>
                <w:spacing w:val="7"/>
              </w:rPr>
              <w:t>全面系统、详细具体，并包含具体的供货流程：1.对食堂食材配送的熟悉程度：方案能准确识别医院食堂配送的特殊性，如</w:t>
            </w:r>
            <w:r>
              <w:rPr>
                <w:color w:val="auto"/>
                <w:spacing w:val="8"/>
              </w:rPr>
              <w:t>收货时间紧、品类繁多、对食品安全要</w:t>
            </w:r>
            <w:r>
              <w:rPr>
                <w:color w:val="auto"/>
                <w:spacing w:val="11"/>
              </w:rPr>
              <w:t>求极高、紧急订单多等，并提出针对性的应对策略。2.</w:t>
            </w:r>
            <w:r>
              <w:rPr>
                <w:color w:val="auto"/>
                <w:spacing w:val="10"/>
              </w:rPr>
              <w:t xml:space="preserve"> 经营</w:t>
            </w:r>
            <w:r>
              <w:rPr>
                <w:color w:val="auto"/>
                <w:spacing w:val="6"/>
              </w:rPr>
              <w:t>理念与经营措施：提出以“安全、准时、新鲜</w:t>
            </w:r>
            <w:r>
              <w:rPr>
                <w:color w:val="auto"/>
                <w:spacing w:val="-57"/>
              </w:rPr>
              <w:t xml:space="preserve"> </w:t>
            </w:r>
            <w:r>
              <w:rPr>
                <w:color w:val="auto"/>
                <w:spacing w:val="6"/>
              </w:rPr>
              <w:t>”为核心的服务</w:t>
            </w:r>
            <w:r>
              <w:rPr>
                <w:color w:val="auto"/>
                <w:spacing w:val="7"/>
              </w:rPr>
              <w:t>理念，并有具体的保障措施，如设立专门的医院配送团队、优</w:t>
            </w:r>
            <w:r>
              <w:rPr>
                <w:color w:val="auto"/>
                <w:spacing w:val="11"/>
              </w:rPr>
              <w:t>化采购和分拣流程。3. 计划可行性：制定详细的每日配送计</w:t>
            </w:r>
            <w:r>
              <w:rPr>
                <w:color w:val="auto"/>
                <w:spacing w:val="7"/>
              </w:rPr>
              <w:t>划，包括从接单、备货、分拣、装车、运输到验收的全流程时</w:t>
            </w:r>
            <w:r>
              <w:rPr>
                <w:color w:val="auto"/>
                <w:spacing w:val="3"/>
              </w:rPr>
              <w:t>间表，确保能</w:t>
            </w:r>
            <w:r>
              <w:rPr>
                <w:color w:val="auto"/>
                <w:spacing w:val="-24"/>
              </w:rPr>
              <w:t xml:space="preserve"> </w:t>
            </w:r>
            <w:r>
              <w:rPr>
                <w:color w:val="auto"/>
                <w:spacing w:val="3"/>
              </w:rPr>
              <w:t>100%满足各包件的送货时间要</w:t>
            </w:r>
            <w:r>
              <w:rPr>
                <w:color w:val="auto"/>
                <w:spacing w:val="2"/>
              </w:rPr>
              <w:t>求</w:t>
            </w:r>
            <w:r>
              <w:rPr>
                <w:color w:val="auto"/>
                <w:spacing w:val="8"/>
              </w:rPr>
              <w:t>。4. 应急预案：针对交通堵塞、车辆故障、恶</w:t>
            </w:r>
            <w:r>
              <w:rPr>
                <w:color w:val="auto"/>
                <w:spacing w:val="10"/>
              </w:rPr>
              <w:t>劣天气、紧急加单等常见突发情况，制定了详尽</w:t>
            </w:r>
            <w:r>
              <w:rPr>
                <w:color w:val="auto"/>
                <w:spacing w:val="9"/>
              </w:rPr>
              <w:t>的应急预案，</w:t>
            </w:r>
            <w:r>
              <w:rPr>
                <w:color w:val="auto"/>
                <w:spacing w:val="7"/>
              </w:rPr>
              <w:t>包括备用运输车辆、备用路线、紧急联络机制等，确保服务不</w:t>
            </w:r>
            <w:r>
              <w:rPr>
                <w:color w:val="auto"/>
                <w:spacing w:val="3"/>
              </w:rPr>
              <w:t>中断</w:t>
            </w:r>
            <w:r>
              <w:rPr>
                <w:rFonts w:hint="eastAsia"/>
                <w:color w:val="auto"/>
                <w:spacing w:val="3"/>
                <w:lang w:eastAsia="zh-CN"/>
              </w:rPr>
              <w:t>；</w:t>
            </w:r>
          </w:p>
          <w:p w14:paraId="236D5FA1">
            <w:pPr>
              <w:pStyle w:val="18"/>
              <w:spacing w:before="1" w:line="461" w:lineRule="auto"/>
              <w:ind w:left="113" w:right="108" w:firstLine="420"/>
              <w:rPr>
                <w:color w:val="auto"/>
                <w:spacing w:val="6"/>
              </w:rPr>
            </w:pPr>
            <w:r>
              <w:rPr>
                <w:color w:val="auto"/>
                <w:spacing w:val="7"/>
              </w:rPr>
              <w:t>五档（</w:t>
            </w:r>
            <w:r>
              <w:rPr>
                <w:rFonts w:hint="eastAsia"/>
                <w:color w:val="auto"/>
                <w:spacing w:val="7"/>
                <w:lang w:val="en-US" w:eastAsia="zh-CN"/>
              </w:rPr>
              <w:t>8</w:t>
            </w:r>
            <w:r>
              <w:rPr>
                <w:color w:val="auto"/>
                <w:spacing w:val="7"/>
              </w:rPr>
              <w:t>分）: 在四档基础上，方案的配送</w:t>
            </w:r>
            <w:r>
              <w:rPr>
                <w:color w:val="auto"/>
                <w:spacing w:val="6"/>
              </w:rPr>
              <w:t>及实施进度安</w:t>
            </w:r>
            <w:r>
              <w:rPr>
                <w:color w:val="auto"/>
                <w:spacing w:val="9"/>
              </w:rPr>
              <w:t>排合理，并体现服务能力：1.提出利用信息化手段（如</w:t>
            </w:r>
            <w:r>
              <w:rPr>
                <w:color w:val="auto"/>
                <w:spacing w:val="-27"/>
              </w:rPr>
              <w:t xml:space="preserve"> </w:t>
            </w:r>
            <w:r>
              <w:rPr>
                <w:color w:val="auto"/>
              </w:rPr>
              <w:t>APP</w:t>
            </w:r>
            <w:r>
              <w:rPr>
                <w:color w:val="auto"/>
                <w:spacing w:val="9"/>
              </w:rPr>
              <w:t>、</w:t>
            </w:r>
            <w:r>
              <w:rPr>
                <w:color w:val="auto"/>
                <w:spacing w:val="7"/>
              </w:rPr>
              <w:t>微信群）实现订单、库存、运输状态的实时共享，提升与采购人的沟通效率。2.配送车辆配备</w:t>
            </w:r>
            <w:r>
              <w:rPr>
                <w:color w:val="auto"/>
                <w:spacing w:val="-35"/>
              </w:rPr>
              <w:t xml:space="preserve"> </w:t>
            </w:r>
            <w:r>
              <w:rPr>
                <w:color w:val="auto"/>
              </w:rPr>
              <w:t>GPS</w:t>
            </w:r>
            <w:r>
              <w:rPr>
                <w:color w:val="auto"/>
                <w:spacing w:val="-40"/>
              </w:rPr>
              <w:t xml:space="preserve"> </w:t>
            </w:r>
            <w:r>
              <w:rPr>
                <w:color w:val="auto"/>
                <w:spacing w:val="7"/>
              </w:rPr>
              <w:t>监控系统，并承诺实时向采购人开放位置信息，确保配送过程透明化。3.对于紧急订单（如临时加餐</w:t>
            </w:r>
            <w:r>
              <w:rPr>
                <w:color w:val="auto"/>
              </w:rPr>
              <w:t>），</w:t>
            </w:r>
            <w:r>
              <w:rPr>
                <w:color w:val="auto"/>
                <w:spacing w:val="7"/>
              </w:rPr>
              <w:t>承诺在</w:t>
            </w:r>
            <w:r>
              <w:rPr>
                <w:color w:val="auto"/>
                <w:spacing w:val="-35"/>
              </w:rPr>
              <w:t xml:space="preserve"> </w:t>
            </w:r>
            <w:r>
              <w:rPr>
                <w:color w:val="auto"/>
                <w:spacing w:val="7"/>
              </w:rPr>
              <w:t>2</w:t>
            </w:r>
            <w:r>
              <w:rPr>
                <w:color w:val="auto"/>
                <w:spacing w:val="-33"/>
              </w:rPr>
              <w:t xml:space="preserve"> </w:t>
            </w:r>
            <w:r>
              <w:rPr>
                <w:color w:val="auto"/>
                <w:spacing w:val="7"/>
              </w:rPr>
              <w:t>小时内完成响应和送达，远超一般要求。4.方案不仅满足要求，更能预见潜在问题并提供优化建</w:t>
            </w:r>
            <w:r>
              <w:rPr>
                <w:color w:val="auto"/>
                <w:spacing w:val="9"/>
              </w:rPr>
              <w:t>议，整体方案能为医院食堂提供超出预期的服务。</w:t>
            </w:r>
          </w:p>
        </w:tc>
      </w:tr>
    </w:tbl>
    <w:p w14:paraId="39A32693">
      <w:pPr>
        <w:spacing w:line="132" w:lineRule="exact"/>
        <w:rPr>
          <w:rFonts w:ascii="Arial"/>
          <w:color w:val="auto"/>
          <w:sz w:val="11"/>
        </w:rPr>
      </w:pPr>
    </w:p>
    <w:tbl>
      <w:tblPr>
        <w:tblStyle w:val="19"/>
        <w:tblW w:w="100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1710"/>
        <w:gridCol w:w="1904"/>
        <w:gridCol w:w="5836"/>
      </w:tblGrid>
      <w:tr w14:paraId="3310B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66" w:type="dxa"/>
            <w:tcBorders>
              <w:top w:val="nil"/>
            </w:tcBorders>
            <w:noWrap w:val="0"/>
            <w:vAlign w:val="top"/>
          </w:tcPr>
          <w:p w14:paraId="2A3F0D70">
            <w:pPr>
              <w:rPr>
                <w:rFonts w:ascii="Arial"/>
                <w:color w:val="auto"/>
                <w:sz w:val="21"/>
              </w:rPr>
            </w:pPr>
          </w:p>
        </w:tc>
        <w:tc>
          <w:tcPr>
            <w:tcW w:w="1710" w:type="dxa"/>
            <w:tcBorders>
              <w:top w:val="nil"/>
            </w:tcBorders>
            <w:noWrap w:val="0"/>
            <w:vAlign w:val="top"/>
          </w:tcPr>
          <w:p w14:paraId="02112ADF">
            <w:pPr>
              <w:rPr>
                <w:rFonts w:ascii="Arial"/>
                <w:color w:val="auto"/>
                <w:sz w:val="21"/>
              </w:rPr>
            </w:pPr>
          </w:p>
        </w:tc>
        <w:tc>
          <w:tcPr>
            <w:tcW w:w="1904" w:type="dxa"/>
            <w:noWrap w:val="0"/>
            <w:vAlign w:val="top"/>
          </w:tcPr>
          <w:p w14:paraId="2E905E68">
            <w:pPr>
              <w:spacing w:line="271" w:lineRule="auto"/>
              <w:rPr>
                <w:rFonts w:ascii="Arial"/>
                <w:color w:val="auto"/>
                <w:sz w:val="21"/>
              </w:rPr>
            </w:pPr>
          </w:p>
          <w:p w14:paraId="3EC1051C">
            <w:pPr>
              <w:spacing w:line="271" w:lineRule="auto"/>
              <w:rPr>
                <w:rFonts w:ascii="Arial"/>
                <w:color w:val="auto"/>
                <w:sz w:val="21"/>
              </w:rPr>
            </w:pPr>
          </w:p>
          <w:p w14:paraId="57A16C68">
            <w:pPr>
              <w:spacing w:line="271" w:lineRule="auto"/>
              <w:rPr>
                <w:rFonts w:ascii="Arial"/>
                <w:color w:val="auto"/>
                <w:sz w:val="21"/>
              </w:rPr>
            </w:pPr>
          </w:p>
          <w:p w14:paraId="2BFD67E3">
            <w:pPr>
              <w:spacing w:line="271" w:lineRule="auto"/>
              <w:rPr>
                <w:rFonts w:ascii="Arial"/>
                <w:color w:val="auto"/>
                <w:sz w:val="21"/>
              </w:rPr>
            </w:pPr>
          </w:p>
          <w:p w14:paraId="2F448373">
            <w:pPr>
              <w:spacing w:line="271" w:lineRule="auto"/>
              <w:rPr>
                <w:rFonts w:ascii="Arial"/>
                <w:color w:val="auto"/>
                <w:sz w:val="21"/>
              </w:rPr>
            </w:pPr>
          </w:p>
          <w:p w14:paraId="6EA49E31">
            <w:pPr>
              <w:spacing w:line="271" w:lineRule="auto"/>
              <w:rPr>
                <w:rFonts w:ascii="Arial"/>
                <w:color w:val="auto"/>
                <w:sz w:val="21"/>
              </w:rPr>
            </w:pPr>
          </w:p>
          <w:p w14:paraId="5C33615E">
            <w:pPr>
              <w:spacing w:line="272" w:lineRule="auto"/>
              <w:rPr>
                <w:rFonts w:ascii="Arial"/>
                <w:b/>
                <w:bCs/>
                <w:color w:val="auto"/>
                <w:sz w:val="21"/>
              </w:rPr>
            </w:pPr>
          </w:p>
          <w:p w14:paraId="2D71E92B">
            <w:pPr>
              <w:pStyle w:val="18"/>
              <w:spacing w:before="65" w:line="462" w:lineRule="auto"/>
              <w:ind w:left="335" w:right="268" w:hanging="50"/>
              <w:rPr>
                <w:color w:val="auto"/>
              </w:rPr>
            </w:pPr>
            <w:r>
              <w:rPr>
                <w:b/>
                <w:bCs/>
                <w:color w:val="auto"/>
                <w:spacing w:val="6"/>
              </w:rPr>
              <w:t>（2）服务承诺</w:t>
            </w:r>
            <w:r>
              <w:rPr>
                <w:b/>
                <w:bCs/>
                <w:color w:val="auto"/>
              </w:rPr>
              <w:t>（满分</w:t>
            </w:r>
            <w:r>
              <w:rPr>
                <w:b/>
                <w:bCs/>
                <w:color w:val="auto"/>
                <w:spacing w:val="-35"/>
              </w:rPr>
              <w:t xml:space="preserve"> </w:t>
            </w:r>
            <w:r>
              <w:rPr>
                <w:b/>
                <w:bCs/>
                <w:color w:val="auto"/>
              </w:rPr>
              <w:t>8</w:t>
            </w:r>
            <w:r>
              <w:rPr>
                <w:b/>
                <w:bCs/>
                <w:color w:val="auto"/>
                <w:spacing w:val="-36"/>
              </w:rPr>
              <w:t xml:space="preserve"> </w:t>
            </w:r>
            <w:r>
              <w:rPr>
                <w:b/>
                <w:bCs/>
                <w:color w:val="auto"/>
              </w:rPr>
              <w:t>分）</w:t>
            </w:r>
          </w:p>
        </w:tc>
        <w:tc>
          <w:tcPr>
            <w:tcW w:w="5836" w:type="dxa"/>
            <w:noWrap w:val="0"/>
            <w:vAlign w:val="top"/>
          </w:tcPr>
          <w:p w14:paraId="4EAC4CC7">
            <w:pPr>
              <w:pStyle w:val="18"/>
              <w:spacing w:before="1" w:line="461" w:lineRule="auto"/>
              <w:ind w:left="113" w:right="108" w:firstLine="420"/>
              <w:rPr>
                <w:rFonts w:hint="eastAsia"/>
                <w:color w:val="auto"/>
                <w:spacing w:val="8"/>
                <w:lang w:eastAsia="zh-CN"/>
              </w:rPr>
            </w:pPr>
            <w:r>
              <w:rPr>
                <w:color w:val="auto"/>
                <w:spacing w:val="8"/>
              </w:rPr>
              <w:t>一档 (2分)：结合本项目特点、要求，只进行普通响应性售后服务，有承诺和针对性，但无可操作性</w:t>
            </w:r>
            <w:r>
              <w:rPr>
                <w:rFonts w:hint="eastAsia"/>
                <w:color w:val="auto"/>
                <w:spacing w:val="8"/>
                <w:lang w:eastAsia="zh-CN"/>
              </w:rPr>
              <w:t>；</w:t>
            </w:r>
          </w:p>
          <w:p w14:paraId="17E604F7">
            <w:pPr>
              <w:pStyle w:val="18"/>
              <w:spacing w:before="1" w:line="461" w:lineRule="auto"/>
              <w:ind w:left="113" w:right="108" w:firstLine="420"/>
              <w:rPr>
                <w:rFonts w:hint="eastAsia"/>
                <w:color w:val="auto"/>
                <w:spacing w:val="8"/>
                <w:lang w:eastAsia="zh-CN"/>
              </w:rPr>
            </w:pPr>
            <w:r>
              <w:rPr>
                <w:color w:val="auto"/>
                <w:spacing w:val="8"/>
              </w:rPr>
              <w:t>二档（4 分）：结合本项目特点、要求，在人员方面有基本的岗前培训等，出现情况协助处理方案不详细，服务承诺包括时效、安全、源头稳定、质量等方面的承诺，方案具有针对性</w:t>
            </w:r>
            <w:r>
              <w:rPr>
                <w:rFonts w:hint="eastAsia"/>
                <w:color w:val="auto"/>
                <w:spacing w:val="8"/>
                <w:lang w:eastAsia="zh-CN"/>
              </w:rPr>
              <w:t>；</w:t>
            </w:r>
          </w:p>
          <w:p w14:paraId="7B3A6B5A">
            <w:pPr>
              <w:pStyle w:val="18"/>
              <w:spacing w:before="1" w:line="461" w:lineRule="auto"/>
              <w:ind w:left="113" w:right="108" w:firstLine="420"/>
              <w:rPr>
                <w:color w:val="auto"/>
              </w:rPr>
            </w:pPr>
            <w:r>
              <w:rPr>
                <w:color w:val="auto"/>
                <w:spacing w:val="8"/>
              </w:rPr>
              <w:t>三档 (6 分)：结合本项目特点、要求，在人员方面有专业的岗前培训等，出现情况协助处理方案详细， 服务承诺包括时效、安全、源头稳定、质量、责任追究、安全与质量赔付等方面的承诺，方案具有针对性和适用性，承诺设立专门</w:t>
            </w:r>
            <w:r>
              <w:rPr>
                <w:color w:val="auto"/>
                <w:spacing w:val="9"/>
              </w:rPr>
              <w:t>的</w:t>
            </w:r>
            <w:r>
              <w:rPr>
                <w:color w:val="auto"/>
                <w:spacing w:val="7"/>
              </w:rPr>
              <w:t>售后服务人员。</w:t>
            </w:r>
          </w:p>
        </w:tc>
      </w:tr>
      <w:tr w14:paraId="6FA57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5" w:hRule="atLeast"/>
        </w:trPr>
        <w:tc>
          <w:tcPr>
            <w:tcW w:w="566" w:type="dxa"/>
            <w:noWrap w:val="0"/>
            <w:vAlign w:val="top"/>
          </w:tcPr>
          <w:p w14:paraId="1458AAAC">
            <w:pPr>
              <w:rPr>
                <w:rFonts w:ascii="Arial"/>
                <w:color w:val="auto"/>
                <w:sz w:val="21"/>
              </w:rPr>
            </w:pPr>
          </w:p>
        </w:tc>
        <w:tc>
          <w:tcPr>
            <w:tcW w:w="1710" w:type="dxa"/>
            <w:noWrap w:val="0"/>
            <w:vAlign w:val="top"/>
          </w:tcPr>
          <w:p w14:paraId="15705C3F">
            <w:pPr>
              <w:rPr>
                <w:rFonts w:ascii="Arial"/>
                <w:color w:val="auto"/>
                <w:sz w:val="21"/>
              </w:rPr>
            </w:pPr>
          </w:p>
        </w:tc>
        <w:tc>
          <w:tcPr>
            <w:tcW w:w="1904" w:type="dxa"/>
            <w:noWrap w:val="0"/>
            <w:vAlign w:val="top"/>
          </w:tcPr>
          <w:p w14:paraId="45489B13">
            <w:pPr>
              <w:rPr>
                <w:rFonts w:ascii="Arial"/>
                <w:color w:val="auto"/>
                <w:sz w:val="21"/>
              </w:rPr>
            </w:pPr>
          </w:p>
        </w:tc>
        <w:tc>
          <w:tcPr>
            <w:tcW w:w="5836" w:type="dxa"/>
            <w:noWrap w:val="0"/>
            <w:vAlign w:val="top"/>
          </w:tcPr>
          <w:p w14:paraId="1C9D12CF">
            <w:pPr>
              <w:pStyle w:val="18"/>
              <w:spacing w:before="3" w:line="426" w:lineRule="auto"/>
              <w:ind w:right="267" w:firstLine="420" w:firstLineChars="200"/>
              <w:jc w:val="both"/>
              <w:rPr>
                <w:color w:val="auto"/>
              </w:rPr>
            </w:pPr>
            <w:r>
              <w:rPr>
                <w:color w:val="auto"/>
                <w:spacing w:val="5"/>
              </w:rPr>
              <w:t>四档</w:t>
            </w:r>
            <w:r>
              <w:rPr>
                <w:color w:val="auto"/>
                <w:spacing w:val="68"/>
              </w:rPr>
              <w:t xml:space="preserve"> </w:t>
            </w:r>
            <w:r>
              <w:rPr>
                <w:color w:val="auto"/>
                <w:spacing w:val="5"/>
              </w:rPr>
              <w:t>(8</w:t>
            </w:r>
            <w:r>
              <w:rPr>
                <w:color w:val="auto"/>
                <w:spacing w:val="-38"/>
              </w:rPr>
              <w:t xml:space="preserve"> </w:t>
            </w:r>
            <w:r>
              <w:rPr>
                <w:color w:val="auto"/>
                <w:spacing w:val="5"/>
              </w:rPr>
              <w:t>分)：结合本项目特点、要求，售后服务方案</w:t>
            </w:r>
            <w:r>
              <w:rPr>
                <w:color w:val="auto"/>
                <w:spacing w:val="9"/>
              </w:rPr>
              <w:t>具体详细，包括时效、安全、源头稳定、质量、退换货、责任追究、安全与质量赔偿、企业质量、安全、教育、环境责任及为配送员工购买意外险承诺，方案具有针对性和可操作性，承诺安排专门的售后服务人员负责售后服务工作，并提</w:t>
            </w:r>
            <w:r>
              <w:rPr>
                <w:color w:val="auto"/>
                <w:spacing w:val="8"/>
              </w:rPr>
              <w:t>供人员身份证、健康证扫描件及联系方式。</w:t>
            </w:r>
          </w:p>
        </w:tc>
      </w:tr>
      <w:tr w14:paraId="4A182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0" w:hRule="atLeast"/>
        </w:trPr>
        <w:tc>
          <w:tcPr>
            <w:tcW w:w="566" w:type="dxa"/>
            <w:noWrap w:val="0"/>
            <w:vAlign w:val="top"/>
          </w:tcPr>
          <w:p w14:paraId="6B56DCF8">
            <w:pPr>
              <w:spacing w:line="243" w:lineRule="auto"/>
              <w:rPr>
                <w:rFonts w:ascii="Arial"/>
                <w:color w:val="auto"/>
                <w:sz w:val="21"/>
              </w:rPr>
            </w:pPr>
          </w:p>
          <w:p w14:paraId="479FF956">
            <w:pPr>
              <w:spacing w:line="243" w:lineRule="auto"/>
              <w:rPr>
                <w:rFonts w:ascii="Arial"/>
                <w:color w:val="auto"/>
                <w:sz w:val="21"/>
              </w:rPr>
            </w:pPr>
          </w:p>
          <w:p w14:paraId="0A747698">
            <w:pPr>
              <w:spacing w:line="243" w:lineRule="auto"/>
              <w:rPr>
                <w:rFonts w:ascii="Arial"/>
                <w:color w:val="auto"/>
                <w:sz w:val="21"/>
              </w:rPr>
            </w:pPr>
          </w:p>
          <w:p w14:paraId="5D214D81">
            <w:pPr>
              <w:spacing w:line="243" w:lineRule="auto"/>
              <w:rPr>
                <w:rFonts w:ascii="Arial"/>
                <w:color w:val="auto"/>
                <w:sz w:val="21"/>
              </w:rPr>
            </w:pPr>
          </w:p>
          <w:p w14:paraId="1B01AB75">
            <w:pPr>
              <w:spacing w:line="244" w:lineRule="auto"/>
              <w:rPr>
                <w:rFonts w:ascii="Arial"/>
                <w:color w:val="auto"/>
                <w:sz w:val="21"/>
              </w:rPr>
            </w:pPr>
          </w:p>
          <w:p w14:paraId="388AC890">
            <w:pPr>
              <w:spacing w:line="244" w:lineRule="auto"/>
              <w:rPr>
                <w:rFonts w:ascii="Arial"/>
                <w:color w:val="auto"/>
                <w:sz w:val="21"/>
              </w:rPr>
            </w:pPr>
          </w:p>
          <w:p w14:paraId="1765DF89">
            <w:pPr>
              <w:spacing w:line="244" w:lineRule="auto"/>
              <w:rPr>
                <w:rFonts w:ascii="Arial"/>
                <w:color w:val="auto"/>
                <w:sz w:val="21"/>
              </w:rPr>
            </w:pPr>
          </w:p>
          <w:p w14:paraId="6C523B58">
            <w:pPr>
              <w:spacing w:line="244" w:lineRule="auto"/>
              <w:rPr>
                <w:rFonts w:ascii="Arial"/>
                <w:color w:val="auto"/>
                <w:sz w:val="21"/>
              </w:rPr>
            </w:pPr>
          </w:p>
          <w:p w14:paraId="707B0581">
            <w:pPr>
              <w:spacing w:line="244" w:lineRule="auto"/>
              <w:rPr>
                <w:rFonts w:ascii="Arial"/>
                <w:color w:val="auto"/>
                <w:sz w:val="21"/>
              </w:rPr>
            </w:pPr>
          </w:p>
          <w:p w14:paraId="63AA8AA9">
            <w:pPr>
              <w:spacing w:line="244" w:lineRule="auto"/>
              <w:rPr>
                <w:rFonts w:ascii="Arial"/>
                <w:color w:val="auto"/>
                <w:sz w:val="21"/>
              </w:rPr>
            </w:pPr>
          </w:p>
          <w:p w14:paraId="2CAD3DDF">
            <w:pPr>
              <w:spacing w:line="244" w:lineRule="auto"/>
              <w:rPr>
                <w:rFonts w:ascii="Arial"/>
                <w:color w:val="auto"/>
                <w:sz w:val="21"/>
              </w:rPr>
            </w:pPr>
          </w:p>
          <w:p w14:paraId="0BC10539">
            <w:pPr>
              <w:spacing w:line="244" w:lineRule="auto"/>
              <w:rPr>
                <w:rFonts w:ascii="Arial"/>
                <w:color w:val="auto"/>
                <w:sz w:val="21"/>
              </w:rPr>
            </w:pPr>
          </w:p>
          <w:p w14:paraId="0D9FD526">
            <w:pPr>
              <w:spacing w:line="244" w:lineRule="auto"/>
              <w:rPr>
                <w:rFonts w:ascii="Arial"/>
                <w:color w:val="auto"/>
                <w:sz w:val="21"/>
              </w:rPr>
            </w:pPr>
          </w:p>
          <w:p w14:paraId="02E44E94">
            <w:pPr>
              <w:spacing w:line="244" w:lineRule="auto"/>
              <w:rPr>
                <w:rFonts w:ascii="Arial"/>
                <w:color w:val="auto"/>
                <w:sz w:val="21"/>
              </w:rPr>
            </w:pPr>
          </w:p>
          <w:p w14:paraId="58CEB0D8">
            <w:pPr>
              <w:spacing w:line="244" w:lineRule="auto"/>
              <w:rPr>
                <w:rFonts w:ascii="Arial"/>
                <w:color w:val="auto"/>
                <w:sz w:val="21"/>
              </w:rPr>
            </w:pPr>
          </w:p>
          <w:p w14:paraId="6720EB50">
            <w:pPr>
              <w:spacing w:line="244" w:lineRule="auto"/>
              <w:rPr>
                <w:rFonts w:ascii="Arial"/>
                <w:color w:val="auto"/>
                <w:sz w:val="21"/>
              </w:rPr>
            </w:pPr>
          </w:p>
          <w:p w14:paraId="45BE52A0">
            <w:pPr>
              <w:spacing w:line="244" w:lineRule="auto"/>
              <w:rPr>
                <w:rFonts w:ascii="Arial"/>
                <w:color w:val="auto"/>
                <w:sz w:val="21"/>
              </w:rPr>
            </w:pPr>
          </w:p>
          <w:p w14:paraId="501C7E72">
            <w:pPr>
              <w:spacing w:line="244" w:lineRule="auto"/>
              <w:rPr>
                <w:rFonts w:ascii="Arial"/>
                <w:color w:val="auto"/>
                <w:sz w:val="21"/>
              </w:rPr>
            </w:pPr>
          </w:p>
          <w:p w14:paraId="242E6AEE">
            <w:pPr>
              <w:spacing w:line="244" w:lineRule="auto"/>
              <w:rPr>
                <w:rFonts w:ascii="Arial"/>
                <w:color w:val="auto"/>
                <w:sz w:val="21"/>
              </w:rPr>
            </w:pPr>
          </w:p>
          <w:p w14:paraId="0C736017">
            <w:pPr>
              <w:spacing w:line="244" w:lineRule="auto"/>
              <w:rPr>
                <w:rFonts w:ascii="Arial"/>
                <w:color w:val="auto"/>
                <w:sz w:val="21"/>
              </w:rPr>
            </w:pPr>
          </w:p>
          <w:p w14:paraId="72801BCD">
            <w:pPr>
              <w:pStyle w:val="18"/>
              <w:spacing w:before="65" w:line="269" w:lineRule="exact"/>
              <w:ind w:left="239"/>
              <w:rPr>
                <w:color w:val="auto"/>
              </w:rPr>
            </w:pPr>
            <w:r>
              <w:rPr>
                <w:color w:val="auto"/>
                <w:position w:val="1"/>
              </w:rPr>
              <w:t>3</w:t>
            </w:r>
          </w:p>
        </w:tc>
        <w:tc>
          <w:tcPr>
            <w:tcW w:w="1710" w:type="dxa"/>
            <w:noWrap w:val="0"/>
            <w:vAlign w:val="top"/>
          </w:tcPr>
          <w:p w14:paraId="37E5A12C">
            <w:pPr>
              <w:spacing w:line="243" w:lineRule="auto"/>
              <w:rPr>
                <w:rFonts w:ascii="Arial"/>
                <w:b/>
                <w:bCs/>
                <w:color w:val="auto"/>
                <w:sz w:val="21"/>
              </w:rPr>
            </w:pPr>
          </w:p>
          <w:p w14:paraId="406F259A">
            <w:pPr>
              <w:spacing w:line="243" w:lineRule="auto"/>
              <w:rPr>
                <w:rFonts w:ascii="Arial"/>
                <w:b/>
                <w:bCs/>
                <w:color w:val="auto"/>
                <w:sz w:val="21"/>
              </w:rPr>
            </w:pPr>
          </w:p>
          <w:p w14:paraId="200E9247">
            <w:pPr>
              <w:spacing w:line="243" w:lineRule="auto"/>
              <w:rPr>
                <w:rFonts w:ascii="Arial"/>
                <w:b/>
                <w:bCs/>
                <w:color w:val="auto"/>
                <w:sz w:val="21"/>
              </w:rPr>
            </w:pPr>
          </w:p>
          <w:p w14:paraId="05C37974">
            <w:pPr>
              <w:spacing w:line="243" w:lineRule="auto"/>
              <w:rPr>
                <w:rFonts w:ascii="Arial"/>
                <w:b/>
                <w:bCs/>
                <w:color w:val="auto"/>
                <w:sz w:val="21"/>
              </w:rPr>
            </w:pPr>
          </w:p>
          <w:p w14:paraId="351FEEE5">
            <w:pPr>
              <w:spacing w:line="243" w:lineRule="auto"/>
              <w:rPr>
                <w:rFonts w:ascii="Arial"/>
                <w:b/>
                <w:bCs/>
                <w:color w:val="auto"/>
                <w:sz w:val="21"/>
              </w:rPr>
            </w:pPr>
          </w:p>
          <w:p w14:paraId="1F0BA3E5">
            <w:pPr>
              <w:spacing w:line="243" w:lineRule="auto"/>
              <w:rPr>
                <w:rFonts w:ascii="Arial"/>
                <w:b/>
                <w:bCs/>
                <w:color w:val="auto"/>
                <w:sz w:val="21"/>
              </w:rPr>
            </w:pPr>
          </w:p>
          <w:p w14:paraId="1408BE57">
            <w:pPr>
              <w:spacing w:line="243" w:lineRule="auto"/>
              <w:rPr>
                <w:rFonts w:ascii="Arial"/>
                <w:b/>
                <w:bCs/>
                <w:color w:val="auto"/>
                <w:sz w:val="21"/>
              </w:rPr>
            </w:pPr>
          </w:p>
          <w:p w14:paraId="273B4FF1">
            <w:pPr>
              <w:spacing w:line="243" w:lineRule="auto"/>
              <w:rPr>
                <w:rFonts w:ascii="Arial"/>
                <w:b/>
                <w:bCs/>
                <w:color w:val="auto"/>
                <w:sz w:val="21"/>
              </w:rPr>
            </w:pPr>
          </w:p>
          <w:p w14:paraId="670845CD">
            <w:pPr>
              <w:spacing w:line="244" w:lineRule="auto"/>
              <w:rPr>
                <w:rFonts w:ascii="Arial"/>
                <w:b/>
                <w:bCs/>
                <w:color w:val="auto"/>
                <w:sz w:val="21"/>
              </w:rPr>
            </w:pPr>
          </w:p>
          <w:p w14:paraId="5022B381">
            <w:pPr>
              <w:spacing w:line="244" w:lineRule="auto"/>
              <w:rPr>
                <w:rFonts w:ascii="Arial"/>
                <w:b/>
                <w:bCs/>
                <w:color w:val="auto"/>
                <w:sz w:val="21"/>
              </w:rPr>
            </w:pPr>
          </w:p>
          <w:p w14:paraId="24D2884E">
            <w:pPr>
              <w:spacing w:line="244" w:lineRule="auto"/>
              <w:rPr>
                <w:rFonts w:ascii="Arial"/>
                <w:b/>
                <w:bCs/>
                <w:color w:val="auto"/>
                <w:sz w:val="21"/>
              </w:rPr>
            </w:pPr>
          </w:p>
          <w:p w14:paraId="4D0838A8">
            <w:pPr>
              <w:spacing w:line="244" w:lineRule="auto"/>
              <w:rPr>
                <w:rFonts w:ascii="Arial"/>
                <w:b/>
                <w:bCs/>
                <w:color w:val="auto"/>
                <w:sz w:val="21"/>
              </w:rPr>
            </w:pPr>
          </w:p>
          <w:p w14:paraId="4C4EBA23">
            <w:pPr>
              <w:spacing w:line="244" w:lineRule="auto"/>
              <w:rPr>
                <w:rFonts w:ascii="Arial"/>
                <w:b/>
                <w:bCs/>
                <w:color w:val="auto"/>
                <w:sz w:val="21"/>
              </w:rPr>
            </w:pPr>
          </w:p>
          <w:p w14:paraId="1EFD05B4">
            <w:pPr>
              <w:spacing w:line="244" w:lineRule="auto"/>
              <w:rPr>
                <w:rFonts w:ascii="Arial"/>
                <w:b/>
                <w:bCs/>
                <w:color w:val="auto"/>
                <w:sz w:val="21"/>
              </w:rPr>
            </w:pPr>
          </w:p>
          <w:p w14:paraId="751D334E">
            <w:pPr>
              <w:spacing w:line="244" w:lineRule="auto"/>
              <w:rPr>
                <w:rFonts w:ascii="Arial"/>
                <w:b/>
                <w:bCs/>
                <w:color w:val="auto"/>
                <w:sz w:val="21"/>
              </w:rPr>
            </w:pPr>
          </w:p>
          <w:p w14:paraId="419925E5">
            <w:pPr>
              <w:spacing w:line="244" w:lineRule="auto"/>
              <w:rPr>
                <w:rFonts w:ascii="Arial"/>
                <w:b/>
                <w:bCs/>
                <w:color w:val="auto"/>
                <w:sz w:val="21"/>
              </w:rPr>
            </w:pPr>
          </w:p>
          <w:p w14:paraId="59E8F6BA">
            <w:pPr>
              <w:spacing w:line="244" w:lineRule="auto"/>
              <w:rPr>
                <w:rFonts w:ascii="Arial"/>
                <w:b/>
                <w:bCs/>
                <w:color w:val="auto"/>
                <w:sz w:val="21"/>
              </w:rPr>
            </w:pPr>
          </w:p>
          <w:p w14:paraId="416A4B6D">
            <w:pPr>
              <w:spacing w:line="244" w:lineRule="auto"/>
              <w:rPr>
                <w:rFonts w:ascii="Arial"/>
                <w:b/>
                <w:bCs/>
                <w:color w:val="auto"/>
                <w:sz w:val="21"/>
              </w:rPr>
            </w:pPr>
          </w:p>
          <w:p w14:paraId="5499F9FC">
            <w:pPr>
              <w:spacing w:line="244" w:lineRule="auto"/>
              <w:rPr>
                <w:rFonts w:ascii="Arial"/>
                <w:b/>
                <w:bCs/>
                <w:color w:val="auto"/>
                <w:sz w:val="21"/>
              </w:rPr>
            </w:pPr>
          </w:p>
          <w:p w14:paraId="4A8AA06B">
            <w:pPr>
              <w:pStyle w:val="18"/>
              <w:spacing w:before="65" w:line="228" w:lineRule="auto"/>
              <w:ind w:left="547"/>
              <w:rPr>
                <w:b/>
                <w:bCs/>
                <w:color w:val="auto"/>
              </w:rPr>
            </w:pPr>
            <w:r>
              <w:rPr>
                <w:b/>
                <w:bCs/>
                <w:color w:val="auto"/>
                <w:spacing w:val="5"/>
              </w:rPr>
              <w:t>商务分</w:t>
            </w:r>
          </w:p>
          <w:p w14:paraId="6AD3D366">
            <w:pPr>
              <w:pStyle w:val="18"/>
              <w:spacing w:before="252" w:line="228" w:lineRule="auto"/>
              <w:ind w:left="186"/>
              <w:rPr>
                <w:b/>
                <w:bCs/>
                <w:color w:val="auto"/>
              </w:rPr>
            </w:pPr>
            <w:r>
              <w:rPr>
                <w:b/>
                <w:bCs/>
                <w:color w:val="auto"/>
                <w:spacing w:val="1"/>
              </w:rPr>
              <w:t>（满分</w:t>
            </w:r>
            <w:r>
              <w:rPr>
                <w:rFonts w:hint="eastAsia"/>
                <w:b/>
                <w:bCs/>
                <w:color w:val="auto"/>
                <w:spacing w:val="-37"/>
                <w:lang w:val="en-US" w:eastAsia="zh-CN"/>
              </w:rPr>
              <w:t xml:space="preserve">38  </w:t>
            </w:r>
            <w:r>
              <w:rPr>
                <w:b/>
                <w:bCs/>
                <w:color w:val="auto"/>
                <w:spacing w:val="-35"/>
              </w:rPr>
              <w:t xml:space="preserve"> </w:t>
            </w:r>
            <w:r>
              <w:rPr>
                <w:b/>
                <w:bCs/>
                <w:color w:val="auto"/>
                <w:spacing w:val="1"/>
              </w:rPr>
              <w:t>分）</w:t>
            </w:r>
          </w:p>
        </w:tc>
        <w:tc>
          <w:tcPr>
            <w:tcW w:w="1904" w:type="dxa"/>
            <w:noWrap w:val="0"/>
            <w:vAlign w:val="top"/>
          </w:tcPr>
          <w:p w14:paraId="516C6ECB">
            <w:pPr>
              <w:spacing w:line="243" w:lineRule="auto"/>
              <w:rPr>
                <w:rFonts w:ascii="Arial"/>
                <w:b/>
                <w:bCs/>
                <w:color w:val="auto"/>
                <w:sz w:val="21"/>
              </w:rPr>
            </w:pPr>
          </w:p>
          <w:p w14:paraId="309B1EBA">
            <w:pPr>
              <w:spacing w:line="243" w:lineRule="auto"/>
              <w:rPr>
                <w:rFonts w:ascii="Arial"/>
                <w:b/>
                <w:bCs/>
                <w:color w:val="auto"/>
                <w:sz w:val="21"/>
              </w:rPr>
            </w:pPr>
          </w:p>
          <w:p w14:paraId="113A80AE">
            <w:pPr>
              <w:spacing w:line="243" w:lineRule="auto"/>
              <w:rPr>
                <w:rFonts w:ascii="Arial"/>
                <w:b/>
                <w:bCs/>
                <w:color w:val="auto"/>
                <w:sz w:val="21"/>
              </w:rPr>
            </w:pPr>
          </w:p>
          <w:p w14:paraId="2B0EDFA1">
            <w:pPr>
              <w:spacing w:line="243" w:lineRule="auto"/>
              <w:rPr>
                <w:rFonts w:ascii="Arial"/>
                <w:b/>
                <w:bCs/>
                <w:color w:val="auto"/>
                <w:sz w:val="21"/>
              </w:rPr>
            </w:pPr>
          </w:p>
          <w:p w14:paraId="15B63AE1">
            <w:pPr>
              <w:spacing w:line="243" w:lineRule="auto"/>
              <w:rPr>
                <w:rFonts w:ascii="Arial"/>
                <w:b/>
                <w:bCs/>
                <w:color w:val="auto"/>
                <w:sz w:val="21"/>
              </w:rPr>
            </w:pPr>
          </w:p>
          <w:p w14:paraId="4906C93E">
            <w:pPr>
              <w:spacing w:line="243" w:lineRule="auto"/>
              <w:rPr>
                <w:rFonts w:ascii="Arial"/>
                <w:b/>
                <w:bCs/>
                <w:color w:val="auto"/>
                <w:sz w:val="21"/>
              </w:rPr>
            </w:pPr>
          </w:p>
          <w:p w14:paraId="1FD19AE9">
            <w:pPr>
              <w:spacing w:line="243" w:lineRule="auto"/>
              <w:rPr>
                <w:rFonts w:ascii="Arial"/>
                <w:b/>
                <w:bCs/>
                <w:color w:val="auto"/>
                <w:sz w:val="21"/>
              </w:rPr>
            </w:pPr>
          </w:p>
          <w:p w14:paraId="24BAC1E8">
            <w:pPr>
              <w:spacing w:line="243" w:lineRule="auto"/>
              <w:rPr>
                <w:rFonts w:ascii="Arial"/>
                <w:b/>
                <w:bCs/>
                <w:color w:val="auto"/>
                <w:sz w:val="21"/>
              </w:rPr>
            </w:pPr>
          </w:p>
          <w:p w14:paraId="11CB59A6">
            <w:pPr>
              <w:spacing w:line="244" w:lineRule="auto"/>
              <w:rPr>
                <w:rFonts w:ascii="Arial"/>
                <w:b/>
                <w:bCs/>
                <w:color w:val="auto"/>
                <w:sz w:val="21"/>
              </w:rPr>
            </w:pPr>
          </w:p>
          <w:p w14:paraId="415FDEB3">
            <w:pPr>
              <w:spacing w:line="244" w:lineRule="auto"/>
              <w:rPr>
                <w:rFonts w:ascii="Arial"/>
                <w:b/>
                <w:bCs/>
                <w:color w:val="auto"/>
                <w:sz w:val="21"/>
              </w:rPr>
            </w:pPr>
          </w:p>
          <w:p w14:paraId="42E8247B">
            <w:pPr>
              <w:spacing w:line="244" w:lineRule="auto"/>
              <w:rPr>
                <w:rFonts w:ascii="Arial"/>
                <w:b/>
                <w:bCs/>
                <w:color w:val="auto"/>
                <w:sz w:val="21"/>
              </w:rPr>
            </w:pPr>
          </w:p>
          <w:p w14:paraId="2AE22010">
            <w:pPr>
              <w:spacing w:line="244" w:lineRule="auto"/>
              <w:rPr>
                <w:rFonts w:ascii="Arial"/>
                <w:b/>
                <w:bCs/>
                <w:color w:val="auto"/>
                <w:sz w:val="21"/>
              </w:rPr>
            </w:pPr>
          </w:p>
          <w:p w14:paraId="4FA282D5">
            <w:pPr>
              <w:spacing w:line="244" w:lineRule="auto"/>
              <w:rPr>
                <w:rFonts w:ascii="Arial"/>
                <w:b/>
                <w:bCs/>
                <w:color w:val="auto"/>
                <w:sz w:val="21"/>
              </w:rPr>
            </w:pPr>
          </w:p>
          <w:p w14:paraId="54E5347E">
            <w:pPr>
              <w:spacing w:line="244" w:lineRule="auto"/>
              <w:rPr>
                <w:rFonts w:ascii="Arial"/>
                <w:b/>
                <w:bCs/>
                <w:color w:val="auto"/>
                <w:sz w:val="21"/>
              </w:rPr>
            </w:pPr>
          </w:p>
          <w:p w14:paraId="73D46719">
            <w:pPr>
              <w:spacing w:line="244" w:lineRule="auto"/>
              <w:rPr>
                <w:rFonts w:ascii="Arial"/>
                <w:b/>
                <w:bCs/>
                <w:color w:val="auto"/>
                <w:sz w:val="21"/>
              </w:rPr>
            </w:pPr>
          </w:p>
          <w:p w14:paraId="48A04DE7">
            <w:pPr>
              <w:spacing w:line="244" w:lineRule="auto"/>
              <w:rPr>
                <w:rFonts w:ascii="Arial"/>
                <w:b/>
                <w:bCs/>
                <w:color w:val="auto"/>
                <w:sz w:val="21"/>
              </w:rPr>
            </w:pPr>
          </w:p>
          <w:p w14:paraId="3511F0FD">
            <w:pPr>
              <w:spacing w:line="244" w:lineRule="auto"/>
              <w:rPr>
                <w:rFonts w:ascii="Arial"/>
                <w:b/>
                <w:bCs/>
                <w:color w:val="auto"/>
                <w:sz w:val="21"/>
              </w:rPr>
            </w:pPr>
          </w:p>
          <w:p w14:paraId="7022941E">
            <w:pPr>
              <w:spacing w:line="244" w:lineRule="auto"/>
              <w:rPr>
                <w:rFonts w:ascii="Arial"/>
                <w:b/>
                <w:bCs/>
                <w:color w:val="auto"/>
                <w:sz w:val="21"/>
              </w:rPr>
            </w:pPr>
          </w:p>
          <w:p w14:paraId="0F6ABBB8">
            <w:pPr>
              <w:spacing w:line="244" w:lineRule="auto"/>
              <w:rPr>
                <w:rFonts w:ascii="Arial"/>
                <w:b/>
                <w:bCs/>
                <w:color w:val="auto"/>
                <w:sz w:val="21"/>
              </w:rPr>
            </w:pPr>
          </w:p>
          <w:p w14:paraId="6A76A6FF">
            <w:pPr>
              <w:pStyle w:val="18"/>
              <w:spacing w:before="65" w:line="228" w:lineRule="auto"/>
              <w:ind w:left="122"/>
              <w:rPr>
                <w:b/>
                <w:bCs/>
                <w:color w:val="auto"/>
              </w:rPr>
            </w:pPr>
            <w:r>
              <w:rPr>
                <w:b/>
                <w:bCs/>
                <w:color w:val="auto"/>
                <w:spacing w:val="-4"/>
              </w:rPr>
              <w:t>（1）配送车辆（满</w:t>
            </w:r>
          </w:p>
          <w:p w14:paraId="5ED43C36">
            <w:pPr>
              <w:pStyle w:val="18"/>
              <w:spacing w:before="251" w:line="229" w:lineRule="auto"/>
              <w:ind w:left="487"/>
              <w:rPr>
                <w:b/>
                <w:bCs/>
                <w:color w:val="auto"/>
              </w:rPr>
            </w:pPr>
            <w:r>
              <w:rPr>
                <w:b/>
                <w:bCs/>
                <w:color w:val="auto"/>
                <w:spacing w:val="-4"/>
              </w:rPr>
              <w:t>分</w:t>
            </w:r>
            <w:r>
              <w:rPr>
                <w:b/>
                <w:bCs/>
                <w:color w:val="auto"/>
                <w:spacing w:val="-22"/>
              </w:rPr>
              <w:t xml:space="preserve"> </w:t>
            </w:r>
            <w:r>
              <w:rPr>
                <w:b/>
                <w:bCs/>
                <w:color w:val="auto"/>
                <w:spacing w:val="-4"/>
              </w:rPr>
              <w:t>10</w:t>
            </w:r>
            <w:r>
              <w:rPr>
                <w:b/>
                <w:bCs/>
                <w:color w:val="auto"/>
                <w:spacing w:val="-36"/>
              </w:rPr>
              <w:t xml:space="preserve"> </w:t>
            </w:r>
            <w:r>
              <w:rPr>
                <w:b/>
                <w:bCs/>
                <w:color w:val="auto"/>
                <w:spacing w:val="-4"/>
              </w:rPr>
              <w:t>分）</w:t>
            </w:r>
          </w:p>
        </w:tc>
        <w:tc>
          <w:tcPr>
            <w:tcW w:w="5836" w:type="dxa"/>
            <w:noWrap w:val="0"/>
            <w:vAlign w:val="top"/>
          </w:tcPr>
          <w:p w14:paraId="0237DE36">
            <w:pPr>
              <w:pStyle w:val="18"/>
              <w:spacing w:before="222" w:line="228" w:lineRule="auto"/>
              <w:ind w:left="129" w:firstLine="420" w:firstLineChars="200"/>
              <w:rPr>
                <w:color w:val="auto"/>
              </w:rPr>
            </w:pPr>
            <w:r>
              <w:rPr>
                <w:rFonts w:hint="eastAsia"/>
                <w:color w:val="auto"/>
                <w:spacing w:val="5"/>
                <w:lang w:eastAsia="zh-CN"/>
              </w:rPr>
              <w:t>①</w:t>
            </w:r>
            <w:r>
              <w:rPr>
                <w:color w:val="auto"/>
                <w:spacing w:val="5"/>
              </w:rPr>
              <w:t>车辆配置数量分（满分</w:t>
            </w:r>
            <w:r>
              <w:rPr>
                <w:color w:val="auto"/>
                <w:spacing w:val="-36"/>
              </w:rPr>
              <w:t xml:space="preserve"> </w:t>
            </w:r>
            <w:r>
              <w:rPr>
                <w:color w:val="auto"/>
                <w:spacing w:val="5"/>
              </w:rPr>
              <w:t>6</w:t>
            </w:r>
            <w:r>
              <w:rPr>
                <w:color w:val="auto"/>
                <w:spacing w:val="-35"/>
              </w:rPr>
              <w:t xml:space="preserve"> </w:t>
            </w:r>
            <w:r>
              <w:rPr>
                <w:color w:val="auto"/>
                <w:spacing w:val="5"/>
              </w:rPr>
              <w:t>分）</w:t>
            </w:r>
          </w:p>
          <w:p w14:paraId="1D8FCF63">
            <w:pPr>
              <w:pStyle w:val="18"/>
              <w:spacing w:before="250" w:line="462" w:lineRule="auto"/>
              <w:ind w:left="112" w:right="108" w:firstLine="421"/>
              <w:jc w:val="both"/>
              <w:rPr>
                <w:color w:val="auto"/>
              </w:rPr>
            </w:pPr>
            <w:r>
              <w:rPr>
                <w:color w:val="auto"/>
                <w:spacing w:val="7"/>
              </w:rPr>
              <w:t>在满足至少一辆专业配</w:t>
            </w:r>
            <w:r>
              <w:rPr>
                <w:color w:val="auto"/>
                <w:spacing w:val="6"/>
              </w:rPr>
              <w:t>送车的基础上，投标人每增加</w:t>
            </w:r>
            <w:r>
              <w:rPr>
                <w:color w:val="auto"/>
                <w:spacing w:val="-15"/>
              </w:rPr>
              <w:t xml:space="preserve"> </w:t>
            </w:r>
            <w:r>
              <w:rPr>
                <w:color w:val="auto"/>
                <w:spacing w:val="6"/>
              </w:rPr>
              <w:t>1</w:t>
            </w:r>
            <w:r>
              <w:rPr>
                <w:color w:val="auto"/>
                <w:spacing w:val="-39"/>
              </w:rPr>
              <w:t xml:space="preserve"> </w:t>
            </w:r>
            <w:r>
              <w:rPr>
                <w:color w:val="auto"/>
                <w:spacing w:val="6"/>
              </w:rPr>
              <w:t>辆自有或租赁冷藏厢式货车得</w:t>
            </w:r>
            <w:r>
              <w:rPr>
                <w:color w:val="auto"/>
                <w:spacing w:val="4"/>
              </w:rPr>
              <w:t>3</w:t>
            </w:r>
            <w:r>
              <w:rPr>
                <w:color w:val="auto"/>
                <w:spacing w:val="-31"/>
              </w:rPr>
              <w:t xml:space="preserve"> </w:t>
            </w:r>
            <w:r>
              <w:rPr>
                <w:color w:val="auto"/>
                <w:spacing w:val="4"/>
              </w:rPr>
              <w:t>分，每增加</w:t>
            </w:r>
            <w:r>
              <w:rPr>
                <w:color w:val="auto"/>
                <w:spacing w:val="-21"/>
              </w:rPr>
              <w:t xml:space="preserve"> </w:t>
            </w:r>
            <w:r>
              <w:rPr>
                <w:color w:val="auto"/>
                <w:spacing w:val="4"/>
              </w:rPr>
              <w:t>1</w:t>
            </w:r>
            <w:r>
              <w:rPr>
                <w:color w:val="auto"/>
                <w:spacing w:val="-41"/>
              </w:rPr>
              <w:t xml:space="preserve"> </w:t>
            </w:r>
            <w:r>
              <w:rPr>
                <w:color w:val="auto"/>
                <w:spacing w:val="4"/>
              </w:rPr>
              <w:t>辆普通厢式货车得</w:t>
            </w:r>
            <w:r>
              <w:rPr>
                <w:color w:val="auto"/>
                <w:spacing w:val="-22"/>
              </w:rPr>
              <w:t xml:space="preserve"> </w:t>
            </w:r>
            <w:r>
              <w:rPr>
                <w:color w:val="auto"/>
                <w:spacing w:val="4"/>
              </w:rPr>
              <w:t>1</w:t>
            </w:r>
            <w:r>
              <w:rPr>
                <w:color w:val="auto"/>
                <w:spacing w:val="-35"/>
              </w:rPr>
              <w:t xml:space="preserve"> </w:t>
            </w:r>
            <w:r>
              <w:rPr>
                <w:color w:val="auto"/>
                <w:spacing w:val="4"/>
              </w:rPr>
              <w:t>分。此项满分</w:t>
            </w:r>
            <w:r>
              <w:rPr>
                <w:color w:val="auto"/>
                <w:spacing w:val="-35"/>
              </w:rPr>
              <w:t xml:space="preserve"> </w:t>
            </w:r>
            <w:r>
              <w:rPr>
                <w:color w:val="auto"/>
                <w:spacing w:val="4"/>
              </w:rPr>
              <w:t>6</w:t>
            </w:r>
            <w:r>
              <w:rPr>
                <w:color w:val="auto"/>
                <w:spacing w:val="-38"/>
              </w:rPr>
              <w:t xml:space="preserve"> </w:t>
            </w:r>
            <w:r>
              <w:rPr>
                <w:color w:val="auto"/>
                <w:spacing w:val="4"/>
              </w:rPr>
              <w:t>分。</w:t>
            </w:r>
          </w:p>
          <w:p w14:paraId="4471065C">
            <w:pPr>
              <w:pStyle w:val="18"/>
              <w:spacing w:before="3" w:line="461" w:lineRule="auto"/>
              <w:ind w:left="113" w:right="108" w:firstLine="420"/>
              <w:jc w:val="both"/>
              <w:rPr>
                <w:color w:val="auto"/>
              </w:rPr>
            </w:pPr>
            <w:r>
              <w:rPr>
                <w:b/>
                <w:bCs/>
                <w:color w:val="auto"/>
                <w:spacing w:val="5"/>
              </w:rPr>
              <w:t>注：【自有车辆必须提供车辆行驶证或购买车辆发票（车辆所有人为法定代表人名字或投标单位名字）扫描件，并提供车辆前后左右实拍照片且清晰可辨等证明材料】；【租赁车辆必须提供行驶证或购买发票（所有人为出租方）及租赁合同扫</w:t>
            </w:r>
            <w:r>
              <w:rPr>
                <w:b/>
                <w:bCs/>
                <w:color w:val="auto"/>
                <w:spacing w:val="6"/>
              </w:rPr>
              <w:t>描件（租车时必须提供，租赁期须包含本项目服务期</w:t>
            </w:r>
            <w:r>
              <w:rPr>
                <w:b/>
                <w:bCs/>
                <w:color w:val="auto"/>
              </w:rPr>
              <w:t>），</w:t>
            </w:r>
            <w:r>
              <w:rPr>
                <w:b/>
                <w:bCs/>
                <w:color w:val="auto"/>
                <w:spacing w:val="6"/>
              </w:rPr>
              <w:t>并提</w:t>
            </w:r>
            <w:r>
              <w:rPr>
                <w:b/>
                <w:bCs/>
                <w:color w:val="auto"/>
                <w:spacing w:val="5"/>
              </w:rPr>
              <w:t>供车辆前后左右实拍照片且清晰可辨等证明材料】，所提供的扫描件须加盖投标人公章，未按要求提供相关材料或扫描不清</w:t>
            </w:r>
            <w:r>
              <w:rPr>
                <w:b/>
                <w:bCs/>
                <w:color w:val="auto"/>
                <w:spacing w:val="7"/>
              </w:rPr>
              <w:t>晰导致无法识别的不计得分。</w:t>
            </w:r>
          </w:p>
          <w:p w14:paraId="2B073D9D">
            <w:pPr>
              <w:pStyle w:val="18"/>
              <w:spacing w:before="1" w:line="461" w:lineRule="auto"/>
              <w:ind w:left="114" w:right="52" w:firstLine="428" w:firstLineChars="200"/>
              <w:jc w:val="both"/>
              <w:rPr>
                <w:color w:val="auto"/>
                <w:spacing w:val="1"/>
              </w:rPr>
            </w:pPr>
            <w:r>
              <w:rPr>
                <w:rFonts w:hint="eastAsia"/>
                <w:color w:val="auto"/>
                <w:spacing w:val="7"/>
                <w:lang w:eastAsia="zh-CN"/>
              </w:rPr>
              <w:t>②</w:t>
            </w:r>
            <w:r>
              <w:rPr>
                <w:color w:val="auto"/>
                <w:spacing w:val="7"/>
              </w:rPr>
              <w:t>拟投入本项目运输车辆配备监控系统，能实时联网监控车辆</w:t>
            </w:r>
            <w:r>
              <w:rPr>
                <w:color w:val="auto"/>
                <w:spacing w:val="1"/>
              </w:rPr>
              <w:t>实时定位、轨迹追踪、状态监控、调度管理，每有</w:t>
            </w:r>
            <w:r>
              <w:rPr>
                <w:color w:val="auto"/>
              </w:rPr>
              <w:t>一项得</w:t>
            </w:r>
            <w:r>
              <w:rPr>
                <w:color w:val="auto"/>
                <w:spacing w:val="-21"/>
              </w:rPr>
              <w:t xml:space="preserve"> </w:t>
            </w:r>
            <w:r>
              <w:rPr>
                <w:color w:val="auto"/>
              </w:rPr>
              <w:t>1</w:t>
            </w:r>
            <w:r>
              <w:rPr>
                <w:color w:val="auto"/>
                <w:spacing w:val="-38"/>
              </w:rPr>
              <w:t xml:space="preserve"> </w:t>
            </w:r>
            <w:r>
              <w:rPr>
                <w:color w:val="auto"/>
              </w:rPr>
              <w:t>分，</w:t>
            </w:r>
            <w:r>
              <w:rPr>
                <w:color w:val="auto"/>
                <w:spacing w:val="1"/>
              </w:rPr>
              <w:t>满分</w:t>
            </w:r>
            <w:r>
              <w:rPr>
                <w:color w:val="auto"/>
                <w:spacing w:val="-38"/>
              </w:rPr>
              <w:t xml:space="preserve"> </w:t>
            </w:r>
            <w:r>
              <w:rPr>
                <w:color w:val="auto"/>
                <w:spacing w:val="1"/>
              </w:rPr>
              <w:t>4</w:t>
            </w:r>
            <w:r>
              <w:rPr>
                <w:color w:val="auto"/>
                <w:spacing w:val="-38"/>
              </w:rPr>
              <w:t xml:space="preserve"> </w:t>
            </w:r>
            <w:r>
              <w:rPr>
                <w:color w:val="auto"/>
                <w:spacing w:val="1"/>
              </w:rPr>
              <w:t>分。</w:t>
            </w:r>
          </w:p>
          <w:p w14:paraId="754C2059">
            <w:pPr>
              <w:pStyle w:val="18"/>
              <w:spacing w:before="1" w:line="461" w:lineRule="auto"/>
              <w:ind w:left="114" w:right="52" w:firstLine="422" w:firstLineChars="200"/>
              <w:jc w:val="both"/>
              <w:rPr>
                <w:color w:val="auto"/>
              </w:rPr>
            </w:pPr>
            <w:r>
              <w:rPr>
                <w:b/>
                <w:bCs/>
                <w:color w:val="auto"/>
                <w:spacing w:val="5"/>
              </w:rPr>
              <w:t>注：须提供相关车辆监控系统证明材料，自有系统须提供</w:t>
            </w:r>
            <w:r>
              <w:rPr>
                <w:color w:val="auto"/>
                <w:spacing w:val="9"/>
              </w:rPr>
              <w:t>等方面的承诺，方案具有针对性和适用性，承诺设立专门的</w:t>
            </w:r>
            <w:r>
              <w:rPr>
                <w:color w:val="auto"/>
                <w:spacing w:val="7"/>
              </w:rPr>
              <w:t>售后服务人员。</w:t>
            </w:r>
            <w:r>
              <w:rPr>
                <w:b/>
                <w:bCs/>
                <w:color w:val="auto"/>
                <w:spacing w:val="4"/>
              </w:rPr>
              <w:t>自主研发证明、系统使用截图；购买或租赁系统须提供系统购</w:t>
            </w:r>
            <w:r>
              <w:rPr>
                <w:b/>
                <w:bCs/>
                <w:color w:val="auto"/>
                <w:spacing w:val="5"/>
              </w:rPr>
              <w:t>买或租赁合同、系统使用截图并加盖投标人公章。未按要求提供者不得分。</w:t>
            </w:r>
          </w:p>
          <w:p w14:paraId="13BC7A15">
            <w:pPr>
              <w:pStyle w:val="18"/>
              <w:spacing w:before="1" w:line="227" w:lineRule="auto"/>
              <w:rPr>
                <w:color w:val="auto"/>
              </w:rPr>
            </w:pPr>
          </w:p>
        </w:tc>
      </w:tr>
    </w:tbl>
    <w:p w14:paraId="4F1ED320">
      <w:pPr>
        <w:spacing w:line="132" w:lineRule="exact"/>
        <w:rPr>
          <w:rFonts w:ascii="Arial" w:hAnsi="Arial" w:eastAsia="Arial" w:cs="Arial"/>
          <w:color w:val="auto"/>
          <w:sz w:val="11"/>
          <w:szCs w:val="11"/>
        </w:rPr>
        <w:sectPr>
          <w:footerReference r:id="rId9" w:type="default"/>
          <w:pgSz w:w="11911" w:h="16839"/>
          <w:pgMar w:top="400" w:right="857" w:bottom="1149" w:left="1032" w:header="0" w:footer="913" w:gutter="0"/>
          <w:pgNumType w:fmt="decimal"/>
          <w:cols w:space="720" w:num="1"/>
        </w:sectPr>
      </w:pPr>
    </w:p>
    <w:tbl>
      <w:tblPr>
        <w:tblStyle w:val="19"/>
        <w:tblW w:w="10029" w:type="dxa"/>
        <w:tblInd w:w="-7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9"/>
        <w:gridCol w:w="1693"/>
        <w:gridCol w:w="1917"/>
        <w:gridCol w:w="5840"/>
      </w:tblGrid>
      <w:tr w14:paraId="0A868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579" w:type="dxa"/>
            <w:vMerge w:val="restart"/>
            <w:tcBorders>
              <w:top w:val="nil"/>
            </w:tcBorders>
            <w:noWrap w:val="0"/>
            <w:vAlign w:val="top"/>
          </w:tcPr>
          <w:p w14:paraId="08D21D0C">
            <w:pPr>
              <w:rPr>
                <w:rFonts w:ascii="Arial"/>
                <w:color w:val="auto"/>
                <w:sz w:val="21"/>
              </w:rPr>
            </w:pPr>
          </w:p>
        </w:tc>
        <w:tc>
          <w:tcPr>
            <w:tcW w:w="1693" w:type="dxa"/>
            <w:vMerge w:val="restart"/>
            <w:tcBorders>
              <w:top w:val="nil"/>
            </w:tcBorders>
            <w:noWrap w:val="0"/>
            <w:vAlign w:val="top"/>
          </w:tcPr>
          <w:p w14:paraId="1118C880">
            <w:pPr>
              <w:rPr>
                <w:rFonts w:ascii="Arial"/>
                <w:color w:val="auto"/>
                <w:sz w:val="21"/>
              </w:rPr>
            </w:pPr>
          </w:p>
        </w:tc>
        <w:tc>
          <w:tcPr>
            <w:tcW w:w="1917" w:type="dxa"/>
            <w:noWrap w:val="0"/>
            <w:vAlign w:val="top"/>
          </w:tcPr>
          <w:p w14:paraId="644A24A3">
            <w:pPr>
              <w:spacing w:line="300" w:lineRule="auto"/>
              <w:rPr>
                <w:rFonts w:ascii="Arial"/>
                <w:b/>
                <w:bCs/>
                <w:color w:val="auto"/>
                <w:sz w:val="21"/>
              </w:rPr>
            </w:pPr>
          </w:p>
          <w:p w14:paraId="02041AB8">
            <w:pPr>
              <w:spacing w:line="300" w:lineRule="auto"/>
              <w:rPr>
                <w:rFonts w:ascii="Arial"/>
                <w:b/>
                <w:bCs/>
                <w:color w:val="auto"/>
                <w:sz w:val="21"/>
              </w:rPr>
            </w:pPr>
          </w:p>
          <w:p w14:paraId="304AF829">
            <w:pPr>
              <w:spacing w:line="301" w:lineRule="auto"/>
              <w:rPr>
                <w:rFonts w:ascii="Arial"/>
                <w:b/>
                <w:bCs/>
                <w:color w:val="auto"/>
                <w:sz w:val="21"/>
              </w:rPr>
            </w:pPr>
          </w:p>
          <w:p w14:paraId="139656AE">
            <w:pPr>
              <w:pStyle w:val="18"/>
              <w:spacing w:before="65" w:line="462" w:lineRule="auto"/>
              <w:ind w:left="335" w:right="268" w:hanging="50"/>
              <w:rPr>
                <w:b/>
                <w:bCs/>
                <w:color w:val="auto"/>
              </w:rPr>
            </w:pPr>
            <w:r>
              <w:rPr>
                <w:b/>
                <w:bCs/>
                <w:color w:val="auto"/>
                <w:spacing w:val="6"/>
              </w:rPr>
              <w:t>（2）投入人员</w:t>
            </w:r>
            <w:r>
              <w:rPr>
                <w:b/>
                <w:bCs/>
                <w:color w:val="auto"/>
              </w:rPr>
              <w:t>（满分</w:t>
            </w:r>
            <w:r>
              <w:rPr>
                <w:b/>
                <w:bCs/>
                <w:color w:val="auto"/>
                <w:spacing w:val="-35"/>
              </w:rPr>
              <w:t xml:space="preserve"> </w:t>
            </w:r>
            <w:r>
              <w:rPr>
                <w:b/>
                <w:bCs/>
                <w:color w:val="auto"/>
              </w:rPr>
              <w:t>5</w:t>
            </w:r>
            <w:r>
              <w:rPr>
                <w:b/>
                <w:bCs/>
                <w:color w:val="auto"/>
                <w:spacing w:val="-36"/>
              </w:rPr>
              <w:t xml:space="preserve"> </w:t>
            </w:r>
            <w:r>
              <w:rPr>
                <w:b/>
                <w:bCs/>
                <w:color w:val="auto"/>
              </w:rPr>
              <w:t>分）</w:t>
            </w:r>
          </w:p>
        </w:tc>
        <w:tc>
          <w:tcPr>
            <w:tcW w:w="5840" w:type="dxa"/>
            <w:noWrap w:val="0"/>
            <w:vAlign w:val="top"/>
          </w:tcPr>
          <w:p w14:paraId="6B2F11D7">
            <w:pPr>
              <w:pStyle w:val="18"/>
              <w:spacing w:before="220" w:line="462" w:lineRule="auto"/>
              <w:ind w:left="115" w:right="37" w:firstLine="420"/>
              <w:rPr>
                <w:color w:val="auto"/>
              </w:rPr>
            </w:pPr>
            <w:r>
              <w:rPr>
                <w:color w:val="auto"/>
                <w:spacing w:val="7"/>
              </w:rPr>
              <w:t>为了保证负责食材配送的人员充足到位，有效应对紧急状</w:t>
            </w:r>
            <w:r>
              <w:rPr>
                <w:color w:val="auto"/>
                <w:spacing w:val="-1"/>
              </w:rPr>
              <w:t>况，拟投入本项目的食材配送人员每有</w:t>
            </w:r>
            <w:r>
              <w:rPr>
                <w:color w:val="auto"/>
                <w:spacing w:val="-21"/>
              </w:rPr>
              <w:t xml:space="preserve"> </w:t>
            </w:r>
            <w:r>
              <w:rPr>
                <w:color w:val="auto"/>
                <w:spacing w:val="-1"/>
              </w:rPr>
              <w:t>1</w:t>
            </w:r>
            <w:r>
              <w:rPr>
                <w:color w:val="auto"/>
                <w:spacing w:val="-38"/>
              </w:rPr>
              <w:t xml:space="preserve"> </w:t>
            </w:r>
            <w:r>
              <w:rPr>
                <w:color w:val="auto"/>
                <w:spacing w:val="-1"/>
              </w:rPr>
              <w:t>名得</w:t>
            </w:r>
            <w:r>
              <w:rPr>
                <w:color w:val="auto"/>
                <w:spacing w:val="-21"/>
              </w:rPr>
              <w:t xml:space="preserve"> </w:t>
            </w:r>
            <w:r>
              <w:rPr>
                <w:color w:val="auto"/>
                <w:spacing w:val="-1"/>
              </w:rPr>
              <w:t>1</w:t>
            </w:r>
            <w:r>
              <w:rPr>
                <w:color w:val="auto"/>
                <w:spacing w:val="-38"/>
              </w:rPr>
              <w:t xml:space="preserve"> </w:t>
            </w:r>
            <w:r>
              <w:rPr>
                <w:color w:val="auto"/>
                <w:spacing w:val="-2"/>
              </w:rPr>
              <w:t>分，满分</w:t>
            </w:r>
            <w:r>
              <w:rPr>
                <w:color w:val="auto"/>
                <w:spacing w:val="-33"/>
              </w:rPr>
              <w:t xml:space="preserve"> </w:t>
            </w:r>
            <w:r>
              <w:rPr>
                <w:color w:val="auto"/>
                <w:spacing w:val="-2"/>
              </w:rPr>
              <w:t>5</w:t>
            </w:r>
            <w:r>
              <w:rPr>
                <w:color w:val="auto"/>
                <w:spacing w:val="-37"/>
              </w:rPr>
              <w:t xml:space="preserve"> </w:t>
            </w:r>
            <w:r>
              <w:rPr>
                <w:color w:val="auto"/>
                <w:spacing w:val="-2"/>
              </w:rPr>
              <w:t>分。</w:t>
            </w:r>
          </w:p>
          <w:p w14:paraId="46B49002">
            <w:pPr>
              <w:pStyle w:val="18"/>
              <w:spacing w:before="2" w:line="391" w:lineRule="auto"/>
              <w:ind w:left="116" w:right="108" w:firstLine="417"/>
              <w:jc w:val="both"/>
              <w:rPr>
                <w:color w:val="auto"/>
              </w:rPr>
            </w:pPr>
            <w:r>
              <w:rPr>
                <w:b/>
                <w:bCs/>
                <w:color w:val="auto"/>
                <w:spacing w:val="4"/>
              </w:rPr>
              <w:t>注：须提供拟投入人员近半年连续</w:t>
            </w:r>
            <w:r>
              <w:rPr>
                <w:color w:val="auto"/>
                <w:spacing w:val="-28"/>
              </w:rPr>
              <w:t xml:space="preserve"> </w:t>
            </w:r>
            <w:r>
              <w:rPr>
                <w:b/>
                <w:bCs/>
                <w:color w:val="auto"/>
                <w:spacing w:val="4"/>
              </w:rPr>
              <w:t>3</w:t>
            </w:r>
            <w:r>
              <w:rPr>
                <w:color w:val="auto"/>
                <w:spacing w:val="-38"/>
              </w:rPr>
              <w:t xml:space="preserve"> </w:t>
            </w:r>
            <w:r>
              <w:rPr>
                <w:b/>
                <w:bCs/>
                <w:color w:val="auto"/>
                <w:spacing w:val="4"/>
              </w:rPr>
              <w:t>个月的缴纳社保或签</w:t>
            </w:r>
            <w:r>
              <w:rPr>
                <w:b/>
                <w:bCs/>
                <w:color w:val="auto"/>
                <w:spacing w:val="13"/>
              </w:rPr>
              <w:t>订的劳动合同证明材料及有效的健康证复印件并加盖投标人</w:t>
            </w:r>
            <w:r>
              <w:rPr>
                <w:b/>
                <w:bCs/>
                <w:color w:val="auto"/>
                <w:spacing w:val="7"/>
              </w:rPr>
              <w:t>公章，未按要求提供者不得分。</w:t>
            </w:r>
          </w:p>
        </w:tc>
      </w:tr>
      <w:tr w14:paraId="709D5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3" w:hRule="atLeast"/>
        </w:trPr>
        <w:tc>
          <w:tcPr>
            <w:tcW w:w="579" w:type="dxa"/>
            <w:vMerge w:val="continue"/>
            <w:tcBorders>
              <w:top w:val="nil"/>
              <w:bottom w:val="nil"/>
            </w:tcBorders>
            <w:noWrap w:val="0"/>
            <w:vAlign w:val="top"/>
          </w:tcPr>
          <w:p w14:paraId="1ED6F055">
            <w:pPr>
              <w:rPr>
                <w:rFonts w:ascii="Arial"/>
                <w:color w:val="auto"/>
                <w:sz w:val="21"/>
              </w:rPr>
            </w:pPr>
          </w:p>
        </w:tc>
        <w:tc>
          <w:tcPr>
            <w:tcW w:w="1693" w:type="dxa"/>
            <w:vMerge w:val="continue"/>
            <w:tcBorders>
              <w:top w:val="nil"/>
              <w:bottom w:val="nil"/>
            </w:tcBorders>
            <w:noWrap w:val="0"/>
            <w:vAlign w:val="top"/>
          </w:tcPr>
          <w:p w14:paraId="5EFD246D">
            <w:pPr>
              <w:rPr>
                <w:rFonts w:ascii="Arial"/>
                <w:color w:val="auto"/>
                <w:sz w:val="21"/>
              </w:rPr>
            </w:pPr>
          </w:p>
        </w:tc>
        <w:tc>
          <w:tcPr>
            <w:tcW w:w="1917" w:type="dxa"/>
            <w:noWrap w:val="0"/>
            <w:vAlign w:val="top"/>
          </w:tcPr>
          <w:p w14:paraId="7ED9C71A">
            <w:pPr>
              <w:rPr>
                <w:rFonts w:ascii="Arial"/>
                <w:b/>
                <w:bCs/>
                <w:color w:val="auto"/>
                <w:sz w:val="21"/>
              </w:rPr>
            </w:pPr>
          </w:p>
          <w:p w14:paraId="79E69AE2">
            <w:pPr>
              <w:rPr>
                <w:rFonts w:ascii="Arial"/>
                <w:b/>
                <w:bCs/>
                <w:color w:val="auto"/>
                <w:sz w:val="21"/>
              </w:rPr>
            </w:pPr>
          </w:p>
          <w:p w14:paraId="693B4DA1">
            <w:pPr>
              <w:rPr>
                <w:rFonts w:ascii="Arial"/>
                <w:b/>
                <w:bCs/>
                <w:color w:val="auto"/>
                <w:sz w:val="21"/>
              </w:rPr>
            </w:pPr>
          </w:p>
          <w:p w14:paraId="0D9043CB">
            <w:pPr>
              <w:spacing w:line="241" w:lineRule="auto"/>
              <w:rPr>
                <w:rFonts w:ascii="Arial"/>
                <w:b/>
                <w:bCs/>
                <w:color w:val="auto"/>
                <w:sz w:val="21"/>
              </w:rPr>
            </w:pPr>
          </w:p>
          <w:p w14:paraId="76867CDD">
            <w:pPr>
              <w:spacing w:line="241" w:lineRule="auto"/>
              <w:rPr>
                <w:rFonts w:ascii="Arial"/>
                <w:b/>
                <w:bCs/>
                <w:color w:val="auto"/>
                <w:sz w:val="21"/>
              </w:rPr>
            </w:pPr>
          </w:p>
          <w:p w14:paraId="7C287780">
            <w:pPr>
              <w:spacing w:line="241" w:lineRule="auto"/>
              <w:rPr>
                <w:rFonts w:ascii="Arial"/>
                <w:b/>
                <w:bCs/>
                <w:color w:val="auto"/>
                <w:sz w:val="21"/>
              </w:rPr>
            </w:pPr>
          </w:p>
          <w:p w14:paraId="3B9FB832">
            <w:pPr>
              <w:spacing w:line="241" w:lineRule="auto"/>
              <w:rPr>
                <w:rFonts w:ascii="Arial"/>
                <w:b/>
                <w:bCs/>
                <w:color w:val="auto"/>
                <w:sz w:val="21"/>
              </w:rPr>
            </w:pPr>
          </w:p>
          <w:p w14:paraId="42106E47">
            <w:pPr>
              <w:spacing w:line="241" w:lineRule="auto"/>
              <w:rPr>
                <w:rFonts w:ascii="Arial"/>
                <w:b/>
                <w:bCs/>
                <w:color w:val="auto"/>
                <w:sz w:val="21"/>
              </w:rPr>
            </w:pPr>
          </w:p>
          <w:p w14:paraId="60CF1838">
            <w:pPr>
              <w:spacing w:line="241" w:lineRule="auto"/>
              <w:rPr>
                <w:rFonts w:ascii="Arial"/>
                <w:b/>
                <w:bCs/>
                <w:color w:val="auto"/>
                <w:sz w:val="21"/>
              </w:rPr>
            </w:pPr>
          </w:p>
          <w:p w14:paraId="20A25F24">
            <w:pPr>
              <w:spacing w:line="241" w:lineRule="auto"/>
              <w:rPr>
                <w:rFonts w:ascii="Arial"/>
                <w:b/>
                <w:bCs/>
                <w:color w:val="auto"/>
                <w:sz w:val="21"/>
              </w:rPr>
            </w:pPr>
          </w:p>
          <w:p w14:paraId="764BD4B9">
            <w:pPr>
              <w:spacing w:line="241" w:lineRule="auto"/>
              <w:rPr>
                <w:rFonts w:ascii="Arial"/>
                <w:b/>
                <w:bCs/>
                <w:color w:val="auto"/>
                <w:sz w:val="21"/>
              </w:rPr>
            </w:pPr>
          </w:p>
          <w:p w14:paraId="61767C86">
            <w:pPr>
              <w:spacing w:line="241" w:lineRule="auto"/>
              <w:rPr>
                <w:rFonts w:ascii="Arial"/>
                <w:b/>
                <w:bCs/>
                <w:color w:val="auto"/>
                <w:sz w:val="21"/>
              </w:rPr>
            </w:pPr>
          </w:p>
          <w:p w14:paraId="73890BED">
            <w:pPr>
              <w:pStyle w:val="18"/>
              <w:spacing w:before="65" w:line="462" w:lineRule="auto"/>
              <w:ind w:left="336" w:right="164" w:hanging="156"/>
              <w:rPr>
                <w:b/>
                <w:bCs/>
                <w:color w:val="auto"/>
              </w:rPr>
            </w:pPr>
            <w:r>
              <w:rPr>
                <w:b/>
                <w:bCs/>
                <w:color w:val="auto"/>
                <w:spacing w:val="6"/>
              </w:rPr>
              <w:t>（3）配送场所分</w:t>
            </w:r>
            <w:r>
              <w:rPr>
                <w:b/>
                <w:bCs/>
                <w:color w:val="auto"/>
              </w:rPr>
              <w:t>（满分</w:t>
            </w:r>
            <w:r>
              <w:rPr>
                <w:b/>
                <w:bCs/>
                <w:color w:val="auto"/>
                <w:spacing w:val="-35"/>
              </w:rPr>
              <w:t xml:space="preserve"> </w:t>
            </w:r>
            <w:r>
              <w:rPr>
                <w:b/>
                <w:bCs/>
                <w:color w:val="auto"/>
              </w:rPr>
              <w:t>7</w:t>
            </w:r>
            <w:r>
              <w:rPr>
                <w:b/>
                <w:bCs/>
                <w:color w:val="auto"/>
                <w:spacing w:val="-36"/>
              </w:rPr>
              <w:t xml:space="preserve"> </w:t>
            </w:r>
            <w:r>
              <w:rPr>
                <w:b/>
                <w:bCs/>
                <w:color w:val="auto"/>
              </w:rPr>
              <w:t>分）</w:t>
            </w:r>
          </w:p>
        </w:tc>
        <w:tc>
          <w:tcPr>
            <w:tcW w:w="5840" w:type="dxa"/>
            <w:noWrap w:val="0"/>
            <w:vAlign w:val="top"/>
          </w:tcPr>
          <w:p w14:paraId="460A58D0">
            <w:pPr>
              <w:pStyle w:val="18"/>
              <w:spacing w:before="221" w:line="462" w:lineRule="auto"/>
              <w:ind w:left="116" w:right="107" w:firstLine="327"/>
              <w:jc w:val="both"/>
              <w:rPr>
                <w:color w:val="auto"/>
              </w:rPr>
            </w:pPr>
            <w:r>
              <w:rPr>
                <w:rFonts w:hint="eastAsia"/>
                <w:color w:val="auto"/>
                <w:spacing w:val="13"/>
                <w:lang w:eastAsia="zh-CN"/>
              </w:rPr>
              <w:t>①</w:t>
            </w:r>
            <w:r>
              <w:rPr>
                <w:color w:val="auto"/>
                <w:spacing w:val="13"/>
              </w:rPr>
              <w:t xml:space="preserve">投标人已设立有服务于本项目的仓储货物仓库，面积&lt; </w:t>
            </w:r>
            <w:r>
              <w:rPr>
                <w:color w:val="auto"/>
                <w:spacing w:val="7"/>
              </w:rPr>
              <w:t>500</w:t>
            </w:r>
            <w:r>
              <w:rPr>
                <w:color w:val="auto"/>
                <w:spacing w:val="-39"/>
              </w:rPr>
              <w:t xml:space="preserve"> </w:t>
            </w:r>
            <w:r>
              <w:rPr>
                <w:color w:val="auto"/>
                <w:spacing w:val="7"/>
              </w:rPr>
              <w:t>平方米的得</w:t>
            </w:r>
            <w:r>
              <w:rPr>
                <w:color w:val="auto"/>
                <w:spacing w:val="-21"/>
              </w:rPr>
              <w:t xml:space="preserve"> </w:t>
            </w:r>
            <w:r>
              <w:rPr>
                <w:color w:val="auto"/>
                <w:spacing w:val="7"/>
              </w:rPr>
              <w:t>1</w:t>
            </w:r>
            <w:r>
              <w:rPr>
                <w:color w:val="auto"/>
                <w:spacing w:val="-36"/>
              </w:rPr>
              <w:t xml:space="preserve"> </w:t>
            </w:r>
            <w:r>
              <w:rPr>
                <w:color w:val="auto"/>
                <w:spacing w:val="7"/>
              </w:rPr>
              <w:t>分；500</w:t>
            </w:r>
            <w:r>
              <w:rPr>
                <w:color w:val="auto"/>
                <w:spacing w:val="-38"/>
              </w:rPr>
              <w:t xml:space="preserve"> </w:t>
            </w:r>
            <w:r>
              <w:rPr>
                <w:color w:val="auto"/>
                <w:spacing w:val="7"/>
              </w:rPr>
              <w:t>平方米≤面积＜1000</w:t>
            </w:r>
            <w:r>
              <w:rPr>
                <w:color w:val="auto"/>
                <w:spacing w:val="-42"/>
              </w:rPr>
              <w:t xml:space="preserve"> </w:t>
            </w:r>
            <w:r>
              <w:rPr>
                <w:color w:val="auto"/>
                <w:spacing w:val="6"/>
              </w:rPr>
              <w:t>平方米的得</w:t>
            </w:r>
            <w:r>
              <w:rPr>
                <w:color w:val="auto"/>
                <w:spacing w:val="-30"/>
              </w:rPr>
              <w:t xml:space="preserve"> </w:t>
            </w:r>
            <w:r>
              <w:rPr>
                <w:color w:val="auto"/>
                <w:spacing w:val="6"/>
              </w:rPr>
              <w:t>3</w:t>
            </w:r>
            <w:r>
              <w:rPr>
                <w:color w:val="auto"/>
                <w:spacing w:val="3"/>
              </w:rPr>
              <w:t>分；面积≥1000</w:t>
            </w:r>
            <w:r>
              <w:rPr>
                <w:color w:val="auto"/>
                <w:spacing w:val="-42"/>
              </w:rPr>
              <w:t xml:space="preserve"> </w:t>
            </w:r>
            <w:r>
              <w:rPr>
                <w:color w:val="auto"/>
                <w:spacing w:val="3"/>
              </w:rPr>
              <w:t>平方米的得</w:t>
            </w:r>
            <w:r>
              <w:rPr>
                <w:color w:val="auto"/>
                <w:spacing w:val="-33"/>
              </w:rPr>
              <w:t xml:space="preserve"> </w:t>
            </w:r>
            <w:r>
              <w:rPr>
                <w:color w:val="auto"/>
                <w:spacing w:val="3"/>
              </w:rPr>
              <w:t>5</w:t>
            </w:r>
            <w:r>
              <w:rPr>
                <w:color w:val="auto"/>
                <w:spacing w:val="-37"/>
              </w:rPr>
              <w:t xml:space="preserve"> </w:t>
            </w:r>
            <w:r>
              <w:rPr>
                <w:color w:val="auto"/>
                <w:spacing w:val="3"/>
              </w:rPr>
              <w:t>分，此项满分</w:t>
            </w:r>
            <w:r>
              <w:rPr>
                <w:color w:val="auto"/>
                <w:spacing w:val="-33"/>
              </w:rPr>
              <w:t xml:space="preserve"> </w:t>
            </w:r>
            <w:r>
              <w:rPr>
                <w:color w:val="auto"/>
                <w:spacing w:val="3"/>
              </w:rPr>
              <w:t>5</w:t>
            </w:r>
            <w:r>
              <w:rPr>
                <w:color w:val="auto"/>
                <w:spacing w:val="-38"/>
              </w:rPr>
              <w:t xml:space="preserve"> </w:t>
            </w:r>
            <w:r>
              <w:rPr>
                <w:color w:val="auto"/>
                <w:spacing w:val="3"/>
              </w:rPr>
              <w:t>分，没有仓库的</w:t>
            </w:r>
            <w:r>
              <w:rPr>
                <w:color w:val="auto"/>
                <w:spacing w:val="4"/>
              </w:rPr>
              <w:t>不得分。</w:t>
            </w:r>
          </w:p>
          <w:p w14:paraId="6D1ED44D">
            <w:pPr>
              <w:pStyle w:val="18"/>
              <w:spacing w:before="1" w:line="461" w:lineRule="auto"/>
              <w:ind w:left="114" w:right="108" w:firstLine="420"/>
              <w:jc w:val="both"/>
              <w:rPr>
                <w:color w:val="auto"/>
              </w:rPr>
            </w:pPr>
            <w:r>
              <w:rPr>
                <w:b/>
                <w:bCs/>
                <w:color w:val="auto"/>
                <w:spacing w:val="5"/>
              </w:rPr>
              <w:t>注：仓储货物仓库涉及到场地的证明材料，需在投标文件中提供：不动产登记证等产权证明材料或租赁合同的复印件及</w:t>
            </w:r>
            <w:r>
              <w:rPr>
                <w:b/>
                <w:bCs/>
                <w:color w:val="auto"/>
                <w:spacing w:val="8"/>
              </w:rPr>
              <w:t>相关场地图片并加盖投标人公章，未按要求提供者</w:t>
            </w:r>
            <w:r>
              <w:rPr>
                <w:b/>
                <w:bCs/>
                <w:color w:val="auto"/>
                <w:spacing w:val="7"/>
              </w:rPr>
              <w:t>不得分。</w:t>
            </w:r>
          </w:p>
          <w:p w14:paraId="43AE63AB">
            <w:pPr>
              <w:pStyle w:val="18"/>
              <w:spacing w:before="2" w:line="461" w:lineRule="auto"/>
              <w:ind w:left="114" w:right="108" w:firstLine="422"/>
              <w:jc w:val="both"/>
              <w:rPr>
                <w:color w:val="auto"/>
              </w:rPr>
            </w:pPr>
            <w:r>
              <w:rPr>
                <w:rFonts w:hint="eastAsia"/>
                <w:color w:val="auto"/>
                <w:spacing w:val="8"/>
                <w:lang w:eastAsia="zh-CN"/>
              </w:rPr>
              <w:t>②</w:t>
            </w:r>
            <w:r>
              <w:rPr>
                <w:color w:val="auto"/>
                <w:spacing w:val="8"/>
              </w:rPr>
              <w:t>投标人已设立有服务于本项目的冷库，容积＜100</w:t>
            </w:r>
            <w:r>
              <w:rPr>
                <w:color w:val="auto"/>
                <w:spacing w:val="-34"/>
              </w:rPr>
              <w:t xml:space="preserve"> </w:t>
            </w:r>
            <w:r>
              <w:rPr>
                <w:color w:val="auto"/>
                <w:spacing w:val="8"/>
              </w:rPr>
              <w:t>立方</w:t>
            </w:r>
            <w:r>
              <w:rPr>
                <w:color w:val="auto"/>
                <w:spacing w:val="5"/>
              </w:rPr>
              <w:t>米的得</w:t>
            </w:r>
            <w:r>
              <w:rPr>
                <w:color w:val="auto"/>
                <w:spacing w:val="-16"/>
              </w:rPr>
              <w:t xml:space="preserve"> </w:t>
            </w:r>
            <w:r>
              <w:rPr>
                <w:color w:val="auto"/>
                <w:spacing w:val="5"/>
              </w:rPr>
              <w:t>1</w:t>
            </w:r>
            <w:r>
              <w:rPr>
                <w:color w:val="auto"/>
                <w:spacing w:val="-35"/>
              </w:rPr>
              <w:t xml:space="preserve"> </w:t>
            </w:r>
            <w:r>
              <w:rPr>
                <w:color w:val="auto"/>
                <w:spacing w:val="5"/>
              </w:rPr>
              <w:t>分；容积≥100</w:t>
            </w:r>
            <w:r>
              <w:rPr>
                <w:color w:val="auto"/>
                <w:spacing w:val="-41"/>
              </w:rPr>
              <w:t xml:space="preserve"> </w:t>
            </w:r>
            <w:r>
              <w:rPr>
                <w:color w:val="auto"/>
                <w:spacing w:val="5"/>
              </w:rPr>
              <w:t>立方米的得</w:t>
            </w:r>
            <w:r>
              <w:rPr>
                <w:color w:val="auto"/>
                <w:spacing w:val="-34"/>
              </w:rPr>
              <w:t xml:space="preserve"> </w:t>
            </w:r>
            <w:r>
              <w:rPr>
                <w:color w:val="auto"/>
                <w:spacing w:val="5"/>
              </w:rPr>
              <w:t>2</w:t>
            </w:r>
            <w:r>
              <w:rPr>
                <w:color w:val="auto"/>
                <w:spacing w:val="-38"/>
              </w:rPr>
              <w:t xml:space="preserve"> </w:t>
            </w:r>
            <w:r>
              <w:rPr>
                <w:color w:val="auto"/>
                <w:spacing w:val="5"/>
              </w:rPr>
              <w:t>分，此项满分</w:t>
            </w:r>
            <w:r>
              <w:rPr>
                <w:color w:val="auto"/>
                <w:spacing w:val="-34"/>
              </w:rPr>
              <w:t xml:space="preserve"> </w:t>
            </w:r>
            <w:r>
              <w:rPr>
                <w:color w:val="auto"/>
                <w:spacing w:val="5"/>
              </w:rPr>
              <w:t>2</w:t>
            </w:r>
            <w:r>
              <w:rPr>
                <w:color w:val="auto"/>
                <w:spacing w:val="-35"/>
              </w:rPr>
              <w:t xml:space="preserve"> </w:t>
            </w:r>
            <w:r>
              <w:rPr>
                <w:color w:val="auto"/>
                <w:spacing w:val="5"/>
              </w:rPr>
              <w:t>分，没</w:t>
            </w:r>
            <w:r>
              <w:rPr>
                <w:color w:val="auto"/>
                <w:spacing w:val="7"/>
              </w:rPr>
              <w:t>有冷库的不得分。</w:t>
            </w:r>
          </w:p>
          <w:p w14:paraId="2637B2B6">
            <w:pPr>
              <w:pStyle w:val="18"/>
              <w:spacing w:before="2" w:line="390" w:lineRule="auto"/>
              <w:ind w:left="116" w:right="52" w:firstLine="417"/>
              <w:jc w:val="both"/>
              <w:rPr>
                <w:color w:val="auto"/>
              </w:rPr>
            </w:pPr>
            <w:r>
              <w:rPr>
                <w:b/>
                <w:bCs/>
                <w:color w:val="auto"/>
                <w:spacing w:val="5"/>
              </w:rPr>
              <w:t>注：冷库容积的证明材料，需在投标文件中提供：制冷设</w:t>
            </w:r>
            <w:r>
              <w:rPr>
                <w:b/>
                <w:bCs/>
                <w:color w:val="auto"/>
              </w:rPr>
              <w:t>备采购发票（或冷库建设安装合同）扫描件并加盖投标人公章，</w:t>
            </w:r>
            <w:r>
              <w:rPr>
                <w:b/>
                <w:bCs/>
                <w:color w:val="auto"/>
                <w:spacing w:val="6"/>
              </w:rPr>
              <w:t>未按要求提供者不得分。</w:t>
            </w:r>
          </w:p>
        </w:tc>
      </w:tr>
      <w:tr w14:paraId="55E85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6" w:hRule="atLeast"/>
        </w:trPr>
        <w:tc>
          <w:tcPr>
            <w:tcW w:w="579" w:type="dxa"/>
            <w:vMerge w:val="continue"/>
            <w:tcBorders>
              <w:top w:val="nil"/>
            </w:tcBorders>
            <w:noWrap w:val="0"/>
            <w:vAlign w:val="top"/>
          </w:tcPr>
          <w:p w14:paraId="0756B5C0">
            <w:pPr>
              <w:rPr>
                <w:rFonts w:ascii="Arial"/>
                <w:color w:val="auto"/>
                <w:sz w:val="21"/>
              </w:rPr>
            </w:pPr>
          </w:p>
        </w:tc>
        <w:tc>
          <w:tcPr>
            <w:tcW w:w="1693" w:type="dxa"/>
            <w:vMerge w:val="continue"/>
            <w:tcBorders>
              <w:top w:val="nil"/>
            </w:tcBorders>
            <w:noWrap w:val="0"/>
            <w:vAlign w:val="top"/>
          </w:tcPr>
          <w:p w14:paraId="13035BA1">
            <w:pPr>
              <w:rPr>
                <w:rFonts w:ascii="Arial"/>
                <w:color w:val="auto"/>
                <w:sz w:val="21"/>
              </w:rPr>
            </w:pPr>
          </w:p>
        </w:tc>
        <w:tc>
          <w:tcPr>
            <w:tcW w:w="1917" w:type="dxa"/>
            <w:noWrap w:val="0"/>
            <w:vAlign w:val="top"/>
          </w:tcPr>
          <w:p w14:paraId="0FB5792B">
            <w:pPr>
              <w:spacing w:line="280" w:lineRule="auto"/>
              <w:rPr>
                <w:rFonts w:ascii="Arial"/>
                <w:color w:val="auto"/>
                <w:sz w:val="21"/>
              </w:rPr>
            </w:pPr>
          </w:p>
          <w:p w14:paraId="36FE5C30">
            <w:pPr>
              <w:spacing w:line="280" w:lineRule="auto"/>
              <w:rPr>
                <w:rFonts w:ascii="Arial"/>
                <w:color w:val="auto"/>
                <w:sz w:val="21"/>
              </w:rPr>
            </w:pPr>
          </w:p>
          <w:p w14:paraId="2B246AEC">
            <w:pPr>
              <w:spacing w:line="280" w:lineRule="auto"/>
              <w:rPr>
                <w:rFonts w:ascii="Arial"/>
                <w:color w:val="auto"/>
                <w:sz w:val="21"/>
              </w:rPr>
            </w:pPr>
          </w:p>
          <w:p w14:paraId="6A398D9C">
            <w:pPr>
              <w:spacing w:line="280" w:lineRule="auto"/>
              <w:rPr>
                <w:rFonts w:ascii="Arial"/>
                <w:color w:val="auto"/>
                <w:sz w:val="21"/>
              </w:rPr>
            </w:pPr>
          </w:p>
          <w:p w14:paraId="53C8E1F6">
            <w:pPr>
              <w:spacing w:line="281" w:lineRule="auto"/>
              <w:rPr>
                <w:rFonts w:ascii="Arial"/>
                <w:color w:val="auto"/>
                <w:sz w:val="21"/>
              </w:rPr>
            </w:pPr>
          </w:p>
          <w:p w14:paraId="3DDBBC5F">
            <w:pPr>
              <w:pStyle w:val="18"/>
              <w:spacing w:before="65" w:line="462" w:lineRule="auto"/>
              <w:ind w:left="336" w:right="164" w:hanging="156"/>
              <w:rPr>
                <w:color w:val="auto"/>
              </w:rPr>
            </w:pPr>
            <w:r>
              <w:rPr>
                <w:b/>
                <w:bCs/>
                <w:color w:val="auto"/>
                <w:spacing w:val="6"/>
              </w:rPr>
              <w:t>（4）风险防控分</w:t>
            </w:r>
            <w:r>
              <w:rPr>
                <w:b/>
                <w:bCs/>
                <w:color w:val="auto"/>
              </w:rPr>
              <w:t>（满分</w:t>
            </w:r>
            <w:r>
              <w:rPr>
                <w:b/>
                <w:bCs/>
                <w:color w:val="auto"/>
                <w:spacing w:val="-35"/>
              </w:rPr>
              <w:t xml:space="preserve"> </w:t>
            </w:r>
            <w:r>
              <w:rPr>
                <w:b/>
                <w:bCs/>
                <w:color w:val="auto"/>
              </w:rPr>
              <w:t>2</w:t>
            </w:r>
            <w:r>
              <w:rPr>
                <w:b/>
                <w:bCs/>
                <w:color w:val="auto"/>
                <w:spacing w:val="-36"/>
              </w:rPr>
              <w:t xml:space="preserve"> </w:t>
            </w:r>
            <w:r>
              <w:rPr>
                <w:b/>
                <w:bCs/>
                <w:color w:val="auto"/>
              </w:rPr>
              <w:t>分）</w:t>
            </w:r>
          </w:p>
        </w:tc>
        <w:tc>
          <w:tcPr>
            <w:tcW w:w="5840" w:type="dxa"/>
            <w:noWrap w:val="0"/>
            <w:vAlign w:val="top"/>
          </w:tcPr>
          <w:p w14:paraId="7EF4DA38">
            <w:pPr>
              <w:pStyle w:val="18"/>
              <w:spacing w:before="224" w:line="461" w:lineRule="auto"/>
              <w:ind w:left="154" w:right="108" w:firstLine="382"/>
              <w:rPr>
                <w:color w:val="auto"/>
              </w:rPr>
            </w:pPr>
            <w:r>
              <w:rPr>
                <w:color w:val="auto"/>
                <w:spacing w:val="7"/>
              </w:rPr>
              <w:t>为保障采购人利益，投标人买有食品安全保险，且在本项目供应期限内有效，或承诺中标后购买食品安全保险：</w:t>
            </w:r>
          </w:p>
          <w:p w14:paraId="61A185CB">
            <w:pPr>
              <w:pStyle w:val="18"/>
              <w:spacing w:line="384" w:lineRule="auto"/>
              <w:ind w:left="114" w:right="108" w:firstLine="435"/>
              <w:rPr>
                <w:color w:val="auto"/>
              </w:rPr>
            </w:pPr>
            <w:r>
              <w:rPr>
                <w:color w:val="auto"/>
                <w:spacing w:val="5"/>
              </w:rPr>
              <w:t>保险赔付金额</w:t>
            </w:r>
            <w:r>
              <w:rPr>
                <w:color w:val="auto"/>
                <w:spacing w:val="-35"/>
              </w:rPr>
              <w:t xml:space="preserve"> </w:t>
            </w:r>
            <w:r>
              <w:rPr>
                <w:rFonts w:hint="eastAsia"/>
                <w:color w:val="auto"/>
                <w:spacing w:val="-35"/>
                <w:lang w:val="en-US" w:eastAsia="zh-CN"/>
              </w:rPr>
              <w:t>1</w:t>
            </w:r>
            <w:r>
              <w:rPr>
                <w:color w:val="auto"/>
                <w:spacing w:val="5"/>
              </w:rPr>
              <w:t>00</w:t>
            </w:r>
            <w:r>
              <w:rPr>
                <w:color w:val="auto"/>
                <w:spacing w:val="-35"/>
              </w:rPr>
              <w:t xml:space="preserve"> </w:t>
            </w:r>
            <w:r>
              <w:rPr>
                <w:color w:val="auto"/>
                <w:spacing w:val="5"/>
              </w:rPr>
              <w:t>万元及以上得</w:t>
            </w:r>
            <w:r>
              <w:rPr>
                <w:color w:val="auto"/>
                <w:spacing w:val="-34"/>
              </w:rPr>
              <w:t xml:space="preserve"> </w:t>
            </w:r>
            <w:r>
              <w:rPr>
                <w:color w:val="auto"/>
                <w:spacing w:val="5"/>
              </w:rPr>
              <w:t>2</w:t>
            </w:r>
            <w:r>
              <w:rPr>
                <w:color w:val="auto"/>
                <w:spacing w:val="-38"/>
              </w:rPr>
              <w:t xml:space="preserve"> </w:t>
            </w:r>
            <w:r>
              <w:rPr>
                <w:color w:val="auto"/>
                <w:spacing w:val="5"/>
              </w:rPr>
              <w:t>分，没</w:t>
            </w:r>
            <w:r>
              <w:rPr>
                <w:color w:val="auto"/>
                <w:spacing w:val="4"/>
              </w:rPr>
              <w:t>有购买</w:t>
            </w:r>
            <w:r>
              <w:rPr>
                <w:color w:val="auto"/>
                <w:spacing w:val="9"/>
              </w:rPr>
              <w:t>食品安全责任保险或保险赔付金额小于</w:t>
            </w:r>
            <w:r>
              <w:rPr>
                <w:rFonts w:hint="eastAsia"/>
                <w:color w:val="auto"/>
                <w:spacing w:val="9"/>
                <w:lang w:val="en-US" w:eastAsia="zh-CN"/>
              </w:rPr>
              <w:t>1</w:t>
            </w:r>
            <w:r>
              <w:rPr>
                <w:color w:val="auto"/>
                <w:spacing w:val="9"/>
              </w:rPr>
              <w:t>00</w:t>
            </w:r>
            <w:r>
              <w:rPr>
                <w:color w:val="auto"/>
                <w:spacing w:val="-45"/>
              </w:rPr>
              <w:t xml:space="preserve"> </w:t>
            </w:r>
            <w:r>
              <w:rPr>
                <w:color w:val="auto"/>
                <w:spacing w:val="9"/>
              </w:rPr>
              <w:t>万元或不提供承诺</w:t>
            </w:r>
            <w:r>
              <w:rPr>
                <w:color w:val="auto"/>
                <w:spacing w:val="6"/>
              </w:rPr>
              <w:t>函的不得分。</w:t>
            </w:r>
            <w:r>
              <w:rPr>
                <w:b/>
                <w:bCs/>
                <w:color w:val="auto"/>
                <w:spacing w:val="5"/>
              </w:rPr>
              <w:t>注：须提供保险复印件加盖投标人公章或承诺函原件，不</w:t>
            </w:r>
            <w:r>
              <w:rPr>
                <w:b/>
                <w:bCs/>
                <w:color w:val="auto"/>
                <w:spacing w:val="4"/>
              </w:rPr>
              <w:t>提供不得分。</w:t>
            </w:r>
          </w:p>
        </w:tc>
      </w:tr>
    </w:tbl>
    <w:p w14:paraId="32F00F9A">
      <w:pPr>
        <w:spacing w:before="39"/>
        <w:rPr>
          <w:color w:val="auto"/>
        </w:rPr>
      </w:pPr>
    </w:p>
    <w:tbl>
      <w:tblPr>
        <w:tblStyle w:val="19"/>
        <w:tblW w:w="10039" w:type="dxa"/>
        <w:tblInd w:w="-7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704"/>
        <w:gridCol w:w="1917"/>
        <w:gridCol w:w="5850"/>
      </w:tblGrid>
      <w:tr w14:paraId="3F1FD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2" w:hRule="atLeast"/>
        </w:trPr>
        <w:tc>
          <w:tcPr>
            <w:tcW w:w="568" w:type="dxa"/>
            <w:tcBorders>
              <w:top w:val="nil"/>
            </w:tcBorders>
            <w:noWrap w:val="0"/>
            <w:vAlign w:val="top"/>
          </w:tcPr>
          <w:p w14:paraId="2B461A94">
            <w:pPr>
              <w:rPr>
                <w:rFonts w:ascii="Arial"/>
                <w:color w:val="auto"/>
                <w:sz w:val="21"/>
              </w:rPr>
            </w:pPr>
          </w:p>
        </w:tc>
        <w:tc>
          <w:tcPr>
            <w:tcW w:w="1704" w:type="dxa"/>
            <w:tcBorders>
              <w:top w:val="nil"/>
            </w:tcBorders>
            <w:noWrap w:val="0"/>
            <w:vAlign w:val="top"/>
          </w:tcPr>
          <w:p w14:paraId="371F8981">
            <w:pPr>
              <w:rPr>
                <w:rFonts w:ascii="Arial"/>
                <w:color w:val="auto"/>
                <w:sz w:val="21"/>
              </w:rPr>
            </w:pPr>
          </w:p>
        </w:tc>
        <w:tc>
          <w:tcPr>
            <w:tcW w:w="1917" w:type="dxa"/>
            <w:noWrap w:val="0"/>
            <w:vAlign w:val="top"/>
          </w:tcPr>
          <w:p w14:paraId="5535DE17">
            <w:pPr>
              <w:spacing w:line="300" w:lineRule="auto"/>
              <w:rPr>
                <w:rFonts w:ascii="Arial"/>
                <w:color w:val="auto"/>
                <w:sz w:val="21"/>
              </w:rPr>
            </w:pPr>
          </w:p>
          <w:p w14:paraId="1C397AEB">
            <w:pPr>
              <w:spacing w:line="300" w:lineRule="auto"/>
              <w:rPr>
                <w:rFonts w:ascii="Arial"/>
                <w:color w:val="auto"/>
                <w:sz w:val="21"/>
              </w:rPr>
            </w:pPr>
          </w:p>
          <w:p w14:paraId="3DC6D182">
            <w:pPr>
              <w:spacing w:line="301" w:lineRule="auto"/>
              <w:rPr>
                <w:rFonts w:ascii="Arial"/>
                <w:color w:val="auto"/>
                <w:sz w:val="21"/>
              </w:rPr>
            </w:pPr>
          </w:p>
          <w:p w14:paraId="22C4FDE9">
            <w:pPr>
              <w:pStyle w:val="18"/>
              <w:spacing w:before="65" w:line="462" w:lineRule="auto"/>
              <w:ind w:left="336" w:right="341" w:firstLine="52"/>
              <w:rPr>
                <w:color w:val="auto"/>
              </w:rPr>
            </w:pPr>
            <w:r>
              <w:rPr>
                <w:b/>
                <w:bCs/>
                <w:color w:val="auto"/>
                <w:spacing w:val="6"/>
              </w:rPr>
              <w:t>（5）业绩分</w:t>
            </w:r>
            <w:r>
              <w:rPr>
                <w:b/>
                <w:bCs/>
                <w:color w:val="auto"/>
                <w:spacing w:val="-2"/>
              </w:rPr>
              <w:t>（满分</w:t>
            </w:r>
            <w:r>
              <w:rPr>
                <w:b/>
                <w:bCs/>
                <w:color w:val="auto"/>
                <w:spacing w:val="-33"/>
              </w:rPr>
              <w:t xml:space="preserve"> </w:t>
            </w:r>
            <w:r>
              <w:rPr>
                <w:rFonts w:hint="eastAsia"/>
                <w:b/>
                <w:bCs/>
                <w:color w:val="auto"/>
                <w:spacing w:val="-33"/>
                <w:lang w:val="en-US" w:eastAsia="zh-CN"/>
              </w:rPr>
              <w:t xml:space="preserve">1 4 </w:t>
            </w:r>
            <w:r>
              <w:rPr>
                <w:b/>
                <w:bCs/>
                <w:color w:val="auto"/>
                <w:spacing w:val="-2"/>
              </w:rPr>
              <w:t>分）</w:t>
            </w:r>
          </w:p>
        </w:tc>
        <w:tc>
          <w:tcPr>
            <w:tcW w:w="5850" w:type="dxa"/>
            <w:noWrap w:val="0"/>
            <w:vAlign w:val="top"/>
          </w:tcPr>
          <w:p w14:paraId="7962B0A4">
            <w:pPr>
              <w:pStyle w:val="18"/>
              <w:spacing w:before="222" w:line="461" w:lineRule="auto"/>
              <w:ind w:left="114" w:right="107" w:firstLine="422"/>
              <w:rPr>
                <w:color w:val="auto"/>
                <w:spacing w:val="1"/>
              </w:rPr>
            </w:pPr>
            <w:r>
              <w:rPr>
                <w:rFonts w:hint="eastAsia"/>
                <w:color w:val="auto"/>
                <w:spacing w:val="13"/>
                <w:lang w:val="en-US" w:eastAsia="zh-CN"/>
              </w:rPr>
              <w:t>①</w:t>
            </w:r>
            <w:r>
              <w:rPr>
                <w:color w:val="auto"/>
                <w:spacing w:val="13"/>
              </w:rPr>
              <w:t>2023</w:t>
            </w:r>
            <w:r>
              <w:rPr>
                <w:color w:val="auto"/>
                <w:spacing w:val="-35"/>
              </w:rPr>
              <w:t xml:space="preserve"> </w:t>
            </w:r>
            <w:r>
              <w:rPr>
                <w:color w:val="auto"/>
                <w:spacing w:val="13"/>
              </w:rPr>
              <w:t>年以来投标人拥有食材配送项目业绩的，</w:t>
            </w:r>
            <w:r>
              <w:rPr>
                <w:color w:val="auto"/>
                <w:spacing w:val="12"/>
              </w:rPr>
              <w:t>每提供</w:t>
            </w:r>
            <w:r>
              <w:rPr>
                <w:color w:val="auto"/>
                <w:spacing w:val="-14"/>
              </w:rPr>
              <w:t xml:space="preserve"> </w:t>
            </w:r>
            <w:r>
              <w:rPr>
                <w:color w:val="auto"/>
                <w:spacing w:val="12"/>
              </w:rPr>
              <w:t>1</w:t>
            </w:r>
            <w:r>
              <w:rPr>
                <w:color w:val="auto"/>
                <w:spacing w:val="1"/>
              </w:rPr>
              <w:t>个得</w:t>
            </w:r>
            <w:r>
              <w:rPr>
                <w:color w:val="auto"/>
                <w:spacing w:val="-15"/>
              </w:rPr>
              <w:t xml:space="preserve"> </w:t>
            </w:r>
            <w:r>
              <w:rPr>
                <w:color w:val="auto"/>
                <w:spacing w:val="1"/>
              </w:rPr>
              <w:t>1</w:t>
            </w:r>
            <w:r>
              <w:rPr>
                <w:color w:val="auto"/>
                <w:spacing w:val="-37"/>
              </w:rPr>
              <w:t xml:space="preserve"> </w:t>
            </w:r>
            <w:r>
              <w:rPr>
                <w:color w:val="auto"/>
                <w:spacing w:val="1"/>
              </w:rPr>
              <w:t>分，最高得</w:t>
            </w:r>
            <w:r>
              <w:rPr>
                <w:color w:val="auto"/>
                <w:spacing w:val="-33"/>
              </w:rPr>
              <w:t xml:space="preserve"> </w:t>
            </w:r>
            <w:r>
              <w:rPr>
                <w:color w:val="auto"/>
                <w:spacing w:val="1"/>
              </w:rPr>
              <w:t>5</w:t>
            </w:r>
            <w:r>
              <w:rPr>
                <w:color w:val="auto"/>
                <w:spacing w:val="-38"/>
              </w:rPr>
              <w:t xml:space="preserve"> </w:t>
            </w:r>
            <w:r>
              <w:rPr>
                <w:color w:val="auto"/>
                <w:spacing w:val="1"/>
              </w:rPr>
              <w:t>分。</w:t>
            </w:r>
          </w:p>
          <w:p w14:paraId="27471A4E">
            <w:pPr>
              <w:pStyle w:val="18"/>
              <w:spacing w:before="222" w:line="461" w:lineRule="auto"/>
              <w:ind w:left="114" w:right="107" w:firstLine="422"/>
              <w:rPr>
                <w:color w:val="auto"/>
                <w:spacing w:val="1"/>
              </w:rPr>
            </w:pPr>
            <w:r>
              <w:rPr>
                <w:rFonts w:hint="eastAsia"/>
                <w:color w:val="auto"/>
                <w:spacing w:val="13"/>
                <w:lang w:val="en-US" w:eastAsia="zh-CN"/>
              </w:rPr>
              <w:t>②</w:t>
            </w:r>
            <w:r>
              <w:rPr>
                <w:color w:val="auto"/>
                <w:spacing w:val="13"/>
              </w:rPr>
              <w:t>2023</w:t>
            </w:r>
            <w:r>
              <w:rPr>
                <w:color w:val="auto"/>
                <w:spacing w:val="-35"/>
              </w:rPr>
              <w:t xml:space="preserve"> </w:t>
            </w:r>
            <w:r>
              <w:rPr>
                <w:color w:val="auto"/>
                <w:spacing w:val="13"/>
              </w:rPr>
              <w:t>年以来投标人拥有食材配送</w:t>
            </w:r>
            <w:r>
              <w:rPr>
                <w:rFonts w:hint="eastAsia"/>
                <w:color w:val="auto"/>
                <w:spacing w:val="13"/>
                <w:lang w:val="en-US" w:eastAsia="zh-CN"/>
              </w:rPr>
              <w:t>医院、学校、大中型企业</w:t>
            </w:r>
            <w:r>
              <w:rPr>
                <w:color w:val="auto"/>
                <w:spacing w:val="13"/>
              </w:rPr>
              <w:t>项目业绩的，</w:t>
            </w:r>
            <w:r>
              <w:rPr>
                <w:color w:val="auto"/>
                <w:spacing w:val="12"/>
              </w:rPr>
              <w:t>每提供</w:t>
            </w:r>
            <w:r>
              <w:rPr>
                <w:color w:val="auto"/>
                <w:spacing w:val="-14"/>
              </w:rPr>
              <w:t xml:space="preserve"> </w:t>
            </w:r>
            <w:r>
              <w:rPr>
                <w:rFonts w:hint="eastAsia"/>
                <w:color w:val="auto"/>
                <w:spacing w:val="-14"/>
                <w:lang w:val="en-US" w:eastAsia="zh-CN"/>
              </w:rPr>
              <w:t>1</w:t>
            </w:r>
            <w:r>
              <w:rPr>
                <w:color w:val="auto"/>
                <w:spacing w:val="1"/>
              </w:rPr>
              <w:t>个得</w:t>
            </w:r>
            <w:r>
              <w:rPr>
                <w:color w:val="auto"/>
                <w:spacing w:val="-15"/>
              </w:rPr>
              <w:t xml:space="preserve"> </w:t>
            </w:r>
            <w:r>
              <w:rPr>
                <w:color w:val="auto"/>
                <w:spacing w:val="1"/>
              </w:rPr>
              <w:t>1</w:t>
            </w:r>
            <w:r>
              <w:rPr>
                <w:rFonts w:hint="eastAsia"/>
                <w:color w:val="auto"/>
                <w:spacing w:val="1"/>
                <w:lang w:val="en-US" w:eastAsia="zh-CN"/>
              </w:rPr>
              <w:t>.5</w:t>
            </w:r>
            <w:r>
              <w:rPr>
                <w:color w:val="auto"/>
                <w:spacing w:val="-37"/>
              </w:rPr>
              <w:t xml:space="preserve"> </w:t>
            </w:r>
            <w:r>
              <w:rPr>
                <w:color w:val="auto"/>
                <w:spacing w:val="1"/>
              </w:rPr>
              <w:t>分</w:t>
            </w:r>
            <w:r>
              <w:rPr>
                <w:rFonts w:hint="eastAsia"/>
                <w:color w:val="auto"/>
                <w:spacing w:val="1"/>
                <w:lang w:eastAsia="zh-CN"/>
              </w:rPr>
              <w:t>（</w:t>
            </w:r>
            <w:r>
              <w:rPr>
                <w:rFonts w:hint="eastAsia"/>
                <w:color w:val="auto"/>
                <w:spacing w:val="1"/>
                <w:lang w:val="en-US" w:eastAsia="zh-CN"/>
              </w:rPr>
              <w:t>项目与第一点不得重复</w:t>
            </w:r>
            <w:r>
              <w:rPr>
                <w:rFonts w:hint="eastAsia"/>
                <w:color w:val="auto"/>
                <w:spacing w:val="1"/>
                <w:lang w:eastAsia="zh-CN"/>
              </w:rPr>
              <w:t>）</w:t>
            </w:r>
            <w:r>
              <w:rPr>
                <w:color w:val="auto"/>
                <w:spacing w:val="1"/>
              </w:rPr>
              <w:t>最高得</w:t>
            </w:r>
            <w:r>
              <w:rPr>
                <w:color w:val="auto"/>
                <w:spacing w:val="-33"/>
              </w:rPr>
              <w:t xml:space="preserve"> </w:t>
            </w:r>
            <w:r>
              <w:rPr>
                <w:rFonts w:hint="eastAsia"/>
                <w:color w:val="auto"/>
                <w:spacing w:val="-33"/>
                <w:lang w:val="en-US" w:eastAsia="zh-CN"/>
              </w:rPr>
              <w:t>9</w:t>
            </w:r>
            <w:r>
              <w:rPr>
                <w:color w:val="auto"/>
                <w:spacing w:val="1"/>
              </w:rPr>
              <w:t>分</w:t>
            </w:r>
          </w:p>
          <w:p w14:paraId="445AFF2B">
            <w:pPr>
              <w:pStyle w:val="18"/>
              <w:spacing w:before="2" w:line="390" w:lineRule="auto"/>
              <w:ind w:left="113" w:right="108" w:firstLine="420"/>
              <w:jc w:val="both"/>
              <w:rPr>
                <w:color w:val="auto"/>
              </w:rPr>
            </w:pPr>
            <w:r>
              <w:rPr>
                <w:b/>
                <w:bCs/>
                <w:color w:val="auto"/>
                <w:spacing w:val="5"/>
              </w:rPr>
              <w:t>注：提供合同或者中标（成交）通知书复印件并加盖投标</w:t>
            </w:r>
            <w:r>
              <w:rPr>
                <w:b/>
                <w:bCs/>
                <w:color w:val="auto"/>
                <w:spacing w:val="4"/>
              </w:rPr>
              <w:t>人公章，不提供不得分；若提供的业绩为同一甲方的，按</w:t>
            </w:r>
            <w:r>
              <w:rPr>
                <w:color w:val="auto"/>
                <w:spacing w:val="-19"/>
              </w:rPr>
              <w:t xml:space="preserve"> </w:t>
            </w:r>
            <w:r>
              <w:rPr>
                <w:b/>
                <w:bCs/>
                <w:color w:val="auto"/>
                <w:spacing w:val="4"/>
              </w:rPr>
              <w:t>1</w:t>
            </w:r>
            <w:r>
              <w:rPr>
                <w:color w:val="auto"/>
                <w:spacing w:val="-38"/>
              </w:rPr>
              <w:t xml:space="preserve"> </w:t>
            </w:r>
            <w:r>
              <w:rPr>
                <w:b/>
                <w:bCs/>
                <w:color w:val="auto"/>
                <w:spacing w:val="4"/>
              </w:rPr>
              <w:t>个业绩计算。</w:t>
            </w:r>
          </w:p>
        </w:tc>
      </w:tr>
    </w:tbl>
    <w:p w14:paraId="189A6BBB">
      <w:pPr>
        <w:spacing w:before="38"/>
        <w:rPr>
          <w:color w:val="auto"/>
        </w:rPr>
      </w:pPr>
    </w:p>
    <w:p w14:paraId="50D42AAF">
      <w:pPr>
        <w:spacing w:before="39"/>
        <w:rPr>
          <w:rFonts w:ascii="宋体" w:hAnsi="宋体" w:eastAsia="宋体" w:cs="宋体"/>
          <w:color w:val="auto"/>
          <w:spacing w:val="9"/>
          <w:sz w:val="20"/>
          <w:szCs w:val="20"/>
        </w:rPr>
      </w:pPr>
      <w:r>
        <w:rPr>
          <w:rFonts w:ascii="宋体" w:hAnsi="宋体" w:eastAsia="宋体" w:cs="宋体"/>
          <w:color w:val="auto"/>
          <w:spacing w:val="9"/>
          <w:sz w:val="20"/>
          <w:szCs w:val="20"/>
        </w:rPr>
        <w:t>注：计分方法按四舍五入取至百分位</w:t>
      </w:r>
    </w:p>
    <w:p w14:paraId="42E9FC02">
      <w:pPr>
        <w:spacing w:before="39"/>
        <w:rPr>
          <w:rFonts w:ascii="宋体" w:hAnsi="宋体" w:eastAsia="宋体" w:cs="宋体"/>
          <w:color w:val="auto"/>
          <w:spacing w:val="9"/>
          <w:sz w:val="20"/>
          <w:szCs w:val="20"/>
        </w:rPr>
      </w:pPr>
    </w:p>
    <w:p w14:paraId="572005A9">
      <w:pPr>
        <w:spacing w:before="39"/>
        <w:rPr>
          <w:rFonts w:ascii="宋体" w:hAnsi="宋体" w:eastAsia="宋体" w:cs="宋体"/>
          <w:color w:val="auto"/>
          <w:spacing w:val="9"/>
          <w:sz w:val="20"/>
          <w:szCs w:val="20"/>
        </w:rPr>
      </w:pPr>
    </w:p>
    <w:p w14:paraId="239F65B0">
      <w:pPr>
        <w:snapToGrid w:val="0"/>
        <w:spacing w:before="156" w:beforeLines="50" w:after="50"/>
        <w:jc w:val="center"/>
        <w:rPr>
          <w:rFonts w:hint="eastAsia" w:ascii="宋体" w:hAnsi="宋体" w:cs="宋体"/>
          <w:bCs/>
          <w:color w:val="auto"/>
          <w:sz w:val="44"/>
          <w:szCs w:val="44"/>
        </w:rPr>
      </w:pPr>
    </w:p>
    <w:p w14:paraId="2CBEB128">
      <w:pPr>
        <w:snapToGrid w:val="0"/>
        <w:spacing w:before="156" w:beforeLines="50" w:after="50"/>
        <w:jc w:val="center"/>
        <w:rPr>
          <w:rFonts w:hint="eastAsia" w:ascii="宋体" w:hAnsi="宋体" w:cs="宋体"/>
          <w:bCs/>
          <w:color w:val="auto"/>
          <w:sz w:val="44"/>
          <w:szCs w:val="44"/>
        </w:rPr>
      </w:pPr>
    </w:p>
    <w:p w14:paraId="20F198C0">
      <w:pPr>
        <w:snapToGrid w:val="0"/>
        <w:spacing w:before="156" w:beforeLines="50" w:after="50"/>
        <w:jc w:val="center"/>
        <w:rPr>
          <w:rFonts w:hint="eastAsia" w:ascii="宋体" w:hAnsi="宋体" w:cs="宋体"/>
          <w:bCs/>
          <w:color w:val="auto"/>
          <w:sz w:val="44"/>
          <w:szCs w:val="44"/>
        </w:rPr>
      </w:pPr>
    </w:p>
    <w:p w14:paraId="63F933A0">
      <w:pPr>
        <w:snapToGrid w:val="0"/>
        <w:spacing w:before="156" w:beforeLines="50" w:after="50"/>
        <w:jc w:val="center"/>
        <w:rPr>
          <w:rFonts w:hint="eastAsia" w:ascii="宋体" w:hAnsi="宋体" w:cs="宋体"/>
          <w:bCs/>
          <w:color w:val="auto"/>
          <w:sz w:val="44"/>
          <w:szCs w:val="44"/>
        </w:rPr>
      </w:pPr>
    </w:p>
    <w:p w14:paraId="0AE8D1ED">
      <w:pPr>
        <w:snapToGrid w:val="0"/>
        <w:spacing w:before="156" w:beforeLines="50" w:after="50"/>
        <w:jc w:val="center"/>
        <w:rPr>
          <w:rFonts w:hint="eastAsia" w:ascii="宋体" w:hAnsi="宋体" w:cs="宋体"/>
          <w:bCs/>
          <w:color w:val="auto"/>
          <w:sz w:val="44"/>
          <w:szCs w:val="44"/>
        </w:rPr>
      </w:pPr>
    </w:p>
    <w:p w14:paraId="7170DA18">
      <w:pPr>
        <w:snapToGrid w:val="0"/>
        <w:spacing w:before="156" w:beforeLines="50" w:after="50"/>
        <w:jc w:val="center"/>
        <w:rPr>
          <w:rFonts w:hint="eastAsia" w:ascii="宋体" w:hAnsi="宋体" w:cs="宋体"/>
          <w:bCs/>
          <w:color w:val="auto"/>
          <w:sz w:val="44"/>
          <w:szCs w:val="44"/>
        </w:rPr>
      </w:pPr>
    </w:p>
    <w:p w14:paraId="2E906A9F">
      <w:pPr>
        <w:snapToGrid w:val="0"/>
        <w:spacing w:before="156" w:beforeLines="50" w:after="50"/>
        <w:jc w:val="center"/>
        <w:rPr>
          <w:rFonts w:hint="eastAsia" w:ascii="宋体" w:hAnsi="宋体" w:cs="宋体"/>
          <w:bCs/>
          <w:color w:val="auto"/>
          <w:sz w:val="44"/>
          <w:szCs w:val="44"/>
        </w:rPr>
      </w:pPr>
    </w:p>
    <w:p w14:paraId="12F34AC5">
      <w:pPr>
        <w:snapToGrid w:val="0"/>
        <w:spacing w:before="156" w:beforeLines="50" w:after="50"/>
        <w:jc w:val="center"/>
        <w:rPr>
          <w:rFonts w:hint="eastAsia" w:ascii="宋体" w:hAnsi="宋体" w:cs="宋体"/>
          <w:bCs/>
          <w:color w:val="auto"/>
          <w:sz w:val="44"/>
          <w:szCs w:val="44"/>
        </w:rPr>
      </w:pPr>
    </w:p>
    <w:p w14:paraId="2A2216A8">
      <w:pPr>
        <w:snapToGrid w:val="0"/>
        <w:spacing w:before="156" w:beforeLines="50" w:after="50"/>
        <w:jc w:val="center"/>
        <w:rPr>
          <w:rFonts w:hint="eastAsia" w:ascii="宋体" w:hAnsi="宋体" w:cs="宋体"/>
          <w:bCs/>
          <w:color w:val="auto"/>
          <w:sz w:val="44"/>
          <w:szCs w:val="44"/>
        </w:rPr>
      </w:pPr>
    </w:p>
    <w:p w14:paraId="7EDC53E0">
      <w:pPr>
        <w:snapToGrid w:val="0"/>
        <w:spacing w:before="156" w:beforeLines="50" w:after="50"/>
        <w:jc w:val="center"/>
        <w:rPr>
          <w:rFonts w:hint="eastAsia" w:ascii="宋体" w:hAnsi="宋体" w:cs="宋体"/>
          <w:bCs/>
          <w:color w:val="auto"/>
          <w:sz w:val="44"/>
          <w:szCs w:val="44"/>
        </w:rPr>
      </w:pPr>
    </w:p>
    <w:p w14:paraId="3FF6C088">
      <w:pPr>
        <w:snapToGrid w:val="0"/>
        <w:spacing w:before="156" w:beforeLines="50" w:after="50"/>
        <w:jc w:val="center"/>
        <w:rPr>
          <w:rFonts w:hint="eastAsia" w:ascii="宋体" w:hAnsi="宋体" w:cs="宋体"/>
          <w:bCs/>
          <w:color w:val="auto"/>
          <w:sz w:val="44"/>
          <w:szCs w:val="44"/>
        </w:rPr>
      </w:pPr>
    </w:p>
    <w:p w14:paraId="516108E6">
      <w:pPr>
        <w:snapToGrid w:val="0"/>
        <w:spacing w:before="156" w:beforeLines="50" w:after="50"/>
        <w:jc w:val="center"/>
        <w:rPr>
          <w:rFonts w:hint="eastAsia" w:ascii="宋体" w:hAnsi="宋体" w:cs="宋体"/>
          <w:bCs/>
          <w:color w:val="auto"/>
          <w:sz w:val="44"/>
          <w:szCs w:val="44"/>
        </w:rPr>
      </w:pPr>
      <w:r>
        <w:rPr>
          <w:rFonts w:hint="eastAsia" w:ascii="宋体" w:hAnsi="宋体" w:cs="宋体"/>
          <w:bCs/>
          <w:color w:val="auto"/>
          <w:sz w:val="44"/>
          <w:szCs w:val="44"/>
        </w:rPr>
        <w:t>响  应  文  件</w:t>
      </w:r>
    </w:p>
    <w:p w14:paraId="1CAFE4F0">
      <w:pPr>
        <w:snapToGrid w:val="0"/>
        <w:spacing w:before="156" w:beforeLines="50" w:after="50"/>
        <w:rPr>
          <w:rFonts w:hint="eastAsia" w:ascii="宋体" w:hAnsi="宋体" w:cs="宋体"/>
          <w:bCs/>
          <w:color w:val="auto"/>
          <w:sz w:val="24"/>
          <w:szCs w:val="20"/>
        </w:rPr>
      </w:pPr>
    </w:p>
    <w:p w14:paraId="1E309590">
      <w:pPr>
        <w:snapToGrid w:val="0"/>
        <w:spacing w:before="156" w:beforeLines="50" w:after="50"/>
        <w:rPr>
          <w:rFonts w:hint="eastAsia" w:ascii="宋体" w:hAnsi="宋体" w:cs="宋体"/>
          <w:bCs/>
          <w:color w:val="auto"/>
          <w:sz w:val="24"/>
          <w:szCs w:val="20"/>
        </w:rPr>
      </w:pPr>
      <w:bookmarkStart w:id="0" w:name="_GoBack"/>
      <w:bookmarkEnd w:id="0"/>
    </w:p>
    <w:p w14:paraId="57C340FA">
      <w:pPr>
        <w:snapToGrid w:val="0"/>
        <w:spacing w:before="156" w:beforeLines="50" w:after="50"/>
        <w:rPr>
          <w:rFonts w:hint="eastAsia" w:ascii="宋体" w:hAnsi="宋体" w:cs="宋体"/>
          <w:bCs/>
          <w:color w:val="auto"/>
          <w:sz w:val="32"/>
          <w:szCs w:val="32"/>
        </w:rPr>
      </w:pPr>
    </w:p>
    <w:p w14:paraId="05424F1D">
      <w:pPr>
        <w:snapToGrid w:val="0"/>
        <w:spacing w:before="156" w:beforeLines="50" w:after="50"/>
        <w:ind w:firstLine="640" w:firstLineChars="200"/>
        <w:rPr>
          <w:rFonts w:hint="eastAsia" w:ascii="宋体" w:hAnsi="宋体" w:cs="宋体"/>
          <w:bCs/>
          <w:color w:val="auto"/>
          <w:sz w:val="32"/>
          <w:szCs w:val="32"/>
        </w:rPr>
      </w:pPr>
      <w:r>
        <w:rPr>
          <w:rFonts w:hint="eastAsia" w:ascii="宋体" w:hAnsi="宋体" w:cs="宋体"/>
          <w:bCs/>
          <w:color w:val="auto"/>
          <w:sz w:val="32"/>
          <w:szCs w:val="32"/>
        </w:rPr>
        <w:t>项目名称：</w:t>
      </w:r>
    </w:p>
    <w:p w14:paraId="47AD6B3A">
      <w:pPr>
        <w:snapToGrid w:val="0"/>
        <w:spacing w:before="156" w:beforeLines="50" w:after="50"/>
        <w:ind w:firstLine="480" w:firstLineChars="150"/>
        <w:rPr>
          <w:rFonts w:hint="eastAsia" w:ascii="宋体" w:hAnsi="宋体" w:cs="宋体"/>
          <w:bCs/>
          <w:color w:val="auto"/>
          <w:sz w:val="32"/>
          <w:szCs w:val="32"/>
        </w:rPr>
      </w:pPr>
    </w:p>
    <w:p w14:paraId="3CE160FB">
      <w:pPr>
        <w:snapToGrid w:val="0"/>
        <w:spacing w:before="156" w:beforeLines="50" w:after="50"/>
        <w:ind w:firstLine="640" w:firstLineChars="200"/>
        <w:rPr>
          <w:rFonts w:hint="eastAsia" w:ascii="宋体" w:hAnsi="宋体" w:cs="宋体"/>
          <w:bCs/>
          <w:color w:val="auto"/>
          <w:sz w:val="32"/>
          <w:szCs w:val="32"/>
        </w:rPr>
      </w:pPr>
      <w:r>
        <w:rPr>
          <w:rFonts w:hint="eastAsia" w:ascii="宋体" w:hAnsi="宋体" w:cs="宋体"/>
          <w:bCs/>
          <w:color w:val="auto"/>
          <w:sz w:val="32"/>
          <w:szCs w:val="32"/>
        </w:rPr>
        <w:t>项目编号：（项目编号：ZCBHT202500</w:t>
      </w:r>
      <w:r>
        <w:rPr>
          <w:rFonts w:hint="eastAsia" w:ascii="宋体" w:hAnsi="宋体" w:eastAsia="宋体" w:cs="宋体"/>
          <w:bCs/>
          <w:color w:val="auto"/>
          <w:sz w:val="32"/>
          <w:szCs w:val="32"/>
          <w:lang w:val="en-US" w:eastAsia="zh-CN"/>
        </w:rPr>
        <w:t>13</w:t>
      </w:r>
      <w:r>
        <w:rPr>
          <w:rFonts w:hint="eastAsia" w:ascii="宋体" w:hAnsi="宋体" w:cs="宋体"/>
          <w:bCs/>
          <w:color w:val="auto"/>
          <w:sz w:val="32"/>
          <w:szCs w:val="32"/>
        </w:rPr>
        <w:t>）</w:t>
      </w:r>
    </w:p>
    <w:p w14:paraId="6BE18601">
      <w:pPr>
        <w:snapToGrid w:val="0"/>
        <w:spacing w:before="156" w:beforeLines="50" w:after="50"/>
        <w:ind w:firstLine="480" w:firstLineChars="150"/>
        <w:rPr>
          <w:rFonts w:hint="eastAsia" w:ascii="宋体" w:hAnsi="宋体" w:cs="宋体"/>
          <w:bCs/>
          <w:color w:val="auto"/>
          <w:sz w:val="32"/>
          <w:szCs w:val="32"/>
        </w:rPr>
      </w:pPr>
    </w:p>
    <w:p w14:paraId="2FA45DAA">
      <w:pPr>
        <w:snapToGrid w:val="0"/>
        <w:spacing w:before="156" w:beforeLines="50" w:after="50"/>
        <w:ind w:firstLine="640" w:firstLineChars="200"/>
        <w:rPr>
          <w:rFonts w:hint="eastAsia" w:ascii="宋体" w:hAnsi="宋体" w:cs="宋体"/>
          <w:bCs/>
          <w:color w:val="auto"/>
          <w:sz w:val="32"/>
          <w:szCs w:val="32"/>
        </w:rPr>
      </w:pPr>
      <w:r>
        <w:rPr>
          <w:rFonts w:hint="eastAsia" w:ascii="宋体" w:hAnsi="宋体" w:cs="宋体"/>
          <w:bCs/>
          <w:color w:val="auto"/>
          <w:sz w:val="32"/>
          <w:szCs w:val="32"/>
        </w:rPr>
        <w:t>供应商名称：</w:t>
      </w:r>
    </w:p>
    <w:p w14:paraId="1C4A7A3B">
      <w:pPr>
        <w:snapToGrid w:val="0"/>
        <w:spacing w:before="156" w:beforeLines="50" w:after="50"/>
        <w:ind w:firstLine="480" w:firstLineChars="150"/>
        <w:rPr>
          <w:rFonts w:hint="eastAsia" w:ascii="宋体" w:hAnsi="宋体" w:cs="宋体"/>
          <w:bCs/>
          <w:color w:val="auto"/>
          <w:sz w:val="32"/>
          <w:szCs w:val="32"/>
        </w:rPr>
      </w:pPr>
    </w:p>
    <w:p w14:paraId="13AF9F44">
      <w:pPr>
        <w:snapToGrid w:val="0"/>
        <w:spacing w:before="156" w:beforeLines="50" w:after="50"/>
        <w:ind w:firstLine="5440" w:firstLineChars="1700"/>
        <w:jc w:val="center"/>
        <w:rPr>
          <w:rFonts w:hint="eastAsia" w:ascii="宋体" w:hAnsi="宋体" w:cs="宋体"/>
          <w:bCs/>
          <w:color w:val="auto"/>
          <w:sz w:val="32"/>
          <w:szCs w:val="32"/>
        </w:rPr>
      </w:pPr>
    </w:p>
    <w:p w14:paraId="3660E36B">
      <w:pPr>
        <w:snapToGrid w:val="0"/>
        <w:spacing w:before="156" w:beforeLines="50" w:after="50"/>
        <w:ind w:firstLine="645"/>
        <w:jc w:val="center"/>
        <w:rPr>
          <w:rFonts w:hint="eastAsia" w:ascii="宋体" w:hAnsi="宋体" w:cs="宋体"/>
          <w:bCs/>
          <w:color w:val="auto"/>
          <w:sz w:val="32"/>
          <w:szCs w:val="32"/>
        </w:rPr>
      </w:pPr>
      <w:r>
        <w:rPr>
          <w:rFonts w:hint="eastAsia" w:ascii="宋体" w:hAnsi="宋体" w:cs="宋体"/>
          <w:bCs/>
          <w:color w:val="auto"/>
          <w:sz w:val="32"/>
          <w:szCs w:val="32"/>
        </w:rPr>
        <w:t>年    月    日</w:t>
      </w:r>
    </w:p>
    <w:p w14:paraId="0768A7EE">
      <w:pPr>
        <w:snapToGrid w:val="0"/>
        <w:spacing w:before="156" w:beforeLines="50" w:after="50"/>
        <w:jc w:val="both"/>
        <w:rPr>
          <w:rFonts w:hint="eastAsia" w:ascii="宋体" w:hAnsi="宋体" w:cs="宋体"/>
          <w:color w:val="auto"/>
          <w:szCs w:val="21"/>
        </w:rPr>
      </w:pPr>
    </w:p>
    <w:p w14:paraId="13E073F4">
      <w:pPr>
        <w:pStyle w:val="5"/>
        <w:rPr>
          <w:rFonts w:hint="eastAsia" w:ascii="宋体" w:hAnsi="宋体" w:cs="宋体"/>
          <w:color w:val="auto"/>
          <w:szCs w:val="21"/>
        </w:rPr>
      </w:pPr>
    </w:p>
    <w:p w14:paraId="579DAC07">
      <w:pPr>
        <w:rPr>
          <w:rFonts w:hint="eastAsia" w:ascii="宋体" w:hAnsi="宋体" w:cs="宋体"/>
          <w:color w:val="auto"/>
          <w:szCs w:val="21"/>
        </w:rPr>
      </w:pPr>
    </w:p>
    <w:p w14:paraId="196FE431">
      <w:pPr>
        <w:pStyle w:val="5"/>
        <w:rPr>
          <w:rFonts w:hint="eastAsia" w:ascii="宋体" w:hAnsi="宋体" w:cs="宋体"/>
          <w:color w:val="auto"/>
          <w:szCs w:val="21"/>
        </w:rPr>
      </w:pPr>
    </w:p>
    <w:p w14:paraId="6C150E9B">
      <w:pPr>
        <w:rPr>
          <w:rFonts w:hint="eastAsia" w:ascii="宋体" w:hAnsi="宋体" w:cs="宋体"/>
          <w:color w:val="auto"/>
          <w:szCs w:val="21"/>
        </w:rPr>
      </w:pPr>
    </w:p>
    <w:p w14:paraId="1A4B575C">
      <w:pPr>
        <w:pStyle w:val="5"/>
        <w:rPr>
          <w:rFonts w:hint="eastAsia" w:ascii="宋体" w:hAnsi="宋体" w:cs="宋体"/>
          <w:color w:val="auto"/>
          <w:szCs w:val="21"/>
        </w:rPr>
      </w:pPr>
    </w:p>
    <w:p w14:paraId="285F814E">
      <w:pPr>
        <w:rPr>
          <w:rFonts w:hint="eastAsia" w:ascii="宋体" w:hAnsi="宋体" w:cs="宋体"/>
          <w:color w:val="auto"/>
          <w:szCs w:val="21"/>
        </w:rPr>
      </w:pPr>
    </w:p>
    <w:p w14:paraId="5D788A43">
      <w:pPr>
        <w:pStyle w:val="5"/>
        <w:rPr>
          <w:rFonts w:hint="eastAsia" w:ascii="宋体" w:hAnsi="宋体" w:cs="宋体"/>
          <w:color w:val="auto"/>
          <w:szCs w:val="21"/>
        </w:rPr>
      </w:pPr>
    </w:p>
    <w:p w14:paraId="4B54AB98">
      <w:pPr>
        <w:rPr>
          <w:rFonts w:hint="eastAsia" w:ascii="宋体" w:hAnsi="宋体" w:cs="宋体"/>
          <w:color w:val="auto"/>
          <w:szCs w:val="21"/>
        </w:rPr>
      </w:pPr>
    </w:p>
    <w:p w14:paraId="513C8184">
      <w:pPr>
        <w:rPr>
          <w:rFonts w:hint="eastAsia" w:ascii="宋体" w:hAnsi="宋体" w:cs="宋体"/>
          <w:color w:val="auto"/>
          <w:szCs w:val="21"/>
        </w:rPr>
      </w:pPr>
    </w:p>
    <w:p w14:paraId="334AF08C">
      <w:pPr>
        <w:rPr>
          <w:rFonts w:hint="eastAsia" w:ascii="宋体" w:hAnsi="宋体" w:cs="宋体"/>
          <w:color w:val="auto"/>
          <w:szCs w:val="21"/>
        </w:rPr>
      </w:pPr>
    </w:p>
    <w:p w14:paraId="33DDF21D">
      <w:pPr>
        <w:rPr>
          <w:rFonts w:hint="eastAsia" w:ascii="宋体" w:hAnsi="宋体" w:cs="宋体"/>
          <w:color w:val="auto"/>
          <w:szCs w:val="21"/>
        </w:rPr>
      </w:pPr>
    </w:p>
    <w:p w14:paraId="6F6FC50D">
      <w:pPr>
        <w:rPr>
          <w:rFonts w:hint="eastAsia" w:ascii="宋体" w:hAnsi="宋体" w:cs="宋体"/>
          <w:color w:val="auto"/>
          <w:szCs w:val="21"/>
        </w:rPr>
      </w:pPr>
    </w:p>
    <w:p w14:paraId="4F298929">
      <w:pPr>
        <w:rPr>
          <w:rFonts w:hint="eastAsia" w:ascii="宋体" w:hAnsi="宋体" w:cs="宋体"/>
          <w:color w:val="auto"/>
          <w:szCs w:val="21"/>
        </w:rPr>
      </w:pPr>
    </w:p>
    <w:p w14:paraId="0E30AAD2">
      <w:pPr>
        <w:pStyle w:val="5"/>
        <w:rPr>
          <w:rFonts w:hint="eastAsia" w:ascii="宋体" w:hAnsi="宋体" w:cs="宋体"/>
          <w:color w:val="auto"/>
          <w:szCs w:val="21"/>
        </w:rPr>
      </w:pPr>
    </w:p>
    <w:p w14:paraId="745EC126">
      <w:pPr>
        <w:rPr>
          <w:rFonts w:hint="eastAsia" w:ascii="宋体" w:hAnsi="宋体" w:cs="宋体"/>
          <w:color w:val="auto"/>
          <w:szCs w:val="21"/>
        </w:rPr>
      </w:pPr>
    </w:p>
    <w:p w14:paraId="4BA24670">
      <w:pPr>
        <w:pStyle w:val="5"/>
        <w:rPr>
          <w:rFonts w:hint="eastAsia" w:ascii="宋体" w:hAnsi="宋体" w:cs="宋体"/>
          <w:color w:val="auto"/>
          <w:szCs w:val="21"/>
        </w:rPr>
      </w:pPr>
    </w:p>
    <w:p w14:paraId="2E92ED7C">
      <w:pPr>
        <w:rPr>
          <w:rFonts w:hint="eastAsia"/>
          <w:color w:val="auto"/>
        </w:rPr>
      </w:pPr>
    </w:p>
    <w:p w14:paraId="590C4C9E">
      <w:pPr>
        <w:ind w:firstLine="200"/>
        <w:jc w:val="center"/>
        <w:rPr>
          <w:rFonts w:hint="eastAsia" w:ascii="宋体" w:hAnsi="宋体" w:eastAsia="宋体"/>
          <w:b/>
          <w:color w:val="auto"/>
          <w:sz w:val="32"/>
          <w:szCs w:val="32"/>
          <w:highlight w:val="none"/>
          <w:lang w:val="en-US" w:eastAsia="zh-CN"/>
        </w:rPr>
      </w:pPr>
    </w:p>
    <w:p w14:paraId="4A620317">
      <w:pPr>
        <w:ind w:firstLine="200"/>
        <w:jc w:val="center"/>
        <w:rPr>
          <w:rFonts w:hint="eastAsia" w:ascii="宋体" w:hAnsi="宋体" w:eastAsia="宋体"/>
          <w:b/>
          <w:color w:val="auto"/>
          <w:sz w:val="32"/>
          <w:szCs w:val="32"/>
          <w:highlight w:val="none"/>
          <w:lang w:val="en-US" w:eastAsia="zh-CN"/>
        </w:rPr>
      </w:pPr>
    </w:p>
    <w:p w14:paraId="76CF9BE3">
      <w:pPr>
        <w:ind w:firstLine="200"/>
        <w:jc w:val="center"/>
        <w:rPr>
          <w:rFonts w:hint="eastAsia" w:ascii="宋体" w:hAnsi="宋体" w:eastAsia="宋体"/>
          <w:b/>
          <w:color w:val="auto"/>
          <w:sz w:val="32"/>
          <w:szCs w:val="32"/>
          <w:highlight w:val="none"/>
          <w:lang w:val="en-US" w:eastAsia="zh-CN"/>
        </w:rPr>
      </w:pPr>
    </w:p>
    <w:p w14:paraId="7C6C00A9">
      <w:pPr>
        <w:ind w:firstLine="200"/>
        <w:jc w:val="center"/>
        <w:rPr>
          <w:rFonts w:hint="eastAsia" w:ascii="宋体" w:hAnsi="宋体" w:eastAsia="宋体"/>
          <w:b/>
          <w:color w:val="auto"/>
          <w:sz w:val="32"/>
          <w:szCs w:val="32"/>
          <w:highlight w:val="none"/>
          <w:lang w:val="en-US" w:eastAsia="zh-CN"/>
        </w:rPr>
      </w:pPr>
    </w:p>
    <w:p w14:paraId="6950DE2B">
      <w:pPr>
        <w:ind w:firstLine="200"/>
        <w:jc w:val="center"/>
        <w:rPr>
          <w:rFonts w:hint="eastAsia" w:ascii="宋体" w:hAnsi="宋体" w:eastAsia="宋体"/>
          <w:b/>
          <w:color w:val="auto"/>
          <w:sz w:val="32"/>
          <w:szCs w:val="32"/>
          <w:highlight w:val="none"/>
          <w:lang w:val="en-US" w:eastAsia="zh-CN"/>
        </w:rPr>
      </w:pPr>
    </w:p>
    <w:p w14:paraId="64762F6A">
      <w:pPr>
        <w:ind w:firstLine="200"/>
        <w:jc w:val="center"/>
        <w:rPr>
          <w:rFonts w:hint="eastAsia" w:ascii="宋体" w:hAnsi="宋体" w:eastAsia="宋体"/>
          <w:b/>
          <w:color w:val="auto"/>
          <w:sz w:val="32"/>
          <w:szCs w:val="32"/>
          <w:highlight w:val="none"/>
          <w:lang w:eastAsia="zh-CN"/>
        </w:rPr>
      </w:pPr>
      <w:r>
        <w:rPr>
          <w:rFonts w:hint="eastAsia" w:ascii="宋体" w:hAnsi="宋体" w:eastAsia="宋体"/>
          <w:b/>
          <w:color w:val="auto"/>
          <w:sz w:val="32"/>
          <w:szCs w:val="32"/>
          <w:highlight w:val="none"/>
          <w:lang w:val="en-US" w:eastAsia="zh-CN"/>
        </w:rPr>
        <w:t>供应商应提供的</w:t>
      </w:r>
      <w:r>
        <w:rPr>
          <w:rFonts w:hint="eastAsia" w:ascii="宋体" w:hAnsi="宋体" w:eastAsia="宋体"/>
          <w:b/>
          <w:color w:val="auto"/>
          <w:sz w:val="32"/>
          <w:szCs w:val="32"/>
          <w:highlight w:val="none"/>
        </w:rPr>
        <w:t>响应文件</w:t>
      </w:r>
      <w:r>
        <w:rPr>
          <w:rFonts w:hint="eastAsia" w:ascii="宋体" w:hAnsi="宋体" w:eastAsia="宋体"/>
          <w:b/>
          <w:color w:val="auto"/>
          <w:sz w:val="32"/>
          <w:szCs w:val="32"/>
          <w:highlight w:val="none"/>
          <w:lang w:val="en-US" w:eastAsia="zh-CN"/>
        </w:rPr>
        <w:t>材料</w:t>
      </w:r>
      <w:r>
        <w:rPr>
          <w:rFonts w:hint="eastAsia" w:ascii="宋体" w:hAnsi="宋体" w:eastAsia="宋体"/>
          <w:b/>
          <w:color w:val="auto"/>
          <w:sz w:val="32"/>
          <w:szCs w:val="32"/>
          <w:highlight w:val="none"/>
        </w:rPr>
        <w:t>目录</w:t>
      </w:r>
      <w:r>
        <w:rPr>
          <w:rFonts w:hint="eastAsia" w:ascii="宋体" w:hAnsi="宋体" w:eastAsia="宋体"/>
          <w:b/>
          <w:color w:val="auto"/>
          <w:sz w:val="32"/>
          <w:szCs w:val="32"/>
          <w:highlight w:val="none"/>
          <w:lang w:eastAsia="zh-CN"/>
        </w:rPr>
        <w:t>（按顺序装订）</w:t>
      </w:r>
    </w:p>
    <w:p w14:paraId="1AF03DD1">
      <w:pPr>
        <w:widowControl w:val="0"/>
        <w:numPr>
          <w:ilvl w:val="0"/>
          <w:numId w:val="1"/>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highlight w:val="none"/>
          <w:lang w:eastAsia="zh-CN"/>
        </w:rPr>
        <w:t>供应商有效的营业执照复印件（必须盖章，否则无效）；</w:t>
      </w:r>
    </w:p>
    <w:p w14:paraId="0F862A12">
      <w:pPr>
        <w:widowControl w:val="0"/>
        <w:numPr>
          <w:ilvl w:val="0"/>
          <w:numId w:val="1"/>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highlight w:val="none"/>
          <w:lang w:eastAsia="zh-CN"/>
        </w:rPr>
        <w:t>法定代表人身份证复印件（必须盖章，否则无效）；</w:t>
      </w:r>
    </w:p>
    <w:p w14:paraId="071330C8">
      <w:pPr>
        <w:widowControl w:val="0"/>
        <w:numPr>
          <w:ilvl w:val="0"/>
          <w:numId w:val="1"/>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highlight w:val="none"/>
          <w:lang w:eastAsia="zh-CN"/>
        </w:rPr>
        <w:t>法定代表人授权委托书原件（必须盖章，否则无效）；</w:t>
      </w:r>
    </w:p>
    <w:p w14:paraId="761CFA67">
      <w:pPr>
        <w:widowControl w:val="0"/>
        <w:numPr>
          <w:ilvl w:val="0"/>
          <w:numId w:val="1"/>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highlight w:val="none"/>
          <w:lang w:eastAsia="zh-CN"/>
        </w:rPr>
        <w:t>在“信用中国”网站 、中国政府采购网被列入失信被执行人、重大税收违法案件当事人名单、政府采购严重违法失信行为记录名单查询截图；（必须盖章，否则无效）</w:t>
      </w:r>
    </w:p>
    <w:p w14:paraId="335F94AD">
      <w:pPr>
        <w:widowControl w:val="0"/>
        <w:numPr>
          <w:ilvl w:val="0"/>
          <w:numId w:val="1"/>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highlight w:val="none"/>
          <w:lang w:eastAsia="zh-CN"/>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75AAC15D">
      <w:pPr>
        <w:widowControl w:val="0"/>
        <w:numPr>
          <w:ilvl w:val="0"/>
          <w:numId w:val="1"/>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highlight w:val="none"/>
          <w:lang w:eastAsia="zh-CN"/>
        </w:rPr>
        <w:t>供应商依法缴纳社会保障资金的相关材料（自提交响应文件截止日期前</w:t>
      </w:r>
      <w:r>
        <w:rPr>
          <w:rFonts w:hint="eastAsia" w:ascii="宋体" w:hAnsi="宋体" w:eastAsia="宋体" w:cs="Times New Roman"/>
          <w:snapToGrid/>
          <w:color w:val="auto"/>
          <w:kern w:val="2"/>
          <w:sz w:val="28"/>
          <w:szCs w:val="28"/>
          <w:highlight w:val="none"/>
          <w:lang w:val="en-US" w:eastAsia="zh-CN"/>
        </w:rPr>
        <w:t>1</w:t>
      </w:r>
      <w:r>
        <w:rPr>
          <w:rFonts w:hint="eastAsia" w:ascii="宋体" w:hAnsi="宋体" w:eastAsia="宋体" w:cs="Times New Roman"/>
          <w:snapToGrid/>
          <w:color w:val="auto"/>
          <w:kern w:val="2"/>
          <w:sz w:val="28"/>
          <w:szCs w:val="28"/>
          <w:highlight w:val="none"/>
          <w:lang w:eastAsia="zh-CN"/>
        </w:rPr>
        <w:t>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必须盖章，否则无效）；</w:t>
      </w:r>
    </w:p>
    <w:p w14:paraId="458D8D23">
      <w:pPr>
        <w:widowControl w:val="0"/>
        <w:numPr>
          <w:ilvl w:val="0"/>
          <w:numId w:val="1"/>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highlight w:val="none"/>
          <w:lang w:eastAsia="zh-CN"/>
        </w:rPr>
        <w:t>供应商直接控股、管理关系信息表（格式附后）；（必须盖章，否则无效）；</w:t>
      </w:r>
    </w:p>
    <w:p w14:paraId="4BE1F5B8">
      <w:pPr>
        <w:widowControl w:val="0"/>
        <w:numPr>
          <w:ilvl w:val="0"/>
          <w:numId w:val="1"/>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highlight w:val="none"/>
          <w:lang w:eastAsia="zh-CN"/>
        </w:rPr>
        <w:t>截止在提交响应文件之日起的前三年在经营活动中无重大违法记录，并且能在“中国裁判文书网”查询具备无行贿犯罪记录截图（必须盖章，否则无效）</w:t>
      </w:r>
    </w:p>
    <w:p w14:paraId="4A86A1CC">
      <w:pPr>
        <w:widowControl w:val="0"/>
        <w:numPr>
          <w:ilvl w:val="0"/>
          <w:numId w:val="1"/>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highlight w:val="none"/>
          <w:lang w:eastAsia="zh-CN"/>
        </w:rPr>
        <w:t>投标承诺函（必须盖章，否则无效）；</w:t>
      </w:r>
    </w:p>
    <w:p w14:paraId="47BCF855">
      <w:pPr>
        <w:widowControl w:val="0"/>
        <w:numPr>
          <w:ilvl w:val="0"/>
          <w:numId w:val="1"/>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highlight w:val="none"/>
          <w:lang w:eastAsia="zh-CN"/>
        </w:rPr>
        <w:t>报价表（必须盖章，否则无效）；</w:t>
      </w:r>
    </w:p>
    <w:p w14:paraId="53FBC168">
      <w:pPr>
        <w:widowControl w:val="0"/>
        <w:numPr>
          <w:ilvl w:val="0"/>
          <w:numId w:val="1"/>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highlight w:val="none"/>
          <w:lang w:val="en-US" w:eastAsia="zh-CN"/>
        </w:rPr>
        <w:t>管理制度、实施方案（</w:t>
      </w:r>
      <w:r>
        <w:rPr>
          <w:rFonts w:hint="eastAsia" w:ascii="宋体" w:hAnsi="宋体" w:eastAsia="宋体" w:cs="Times New Roman"/>
          <w:snapToGrid/>
          <w:color w:val="auto"/>
          <w:kern w:val="2"/>
          <w:sz w:val="28"/>
          <w:szCs w:val="28"/>
          <w:highlight w:val="none"/>
          <w:lang w:eastAsia="zh-CN"/>
        </w:rPr>
        <w:t>必须盖章，否则无效）；</w:t>
      </w:r>
    </w:p>
    <w:p w14:paraId="5451D3F8">
      <w:pPr>
        <w:widowControl w:val="0"/>
        <w:numPr>
          <w:ilvl w:val="0"/>
          <w:numId w:val="1"/>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highlight w:val="none"/>
          <w:lang w:eastAsia="zh-CN"/>
        </w:rPr>
        <w:t>服务承诺（格式自拟，必须盖章，否则无效）；</w:t>
      </w:r>
    </w:p>
    <w:p w14:paraId="250D1248">
      <w:pPr>
        <w:widowControl w:val="0"/>
        <w:numPr>
          <w:ilvl w:val="0"/>
          <w:numId w:val="1"/>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highlight w:val="none"/>
          <w:lang w:eastAsia="zh-CN"/>
        </w:rPr>
        <w:t>配送车辆（必须盖章，否则无效）；</w:t>
      </w:r>
    </w:p>
    <w:p w14:paraId="2C493F4A">
      <w:pPr>
        <w:widowControl w:val="0"/>
        <w:numPr>
          <w:ilvl w:val="0"/>
          <w:numId w:val="1"/>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highlight w:val="none"/>
          <w:lang w:eastAsia="zh-CN"/>
        </w:rPr>
        <w:t>投入人员</w:t>
      </w:r>
      <w:r>
        <w:rPr>
          <w:rFonts w:hint="eastAsia" w:ascii="宋体" w:hAnsi="宋体" w:eastAsia="宋体" w:cs="Times New Roman"/>
          <w:snapToGrid/>
          <w:color w:val="auto"/>
          <w:kern w:val="2"/>
          <w:sz w:val="28"/>
          <w:szCs w:val="28"/>
          <w:highlight w:val="none"/>
          <w:lang w:val="en-US" w:eastAsia="zh-CN"/>
        </w:rPr>
        <w:t xml:space="preserve">  </w:t>
      </w:r>
      <w:r>
        <w:rPr>
          <w:rFonts w:hint="eastAsia" w:ascii="宋体" w:hAnsi="宋体" w:eastAsia="宋体" w:cs="Times New Roman"/>
          <w:snapToGrid/>
          <w:color w:val="auto"/>
          <w:kern w:val="2"/>
          <w:sz w:val="28"/>
          <w:szCs w:val="28"/>
          <w:highlight w:val="none"/>
          <w:lang w:eastAsia="zh-CN"/>
        </w:rPr>
        <w:t>（必须盖章，否则无效）；</w:t>
      </w:r>
    </w:p>
    <w:p w14:paraId="7CC6E736">
      <w:pPr>
        <w:widowControl w:val="0"/>
        <w:numPr>
          <w:ilvl w:val="0"/>
          <w:numId w:val="1"/>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highlight w:val="none"/>
          <w:lang w:eastAsia="zh-CN"/>
        </w:rPr>
        <w:t>配送场所（必须盖章，否则无效）；</w:t>
      </w:r>
    </w:p>
    <w:p w14:paraId="707FE248">
      <w:pPr>
        <w:widowControl w:val="0"/>
        <w:numPr>
          <w:ilvl w:val="0"/>
          <w:numId w:val="1"/>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highlight w:val="none"/>
          <w:lang w:eastAsia="zh-CN"/>
        </w:rPr>
        <w:t>风险防控（必须盖章，否则无效）；</w:t>
      </w:r>
    </w:p>
    <w:p w14:paraId="37BE0FC2">
      <w:pPr>
        <w:widowControl w:val="0"/>
        <w:numPr>
          <w:ilvl w:val="0"/>
          <w:numId w:val="1"/>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highlight w:val="none"/>
          <w:lang w:eastAsia="zh-CN"/>
        </w:rPr>
        <w:t>业绩</w:t>
      </w:r>
      <w:r>
        <w:rPr>
          <w:rFonts w:hint="eastAsia" w:ascii="宋体" w:hAnsi="宋体" w:eastAsia="宋体" w:cs="Times New Roman"/>
          <w:snapToGrid/>
          <w:color w:val="auto"/>
          <w:kern w:val="2"/>
          <w:sz w:val="28"/>
          <w:szCs w:val="28"/>
          <w:highlight w:val="none"/>
          <w:lang w:val="en-US" w:eastAsia="zh-CN"/>
        </w:rPr>
        <w:t xml:space="preserve"> 1、</w:t>
      </w:r>
      <w:r>
        <w:rPr>
          <w:rFonts w:hint="eastAsia" w:ascii="宋体" w:hAnsi="宋体" w:eastAsia="宋体" w:cs="Times New Roman"/>
          <w:snapToGrid/>
          <w:color w:val="auto"/>
          <w:kern w:val="2"/>
          <w:sz w:val="28"/>
          <w:szCs w:val="28"/>
          <w:highlight w:val="none"/>
          <w:lang w:eastAsia="zh-CN"/>
        </w:rPr>
        <w:t>2023 年以来投标人拥有食材配送项目业绩</w:t>
      </w:r>
      <w:r>
        <w:rPr>
          <w:rFonts w:hint="eastAsia" w:ascii="宋体" w:hAnsi="宋体" w:eastAsia="宋体" w:cs="Times New Roman"/>
          <w:snapToGrid/>
          <w:color w:val="auto"/>
          <w:kern w:val="2"/>
          <w:sz w:val="28"/>
          <w:szCs w:val="28"/>
          <w:highlight w:val="none"/>
          <w:lang w:val="en-US" w:eastAsia="zh-CN"/>
        </w:rPr>
        <w:t>2、</w:t>
      </w:r>
      <w:r>
        <w:rPr>
          <w:rFonts w:hint="eastAsia" w:ascii="宋体" w:hAnsi="宋体" w:eastAsia="宋体" w:cs="Times New Roman"/>
          <w:snapToGrid/>
          <w:color w:val="auto"/>
          <w:kern w:val="2"/>
          <w:sz w:val="28"/>
          <w:szCs w:val="28"/>
          <w:highlight w:val="none"/>
          <w:lang w:eastAsia="zh-CN"/>
        </w:rPr>
        <w:t>2023 年以来投标人拥有食材配送</w:t>
      </w:r>
      <w:r>
        <w:rPr>
          <w:rFonts w:hint="eastAsia" w:ascii="宋体" w:hAnsi="宋体" w:eastAsia="宋体" w:cs="Times New Roman"/>
          <w:snapToGrid/>
          <w:color w:val="auto"/>
          <w:kern w:val="2"/>
          <w:sz w:val="28"/>
          <w:szCs w:val="28"/>
          <w:highlight w:val="none"/>
          <w:lang w:val="en-US" w:eastAsia="zh-CN"/>
        </w:rPr>
        <w:t>医院、学习、大中型企业</w:t>
      </w:r>
      <w:r>
        <w:rPr>
          <w:rFonts w:hint="eastAsia" w:ascii="宋体" w:hAnsi="宋体" w:eastAsia="宋体" w:cs="Times New Roman"/>
          <w:snapToGrid/>
          <w:color w:val="auto"/>
          <w:kern w:val="2"/>
          <w:sz w:val="28"/>
          <w:szCs w:val="28"/>
          <w:highlight w:val="none"/>
          <w:lang w:eastAsia="zh-CN"/>
        </w:rPr>
        <w:t>项目业绩。注：提供合同或者中标（成交）通知书复印件并加盖投标人公章，；若提供的业绩为同一甲方的，按 1 个业绩计算。（必须盖章，否则无效）；</w:t>
      </w:r>
    </w:p>
    <w:p w14:paraId="7EB3F2A9">
      <w:pPr>
        <w:widowControl w:val="0"/>
        <w:numPr>
          <w:ilvl w:val="0"/>
          <w:numId w:val="1"/>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highlight w:val="none"/>
          <w:lang w:eastAsia="zh-CN"/>
        </w:rPr>
        <w:t>（注：以上文件按顺序装订成册，一式</w:t>
      </w:r>
      <w:r>
        <w:rPr>
          <w:rFonts w:hint="eastAsia" w:ascii="宋体" w:hAnsi="宋体" w:eastAsia="宋体" w:cs="Times New Roman"/>
          <w:snapToGrid/>
          <w:color w:val="auto"/>
          <w:kern w:val="2"/>
          <w:sz w:val="28"/>
          <w:szCs w:val="28"/>
          <w:highlight w:val="none"/>
          <w:lang w:val="en-US" w:eastAsia="zh-CN"/>
        </w:rPr>
        <w:t>五</w:t>
      </w:r>
      <w:r>
        <w:rPr>
          <w:rFonts w:hint="eastAsia" w:ascii="宋体" w:hAnsi="宋体" w:eastAsia="宋体" w:cs="Times New Roman"/>
          <w:snapToGrid/>
          <w:color w:val="auto"/>
          <w:kern w:val="2"/>
          <w:sz w:val="28"/>
          <w:szCs w:val="28"/>
          <w:highlight w:val="none"/>
          <w:lang w:eastAsia="zh-CN"/>
        </w:rPr>
        <w:t>份，正本一份，副本</w:t>
      </w:r>
      <w:r>
        <w:rPr>
          <w:rFonts w:hint="eastAsia" w:ascii="宋体" w:hAnsi="宋体" w:eastAsia="宋体" w:cs="Times New Roman"/>
          <w:snapToGrid/>
          <w:color w:val="auto"/>
          <w:kern w:val="2"/>
          <w:sz w:val="28"/>
          <w:szCs w:val="28"/>
          <w:highlight w:val="none"/>
          <w:lang w:val="en-US" w:eastAsia="zh-CN"/>
        </w:rPr>
        <w:t>四</w:t>
      </w:r>
      <w:r>
        <w:rPr>
          <w:rFonts w:hint="eastAsia" w:ascii="宋体" w:hAnsi="宋体" w:eastAsia="宋体" w:cs="Times New Roman"/>
          <w:snapToGrid/>
          <w:color w:val="auto"/>
          <w:kern w:val="2"/>
          <w:sz w:val="28"/>
          <w:szCs w:val="28"/>
          <w:highlight w:val="none"/>
          <w:lang w:eastAsia="zh-CN"/>
        </w:rPr>
        <w:t>份）</w:t>
      </w:r>
    </w:p>
    <w:p w14:paraId="0C677FB1">
      <w:pPr>
        <w:ind w:firstLine="0"/>
        <w:rPr>
          <w:rFonts w:hint="eastAsia" w:ascii="宋体" w:hAnsi="宋体" w:eastAsia="宋体" w:cs="Times New Roman"/>
          <w:color w:val="auto"/>
          <w:sz w:val="28"/>
          <w:szCs w:val="28"/>
          <w:highlight w:val="none"/>
        </w:rPr>
      </w:pPr>
    </w:p>
    <w:p w14:paraId="0CC894CB">
      <w:pPr>
        <w:jc w:val="both"/>
        <w:rPr>
          <w:rFonts w:hint="eastAsia" w:ascii="宋体" w:hAnsi="宋体" w:cs="宋体"/>
          <w:b/>
          <w:bCs/>
          <w:color w:val="auto"/>
          <w:sz w:val="32"/>
          <w:szCs w:val="40"/>
        </w:rPr>
      </w:pPr>
    </w:p>
    <w:p w14:paraId="3B6B8E5B">
      <w:pPr>
        <w:pStyle w:val="5"/>
        <w:rPr>
          <w:rFonts w:hint="eastAsia" w:ascii="宋体" w:hAnsi="宋体" w:cs="宋体"/>
          <w:b/>
          <w:bCs/>
          <w:color w:val="auto"/>
          <w:sz w:val="32"/>
          <w:szCs w:val="40"/>
        </w:rPr>
      </w:pPr>
    </w:p>
    <w:p w14:paraId="12D4F995">
      <w:pPr>
        <w:rPr>
          <w:rFonts w:hint="eastAsia" w:ascii="宋体" w:hAnsi="宋体" w:cs="宋体"/>
          <w:b/>
          <w:bCs/>
          <w:color w:val="auto"/>
          <w:sz w:val="32"/>
          <w:szCs w:val="40"/>
        </w:rPr>
      </w:pPr>
    </w:p>
    <w:p w14:paraId="59D84E4D">
      <w:pPr>
        <w:rPr>
          <w:rFonts w:hint="eastAsia" w:ascii="宋体" w:hAnsi="宋体" w:cs="宋体"/>
          <w:b/>
          <w:bCs/>
          <w:color w:val="auto"/>
          <w:sz w:val="32"/>
          <w:szCs w:val="40"/>
        </w:rPr>
      </w:pPr>
    </w:p>
    <w:p w14:paraId="64AB6900">
      <w:pPr>
        <w:rPr>
          <w:rFonts w:hint="eastAsia" w:ascii="宋体" w:hAnsi="宋体" w:cs="宋体"/>
          <w:b/>
          <w:bCs/>
          <w:color w:val="auto"/>
          <w:sz w:val="32"/>
          <w:szCs w:val="40"/>
        </w:rPr>
      </w:pPr>
    </w:p>
    <w:p w14:paraId="099B5486">
      <w:pPr>
        <w:rPr>
          <w:rFonts w:hint="eastAsia" w:ascii="宋体" w:hAnsi="宋体" w:cs="宋体"/>
          <w:b/>
          <w:bCs/>
          <w:color w:val="auto"/>
          <w:sz w:val="32"/>
          <w:szCs w:val="40"/>
        </w:rPr>
      </w:pPr>
    </w:p>
    <w:p w14:paraId="32FD9945">
      <w:pPr>
        <w:rPr>
          <w:rFonts w:hint="eastAsia" w:ascii="宋体" w:hAnsi="宋体" w:cs="宋体"/>
          <w:b/>
          <w:bCs/>
          <w:color w:val="auto"/>
          <w:sz w:val="32"/>
          <w:szCs w:val="40"/>
        </w:rPr>
      </w:pPr>
    </w:p>
    <w:p w14:paraId="6466772B">
      <w:pPr>
        <w:rPr>
          <w:rFonts w:hint="eastAsia" w:ascii="宋体" w:hAnsi="宋体" w:cs="宋体"/>
          <w:b/>
          <w:bCs/>
          <w:color w:val="auto"/>
          <w:sz w:val="32"/>
          <w:szCs w:val="40"/>
        </w:rPr>
      </w:pPr>
    </w:p>
    <w:p w14:paraId="55EEAC85">
      <w:pPr>
        <w:rPr>
          <w:rFonts w:hint="eastAsia" w:ascii="宋体" w:hAnsi="宋体" w:cs="宋体"/>
          <w:b/>
          <w:bCs/>
          <w:color w:val="auto"/>
          <w:sz w:val="32"/>
          <w:szCs w:val="40"/>
        </w:rPr>
      </w:pPr>
    </w:p>
    <w:p w14:paraId="2C7625E1">
      <w:pPr>
        <w:pStyle w:val="14"/>
        <w:ind w:firstLine="2891" w:firstLineChars="900"/>
        <w:jc w:val="both"/>
        <w:rPr>
          <w:rFonts w:hint="eastAsia" w:ascii="宋体" w:hAnsi="宋体" w:eastAsia="宋体" w:cs="宋体"/>
          <w:b/>
          <w:color w:val="auto"/>
          <w:sz w:val="32"/>
        </w:rPr>
      </w:pPr>
    </w:p>
    <w:p w14:paraId="3044215A">
      <w:pPr>
        <w:pStyle w:val="14"/>
        <w:jc w:val="center"/>
        <w:rPr>
          <w:rFonts w:hint="eastAsia" w:ascii="宋体" w:hAnsi="宋体" w:eastAsia="宋体" w:cs="宋体"/>
          <w:b/>
          <w:color w:val="auto"/>
          <w:sz w:val="32"/>
        </w:rPr>
      </w:pPr>
      <w:r>
        <w:rPr>
          <w:rFonts w:hint="eastAsia" w:ascii="宋体" w:hAnsi="宋体" w:eastAsia="宋体" w:cs="宋体"/>
          <w:b/>
          <w:color w:val="auto"/>
          <w:sz w:val="32"/>
        </w:rPr>
        <w:t>竞  标  报  价  表</w:t>
      </w:r>
    </w:p>
    <w:p w14:paraId="174B7D0B">
      <w:pPr>
        <w:snapToGrid w:val="0"/>
        <w:spacing w:before="50" w:after="50" w:line="340" w:lineRule="exact"/>
        <w:rPr>
          <w:rFonts w:hint="eastAsia" w:ascii="宋体" w:hAnsi="宋体" w:cs="宋体"/>
          <w:color w:val="auto"/>
          <w:szCs w:val="21"/>
        </w:rPr>
      </w:pPr>
    </w:p>
    <w:p w14:paraId="18DEE192">
      <w:pPr>
        <w:snapToGrid w:val="0"/>
        <w:spacing w:before="50" w:after="50" w:line="340" w:lineRule="exact"/>
        <w:rPr>
          <w:rFonts w:hint="eastAsia"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u w:val="single"/>
        </w:rPr>
        <w:t xml:space="preserve">                </w:t>
      </w:r>
      <w:r>
        <w:rPr>
          <w:rFonts w:hint="eastAsia" w:ascii="宋体" w:hAnsi="宋体" w:cs="宋体"/>
          <w:color w:val="auto"/>
          <w:szCs w:val="21"/>
        </w:rPr>
        <w:t>项目编号：</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32BDA469">
      <w:pPr>
        <w:snapToGrid w:val="0"/>
        <w:spacing w:before="50" w:after="50" w:line="340" w:lineRule="exact"/>
        <w:rPr>
          <w:rFonts w:hint="eastAsia" w:ascii="宋体" w:hAnsi="宋体" w:cs="宋体"/>
          <w:color w:val="auto"/>
          <w:szCs w:val="21"/>
        </w:rPr>
      </w:pPr>
      <w:r>
        <w:rPr>
          <w:rFonts w:hint="eastAsia" w:ascii="宋体" w:hAnsi="宋体" w:cs="宋体"/>
          <w:color w:val="auto"/>
          <w:szCs w:val="21"/>
        </w:rPr>
        <w:t>供应商名称：</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71D7E4CE">
      <w:pPr>
        <w:snapToGrid w:val="0"/>
        <w:spacing w:before="50" w:after="50" w:line="340" w:lineRule="exact"/>
        <w:ind w:firstLine="4830" w:firstLineChars="2300"/>
        <w:rPr>
          <w:rFonts w:hint="eastAsia" w:ascii="宋体" w:hAnsi="宋体" w:cs="宋体"/>
          <w:color w:val="auto"/>
          <w:szCs w:val="21"/>
        </w:rPr>
      </w:pPr>
      <w:r>
        <w:rPr>
          <w:rFonts w:hint="eastAsia" w:ascii="宋体" w:hAnsi="宋体" w:cs="宋体"/>
          <w:color w:val="auto"/>
          <w:szCs w:val="21"/>
        </w:rPr>
        <w:t>单位：元</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0"/>
        <w:gridCol w:w="1799"/>
        <w:gridCol w:w="990"/>
        <w:gridCol w:w="1200"/>
        <w:gridCol w:w="1562"/>
        <w:gridCol w:w="780"/>
        <w:gridCol w:w="1725"/>
      </w:tblGrid>
      <w:tr w14:paraId="45B33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013817F8">
            <w:pPr>
              <w:spacing w:line="340" w:lineRule="exact"/>
              <w:jc w:val="center"/>
              <w:rPr>
                <w:rFonts w:hint="eastAsia" w:ascii="宋体" w:hAnsi="宋体" w:cs="宋体"/>
                <w:b/>
                <w:bCs/>
                <w:color w:val="auto"/>
                <w:szCs w:val="21"/>
              </w:rPr>
            </w:pPr>
            <w:r>
              <w:rPr>
                <w:rFonts w:hint="eastAsia" w:ascii="宋体" w:hAnsi="宋体" w:cs="宋体"/>
                <w:b/>
                <w:bCs/>
                <w:color w:val="auto"/>
                <w:szCs w:val="21"/>
              </w:rPr>
              <w:t>项号</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3ED0C7C">
            <w:pPr>
              <w:spacing w:line="340" w:lineRule="exact"/>
              <w:jc w:val="center"/>
              <w:rPr>
                <w:rFonts w:hint="eastAsia" w:ascii="宋体" w:hAnsi="宋体" w:cs="宋体"/>
                <w:b/>
                <w:bCs/>
                <w:color w:val="auto"/>
                <w:szCs w:val="21"/>
              </w:rPr>
            </w:pPr>
            <w:r>
              <w:rPr>
                <w:rFonts w:hint="eastAsia" w:ascii="宋体" w:hAnsi="宋体" w:cs="宋体"/>
                <w:b/>
                <w:bCs/>
                <w:color w:val="auto"/>
                <w:szCs w:val="21"/>
              </w:rPr>
              <w:t>服务名称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3699BAD">
            <w:pPr>
              <w:spacing w:line="340" w:lineRule="exact"/>
              <w:jc w:val="center"/>
              <w:rPr>
                <w:rFonts w:hint="eastAsia" w:ascii="宋体" w:hAnsi="宋体" w:cs="宋体"/>
                <w:b/>
                <w:bCs/>
                <w:color w:val="auto"/>
                <w:szCs w:val="21"/>
              </w:rPr>
            </w:pPr>
            <w:r>
              <w:rPr>
                <w:rFonts w:hint="eastAsia" w:ascii="宋体" w:hAnsi="宋体" w:cs="宋体"/>
                <w:b/>
                <w:bCs/>
                <w:color w:val="auto"/>
                <w:szCs w:val="21"/>
              </w:rPr>
              <w:t>数量</w:t>
            </w:r>
          </w:p>
          <w:p w14:paraId="62A72E1D">
            <w:pPr>
              <w:spacing w:line="340" w:lineRule="exact"/>
              <w:jc w:val="center"/>
              <w:rPr>
                <w:rFonts w:hint="eastAsia" w:ascii="宋体" w:hAnsi="宋体" w:cs="宋体"/>
                <w:b/>
                <w:bCs/>
                <w:color w:val="auto"/>
                <w:szCs w:val="21"/>
              </w:rPr>
            </w:pPr>
            <w:r>
              <w:rPr>
                <w:rFonts w:hint="eastAsia" w:ascii="宋体" w:hAnsi="宋体" w:cs="宋体"/>
                <w:b/>
                <w:bCs/>
                <w:color w:val="auto"/>
                <w:szCs w:val="21"/>
              </w:rPr>
              <w:t>①</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40CB1CE">
            <w:pPr>
              <w:spacing w:line="340" w:lineRule="exact"/>
              <w:jc w:val="center"/>
              <w:rPr>
                <w:rFonts w:hint="eastAsia" w:ascii="宋体" w:hAnsi="宋体" w:cs="宋体"/>
                <w:b/>
                <w:bCs/>
                <w:color w:val="auto"/>
                <w:szCs w:val="21"/>
              </w:rPr>
            </w:pPr>
            <w:r>
              <w:rPr>
                <w:rFonts w:hint="eastAsia" w:ascii="宋体" w:hAnsi="宋体" w:cs="宋体"/>
                <w:b/>
                <w:bCs/>
                <w:color w:val="auto"/>
                <w:szCs w:val="21"/>
              </w:rPr>
              <w:t>计量</w:t>
            </w:r>
          </w:p>
          <w:p w14:paraId="4603CB9F">
            <w:pPr>
              <w:spacing w:line="340" w:lineRule="exact"/>
              <w:jc w:val="center"/>
              <w:rPr>
                <w:rFonts w:hint="eastAsia" w:ascii="宋体" w:hAnsi="宋体" w:cs="宋体"/>
                <w:b/>
                <w:bCs/>
                <w:color w:val="auto"/>
                <w:szCs w:val="21"/>
              </w:rPr>
            </w:pPr>
            <w:r>
              <w:rPr>
                <w:rFonts w:hint="eastAsia" w:ascii="宋体" w:hAnsi="宋体" w:cs="宋体"/>
                <w:b/>
                <w:bCs/>
                <w:color w:val="auto"/>
                <w:szCs w:val="21"/>
              </w:rPr>
              <w:t>单位</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2A93E867">
            <w:pPr>
              <w:spacing w:line="340" w:lineRule="exact"/>
              <w:jc w:val="center"/>
              <w:rPr>
                <w:rFonts w:hint="eastAsia" w:ascii="宋体" w:hAnsi="宋体" w:cs="宋体"/>
                <w:b/>
                <w:bCs/>
                <w:color w:val="auto"/>
                <w:szCs w:val="21"/>
              </w:rPr>
            </w:pPr>
            <w:r>
              <w:rPr>
                <w:rFonts w:hint="eastAsia" w:ascii="宋体" w:hAnsi="宋体" w:cs="宋体"/>
                <w:b/>
                <w:bCs/>
                <w:color w:val="auto"/>
                <w:szCs w:val="21"/>
              </w:rPr>
              <w:t>服务期限</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F9028B2">
            <w:pPr>
              <w:spacing w:line="340" w:lineRule="exact"/>
              <w:jc w:val="center"/>
              <w:rPr>
                <w:rFonts w:hint="eastAsia" w:ascii="宋体" w:hAnsi="宋体" w:cs="宋体"/>
                <w:b/>
                <w:bCs/>
                <w:color w:val="auto"/>
                <w:szCs w:val="21"/>
              </w:rPr>
            </w:pPr>
            <w:r>
              <w:rPr>
                <w:rFonts w:hint="eastAsia" w:ascii="宋体" w:hAnsi="宋体" w:cs="宋体"/>
                <w:b/>
                <w:bCs/>
                <w:color w:val="auto"/>
                <w:szCs w:val="21"/>
              </w:rPr>
              <w:t>单价</w:t>
            </w:r>
          </w:p>
          <w:p w14:paraId="21F2FD18">
            <w:pPr>
              <w:spacing w:line="340" w:lineRule="exact"/>
              <w:jc w:val="center"/>
              <w:rPr>
                <w:rFonts w:hint="eastAsia" w:ascii="宋体" w:hAnsi="宋体" w:cs="宋体"/>
                <w:b/>
                <w:bCs/>
                <w:color w:val="auto"/>
                <w:szCs w:val="21"/>
              </w:rPr>
            </w:pPr>
            <w:r>
              <w:rPr>
                <w:rFonts w:hint="eastAsia" w:ascii="宋体" w:hAnsi="宋体" w:cs="宋体"/>
                <w:b/>
                <w:bCs/>
                <w:color w:val="auto"/>
                <w:szCs w:val="21"/>
              </w:rPr>
              <w:t>②</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A2F35DB">
            <w:pPr>
              <w:spacing w:line="340" w:lineRule="exact"/>
              <w:jc w:val="center"/>
              <w:rPr>
                <w:rFonts w:hint="eastAsia" w:ascii="宋体" w:hAnsi="宋体" w:cs="宋体"/>
                <w:b/>
                <w:bCs/>
                <w:color w:val="auto"/>
                <w:szCs w:val="21"/>
              </w:rPr>
            </w:pPr>
            <w:r>
              <w:rPr>
                <w:rFonts w:hint="eastAsia" w:ascii="宋体" w:hAnsi="宋体" w:cs="宋体"/>
                <w:b/>
                <w:bCs/>
                <w:color w:val="auto"/>
                <w:szCs w:val="21"/>
              </w:rPr>
              <w:t>竞标报价</w:t>
            </w:r>
          </w:p>
          <w:p w14:paraId="10F87D5A">
            <w:pPr>
              <w:spacing w:line="340" w:lineRule="exact"/>
              <w:jc w:val="center"/>
              <w:rPr>
                <w:rFonts w:hint="eastAsia" w:ascii="宋体" w:hAnsi="宋体" w:cs="宋体"/>
                <w:b/>
                <w:bCs/>
                <w:color w:val="auto"/>
                <w:szCs w:val="21"/>
              </w:rPr>
            </w:pPr>
            <w:r>
              <w:rPr>
                <w:rFonts w:hint="eastAsia" w:ascii="宋体" w:hAnsi="宋体" w:cs="宋体"/>
                <w:b/>
                <w:bCs/>
                <w:color w:val="auto"/>
                <w:szCs w:val="21"/>
              </w:rPr>
              <w:t>③=①×②</w:t>
            </w:r>
          </w:p>
        </w:tc>
      </w:tr>
      <w:tr w14:paraId="638889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5F8CF57C">
            <w:pPr>
              <w:spacing w:line="340" w:lineRule="exact"/>
              <w:jc w:val="center"/>
              <w:rPr>
                <w:rFonts w:hint="eastAsia" w:ascii="宋体" w:hAnsi="宋体" w:cs="宋体"/>
                <w:color w:val="auto"/>
                <w:szCs w:val="21"/>
              </w:rPr>
            </w:pPr>
            <w:r>
              <w:rPr>
                <w:rFonts w:hint="eastAsia" w:ascii="宋体" w:hAnsi="宋体" w:cs="宋体"/>
                <w:color w:val="auto"/>
                <w:szCs w:val="21"/>
              </w:rPr>
              <w:t>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013643C">
            <w:pPr>
              <w:spacing w:line="340" w:lineRule="exact"/>
              <w:jc w:val="center"/>
              <w:rPr>
                <w:rFonts w:hint="eastAsia" w:ascii="宋体" w:hAnsi="宋体" w:cs="宋体"/>
                <w:color w:val="auto"/>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2CA61E5D">
            <w:pPr>
              <w:spacing w:line="340" w:lineRule="exact"/>
              <w:jc w:val="center"/>
              <w:rPr>
                <w:rFonts w:hint="eastAsia" w:ascii="宋体" w:hAnsi="宋体" w:cs="宋体"/>
                <w:color w:val="auto"/>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3DD30AB">
            <w:pPr>
              <w:spacing w:line="340" w:lineRule="exact"/>
              <w:jc w:val="center"/>
              <w:rPr>
                <w:rFonts w:hint="eastAsia" w:ascii="宋体" w:hAnsi="宋体" w:cs="宋体"/>
                <w:color w:val="auto"/>
                <w:szCs w:val="21"/>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14:paraId="7EF2114C">
            <w:pPr>
              <w:spacing w:line="340" w:lineRule="exact"/>
              <w:jc w:val="center"/>
              <w:rPr>
                <w:rFonts w:hint="eastAsia" w:ascii="宋体" w:hAnsi="宋体" w:cs="宋体"/>
                <w:color w:val="auto"/>
                <w:szCs w:val="21"/>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22755E3">
            <w:pPr>
              <w:spacing w:line="340" w:lineRule="exact"/>
              <w:jc w:val="center"/>
              <w:rPr>
                <w:rFonts w:hint="eastAsia" w:ascii="宋体" w:hAnsi="宋体" w:cs="宋体"/>
                <w:color w:val="auto"/>
                <w:szCs w:val="21"/>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CF733F8">
            <w:pPr>
              <w:spacing w:line="340" w:lineRule="exact"/>
              <w:jc w:val="center"/>
              <w:rPr>
                <w:rFonts w:hint="eastAsia" w:ascii="宋体" w:hAnsi="宋体" w:cs="宋体"/>
                <w:color w:val="auto"/>
                <w:szCs w:val="21"/>
              </w:rPr>
            </w:pPr>
          </w:p>
        </w:tc>
      </w:tr>
      <w:tr w14:paraId="2E1EB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6F12C68F">
            <w:pPr>
              <w:spacing w:line="340" w:lineRule="exact"/>
              <w:jc w:val="center"/>
              <w:rPr>
                <w:rFonts w:hint="eastAsia" w:ascii="宋体" w:hAnsi="宋体" w:cs="宋体"/>
                <w:color w:val="auto"/>
                <w:szCs w:val="21"/>
              </w:rPr>
            </w:pPr>
            <w:r>
              <w:rPr>
                <w:rFonts w:hint="eastAsia" w:ascii="宋体" w:hAnsi="宋体" w:cs="宋体"/>
                <w:color w:val="auto"/>
                <w:szCs w:val="21"/>
              </w:rPr>
              <w:t>2</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19D9DD39">
            <w:pPr>
              <w:spacing w:line="340" w:lineRule="exact"/>
              <w:jc w:val="center"/>
              <w:rPr>
                <w:rFonts w:hint="eastAsia" w:ascii="宋体" w:hAnsi="宋体" w:cs="宋体"/>
                <w:color w:val="auto"/>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7514734A">
            <w:pPr>
              <w:spacing w:line="340" w:lineRule="exact"/>
              <w:jc w:val="center"/>
              <w:rPr>
                <w:rFonts w:hint="eastAsia" w:ascii="宋体" w:hAnsi="宋体" w:cs="宋体"/>
                <w:color w:val="auto"/>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C4B3D4B">
            <w:pPr>
              <w:spacing w:line="340" w:lineRule="exact"/>
              <w:jc w:val="center"/>
              <w:rPr>
                <w:rFonts w:hint="eastAsia" w:ascii="宋体" w:hAnsi="宋体" w:cs="宋体"/>
                <w:color w:val="auto"/>
                <w:szCs w:val="21"/>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14:paraId="7F6B1B2E">
            <w:pPr>
              <w:spacing w:line="340" w:lineRule="exact"/>
              <w:jc w:val="center"/>
              <w:rPr>
                <w:rFonts w:hint="eastAsia" w:ascii="宋体" w:hAnsi="宋体" w:cs="宋体"/>
                <w:color w:val="auto"/>
                <w:szCs w:val="21"/>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1CC0A71">
            <w:pPr>
              <w:spacing w:line="340" w:lineRule="exact"/>
              <w:jc w:val="center"/>
              <w:rPr>
                <w:rFonts w:hint="eastAsia" w:ascii="宋体" w:hAnsi="宋体" w:cs="宋体"/>
                <w:color w:val="auto"/>
                <w:szCs w:val="21"/>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2D0726D">
            <w:pPr>
              <w:spacing w:line="340" w:lineRule="exact"/>
              <w:jc w:val="center"/>
              <w:rPr>
                <w:rFonts w:hint="eastAsia" w:ascii="宋体" w:hAnsi="宋体" w:cs="宋体"/>
                <w:color w:val="auto"/>
                <w:szCs w:val="21"/>
              </w:rPr>
            </w:pPr>
          </w:p>
        </w:tc>
      </w:tr>
      <w:tr w14:paraId="404AB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5623DCB0">
            <w:pPr>
              <w:spacing w:line="340" w:lineRule="exact"/>
              <w:jc w:val="center"/>
              <w:rPr>
                <w:rFonts w:hint="eastAsia" w:ascii="宋体" w:hAnsi="宋体" w:cs="宋体"/>
                <w:color w:val="auto"/>
                <w:szCs w:val="21"/>
              </w:rPr>
            </w:pPr>
            <w:r>
              <w:rPr>
                <w:rFonts w:hint="eastAsia" w:ascii="宋体" w:hAnsi="宋体" w:cs="宋体"/>
                <w:color w:val="auto"/>
                <w:szCs w:val="21"/>
              </w:rPr>
              <w:t>……</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3F7838B">
            <w:pPr>
              <w:spacing w:line="340" w:lineRule="exact"/>
              <w:jc w:val="center"/>
              <w:rPr>
                <w:rFonts w:hint="eastAsia" w:ascii="宋体" w:hAnsi="宋体" w:cs="宋体"/>
                <w:color w:val="auto"/>
                <w:szCs w:val="21"/>
              </w:rPr>
            </w:pPr>
            <w:r>
              <w:rPr>
                <w:rFonts w:hint="eastAsia" w:ascii="宋体" w:hAnsi="宋体" w:cs="宋体"/>
                <w:color w:val="auto"/>
                <w:szCs w:val="21"/>
              </w:rPr>
              <w:t>……</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60FC940A">
            <w:pPr>
              <w:spacing w:line="340" w:lineRule="exact"/>
              <w:jc w:val="center"/>
              <w:rPr>
                <w:rFonts w:hint="eastAsia" w:ascii="宋体" w:hAnsi="宋体" w:cs="宋体"/>
                <w:color w:val="auto"/>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81107B5">
            <w:pPr>
              <w:spacing w:line="340" w:lineRule="exact"/>
              <w:jc w:val="center"/>
              <w:rPr>
                <w:rFonts w:hint="eastAsia" w:ascii="宋体" w:hAnsi="宋体" w:cs="宋体"/>
                <w:color w:val="auto"/>
                <w:szCs w:val="21"/>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14:paraId="66C427C3">
            <w:pPr>
              <w:spacing w:line="340" w:lineRule="exact"/>
              <w:jc w:val="center"/>
              <w:rPr>
                <w:rFonts w:hint="eastAsia" w:ascii="宋体" w:hAnsi="宋体" w:cs="宋体"/>
                <w:color w:val="auto"/>
                <w:szCs w:val="21"/>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F6F37E8">
            <w:pPr>
              <w:spacing w:line="340" w:lineRule="exact"/>
              <w:jc w:val="center"/>
              <w:rPr>
                <w:rFonts w:hint="eastAsia" w:ascii="宋体" w:hAnsi="宋体" w:cs="宋体"/>
                <w:color w:val="auto"/>
                <w:szCs w:val="21"/>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0FBAC52">
            <w:pPr>
              <w:spacing w:line="340" w:lineRule="exact"/>
              <w:jc w:val="center"/>
              <w:rPr>
                <w:rFonts w:hint="eastAsia" w:ascii="宋体" w:hAnsi="宋体" w:cs="宋体"/>
                <w:color w:val="auto"/>
                <w:szCs w:val="21"/>
              </w:rPr>
            </w:pPr>
          </w:p>
        </w:tc>
      </w:tr>
    </w:tbl>
    <w:p w14:paraId="6BAAE68A">
      <w:pPr>
        <w:snapToGrid w:val="0"/>
        <w:spacing w:before="50" w:after="50" w:line="340" w:lineRule="exact"/>
        <w:jc w:val="left"/>
        <w:rPr>
          <w:rFonts w:hint="eastAsia" w:ascii="宋体" w:hAnsi="宋体" w:cs="宋体"/>
          <w:color w:val="auto"/>
          <w:szCs w:val="21"/>
        </w:rPr>
      </w:pPr>
      <w:r>
        <w:rPr>
          <w:rFonts w:hint="eastAsia" w:ascii="宋体" w:hAnsi="宋体" w:cs="宋体"/>
          <w:color w:val="auto"/>
          <w:szCs w:val="21"/>
        </w:rPr>
        <w:t xml:space="preserve">注： </w:t>
      </w:r>
    </w:p>
    <w:p w14:paraId="55495869">
      <w:pPr>
        <w:pStyle w:val="7"/>
        <w:spacing w:line="400" w:lineRule="exact"/>
        <w:ind w:firstLine="420" w:firstLineChars="200"/>
        <w:rPr>
          <w:rFonts w:hint="eastAsia" w:ascii="宋体" w:hAnsi="宋体" w:cs="宋体"/>
          <w:color w:val="auto"/>
          <w:szCs w:val="21"/>
        </w:rPr>
      </w:pPr>
      <w:r>
        <w:rPr>
          <w:rFonts w:hint="eastAsia" w:ascii="宋体" w:hAnsi="宋体" w:cs="宋体"/>
          <w:color w:val="auto"/>
          <w:szCs w:val="21"/>
        </w:rPr>
        <w:t>（一）报价必须含以下部分，包括：</w:t>
      </w:r>
    </w:p>
    <w:p w14:paraId="7BC21EC1">
      <w:pPr>
        <w:pStyle w:val="7"/>
        <w:spacing w:line="400" w:lineRule="exact"/>
        <w:ind w:firstLine="840" w:firstLineChars="400"/>
        <w:rPr>
          <w:rFonts w:hint="eastAsia" w:ascii="宋体" w:hAnsi="宋体" w:cs="宋体"/>
          <w:color w:val="auto"/>
          <w:szCs w:val="21"/>
        </w:rPr>
      </w:pPr>
      <w:r>
        <w:rPr>
          <w:rFonts w:hint="eastAsia" w:ascii="宋体" w:hAnsi="宋体" w:cs="宋体"/>
          <w:color w:val="auto"/>
          <w:szCs w:val="21"/>
        </w:rPr>
        <w:t>1.服务的价格；</w:t>
      </w:r>
    </w:p>
    <w:p w14:paraId="2EF41E8C">
      <w:pPr>
        <w:pStyle w:val="7"/>
        <w:spacing w:line="400" w:lineRule="exact"/>
        <w:ind w:firstLine="840" w:firstLineChars="400"/>
        <w:rPr>
          <w:rFonts w:hint="eastAsia" w:ascii="宋体" w:hAnsi="宋体" w:cs="宋体"/>
          <w:color w:val="auto"/>
          <w:szCs w:val="21"/>
        </w:rPr>
      </w:pPr>
      <w:r>
        <w:rPr>
          <w:rFonts w:hint="eastAsia" w:ascii="宋体" w:hAnsi="宋体" w:cs="宋体"/>
          <w:color w:val="auto"/>
          <w:szCs w:val="21"/>
        </w:rPr>
        <w:t>2.必要的差旅费费用等；</w:t>
      </w:r>
    </w:p>
    <w:p w14:paraId="690C0A0D">
      <w:pPr>
        <w:pStyle w:val="7"/>
        <w:spacing w:line="400" w:lineRule="exact"/>
        <w:ind w:firstLine="420" w:firstLineChars="200"/>
        <w:jc w:val="both"/>
        <w:rPr>
          <w:rFonts w:hint="eastAsia" w:ascii="宋体" w:hAnsi="宋体" w:cs="宋体"/>
          <w:color w:val="auto"/>
          <w:szCs w:val="21"/>
        </w:rPr>
      </w:pPr>
      <w:r>
        <w:rPr>
          <w:rFonts w:hint="eastAsia" w:ascii="宋体" w:hAnsi="宋体" w:cs="宋体"/>
          <w:color w:val="auto"/>
          <w:szCs w:val="21"/>
        </w:rPr>
        <w:t>（二）投标单位须根据采购需求及评分标准编制项目实施方案；</w:t>
      </w:r>
    </w:p>
    <w:p w14:paraId="799D7147">
      <w:pPr>
        <w:pStyle w:val="7"/>
        <w:spacing w:line="400" w:lineRule="exact"/>
        <w:ind w:firstLine="420" w:firstLineChars="200"/>
        <w:jc w:val="both"/>
        <w:rPr>
          <w:rFonts w:hint="eastAsia" w:ascii="宋体" w:hAnsi="宋体" w:cs="宋体"/>
          <w:color w:val="auto"/>
          <w:szCs w:val="21"/>
        </w:rPr>
      </w:pPr>
      <w:r>
        <w:rPr>
          <w:rFonts w:hint="eastAsia" w:ascii="宋体" w:hAnsi="宋体" w:cs="宋体"/>
          <w:color w:val="auto"/>
          <w:szCs w:val="21"/>
        </w:rPr>
        <w:t>（三）投标单位须根据采购需求及评分标准编制服务质量保证措施、服务承诺及合理化建议；</w:t>
      </w:r>
    </w:p>
    <w:p w14:paraId="47C26835">
      <w:pPr>
        <w:pStyle w:val="7"/>
        <w:spacing w:line="400" w:lineRule="exact"/>
        <w:ind w:firstLine="420" w:firstLineChars="200"/>
        <w:rPr>
          <w:rFonts w:hint="eastAsia" w:ascii="宋体" w:hAnsi="宋体" w:cs="宋体"/>
          <w:color w:val="auto"/>
          <w:szCs w:val="21"/>
        </w:rPr>
      </w:pPr>
      <w:r>
        <w:rPr>
          <w:rFonts w:hint="eastAsia" w:ascii="宋体" w:hAnsi="宋体" w:cs="宋体"/>
          <w:color w:val="auto"/>
          <w:szCs w:val="21"/>
        </w:rPr>
        <w:t>（四）以上内容为必须实质性响应的内容，如有负偏离，则做无效标处理。</w:t>
      </w:r>
    </w:p>
    <w:p w14:paraId="78519563">
      <w:pPr>
        <w:pStyle w:val="7"/>
        <w:spacing w:line="400" w:lineRule="exact"/>
        <w:ind w:firstLine="420" w:firstLineChars="200"/>
        <w:rPr>
          <w:rFonts w:hint="eastAsia" w:ascii="宋体" w:hAnsi="宋体" w:cs="宋体"/>
          <w:color w:val="auto"/>
          <w:szCs w:val="21"/>
        </w:rPr>
      </w:pPr>
      <w:r>
        <w:rPr>
          <w:rFonts w:hint="eastAsia" w:ascii="宋体" w:hAnsi="宋体" w:cs="宋体"/>
          <w:color w:val="auto"/>
          <w:szCs w:val="21"/>
        </w:rPr>
        <w:t>（五）法律顾问代理我院诉讼、仲裁案件时，中标方按照附件《广西壮族自治区律师服务收费标准》第五项</w:t>
      </w:r>
      <w:r>
        <w:rPr>
          <w:rFonts w:hint="eastAsia" w:ascii="宋体" w:hAnsi="宋体" w:cs="宋体"/>
          <w:b/>
          <w:bCs/>
          <w:color w:val="auto"/>
          <w:szCs w:val="21"/>
        </w:rPr>
        <w:t>“按比例收费”的</w:t>
      </w:r>
      <w:r>
        <w:rPr>
          <w:rFonts w:hint="eastAsia" w:ascii="宋体" w:hAnsi="宋体" w:cs="宋体"/>
          <w:b/>
          <w:bCs/>
          <w:color w:val="auto"/>
          <w:szCs w:val="21"/>
          <w:u w:val="single"/>
        </w:rPr>
        <w:t xml:space="preserve">   </w:t>
      </w:r>
      <w:r>
        <w:rPr>
          <w:rFonts w:hint="eastAsia" w:ascii="宋体" w:hAnsi="宋体" w:cs="宋体"/>
          <w:b/>
          <w:bCs/>
          <w:color w:val="auto"/>
          <w:szCs w:val="21"/>
        </w:rPr>
        <w:t>折</w:t>
      </w:r>
      <w:r>
        <w:rPr>
          <w:rFonts w:hint="eastAsia" w:ascii="宋体" w:hAnsi="宋体" w:cs="宋体"/>
          <w:color w:val="auto"/>
          <w:szCs w:val="21"/>
        </w:rPr>
        <w:t>优惠收取案件代理费。</w:t>
      </w:r>
    </w:p>
    <w:p w14:paraId="4F4620D9">
      <w:pPr>
        <w:snapToGrid w:val="0"/>
        <w:spacing w:before="50" w:after="50" w:line="520" w:lineRule="exact"/>
        <w:ind w:right="-817" w:rightChars="-389"/>
        <w:rPr>
          <w:rFonts w:hint="eastAsia" w:ascii="宋体" w:hAnsi="宋体" w:cs="宋体"/>
          <w:color w:val="auto"/>
          <w:szCs w:val="21"/>
        </w:rPr>
      </w:pPr>
    </w:p>
    <w:p w14:paraId="2F982EA4">
      <w:pPr>
        <w:snapToGrid w:val="0"/>
        <w:spacing w:before="50" w:after="50" w:line="520" w:lineRule="exact"/>
        <w:ind w:right="-817" w:rightChars="-389"/>
        <w:rPr>
          <w:rFonts w:hint="eastAsia" w:ascii="宋体" w:hAnsi="宋体" w:cs="宋体"/>
          <w:color w:val="auto"/>
          <w:szCs w:val="21"/>
        </w:rPr>
      </w:pPr>
      <w:r>
        <w:rPr>
          <w:rFonts w:hint="eastAsia" w:ascii="宋体" w:hAnsi="宋体" w:cs="宋体"/>
          <w:color w:val="auto"/>
          <w:szCs w:val="21"/>
        </w:rPr>
        <w:t xml:space="preserve">法定代表人（负责人或自然人）或委托代理人（签字）：                    </w:t>
      </w:r>
    </w:p>
    <w:p w14:paraId="5A0B72DB">
      <w:pPr>
        <w:snapToGrid w:val="0"/>
        <w:spacing w:before="50" w:after="50" w:line="520" w:lineRule="exact"/>
        <w:ind w:right="-817" w:rightChars="-389" w:firstLine="2310" w:firstLineChars="1100"/>
        <w:rPr>
          <w:rFonts w:hint="eastAsia" w:ascii="宋体" w:hAnsi="宋体" w:cs="宋体"/>
          <w:color w:val="auto"/>
          <w:szCs w:val="21"/>
        </w:rPr>
      </w:pPr>
      <w:r>
        <w:rPr>
          <w:rFonts w:hint="eastAsia" w:ascii="宋体" w:hAnsi="宋体" w:cs="宋体"/>
          <w:color w:val="auto"/>
          <w:szCs w:val="21"/>
        </w:rPr>
        <w:t xml:space="preserve">供应商（盖公章）：      </w:t>
      </w:r>
    </w:p>
    <w:p w14:paraId="3A30F176">
      <w:pPr>
        <w:snapToGrid w:val="0"/>
        <w:spacing w:before="50" w:after="50" w:line="520" w:lineRule="exact"/>
        <w:ind w:right="-817" w:rightChars="-389" w:firstLine="3570" w:firstLineChars="1700"/>
        <w:rPr>
          <w:rFonts w:hint="eastAsia" w:ascii="宋体" w:hAnsi="宋体" w:cs="宋体"/>
          <w:color w:val="auto"/>
          <w:szCs w:val="21"/>
        </w:rPr>
      </w:pPr>
      <w:r>
        <w:rPr>
          <w:rFonts w:hint="eastAsia" w:ascii="宋体" w:hAnsi="宋体" w:cs="宋体"/>
          <w:color w:val="auto"/>
          <w:szCs w:val="21"/>
        </w:rPr>
        <w:t>日期：   年   月   日</w:t>
      </w:r>
    </w:p>
    <w:p w14:paraId="2658B59B">
      <w:pPr>
        <w:rPr>
          <w:rFonts w:hint="eastAsia" w:ascii="宋体" w:hAnsi="宋体" w:cs="宋体"/>
          <w:color w:val="auto"/>
        </w:rPr>
      </w:pPr>
    </w:p>
    <w:p w14:paraId="0C4DD050">
      <w:pPr>
        <w:rPr>
          <w:rFonts w:hint="eastAsia" w:ascii="宋体" w:hAnsi="宋体" w:cs="宋体"/>
          <w:color w:val="auto"/>
        </w:rPr>
      </w:pPr>
    </w:p>
    <w:p w14:paraId="2A45FA2D">
      <w:pPr>
        <w:rPr>
          <w:rFonts w:hint="eastAsia" w:ascii="宋体" w:hAnsi="宋体" w:cs="宋体"/>
          <w:color w:val="auto"/>
        </w:rPr>
      </w:pPr>
    </w:p>
    <w:p w14:paraId="2C82553C">
      <w:pPr>
        <w:rPr>
          <w:rFonts w:hint="eastAsia" w:ascii="宋体" w:hAnsi="宋体" w:cs="宋体"/>
          <w:color w:val="auto"/>
        </w:rPr>
      </w:pPr>
    </w:p>
    <w:p w14:paraId="0BE18581">
      <w:pPr>
        <w:rPr>
          <w:rFonts w:hint="eastAsia" w:ascii="宋体" w:hAnsi="宋体" w:cs="宋体"/>
          <w:color w:val="auto"/>
        </w:rPr>
      </w:pPr>
    </w:p>
    <w:p w14:paraId="41E452FF">
      <w:pPr>
        <w:rPr>
          <w:rFonts w:hint="eastAsia" w:ascii="宋体" w:hAnsi="宋体" w:cs="宋体"/>
          <w:color w:val="auto"/>
        </w:rPr>
      </w:pPr>
    </w:p>
    <w:p w14:paraId="3D48F7FB">
      <w:pPr>
        <w:rPr>
          <w:rFonts w:hint="eastAsia" w:ascii="宋体" w:hAnsi="宋体" w:cs="宋体"/>
          <w:color w:val="auto"/>
        </w:rPr>
      </w:pPr>
    </w:p>
    <w:p w14:paraId="0DDFDC62">
      <w:pPr>
        <w:rPr>
          <w:rFonts w:hint="eastAsia" w:ascii="宋体" w:hAnsi="宋体" w:cs="宋体"/>
          <w:color w:val="auto"/>
        </w:rPr>
      </w:pPr>
    </w:p>
    <w:p w14:paraId="786F7A92">
      <w:pPr>
        <w:rPr>
          <w:rFonts w:hint="eastAsia" w:ascii="宋体" w:hAnsi="宋体" w:cs="宋体"/>
          <w:color w:val="auto"/>
        </w:rPr>
      </w:pPr>
    </w:p>
    <w:p w14:paraId="52D7F662">
      <w:pPr>
        <w:rPr>
          <w:rFonts w:hint="eastAsia" w:ascii="宋体" w:hAnsi="宋体" w:cs="宋体"/>
          <w:color w:val="auto"/>
        </w:rPr>
      </w:pPr>
    </w:p>
    <w:p w14:paraId="41E54409">
      <w:pPr>
        <w:rPr>
          <w:rFonts w:hint="eastAsia" w:ascii="宋体" w:hAnsi="宋体" w:cs="宋体"/>
          <w:color w:val="auto"/>
        </w:rPr>
      </w:pPr>
    </w:p>
    <w:p w14:paraId="272CF748">
      <w:pPr>
        <w:rPr>
          <w:rFonts w:hint="eastAsia" w:ascii="宋体" w:hAnsi="宋体" w:cs="宋体"/>
          <w:color w:val="auto"/>
        </w:rPr>
      </w:pPr>
    </w:p>
    <w:p w14:paraId="2C4DF1E2">
      <w:pPr>
        <w:pStyle w:val="14"/>
        <w:jc w:val="center"/>
        <w:rPr>
          <w:rFonts w:hint="eastAsia" w:ascii="宋体" w:hAnsi="宋体" w:eastAsia="宋体" w:cs="宋体"/>
          <w:b/>
          <w:color w:val="auto"/>
          <w:sz w:val="32"/>
        </w:rPr>
      </w:pPr>
      <w:r>
        <w:rPr>
          <w:rFonts w:hint="eastAsia" w:ascii="宋体" w:hAnsi="宋体" w:eastAsia="宋体" w:cs="宋体"/>
          <w:b/>
          <w:color w:val="auto"/>
          <w:sz w:val="32"/>
        </w:rPr>
        <w:t>采购要求响应表</w:t>
      </w:r>
    </w:p>
    <w:p w14:paraId="788CB13D">
      <w:pPr>
        <w:rPr>
          <w:rFonts w:hint="eastAsia" w:ascii="宋体" w:hAnsi="宋体" w:cs="宋体"/>
          <w:color w:val="auto"/>
        </w:rPr>
      </w:pPr>
    </w:p>
    <w:p w14:paraId="5973BE6F">
      <w:pPr>
        <w:spacing w:line="500" w:lineRule="exact"/>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6773A658">
      <w:pPr>
        <w:spacing w:line="500" w:lineRule="exact"/>
        <w:rPr>
          <w:rFonts w:hint="eastAsia" w:ascii="宋体" w:hAnsi="宋体" w:cs="宋体"/>
          <w:color w:val="auto"/>
          <w:sz w:val="24"/>
          <w:u w:val="single"/>
        </w:rPr>
      </w:pPr>
      <w:r>
        <w:rPr>
          <w:rFonts w:hint="eastAsia" w:ascii="宋体" w:hAnsi="宋体" w:cs="宋体"/>
          <w:color w:val="auto"/>
          <w:sz w:val="24"/>
          <w:u w:val="single"/>
        </w:rPr>
        <w:t>按项目需要及技术需求填写</w:t>
      </w:r>
    </w:p>
    <w:tbl>
      <w:tblPr>
        <w:tblStyle w:val="1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2511"/>
        <w:gridCol w:w="1978"/>
        <w:gridCol w:w="2264"/>
      </w:tblGrid>
      <w:tr w14:paraId="6769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019" w:type="dxa"/>
            <w:noWrap w:val="0"/>
            <w:vAlign w:val="center"/>
          </w:tcPr>
          <w:p w14:paraId="10C13122">
            <w:pPr>
              <w:pStyle w:val="12"/>
              <w:tabs>
                <w:tab w:val="right" w:leader="dot" w:pos="8296"/>
                <w:tab w:val="right" w:leader="dot" w:pos="8398"/>
              </w:tabs>
              <w:spacing w:line="500" w:lineRule="exact"/>
              <w:jc w:val="center"/>
              <w:rPr>
                <w:rFonts w:hint="eastAsia" w:ascii="宋体" w:hAnsi="宋体" w:cs="宋体"/>
                <w:color w:val="auto"/>
                <w:sz w:val="24"/>
              </w:rPr>
            </w:pPr>
            <w:r>
              <w:rPr>
                <w:rFonts w:hint="eastAsia" w:ascii="宋体" w:hAnsi="宋体" w:cs="宋体"/>
                <w:color w:val="auto"/>
                <w:sz w:val="24"/>
              </w:rPr>
              <w:t>项目</w:t>
            </w:r>
          </w:p>
        </w:tc>
        <w:tc>
          <w:tcPr>
            <w:tcW w:w="2511" w:type="dxa"/>
            <w:noWrap w:val="0"/>
            <w:vAlign w:val="center"/>
          </w:tcPr>
          <w:p w14:paraId="33F0B8D6">
            <w:pPr>
              <w:pStyle w:val="12"/>
              <w:tabs>
                <w:tab w:val="right" w:leader="dot" w:pos="8296"/>
                <w:tab w:val="right" w:leader="dot" w:pos="8398"/>
              </w:tabs>
              <w:spacing w:line="500" w:lineRule="exact"/>
              <w:jc w:val="center"/>
              <w:rPr>
                <w:rFonts w:hint="eastAsia" w:ascii="宋体" w:hAnsi="宋体" w:cs="宋体"/>
                <w:color w:val="auto"/>
                <w:sz w:val="24"/>
              </w:rPr>
            </w:pPr>
            <w:r>
              <w:rPr>
                <w:rFonts w:hint="eastAsia" w:ascii="宋体" w:hAnsi="宋体" w:cs="宋体"/>
                <w:color w:val="auto"/>
                <w:sz w:val="24"/>
              </w:rPr>
              <w:t>项目需要及技术需求</w:t>
            </w:r>
          </w:p>
        </w:tc>
        <w:tc>
          <w:tcPr>
            <w:tcW w:w="1978" w:type="dxa"/>
            <w:noWrap w:val="0"/>
            <w:vAlign w:val="center"/>
          </w:tcPr>
          <w:p w14:paraId="2E592AEE">
            <w:pPr>
              <w:pStyle w:val="12"/>
              <w:tabs>
                <w:tab w:val="right" w:leader="dot" w:pos="8296"/>
                <w:tab w:val="right" w:leader="dot" w:pos="8398"/>
              </w:tabs>
              <w:spacing w:line="500" w:lineRule="exact"/>
              <w:jc w:val="center"/>
              <w:rPr>
                <w:rFonts w:hint="eastAsia" w:ascii="宋体" w:hAnsi="宋体" w:cs="宋体"/>
                <w:color w:val="auto"/>
                <w:sz w:val="24"/>
              </w:rPr>
            </w:pPr>
            <w:r>
              <w:rPr>
                <w:rFonts w:hint="eastAsia" w:ascii="宋体" w:hAnsi="宋体" w:cs="宋体"/>
                <w:color w:val="auto"/>
                <w:sz w:val="24"/>
              </w:rPr>
              <w:t>是否响应</w:t>
            </w:r>
          </w:p>
          <w:p w14:paraId="1472BE74">
            <w:pPr>
              <w:rPr>
                <w:rFonts w:hint="eastAsia" w:ascii="宋体" w:hAnsi="宋体" w:cs="宋体"/>
                <w:color w:val="auto"/>
              </w:rPr>
            </w:pPr>
            <w:r>
              <w:rPr>
                <w:rFonts w:hint="eastAsia" w:ascii="宋体" w:hAnsi="宋体" w:cs="宋体"/>
                <w:color w:val="auto"/>
                <w:sz w:val="24"/>
              </w:rPr>
              <w:t>（响应/负偏离）</w:t>
            </w:r>
          </w:p>
        </w:tc>
        <w:tc>
          <w:tcPr>
            <w:tcW w:w="2264" w:type="dxa"/>
            <w:noWrap w:val="0"/>
            <w:vAlign w:val="center"/>
          </w:tcPr>
          <w:p w14:paraId="295394A2">
            <w:pPr>
              <w:adjustRightInd w:val="0"/>
              <w:snapToGrid w:val="0"/>
              <w:spacing w:line="500" w:lineRule="exact"/>
              <w:jc w:val="center"/>
              <w:rPr>
                <w:rFonts w:hint="eastAsia" w:ascii="宋体" w:hAnsi="宋体" w:cs="宋体"/>
                <w:color w:val="auto"/>
                <w:sz w:val="24"/>
              </w:rPr>
            </w:pPr>
            <w:r>
              <w:rPr>
                <w:rFonts w:hint="eastAsia" w:ascii="宋体" w:hAnsi="宋体" w:cs="宋体"/>
                <w:color w:val="auto"/>
                <w:sz w:val="24"/>
              </w:rPr>
              <w:t>供应商的承诺或说明</w:t>
            </w:r>
          </w:p>
        </w:tc>
      </w:tr>
      <w:tr w14:paraId="0927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noWrap w:val="0"/>
            <w:vAlign w:val="center"/>
          </w:tcPr>
          <w:p w14:paraId="2FBE1CED">
            <w:pPr>
              <w:snapToGrid w:val="0"/>
              <w:spacing w:line="500" w:lineRule="exact"/>
              <w:jc w:val="center"/>
              <w:rPr>
                <w:rFonts w:hint="eastAsia" w:ascii="宋体" w:hAnsi="宋体" w:cs="宋体"/>
                <w:color w:val="auto"/>
                <w:sz w:val="24"/>
              </w:rPr>
            </w:pPr>
          </w:p>
        </w:tc>
        <w:tc>
          <w:tcPr>
            <w:tcW w:w="2511" w:type="dxa"/>
            <w:noWrap w:val="0"/>
            <w:vAlign w:val="center"/>
          </w:tcPr>
          <w:p w14:paraId="7078B667">
            <w:pPr>
              <w:pStyle w:val="9"/>
              <w:spacing w:line="500" w:lineRule="exact"/>
              <w:jc w:val="center"/>
              <w:rPr>
                <w:rFonts w:hint="eastAsia" w:hAnsi="宋体" w:eastAsia="宋体" w:cs="宋体"/>
                <w:color w:val="auto"/>
                <w:kern w:val="2"/>
                <w:sz w:val="24"/>
                <w:szCs w:val="24"/>
              </w:rPr>
            </w:pPr>
          </w:p>
        </w:tc>
        <w:tc>
          <w:tcPr>
            <w:tcW w:w="1978" w:type="dxa"/>
            <w:noWrap w:val="0"/>
            <w:vAlign w:val="center"/>
          </w:tcPr>
          <w:p w14:paraId="07C02B5C">
            <w:pPr>
              <w:pStyle w:val="9"/>
              <w:spacing w:line="500" w:lineRule="exact"/>
              <w:jc w:val="center"/>
              <w:rPr>
                <w:rFonts w:hint="eastAsia" w:hAnsi="宋体" w:eastAsia="宋体" w:cs="宋体"/>
                <w:color w:val="auto"/>
                <w:kern w:val="2"/>
                <w:sz w:val="24"/>
                <w:szCs w:val="24"/>
              </w:rPr>
            </w:pPr>
          </w:p>
        </w:tc>
        <w:tc>
          <w:tcPr>
            <w:tcW w:w="2264" w:type="dxa"/>
            <w:noWrap w:val="0"/>
            <w:vAlign w:val="center"/>
          </w:tcPr>
          <w:p w14:paraId="65C86372">
            <w:pPr>
              <w:pStyle w:val="9"/>
              <w:spacing w:line="500" w:lineRule="exact"/>
              <w:jc w:val="center"/>
              <w:rPr>
                <w:rFonts w:hint="eastAsia" w:hAnsi="宋体" w:eastAsia="宋体" w:cs="宋体"/>
                <w:color w:val="auto"/>
                <w:kern w:val="2"/>
                <w:sz w:val="24"/>
                <w:szCs w:val="24"/>
              </w:rPr>
            </w:pPr>
          </w:p>
        </w:tc>
      </w:tr>
      <w:tr w14:paraId="3841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noWrap w:val="0"/>
            <w:vAlign w:val="center"/>
          </w:tcPr>
          <w:p w14:paraId="3D118CBD">
            <w:pPr>
              <w:snapToGrid w:val="0"/>
              <w:spacing w:line="500" w:lineRule="exact"/>
              <w:jc w:val="center"/>
              <w:rPr>
                <w:rFonts w:hint="eastAsia" w:ascii="宋体" w:hAnsi="宋体" w:cs="宋体"/>
                <w:color w:val="auto"/>
                <w:sz w:val="24"/>
              </w:rPr>
            </w:pPr>
          </w:p>
        </w:tc>
        <w:tc>
          <w:tcPr>
            <w:tcW w:w="2511" w:type="dxa"/>
            <w:noWrap w:val="0"/>
            <w:vAlign w:val="center"/>
          </w:tcPr>
          <w:p w14:paraId="24F6666C">
            <w:pPr>
              <w:pStyle w:val="9"/>
              <w:spacing w:line="500" w:lineRule="exact"/>
              <w:jc w:val="center"/>
              <w:rPr>
                <w:rFonts w:hint="eastAsia" w:hAnsi="宋体" w:eastAsia="宋体" w:cs="宋体"/>
                <w:color w:val="auto"/>
                <w:kern w:val="2"/>
                <w:sz w:val="24"/>
                <w:szCs w:val="24"/>
              </w:rPr>
            </w:pPr>
          </w:p>
        </w:tc>
        <w:tc>
          <w:tcPr>
            <w:tcW w:w="1978" w:type="dxa"/>
            <w:noWrap w:val="0"/>
            <w:vAlign w:val="center"/>
          </w:tcPr>
          <w:p w14:paraId="092CF717">
            <w:pPr>
              <w:pStyle w:val="9"/>
              <w:spacing w:line="500" w:lineRule="exact"/>
              <w:jc w:val="center"/>
              <w:rPr>
                <w:rFonts w:hint="eastAsia" w:hAnsi="宋体" w:eastAsia="宋体" w:cs="宋体"/>
                <w:color w:val="auto"/>
                <w:kern w:val="2"/>
                <w:sz w:val="24"/>
                <w:szCs w:val="24"/>
              </w:rPr>
            </w:pPr>
          </w:p>
        </w:tc>
        <w:tc>
          <w:tcPr>
            <w:tcW w:w="2264" w:type="dxa"/>
            <w:noWrap w:val="0"/>
            <w:vAlign w:val="center"/>
          </w:tcPr>
          <w:p w14:paraId="16FF4AAA">
            <w:pPr>
              <w:pStyle w:val="9"/>
              <w:spacing w:line="500" w:lineRule="exact"/>
              <w:jc w:val="center"/>
              <w:rPr>
                <w:rFonts w:hint="eastAsia" w:hAnsi="宋体" w:eastAsia="宋体" w:cs="宋体"/>
                <w:color w:val="auto"/>
                <w:kern w:val="2"/>
                <w:sz w:val="24"/>
                <w:szCs w:val="24"/>
              </w:rPr>
            </w:pPr>
          </w:p>
        </w:tc>
      </w:tr>
      <w:tr w14:paraId="68B8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noWrap w:val="0"/>
            <w:vAlign w:val="center"/>
          </w:tcPr>
          <w:p w14:paraId="75B7C2A7">
            <w:pPr>
              <w:snapToGrid w:val="0"/>
              <w:spacing w:line="500" w:lineRule="exact"/>
              <w:jc w:val="center"/>
              <w:rPr>
                <w:rFonts w:hint="eastAsia" w:ascii="宋体" w:hAnsi="宋体" w:cs="宋体"/>
                <w:color w:val="auto"/>
                <w:sz w:val="24"/>
              </w:rPr>
            </w:pPr>
          </w:p>
        </w:tc>
        <w:tc>
          <w:tcPr>
            <w:tcW w:w="2511" w:type="dxa"/>
            <w:noWrap w:val="0"/>
            <w:vAlign w:val="center"/>
          </w:tcPr>
          <w:p w14:paraId="2FF7057F">
            <w:pPr>
              <w:pStyle w:val="9"/>
              <w:spacing w:line="500" w:lineRule="exact"/>
              <w:jc w:val="center"/>
              <w:rPr>
                <w:rFonts w:hint="eastAsia" w:hAnsi="宋体" w:eastAsia="宋体" w:cs="宋体"/>
                <w:color w:val="auto"/>
                <w:kern w:val="2"/>
                <w:sz w:val="24"/>
                <w:szCs w:val="24"/>
              </w:rPr>
            </w:pPr>
          </w:p>
        </w:tc>
        <w:tc>
          <w:tcPr>
            <w:tcW w:w="1978" w:type="dxa"/>
            <w:noWrap w:val="0"/>
            <w:vAlign w:val="center"/>
          </w:tcPr>
          <w:p w14:paraId="52E7C110">
            <w:pPr>
              <w:pStyle w:val="9"/>
              <w:spacing w:line="500" w:lineRule="exact"/>
              <w:jc w:val="center"/>
              <w:rPr>
                <w:rFonts w:hint="eastAsia" w:hAnsi="宋体" w:eastAsia="宋体" w:cs="宋体"/>
                <w:color w:val="auto"/>
                <w:kern w:val="2"/>
                <w:sz w:val="24"/>
                <w:szCs w:val="24"/>
              </w:rPr>
            </w:pPr>
          </w:p>
        </w:tc>
        <w:tc>
          <w:tcPr>
            <w:tcW w:w="2264" w:type="dxa"/>
            <w:noWrap w:val="0"/>
            <w:vAlign w:val="center"/>
          </w:tcPr>
          <w:p w14:paraId="34DD8C34">
            <w:pPr>
              <w:pStyle w:val="9"/>
              <w:spacing w:line="500" w:lineRule="exact"/>
              <w:jc w:val="center"/>
              <w:rPr>
                <w:rFonts w:hint="eastAsia" w:hAnsi="宋体" w:eastAsia="宋体" w:cs="宋体"/>
                <w:color w:val="auto"/>
                <w:kern w:val="2"/>
                <w:sz w:val="24"/>
                <w:szCs w:val="24"/>
              </w:rPr>
            </w:pPr>
          </w:p>
        </w:tc>
      </w:tr>
      <w:tr w14:paraId="762E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noWrap w:val="0"/>
            <w:vAlign w:val="center"/>
          </w:tcPr>
          <w:p w14:paraId="072B5DE2">
            <w:pPr>
              <w:spacing w:line="500" w:lineRule="exact"/>
              <w:jc w:val="center"/>
              <w:rPr>
                <w:rFonts w:hint="eastAsia" w:ascii="宋体" w:hAnsi="宋体" w:cs="宋体"/>
                <w:color w:val="auto"/>
                <w:sz w:val="24"/>
              </w:rPr>
            </w:pPr>
          </w:p>
        </w:tc>
        <w:tc>
          <w:tcPr>
            <w:tcW w:w="2511" w:type="dxa"/>
            <w:noWrap w:val="0"/>
            <w:vAlign w:val="center"/>
          </w:tcPr>
          <w:p w14:paraId="2BADC555">
            <w:pPr>
              <w:pStyle w:val="9"/>
              <w:spacing w:line="500" w:lineRule="exact"/>
              <w:jc w:val="center"/>
              <w:rPr>
                <w:rFonts w:hint="eastAsia" w:hAnsi="宋体" w:eastAsia="宋体" w:cs="宋体"/>
                <w:color w:val="auto"/>
                <w:kern w:val="2"/>
                <w:sz w:val="24"/>
                <w:szCs w:val="24"/>
              </w:rPr>
            </w:pPr>
          </w:p>
        </w:tc>
        <w:tc>
          <w:tcPr>
            <w:tcW w:w="1978" w:type="dxa"/>
            <w:noWrap w:val="0"/>
            <w:vAlign w:val="center"/>
          </w:tcPr>
          <w:p w14:paraId="002B998A">
            <w:pPr>
              <w:pStyle w:val="9"/>
              <w:spacing w:line="500" w:lineRule="exact"/>
              <w:jc w:val="center"/>
              <w:rPr>
                <w:rFonts w:hint="eastAsia" w:hAnsi="宋体" w:eastAsia="宋体" w:cs="宋体"/>
                <w:color w:val="auto"/>
                <w:kern w:val="2"/>
                <w:sz w:val="24"/>
                <w:szCs w:val="24"/>
              </w:rPr>
            </w:pPr>
          </w:p>
        </w:tc>
        <w:tc>
          <w:tcPr>
            <w:tcW w:w="2264" w:type="dxa"/>
            <w:noWrap w:val="0"/>
            <w:vAlign w:val="center"/>
          </w:tcPr>
          <w:p w14:paraId="7B232B04">
            <w:pPr>
              <w:pStyle w:val="9"/>
              <w:spacing w:line="500" w:lineRule="exact"/>
              <w:jc w:val="center"/>
              <w:rPr>
                <w:rFonts w:hint="eastAsia" w:hAnsi="宋体" w:eastAsia="宋体" w:cs="宋体"/>
                <w:color w:val="auto"/>
                <w:kern w:val="2"/>
                <w:sz w:val="24"/>
                <w:szCs w:val="24"/>
              </w:rPr>
            </w:pPr>
          </w:p>
        </w:tc>
      </w:tr>
      <w:tr w14:paraId="3466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noWrap w:val="0"/>
            <w:vAlign w:val="center"/>
          </w:tcPr>
          <w:p w14:paraId="33654C93">
            <w:pPr>
              <w:spacing w:line="500" w:lineRule="exact"/>
              <w:jc w:val="center"/>
              <w:rPr>
                <w:rFonts w:hint="eastAsia" w:ascii="宋体" w:hAnsi="宋体" w:cs="宋体"/>
                <w:color w:val="auto"/>
                <w:sz w:val="24"/>
              </w:rPr>
            </w:pPr>
          </w:p>
        </w:tc>
        <w:tc>
          <w:tcPr>
            <w:tcW w:w="2511" w:type="dxa"/>
            <w:noWrap w:val="0"/>
            <w:vAlign w:val="center"/>
          </w:tcPr>
          <w:p w14:paraId="43E735E8">
            <w:pPr>
              <w:pStyle w:val="9"/>
              <w:spacing w:line="500" w:lineRule="exact"/>
              <w:jc w:val="center"/>
              <w:rPr>
                <w:rFonts w:hint="eastAsia" w:hAnsi="宋体" w:eastAsia="宋体" w:cs="宋体"/>
                <w:color w:val="auto"/>
                <w:kern w:val="2"/>
                <w:sz w:val="24"/>
                <w:szCs w:val="24"/>
              </w:rPr>
            </w:pPr>
          </w:p>
        </w:tc>
        <w:tc>
          <w:tcPr>
            <w:tcW w:w="1978" w:type="dxa"/>
            <w:noWrap w:val="0"/>
            <w:vAlign w:val="center"/>
          </w:tcPr>
          <w:p w14:paraId="677A75D3">
            <w:pPr>
              <w:pStyle w:val="9"/>
              <w:spacing w:line="500" w:lineRule="exact"/>
              <w:jc w:val="center"/>
              <w:rPr>
                <w:rFonts w:hint="eastAsia" w:hAnsi="宋体" w:eastAsia="宋体" w:cs="宋体"/>
                <w:color w:val="auto"/>
                <w:kern w:val="2"/>
                <w:sz w:val="24"/>
                <w:szCs w:val="24"/>
              </w:rPr>
            </w:pPr>
          </w:p>
        </w:tc>
        <w:tc>
          <w:tcPr>
            <w:tcW w:w="2264" w:type="dxa"/>
            <w:noWrap w:val="0"/>
            <w:vAlign w:val="center"/>
          </w:tcPr>
          <w:p w14:paraId="39623B15">
            <w:pPr>
              <w:pStyle w:val="9"/>
              <w:spacing w:line="500" w:lineRule="exact"/>
              <w:jc w:val="center"/>
              <w:rPr>
                <w:rFonts w:hint="eastAsia" w:hAnsi="宋体" w:eastAsia="宋体" w:cs="宋体"/>
                <w:color w:val="auto"/>
                <w:kern w:val="2"/>
                <w:sz w:val="24"/>
                <w:szCs w:val="24"/>
              </w:rPr>
            </w:pPr>
          </w:p>
        </w:tc>
      </w:tr>
    </w:tbl>
    <w:p w14:paraId="2737F583">
      <w:pPr>
        <w:pStyle w:val="9"/>
        <w:spacing w:before="156" w:beforeLines="50" w:line="500" w:lineRule="exact"/>
        <w:ind w:firstLine="240" w:firstLineChars="100"/>
        <w:rPr>
          <w:rFonts w:hint="eastAsia" w:hAnsi="宋体" w:eastAsia="宋体" w:cs="宋体"/>
          <w:color w:val="auto"/>
          <w:sz w:val="24"/>
          <w:szCs w:val="24"/>
        </w:rPr>
      </w:pPr>
      <w:r>
        <w:rPr>
          <w:rFonts w:hint="eastAsia" w:hAnsi="宋体" w:eastAsia="宋体" w:cs="宋体"/>
          <w:color w:val="auto"/>
          <w:sz w:val="24"/>
          <w:szCs w:val="24"/>
        </w:rPr>
        <w:t>说明：应对照公告的项目需要及技术需求逐条进行响应承诺，有漏项的视为负偏离。</w:t>
      </w:r>
    </w:p>
    <w:p w14:paraId="36604BF8">
      <w:pPr>
        <w:pStyle w:val="4"/>
        <w:jc w:val="both"/>
        <w:rPr>
          <w:rFonts w:hint="eastAsia" w:ascii="宋体" w:hAnsi="宋体" w:eastAsia="宋体" w:cs="宋体"/>
          <w:color w:val="auto"/>
          <w:sz w:val="24"/>
          <w:szCs w:val="24"/>
        </w:rPr>
      </w:pPr>
    </w:p>
    <w:p w14:paraId="648A0E73">
      <w:pPr>
        <w:rPr>
          <w:rFonts w:hint="eastAsia" w:ascii="宋体" w:hAnsi="宋体" w:cs="宋体"/>
          <w:color w:val="auto"/>
          <w:sz w:val="24"/>
        </w:rPr>
      </w:pPr>
    </w:p>
    <w:p w14:paraId="4D66E3D2">
      <w:pPr>
        <w:jc w:val="center"/>
        <w:rPr>
          <w:rFonts w:hint="eastAsia" w:ascii="宋体" w:hAnsi="宋体" w:cs="宋体"/>
          <w:b/>
          <w:bCs/>
          <w:color w:val="auto"/>
          <w:sz w:val="32"/>
          <w:szCs w:val="40"/>
        </w:rPr>
      </w:pPr>
      <w:r>
        <w:rPr>
          <w:rFonts w:hint="eastAsia" w:ascii="宋体" w:hAnsi="宋体" w:cs="宋体"/>
          <w:b/>
          <w:bCs/>
          <w:color w:val="auto"/>
          <w:sz w:val="32"/>
          <w:szCs w:val="40"/>
        </w:rPr>
        <w:t>业绩表</w:t>
      </w:r>
    </w:p>
    <w:p w14:paraId="6385B4B2">
      <w:pPr>
        <w:pStyle w:val="5"/>
        <w:rPr>
          <w:rFonts w:hint="eastAsia" w:ascii="宋体" w:hAnsi="宋体" w:cs="宋体"/>
          <w:b/>
          <w:bCs/>
          <w:color w:val="auto"/>
          <w:sz w:val="32"/>
          <w:szCs w:val="40"/>
        </w:rPr>
      </w:pPr>
    </w:p>
    <w:p w14:paraId="209810EA">
      <w:pPr>
        <w:rPr>
          <w:rFonts w:hint="eastAsia"/>
          <w:color w:val="auto"/>
        </w:rPr>
      </w:pPr>
    </w:p>
    <w:tbl>
      <w:tblPr>
        <w:tblStyle w:val="15"/>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881"/>
        <w:gridCol w:w="3553"/>
        <w:gridCol w:w="1705"/>
      </w:tblGrid>
      <w:tr w14:paraId="32F4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89" w:type="dxa"/>
            <w:gridSpan w:val="4"/>
            <w:noWrap w:val="0"/>
            <w:vAlign w:val="center"/>
          </w:tcPr>
          <w:p w14:paraId="2857C18F">
            <w:pPr>
              <w:adjustRightInd w:val="0"/>
              <w:snapToGrid w:val="0"/>
              <w:spacing w:line="500" w:lineRule="exact"/>
              <w:jc w:val="center"/>
              <w:rPr>
                <w:rFonts w:hint="eastAsia" w:ascii="宋体" w:hAnsi="宋体" w:cs="宋体"/>
                <w:color w:val="auto"/>
                <w:sz w:val="24"/>
              </w:rPr>
            </w:pPr>
            <w:r>
              <w:rPr>
                <w:rFonts w:hint="eastAsia" w:ascii="宋体" w:hAnsi="宋体" w:cs="宋体"/>
                <w:color w:val="auto"/>
                <w:sz w:val="24"/>
              </w:rPr>
              <w:t>投标供应商业绩清单</w:t>
            </w:r>
          </w:p>
        </w:tc>
      </w:tr>
      <w:tr w14:paraId="4257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50" w:type="dxa"/>
            <w:noWrap w:val="0"/>
            <w:vAlign w:val="center"/>
          </w:tcPr>
          <w:p w14:paraId="3E480042">
            <w:pPr>
              <w:pStyle w:val="12"/>
              <w:tabs>
                <w:tab w:val="right" w:leader="dot" w:pos="8296"/>
                <w:tab w:val="right" w:leader="dot" w:pos="8398"/>
              </w:tabs>
              <w:spacing w:line="500" w:lineRule="exact"/>
              <w:jc w:val="center"/>
              <w:rPr>
                <w:rFonts w:hint="eastAsia" w:ascii="宋体" w:hAnsi="宋体" w:cs="宋体"/>
                <w:color w:val="auto"/>
                <w:sz w:val="24"/>
              </w:rPr>
            </w:pPr>
            <w:r>
              <w:rPr>
                <w:rFonts w:hint="eastAsia" w:ascii="宋体" w:hAnsi="宋体" w:cs="宋体"/>
                <w:color w:val="auto"/>
                <w:sz w:val="24"/>
              </w:rPr>
              <w:t>序号</w:t>
            </w:r>
          </w:p>
        </w:tc>
        <w:tc>
          <w:tcPr>
            <w:tcW w:w="2881" w:type="dxa"/>
            <w:noWrap w:val="0"/>
            <w:vAlign w:val="center"/>
          </w:tcPr>
          <w:p w14:paraId="1A2834FD">
            <w:pPr>
              <w:pStyle w:val="12"/>
              <w:tabs>
                <w:tab w:val="right" w:leader="dot" w:pos="8296"/>
                <w:tab w:val="right" w:leader="dot" w:pos="8398"/>
              </w:tabs>
              <w:spacing w:line="500" w:lineRule="exact"/>
              <w:jc w:val="center"/>
              <w:rPr>
                <w:rFonts w:hint="eastAsia" w:ascii="宋体" w:hAnsi="宋体" w:cs="宋体"/>
                <w:color w:val="auto"/>
                <w:sz w:val="24"/>
              </w:rPr>
            </w:pPr>
            <w:r>
              <w:rPr>
                <w:rFonts w:hint="eastAsia" w:ascii="宋体" w:hAnsi="宋体" w:cs="宋体"/>
                <w:color w:val="auto"/>
                <w:sz w:val="24"/>
              </w:rPr>
              <w:t>项目名称</w:t>
            </w:r>
          </w:p>
        </w:tc>
        <w:tc>
          <w:tcPr>
            <w:tcW w:w="3553" w:type="dxa"/>
            <w:noWrap w:val="0"/>
            <w:vAlign w:val="center"/>
          </w:tcPr>
          <w:p w14:paraId="7AED3553">
            <w:pPr>
              <w:pStyle w:val="9"/>
              <w:spacing w:line="500" w:lineRule="exact"/>
              <w:jc w:val="center"/>
              <w:rPr>
                <w:rFonts w:hint="eastAsia" w:hAnsi="宋体" w:eastAsia="宋体" w:cs="宋体"/>
                <w:color w:val="auto"/>
                <w:kern w:val="2"/>
                <w:sz w:val="24"/>
                <w:szCs w:val="24"/>
              </w:rPr>
            </w:pPr>
            <w:r>
              <w:rPr>
                <w:rFonts w:hint="eastAsia" w:hAnsi="宋体" w:eastAsia="宋体" w:cs="宋体"/>
                <w:color w:val="auto"/>
                <w:kern w:val="2"/>
                <w:sz w:val="24"/>
                <w:szCs w:val="24"/>
              </w:rPr>
              <w:t>业绩项目采购单位名称</w:t>
            </w:r>
          </w:p>
        </w:tc>
        <w:tc>
          <w:tcPr>
            <w:tcW w:w="1705" w:type="dxa"/>
            <w:noWrap w:val="0"/>
            <w:vAlign w:val="center"/>
          </w:tcPr>
          <w:p w14:paraId="565A726C">
            <w:pPr>
              <w:pStyle w:val="9"/>
              <w:spacing w:line="500" w:lineRule="exact"/>
              <w:jc w:val="center"/>
              <w:rPr>
                <w:rFonts w:hint="eastAsia" w:hAnsi="宋体" w:eastAsia="宋体" w:cs="宋体"/>
                <w:color w:val="auto"/>
                <w:kern w:val="2"/>
                <w:sz w:val="24"/>
                <w:szCs w:val="24"/>
              </w:rPr>
            </w:pPr>
            <w:r>
              <w:rPr>
                <w:rFonts w:hint="eastAsia" w:hAnsi="宋体" w:eastAsia="宋体" w:cs="宋体"/>
                <w:color w:val="auto"/>
                <w:kern w:val="2"/>
                <w:sz w:val="24"/>
                <w:szCs w:val="24"/>
              </w:rPr>
              <w:t>年度</w:t>
            </w:r>
          </w:p>
        </w:tc>
      </w:tr>
      <w:tr w14:paraId="6DBF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noWrap w:val="0"/>
            <w:vAlign w:val="center"/>
          </w:tcPr>
          <w:p w14:paraId="00D896F3">
            <w:pPr>
              <w:snapToGrid w:val="0"/>
              <w:spacing w:line="500" w:lineRule="exact"/>
              <w:jc w:val="center"/>
              <w:rPr>
                <w:rFonts w:hint="eastAsia" w:ascii="宋体" w:hAnsi="宋体" w:cs="宋体"/>
                <w:color w:val="auto"/>
                <w:sz w:val="24"/>
              </w:rPr>
            </w:pPr>
            <w:r>
              <w:rPr>
                <w:rFonts w:hint="eastAsia" w:ascii="宋体" w:hAnsi="宋体" w:cs="宋体"/>
                <w:color w:val="auto"/>
                <w:sz w:val="24"/>
              </w:rPr>
              <w:t>1</w:t>
            </w:r>
          </w:p>
        </w:tc>
        <w:tc>
          <w:tcPr>
            <w:tcW w:w="2881" w:type="dxa"/>
            <w:noWrap w:val="0"/>
            <w:vAlign w:val="center"/>
          </w:tcPr>
          <w:p w14:paraId="0CF7EBF2">
            <w:pPr>
              <w:pStyle w:val="9"/>
              <w:spacing w:line="500" w:lineRule="exact"/>
              <w:jc w:val="center"/>
              <w:rPr>
                <w:rFonts w:hint="eastAsia" w:hAnsi="宋体" w:eastAsia="宋体" w:cs="宋体"/>
                <w:color w:val="auto"/>
                <w:kern w:val="2"/>
                <w:sz w:val="24"/>
                <w:szCs w:val="24"/>
              </w:rPr>
            </w:pPr>
          </w:p>
        </w:tc>
        <w:tc>
          <w:tcPr>
            <w:tcW w:w="3553" w:type="dxa"/>
            <w:noWrap w:val="0"/>
            <w:vAlign w:val="center"/>
          </w:tcPr>
          <w:p w14:paraId="5DD66F2D">
            <w:pPr>
              <w:pStyle w:val="9"/>
              <w:spacing w:line="500" w:lineRule="exact"/>
              <w:jc w:val="center"/>
              <w:rPr>
                <w:rFonts w:hint="eastAsia" w:hAnsi="宋体" w:eastAsia="宋体" w:cs="宋体"/>
                <w:color w:val="auto"/>
                <w:kern w:val="2"/>
                <w:sz w:val="24"/>
                <w:szCs w:val="24"/>
              </w:rPr>
            </w:pPr>
          </w:p>
        </w:tc>
        <w:tc>
          <w:tcPr>
            <w:tcW w:w="1705" w:type="dxa"/>
            <w:noWrap w:val="0"/>
            <w:vAlign w:val="center"/>
          </w:tcPr>
          <w:p w14:paraId="01B4EBDE">
            <w:pPr>
              <w:pStyle w:val="9"/>
              <w:spacing w:line="500" w:lineRule="exact"/>
              <w:jc w:val="center"/>
              <w:rPr>
                <w:rFonts w:hint="eastAsia" w:hAnsi="宋体" w:eastAsia="宋体" w:cs="宋体"/>
                <w:color w:val="auto"/>
                <w:kern w:val="2"/>
                <w:sz w:val="24"/>
                <w:szCs w:val="24"/>
              </w:rPr>
            </w:pPr>
          </w:p>
        </w:tc>
      </w:tr>
      <w:tr w14:paraId="2462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noWrap w:val="0"/>
            <w:vAlign w:val="center"/>
          </w:tcPr>
          <w:p w14:paraId="0F4EC972">
            <w:pPr>
              <w:snapToGrid w:val="0"/>
              <w:spacing w:line="500" w:lineRule="exact"/>
              <w:jc w:val="center"/>
              <w:rPr>
                <w:rFonts w:hint="eastAsia" w:ascii="宋体" w:hAnsi="宋体" w:cs="宋体"/>
                <w:color w:val="auto"/>
                <w:sz w:val="24"/>
              </w:rPr>
            </w:pPr>
            <w:r>
              <w:rPr>
                <w:rFonts w:hint="eastAsia" w:ascii="宋体" w:hAnsi="宋体" w:cs="宋体"/>
                <w:color w:val="auto"/>
                <w:sz w:val="24"/>
              </w:rPr>
              <w:t>2</w:t>
            </w:r>
          </w:p>
        </w:tc>
        <w:tc>
          <w:tcPr>
            <w:tcW w:w="2881" w:type="dxa"/>
            <w:noWrap w:val="0"/>
            <w:vAlign w:val="center"/>
          </w:tcPr>
          <w:p w14:paraId="7260A5AF">
            <w:pPr>
              <w:pStyle w:val="9"/>
              <w:spacing w:line="500" w:lineRule="exact"/>
              <w:jc w:val="center"/>
              <w:rPr>
                <w:rFonts w:hint="eastAsia" w:hAnsi="宋体" w:eastAsia="宋体" w:cs="宋体"/>
                <w:color w:val="auto"/>
                <w:kern w:val="2"/>
                <w:sz w:val="24"/>
                <w:szCs w:val="24"/>
              </w:rPr>
            </w:pPr>
          </w:p>
        </w:tc>
        <w:tc>
          <w:tcPr>
            <w:tcW w:w="3553" w:type="dxa"/>
            <w:noWrap w:val="0"/>
            <w:vAlign w:val="center"/>
          </w:tcPr>
          <w:p w14:paraId="4CEF317A">
            <w:pPr>
              <w:pStyle w:val="9"/>
              <w:spacing w:line="500" w:lineRule="exact"/>
              <w:jc w:val="center"/>
              <w:rPr>
                <w:rFonts w:hint="eastAsia" w:hAnsi="宋体" w:eastAsia="宋体" w:cs="宋体"/>
                <w:color w:val="auto"/>
                <w:kern w:val="2"/>
                <w:sz w:val="24"/>
                <w:szCs w:val="24"/>
              </w:rPr>
            </w:pPr>
          </w:p>
        </w:tc>
        <w:tc>
          <w:tcPr>
            <w:tcW w:w="1705" w:type="dxa"/>
            <w:noWrap w:val="0"/>
            <w:vAlign w:val="center"/>
          </w:tcPr>
          <w:p w14:paraId="6A8A7563">
            <w:pPr>
              <w:pStyle w:val="9"/>
              <w:spacing w:line="500" w:lineRule="exact"/>
              <w:jc w:val="center"/>
              <w:rPr>
                <w:rFonts w:hint="eastAsia" w:hAnsi="宋体" w:eastAsia="宋体" w:cs="宋体"/>
                <w:color w:val="auto"/>
                <w:kern w:val="2"/>
                <w:sz w:val="24"/>
                <w:szCs w:val="24"/>
              </w:rPr>
            </w:pPr>
          </w:p>
        </w:tc>
      </w:tr>
      <w:tr w14:paraId="1DF4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noWrap w:val="0"/>
            <w:vAlign w:val="center"/>
          </w:tcPr>
          <w:p w14:paraId="52A6B788">
            <w:pPr>
              <w:spacing w:line="500" w:lineRule="exact"/>
              <w:jc w:val="center"/>
              <w:rPr>
                <w:rFonts w:hint="eastAsia" w:ascii="宋体" w:hAnsi="宋体" w:cs="宋体"/>
                <w:color w:val="auto"/>
                <w:sz w:val="24"/>
              </w:rPr>
            </w:pPr>
            <w:r>
              <w:rPr>
                <w:rFonts w:hint="eastAsia" w:ascii="宋体" w:hAnsi="宋体" w:cs="宋体"/>
                <w:color w:val="auto"/>
                <w:sz w:val="24"/>
              </w:rPr>
              <w:t>...</w:t>
            </w:r>
          </w:p>
        </w:tc>
        <w:tc>
          <w:tcPr>
            <w:tcW w:w="2881" w:type="dxa"/>
            <w:noWrap w:val="0"/>
            <w:vAlign w:val="center"/>
          </w:tcPr>
          <w:p w14:paraId="58E44329">
            <w:pPr>
              <w:pStyle w:val="9"/>
              <w:spacing w:line="500" w:lineRule="exact"/>
              <w:jc w:val="center"/>
              <w:rPr>
                <w:rFonts w:hint="eastAsia" w:hAnsi="宋体" w:eastAsia="宋体" w:cs="宋体"/>
                <w:color w:val="auto"/>
                <w:kern w:val="2"/>
                <w:sz w:val="24"/>
                <w:szCs w:val="24"/>
              </w:rPr>
            </w:pPr>
          </w:p>
        </w:tc>
        <w:tc>
          <w:tcPr>
            <w:tcW w:w="3553" w:type="dxa"/>
            <w:noWrap w:val="0"/>
            <w:vAlign w:val="center"/>
          </w:tcPr>
          <w:p w14:paraId="1250999B">
            <w:pPr>
              <w:pStyle w:val="9"/>
              <w:spacing w:line="500" w:lineRule="exact"/>
              <w:jc w:val="center"/>
              <w:rPr>
                <w:rFonts w:hint="eastAsia" w:hAnsi="宋体" w:eastAsia="宋体" w:cs="宋体"/>
                <w:color w:val="auto"/>
                <w:kern w:val="2"/>
                <w:sz w:val="24"/>
                <w:szCs w:val="24"/>
              </w:rPr>
            </w:pPr>
          </w:p>
        </w:tc>
        <w:tc>
          <w:tcPr>
            <w:tcW w:w="1705" w:type="dxa"/>
            <w:noWrap w:val="0"/>
            <w:vAlign w:val="center"/>
          </w:tcPr>
          <w:p w14:paraId="7E80C97F">
            <w:pPr>
              <w:pStyle w:val="9"/>
              <w:spacing w:line="500" w:lineRule="exact"/>
              <w:jc w:val="center"/>
              <w:rPr>
                <w:rFonts w:hint="eastAsia" w:hAnsi="宋体" w:eastAsia="宋体" w:cs="宋体"/>
                <w:color w:val="auto"/>
                <w:kern w:val="2"/>
                <w:sz w:val="24"/>
                <w:szCs w:val="24"/>
              </w:rPr>
            </w:pPr>
          </w:p>
        </w:tc>
      </w:tr>
      <w:tr w14:paraId="430C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noWrap w:val="0"/>
            <w:vAlign w:val="center"/>
          </w:tcPr>
          <w:p w14:paraId="54E932CC">
            <w:pPr>
              <w:spacing w:line="500" w:lineRule="exact"/>
              <w:jc w:val="center"/>
              <w:rPr>
                <w:rFonts w:hint="eastAsia" w:ascii="宋体" w:hAnsi="宋体" w:cs="宋体"/>
                <w:color w:val="auto"/>
                <w:sz w:val="24"/>
              </w:rPr>
            </w:pPr>
          </w:p>
        </w:tc>
        <w:tc>
          <w:tcPr>
            <w:tcW w:w="2881" w:type="dxa"/>
            <w:noWrap w:val="0"/>
            <w:vAlign w:val="center"/>
          </w:tcPr>
          <w:p w14:paraId="249A5EB4">
            <w:pPr>
              <w:pStyle w:val="9"/>
              <w:spacing w:line="500" w:lineRule="exact"/>
              <w:jc w:val="center"/>
              <w:rPr>
                <w:rFonts w:hint="eastAsia" w:hAnsi="宋体" w:eastAsia="宋体" w:cs="宋体"/>
                <w:color w:val="auto"/>
                <w:kern w:val="2"/>
                <w:sz w:val="24"/>
                <w:szCs w:val="24"/>
              </w:rPr>
            </w:pPr>
          </w:p>
        </w:tc>
        <w:tc>
          <w:tcPr>
            <w:tcW w:w="3553" w:type="dxa"/>
            <w:noWrap w:val="0"/>
            <w:vAlign w:val="center"/>
          </w:tcPr>
          <w:p w14:paraId="477876B7">
            <w:pPr>
              <w:pStyle w:val="9"/>
              <w:spacing w:line="500" w:lineRule="exact"/>
              <w:jc w:val="center"/>
              <w:rPr>
                <w:rFonts w:hint="eastAsia" w:hAnsi="宋体" w:eastAsia="宋体" w:cs="宋体"/>
                <w:color w:val="auto"/>
                <w:kern w:val="2"/>
                <w:sz w:val="24"/>
                <w:szCs w:val="24"/>
              </w:rPr>
            </w:pPr>
          </w:p>
        </w:tc>
        <w:tc>
          <w:tcPr>
            <w:tcW w:w="1705" w:type="dxa"/>
            <w:noWrap w:val="0"/>
            <w:vAlign w:val="center"/>
          </w:tcPr>
          <w:p w14:paraId="0247D05C">
            <w:pPr>
              <w:pStyle w:val="9"/>
              <w:spacing w:line="500" w:lineRule="exact"/>
              <w:jc w:val="center"/>
              <w:rPr>
                <w:rFonts w:hint="eastAsia" w:hAnsi="宋体" w:eastAsia="宋体" w:cs="宋体"/>
                <w:color w:val="auto"/>
                <w:kern w:val="2"/>
                <w:sz w:val="24"/>
                <w:szCs w:val="24"/>
              </w:rPr>
            </w:pPr>
          </w:p>
        </w:tc>
      </w:tr>
    </w:tbl>
    <w:p w14:paraId="4D06409B">
      <w:pPr>
        <w:rPr>
          <w:rFonts w:hint="eastAsia" w:ascii="宋体" w:hAnsi="宋体" w:cs="宋体"/>
          <w:color w:val="auto"/>
        </w:rPr>
      </w:pPr>
      <w:r>
        <w:rPr>
          <w:rFonts w:hint="eastAsia" w:ascii="宋体" w:hAnsi="宋体" w:cs="宋体"/>
          <w:color w:val="auto"/>
        </w:rPr>
        <w:t>（备注：必须提供相关合同或中标/成交通知书复件或扫描件，并加盖公章，否则不得分。）</w:t>
      </w:r>
    </w:p>
    <w:p w14:paraId="594E1E3E">
      <w:pPr>
        <w:pStyle w:val="6"/>
        <w:snapToGrid w:val="0"/>
        <w:spacing w:before="50" w:after="50"/>
        <w:ind w:left="0" w:leftChars="0" w:firstLine="0" w:firstLineChars="0"/>
        <w:rPr>
          <w:rFonts w:hint="eastAsia" w:ascii="宋体" w:hAnsi="宋体" w:cs="宋体"/>
          <w:color w:val="auto"/>
          <w:szCs w:val="21"/>
        </w:rPr>
      </w:pPr>
    </w:p>
    <w:p w14:paraId="7055D200">
      <w:pPr>
        <w:pStyle w:val="6"/>
        <w:snapToGrid w:val="0"/>
        <w:spacing w:before="50" w:after="50"/>
        <w:jc w:val="center"/>
        <w:rPr>
          <w:rFonts w:hint="eastAsia" w:ascii="宋体" w:hAnsi="宋体" w:cs="宋体"/>
          <w:b/>
          <w:color w:val="auto"/>
          <w:sz w:val="32"/>
          <w:szCs w:val="32"/>
          <w:lang w:eastAsia="zh-CN"/>
        </w:rPr>
      </w:pPr>
    </w:p>
    <w:p w14:paraId="6D040157">
      <w:pPr>
        <w:pStyle w:val="6"/>
        <w:snapToGrid w:val="0"/>
        <w:spacing w:before="50" w:after="50"/>
        <w:jc w:val="center"/>
        <w:rPr>
          <w:rFonts w:hint="eastAsia" w:ascii="宋体" w:hAnsi="宋体" w:cs="宋体"/>
          <w:b/>
          <w:color w:val="auto"/>
          <w:sz w:val="32"/>
          <w:szCs w:val="32"/>
          <w:lang w:eastAsia="zh-CN"/>
        </w:rPr>
      </w:pPr>
    </w:p>
    <w:p w14:paraId="7C39C24B">
      <w:pPr>
        <w:pStyle w:val="6"/>
        <w:snapToGrid w:val="0"/>
        <w:spacing w:before="50" w:after="50"/>
        <w:jc w:val="center"/>
        <w:rPr>
          <w:rFonts w:hint="eastAsia" w:ascii="宋体" w:hAnsi="宋体" w:cs="宋体"/>
          <w:b/>
          <w:color w:val="auto"/>
          <w:sz w:val="32"/>
          <w:szCs w:val="32"/>
        </w:rPr>
      </w:pPr>
      <w:r>
        <w:rPr>
          <w:rFonts w:hint="eastAsia" w:ascii="宋体" w:hAnsi="宋体" w:cs="宋体"/>
          <w:b/>
          <w:color w:val="auto"/>
          <w:sz w:val="32"/>
          <w:szCs w:val="32"/>
          <w:lang w:eastAsia="zh-CN"/>
        </w:rPr>
        <w:t>遴选</w:t>
      </w:r>
      <w:r>
        <w:rPr>
          <w:rFonts w:hint="eastAsia" w:ascii="宋体" w:hAnsi="宋体" w:cs="宋体"/>
          <w:b/>
          <w:color w:val="auto"/>
          <w:sz w:val="32"/>
          <w:szCs w:val="32"/>
        </w:rPr>
        <w:t>竞标声明</w:t>
      </w:r>
    </w:p>
    <w:p w14:paraId="219FEDF5">
      <w:pPr>
        <w:spacing w:line="320" w:lineRule="exact"/>
        <w:jc w:val="center"/>
        <w:rPr>
          <w:rFonts w:hint="eastAsia" w:ascii="宋体" w:hAnsi="宋体" w:cs="宋体"/>
          <w:color w:val="auto"/>
          <w:sz w:val="24"/>
          <w:szCs w:val="20"/>
        </w:rPr>
      </w:pPr>
    </w:p>
    <w:p w14:paraId="09DC5175">
      <w:pPr>
        <w:spacing w:before="156" w:beforeLines="50" w:after="50" w:line="320" w:lineRule="exact"/>
        <w:contextualSpacing/>
        <w:rPr>
          <w:rFonts w:hint="eastAsia" w:ascii="宋体" w:hAnsi="宋体" w:cs="宋体"/>
          <w:color w:val="auto"/>
          <w:szCs w:val="21"/>
        </w:rPr>
      </w:pPr>
      <w:r>
        <w:rPr>
          <w:rFonts w:hint="eastAsia" w:ascii="宋体" w:hAnsi="宋体" w:cs="宋体"/>
          <w:color w:val="auto"/>
          <w:szCs w:val="21"/>
        </w:rPr>
        <w:t>致：采购单位：</w:t>
      </w:r>
    </w:p>
    <w:p w14:paraId="5619BCC8">
      <w:pPr>
        <w:spacing w:before="156" w:beforeLines="50" w:after="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u w:val="single"/>
        </w:rPr>
        <w:t>（供应商名称）</w:t>
      </w:r>
      <w:r>
        <w:rPr>
          <w:rFonts w:hint="eastAsia" w:ascii="宋体" w:hAnsi="宋体" w:cs="宋体"/>
          <w:color w:val="auto"/>
          <w:szCs w:val="21"/>
        </w:rPr>
        <w:t>系中华人民共和国合法供应商，经营地址</w:t>
      </w:r>
      <w:r>
        <w:rPr>
          <w:rFonts w:hint="eastAsia" w:ascii="宋体" w:hAnsi="宋体" w:cs="宋体"/>
          <w:color w:val="auto"/>
          <w:szCs w:val="21"/>
          <w:u w:val="single"/>
        </w:rPr>
        <w:t xml:space="preserve">                              </w:t>
      </w:r>
      <w:r>
        <w:rPr>
          <w:rFonts w:hint="eastAsia" w:ascii="宋体" w:hAnsi="宋体" w:cs="宋体"/>
          <w:color w:val="auto"/>
          <w:szCs w:val="21"/>
        </w:rPr>
        <w:t>。</w:t>
      </w:r>
    </w:p>
    <w:p w14:paraId="3E8897D1">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我方愿意参加贵方组织的</w:t>
      </w:r>
      <w:r>
        <w:rPr>
          <w:rFonts w:hint="eastAsia" w:ascii="宋体" w:hAnsi="宋体" w:cs="宋体"/>
          <w:color w:val="auto"/>
          <w:szCs w:val="21"/>
          <w:u w:val="single"/>
        </w:rPr>
        <w:t>（项目名称）</w:t>
      </w:r>
      <w:r>
        <w:rPr>
          <w:rFonts w:hint="eastAsia" w:ascii="宋体" w:hAnsi="宋体" w:cs="宋体"/>
          <w:color w:val="auto"/>
          <w:szCs w:val="21"/>
        </w:rPr>
        <w:t>项目的</w:t>
      </w:r>
      <w:r>
        <w:rPr>
          <w:rFonts w:hint="eastAsia" w:ascii="宋体" w:hAnsi="宋体" w:cs="宋体"/>
          <w:color w:val="auto"/>
          <w:szCs w:val="21"/>
          <w:lang w:eastAsia="zh-CN"/>
        </w:rPr>
        <w:t>遴选</w:t>
      </w:r>
      <w:r>
        <w:rPr>
          <w:rFonts w:hint="eastAsia" w:ascii="宋体" w:hAnsi="宋体" w:cs="宋体"/>
          <w:color w:val="auto"/>
          <w:szCs w:val="21"/>
        </w:rPr>
        <w:t>竞标，为便于贵方公正、择优地确定成交供应商及其竞标产品和服务，我方就本次竞标有关事项郑重声明如下：</w:t>
      </w:r>
    </w:p>
    <w:p w14:paraId="62754590">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1.我方向贵方提交的所有响应文件、资料都是准确的和真实的。</w:t>
      </w:r>
    </w:p>
    <w:p w14:paraId="3ACDA75E">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A98E63E">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3.在此，我方宣布同意如下：</w:t>
      </w:r>
    </w:p>
    <w:p w14:paraId="2AB2A767">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（1）将按</w:t>
      </w:r>
      <w:r>
        <w:rPr>
          <w:rFonts w:hint="eastAsia" w:ascii="宋体" w:hAnsi="宋体" w:cs="宋体"/>
          <w:color w:val="auto"/>
          <w:szCs w:val="21"/>
          <w:lang w:eastAsia="zh-CN"/>
        </w:rPr>
        <w:t>遴选</w:t>
      </w:r>
      <w:r>
        <w:rPr>
          <w:rFonts w:hint="eastAsia" w:ascii="宋体" w:hAnsi="宋体" w:cs="宋体"/>
          <w:color w:val="auto"/>
          <w:szCs w:val="21"/>
        </w:rPr>
        <w:t>谈判文件的约定履行合同责任和义务；</w:t>
      </w:r>
    </w:p>
    <w:p w14:paraId="644BF8FE">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（2）已详细审查全部</w:t>
      </w:r>
      <w:r>
        <w:rPr>
          <w:rFonts w:hint="eastAsia" w:ascii="宋体" w:hAnsi="宋体" w:cs="宋体"/>
          <w:color w:val="auto"/>
          <w:szCs w:val="21"/>
          <w:lang w:eastAsia="zh-CN"/>
        </w:rPr>
        <w:t>遴选</w:t>
      </w:r>
      <w:r>
        <w:rPr>
          <w:rFonts w:hint="eastAsia" w:ascii="宋体" w:hAnsi="宋体" w:cs="宋体"/>
          <w:color w:val="auto"/>
          <w:szCs w:val="21"/>
        </w:rPr>
        <w:t>文件，包括补遗文件（如有）；</w:t>
      </w:r>
    </w:p>
    <w:p w14:paraId="6D13AEE5">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（3）同意提供按照贵方可能要求的与</w:t>
      </w:r>
      <w:r>
        <w:rPr>
          <w:rFonts w:hint="eastAsia" w:ascii="宋体" w:hAnsi="宋体" w:cs="宋体"/>
          <w:color w:val="auto"/>
          <w:szCs w:val="21"/>
          <w:lang w:eastAsia="zh-CN"/>
        </w:rPr>
        <w:t>遴选</w:t>
      </w:r>
      <w:r>
        <w:rPr>
          <w:rFonts w:hint="eastAsia" w:ascii="宋体" w:hAnsi="宋体" w:cs="宋体"/>
          <w:color w:val="auto"/>
          <w:szCs w:val="21"/>
        </w:rPr>
        <w:t>有关的一切数据或资料；</w:t>
      </w:r>
    </w:p>
    <w:p w14:paraId="029B840A">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（4）响应</w:t>
      </w:r>
      <w:r>
        <w:rPr>
          <w:rFonts w:hint="eastAsia" w:ascii="宋体" w:hAnsi="宋体" w:cs="宋体"/>
          <w:color w:val="auto"/>
          <w:szCs w:val="21"/>
          <w:lang w:eastAsia="zh-CN"/>
        </w:rPr>
        <w:t>遴选</w:t>
      </w:r>
      <w:r>
        <w:rPr>
          <w:rFonts w:hint="eastAsia" w:ascii="宋体" w:hAnsi="宋体" w:cs="宋体"/>
          <w:color w:val="auto"/>
          <w:szCs w:val="21"/>
        </w:rPr>
        <w:t>文件规定的竞标有效期。</w:t>
      </w:r>
    </w:p>
    <w:p w14:paraId="00297B87">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4.我方承诺符合《中华人民共和国政府采购法》第二十二条规定：</w:t>
      </w:r>
    </w:p>
    <w:p w14:paraId="764588DF">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（1）具有独立承担民事责任的能力；</w:t>
      </w:r>
    </w:p>
    <w:p w14:paraId="3D113569">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（2）具有良好的商业信誉和健全的财务会计制度；</w:t>
      </w:r>
    </w:p>
    <w:p w14:paraId="5DFA40BA">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（3）具有履行合同所必需的设备和专业技术能力；</w:t>
      </w:r>
    </w:p>
    <w:p w14:paraId="6D48CD9C">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（4）有依法缴纳税收和社会保障资金的良好记录；</w:t>
      </w:r>
    </w:p>
    <w:p w14:paraId="6B1FFD21">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（5）参加政府采购活动前三年内，在经营活动中没有重大违法记录；</w:t>
      </w:r>
    </w:p>
    <w:p w14:paraId="4DB28378">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（6）法律、行政法规规定的其他条件。</w:t>
      </w:r>
    </w:p>
    <w:p w14:paraId="681E315E">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5.我方在此声明，我方及由本人担任法定代表人的其他机构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63CE925">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D42F9CB">
      <w:pPr>
        <w:spacing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□我方本次响应文件</w:t>
      </w:r>
      <w:r>
        <w:rPr>
          <w:rFonts w:hint="eastAsia" w:ascii="宋体" w:hAnsi="宋体" w:cs="宋体"/>
          <w:color w:val="auto"/>
          <w:kern w:val="0"/>
          <w:szCs w:val="21"/>
        </w:rPr>
        <w:t>内容中</w:t>
      </w:r>
      <w:r>
        <w:rPr>
          <w:rFonts w:hint="eastAsia" w:ascii="宋体" w:hAnsi="宋体" w:cs="宋体"/>
          <w:color w:val="auto"/>
          <w:szCs w:val="21"/>
        </w:rPr>
        <w:t>未</w:t>
      </w:r>
      <w:r>
        <w:rPr>
          <w:rFonts w:hint="eastAsia" w:ascii="宋体" w:hAnsi="宋体" w:cs="宋体"/>
          <w:color w:val="auto"/>
          <w:kern w:val="0"/>
          <w:szCs w:val="21"/>
        </w:rPr>
        <w:t>涉及商业秘密；</w:t>
      </w:r>
    </w:p>
    <w:p w14:paraId="465D2009">
      <w:pPr>
        <w:spacing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□我方本次响应文件</w:t>
      </w:r>
      <w:r>
        <w:rPr>
          <w:rFonts w:hint="eastAsia" w:ascii="宋体" w:hAnsi="宋体" w:cs="宋体"/>
          <w:color w:val="auto"/>
          <w:kern w:val="0"/>
          <w:szCs w:val="21"/>
        </w:rPr>
        <w:t>涉及商业秘密的内容有：</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14:paraId="0915F8AB">
      <w:pPr>
        <w:pStyle w:val="9"/>
        <w:spacing w:line="320" w:lineRule="exact"/>
        <w:ind w:firstLine="420" w:firstLineChars="200"/>
        <w:contextualSpacing/>
        <w:rPr>
          <w:rFonts w:hint="eastAsia" w:hAnsi="宋体" w:eastAsia="宋体" w:cs="宋体"/>
          <w:color w:val="auto"/>
          <w:sz w:val="21"/>
          <w:u w:val="single"/>
        </w:rPr>
      </w:pPr>
      <w:r>
        <w:rPr>
          <w:rFonts w:hint="eastAsia" w:hAnsi="宋体" w:eastAsia="宋体" w:cs="宋体"/>
          <w:color w:val="auto"/>
          <w:sz w:val="21"/>
        </w:rPr>
        <w:t>7.与本</w:t>
      </w:r>
      <w:r>
        <w:rPr>
          <w:rFonts w:hint="eastAsia" w:hAnsi="宋体" w:eastAsia="宋体" w:cs="宋体"/>
          <w:color w:val="auto"/>
          <w:sz w:val="21"/>
          <w:lang w:eastAsia="zh-CN"/>
        </w:rPr>
        <w:t>遴选</w:t>
      </w:r>
      <w:r>
        <w:rPr>
          <w:rFonts w:hint="eastAsia" w:hAnsi="宋体" w:eastAsia="宋体" w:cs="宋体"/>
          <w:color w:val="auto"/>
          <w:sz w:val="21"/>
        </w:rPr>
        <w:t>有关的一切正式往来信函请寄：</w:t>
      </w:r>
      <w:r>
        <w:rPr>
          <w:rFonts w:hint="eastAsia" w:hAnsi="宋体" w:eastAsia="宋体" w:cs="宋体"/>
          <w:color w:val="auto"/>
          <w:sz w:val="21"/>
          <w:u w:val="single"/>
        </w:rPr>
        <w:t xml:space="preserve">                  </w:t>
      </w:r>
      <w:r>
        <w:rPr>
          <w:rFonts w:hint="eastAsia" w:hAnsi="宋体" w:eastAsia="宋体" w:cs="宋体"/>
          <w:color w:val="auto"/>
          <w:sz w:val="21"/>
        </w:rPr>
        <w:t>邮政编号：</w:t>
      </w:r>
      <w:r>
        <w:rPr>
          <w:rFonts w:hint="eastAsia" w:hAnsi="宋体" w:eastAsia="宋体" w:cs="宋体"/>
          <w:color w:val="auto"/>
          <w:sz w:val="21"/>
          <w:u w:val="single"/>
        </w:rPr>
        <w:t xml:space="preserve">    </w:t>
      </w:r>
    </w:p>
    <w:p w14:paraId="529BBDC6">
      <w:pPr>
        <w:pStyle w:val="9"/>
        <w:spacing w:line="320" w:lineRule="exact"/>
        <w:ind w:firstLine="420" w:firstLineChars="200"/>
        <w:contextualSpacing/>
        <w:rPr>
          <w:rFonts w:hint="eastAsia" w:hAnsi="宋体" w:eastAsia="宋体" w:cs="宋体"/>
          <w:color w:val="auto"/>
          <w:sz w:val="21"/>
        </w:rPr>
      </w:pPr>
      <w:r>
        <w:rPr>
          <w:rFonts w:hint="eastAsia" w:hAnsi="宋体" w:eastAsia="宋体" w:cs="宋体"/>
          <w:color w:val="auto"/>
          <w:sz w:val="21"/>
        </w:rPr>
        <w:t>电话/传真：</w:t>
      </w:r>
      <w:r>
        <w:rPr>
          <w:rFonts w:hint="eastAsia" w:hAnsi="宋体" w:eastAsia="宋体" w:cs="宋体"/>
          <w:color w:val="auto"/>
          <w:sz w:val="21"/>
          <w:u w:val="single"/>
        </w:rPr>
        <w:t xml:space="preserve">                        </w:t>
      </w:r>
      <w:r>
        <w:rPr>
          <w:rFonts w:hint="eastAsia" w:hAnsi="宋体" w:eastAsia="宋体" w:cs="宋体"/>
          <w:color w:val="auto"/>
          <w:sz w:val="21"/>
        </w:rPr>
        <w:t xml:space="preserve"> 电子函件：</w:t>
      </w:r>
      <w:r>
        <w:rPr>
          <w:rFonts w:hint="eastAsia" w:hAnsi="宋体" w:eastAsia="宋体" w:cs="宋体"/>
          <w:color w:val="auto"/>
          <w:sz w:val="21"/>
          <w:u w:val="single"/>
        </w:rPr>
        <w:t xml:space="preserve">             </w:t>
      </w:r>
      <w:r>
        <w:rPr>
          <w:rFonts w:hint="eastAsia" w:hAnsi="宋体" w:eastAsia="宋体" w:cs="宋体"/>
          <w:color w:val="auto"/>
          <w:sz w:val="21"/>
        </w:rPr>
        <w:t xml:space="preserve">    </w:t>
      </w:r>
    </w:p>
    <w:p w14:paraId="63293855">
      <w:pPr>
        <w:pStyle w:val="8"/>
        <w:tabs>
          <w:tab w:val="left" w:pos="939"/>
        </w:tabs>
        <w:spacing w:line="320" w:lineRule="exact"/>
        <w:ind w:left="141" w:leftChars="67" w:firstLine="315" w:firstLineChars="150"/>
        <w:rPr>
          <w:rFonts w:hint="eastAsia"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 xml:space="preserve">                         </w:t>
      </w:r>
      <w:r>
        <w:rPr>
          <w:rFonts w:hint="eastAsia" w:ascii="宋体" w:hAnsi="宋体" w:cs="宋体"/>
          <w:color w:val="auto"/>
          <w:szCs w:val="21"/>
        </w:rPr>
        <w:t xml:space="preserve">  账号/行号：</w:t>
      </w:r>
      <w:r>
        <w:rPr>
          <w:rFonts w:hint="eastAsia" w:ascii="宋体" w:hAnsi="宋体" w:cs="宋体"/>
          <w:color w:val="auto"/>
          <w:szCs w:val="21"/>
          <w:u w:val="single"/>
        </w:rPr>
        <w:t xml:space="preserve">           </w:t>
      </w:r>
    </w:p>
    <w:p w14:paraId="728ADBB0">
      <w:pPr>
        <w:pStyle w:val="8"/>
        <w:tabs>
          <w:tab w:val="left" w:pos="939"/>
        </w:tabs>
        <w:spacing w:line="320" w:lineRule="exact"/>
        <w:ind w:left="141" w:leftChars="67" w:firstLine="315" w:firstLineChars="150"/>
        <w:rPr>
          <w:rFonts w:hint="eastAsia" w:ascii="宋体" w:hAnsi="宋体" w:cs="宋体"/>
          <w:color w:val="auto"/>
          <w:szCs w:val="21"/>
        </w:rPr>
      </w:pPr>
      <w:r>
        <w:rPr>
          <w:rFonts w:hint="eastAsia" w:ascii="宋体" w:hAnsi="宋体" w:cs="宋体"/>
          <w:color w:val="auto"/>
          <w:szCs w:val="21"/>
        </w:rPr>
        <w:t>8.以上事项如有虚假或隐瞒，我方愿意承担一切后果，并不再寻求任何旨在减轻或免除法律责任的辩解。</w:t>
      </w:r>
    </w:p>
    <w:p w14:paraId="3889DB5A">
      <w:pPr>
        <w:pStyle w:val="8"/>
        <w:tabs>
          <w:tab w:val="left" w:pos="939"/>
        </w:tabs>
        <w:spacing w:line="320" w:lineRule="exact"/>
        <w:ind w:left="141" w:leftChars="67" w:firstLine="315" w:firstLineChars="150"/>
        <w:rPr>
          <w:rFonts w:hint="eastAsia" w:ascii="宋体" w:hAnsi="宋体" w:cs="宋体"/>
          <w:color w:val="auto"/>
          <w:szCs w:val="21"/>
        </w:rPr>
      </w:pPr>
      <w:r>
        <w:rPr>
          <w:rFonts w:hint="eastAsia" w:ascii="宋体" w:hAnsi="宋体" w:cs="宋体"/>
          <w:color w:val="auto"/>
          <w:szCs w:val="21"/>
        </w:rPr>
        <w:t>特此承诺。</w:t>
      </w:r>
    </w:p>
    <w:p w14:paraId="1FC43F82">
      <w:pPr>
        <w:pStyle w:val="8"/>
        <w:tabs>
          <w:tab w:val="left" w:pos="939"/>
        </w:tabs>
        <w:spacing w:line="320" w:lineRule="exact"/>
        <w:ind w:left="141" w:leftChars="67" w:firstLine="315" w:firstLineChars="150"/>
        <w:rPr>
          <w:rFonts w:hint="eastAsia" w:ascii="宋体" w:hAnsi="宋体" w:cs="宋体"/>
          <w:color w:val="auto"/>
          <w:szCs w:val="21"/>
        </w:rPr>
      </w:pPr>
    </w:p>
    <w:p w14:paraId="451BC2FD">
      <w:pPr>
        <w:spacing w:line="320" w:lineRule="exact"/>
        <w:ind w:firstLine="3780" w:firstLineChars="1800"/>
        <w:rPr>
          <w:rFonts w:hint="eastAsia" w:ascii="宋体" w:hAnsi="宋体" w:cs="宋体"/>
          <w:color w:val="auto"/>
        </w:rPr>
      </w:pPr>
      <w:r>
        <w:rPr>
          <w:rFonts w:hint="eastAsia" w:ascii="宋体" w:hAnsi="宋体" w:cs="宋体"/>
          <w:color w:val="auto"/>
        </w:rPr>
        <w:t>法定代表人（负责人或自然人）（签字）：</w:t>
      </w:r>
      <w:r>
        <w:rPr>
          <w:rFonts w:hint="eastAsia" w:ascii="宋体" w:hAnsi="宋体" w:cs="宋体"/>
          <w:color w:val="auto"/>
          <w:u w:val="single"/>
        </w:rPr>
        <w:t xml:space="preserve">           </w:t>
      </w:r>
      <w:r>
        <w:rPr>
          <w:rFonts w:hint="eastAsia" w:ascii="宋体" w:hAnsi="宋体" w:cs="宋体"/>
          <w:color w:val="auto"/>
        </w:rPr>
        <w:t xml:space="preserve">                                     </w:t>
      </w:r>
    </w:p>
    <w:p w14:paraId="426D40F1">
      <w:pPr>
        <w:spacing w:line="320" w:lineRule="exact"/>
        <w:ind w:firstLine="3780" w:firstLineChars="1800"/>
        <w:rPr>
          <w:rFonts w:hint="eastAsia" w:ascii="宋体" w:hAnsi="宋体" w:cs="宋体"/>
          <w:color w:val="auto"/>
          <w:szCs w:val="21"/>
          <w:u w:val="single"/>
        </w:rPr>
      </w:pPr>
      <w:r>
        <w:rPr>
          <w:rFonts w:hint="eastAsia" w:ascii="宋体" w:hAnsi="宋体" w:cs="宋体"/>
          <w:color w:val="auto"/>
        </w:rPr>
        <w:t>供应商（盖公章）：</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szCs w:val="21"/>
        </w:rPr>
        <w:t xml:space="preserve">    </w:t>
      </w:r>
    </w:p>
    <w:p w14:paraId="5E7C16AC">
      <w:pPr>
        <w:wordWrap w:val="0"/>
        <w:spacing w:before="156" w:beforeLines="50" w:after="50" w:line="320" w:lineRule="exact"/>
        <w:ind w:right="482" w:firstLine="210" w:firstLineChars="100"/>
        <w:contextualSpacing/>
        <w:jc w:val="center"/>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rPr>
        <w:t xml:space="preserve"> 年    月    日 </w:t>
      </w:r>
    </w:p>
    <w:p w14:paraId="0F435F75">
      <w:pPr>
        <w:snapToGrid w:val="0"/>
        <w:spacing w:before="156" w:beforeLines="50" w:after="50"/>
        <w:jc w:val="center"/>
        <w:rPr>
          <w:rFonts w:hint="eastAsia" w:ascii="宋体" w:hAnsi="宋体" w:cs="宋体"/>
          <w:b/>
          <w:color w:val="auto"/>
          <w:sz w:val="32"/>
          <w:szCs w:val="32"/>
        </w:rPr>
      </w:pPr>
    </w:p>
    <w:p w14:paraId="2DB503DC">
      <w:pPr>
        <w:snapToGrid w:val="0"/>
        <w:spacing w:before="156" w:beforeLines="50" w:after="50"/>
        <w:ind w:right="480"/>
        <w:jc w:val="both"/>
        <w:rPr>
          <w:rFonts w:hint="eastAsia" w:ascii="宋体" w:hAnsi="宋体" w:cs="宋体"/>
          <w:color w:val="auto"/>
          <w:sz w:val="28"/>
          <w:szCs w:val="28"/>
        </w:rPr>
      </w:pPr>
    </w:p>
    <w:p w14:paraId="0C55DBD9">
      <w:pPr>
        <w:snapToGrid w:val="0"/>
        <w:spacing w:before="50" w:after="156" w:afterLines="50"/>
        <w:jc w:val="left"/>
        <w:rPr>
          <w:rFonts w:hint="eastAsia" w:ascii="宋体" w:hAnsi="宋体" w:cs="宋体"/>
          <w:color w:val="auto"/>
          <w:szCs w:val="21"/>
        </w:rPr>
      </w:pPr>
    </w:p>
    <w:p w14:paraId="5DF06DFD">
      <w:pPr>
        <w:snapToGrid w:val="0"/>
        <w:spacing w:before="156" w:beforeLines="50" w:after="50"/>
        <w:ind w:firstLine="2640" w:firstLineChars="600"/>
        <w:rPr>
          <w:rFonts w:hint="eastAsia" w:ascii="宋体" w:hAnsi="宋体" w:cs="宋体"/>
          <w:color w:val="auto"/>
          <w:sz w:val="32"/>
          <w:szCs w:val="32"/>
        </w:rPr>
      </w:pPr>
      <w:r>
        <w:rPr>
          <w:rFonts w:hint="eastAsia" w:ascii="宋体" w:hAnsi="宋体" w:cs="宋体"/>
          <w:color w:val="auto"/>
          <w:sz w:val="44"/>
          <w:szCs w:val="44"/>
        </w:rPr>
        <w:t>无串通竞标行为的承诺函</w:t>
      </w:r>
    </w:p>
    <w:p w14:paraId="19A3A3C0">
      <w:pPr>
        <w:spacing w:line="400" w:lineRule="exact"/>
        <w:ind w:firstLine="480" w:firstLineChars="200"/>
        <w:rPr>
          <w:rFonts w:hint="eastAsia" w:ascii="宋体" w:hAnsi="宋体" w:cs="宋体"/>
          <w:color w:val="auto"/>
          <w:sz w:val="24"/>
        </w:rPr>
      </w:pPr>
    </w:p>
    <w:p w14:paraId="5225B4EC">
      <w:pPr>
        <w:spacing w:line="400" w:lineRule="exact"/>
        <w:ind w:firstLine="480" w:firstLineChars="200"/>
        <w:rPr>
          <w:rFonts w:hint="eastAsia" w:ascii="宋体" w:hAnsi="宋体" w:cs="宋体"/>
          <w:b/>
          <w:bCs/>
          <w:color w:val="auto"/>
          <w:sz w:val="24"/>
        </w:rPr>
      </w:pPr>
      <w:r>
        <w:rPr>
          <w:rFonts w:hint="eastAsia" w:ascii="宋体" w:hAnsi="宋体" w:cs="宋体"/>
          <w:b/>
          <w:bCs/>
          <w:color w:val="auto"/>
          <w:sz w:val="24"/>
        </w:rPr>
        <w:t>一、我公司承诺无下列相互串通竞标的情形：</w:t>
      </w:r>
    </w:p>
    <w:p w14:paraId="36876993">
      <w:pPr>
        <w:spacing w:line="400" w:lineRule="exact"/>
        <w:ind w:firstLine="480" w:firstLineChars="200"/>
        <w:rPr>
          <w:rFonts w:hint="eastAsia" w:ascii="宋体" w:hAnsi="宋体" w:cs="宋体"/>
          <w:color w:val="auto"/>
          <w:sz w:val="24"/>
        </w:rPr>
      </w:pPr>
      <w:r>
        <w:rPr>
          <w:rFonts w:hint="eastAsia" w:ascii="宋体" w:hAnsi="宋体" w:cs="宋体"/>
          <w:color w:val="auto"/>
          <w:sz w:val="24"/>
        </w:rPr>
        <w:t>1.不同供应商的响应文件由同一单位或者个人编制；或不同供应商报名的IP地址一致的；</w:t>
      </w:r>
    </w:p>
    <w:p w14:paraId="57247AB2">
      <w:pPr>
        <w:spacing w:line="400" w:lineRule="exact"/>
        <w:ind w:firstLine="480" w:firstLineChars="200"/>
        <w:rPr>
          <w:rFonts w:hint="eastAsia" w:ascii="宋体" w:hAnsi="宋体" w:cs="宋体"/>
          <w:color w:val="auto"/>
          <w:sz w:val="24"/>
        </w:rPr>
      </w:pPr>
      <w:r>
        <w:rPr>
          <w:rFonts w:hint="eastAsia" w:ascii="宋体" w:hAnsi="宋体" w:cs="宋体"/>
          <w:color w:val="auto"/>
          <w:sz w:val="24"/>
        </w:rPr>
        <w:t>2.不同供应商委托同一单位或者个人办理竞标事宜；</w:t>
      </w:r>
    </w:p>
    <w:p w14:paraId="14643E8D">
      <w:pPr>
        <w:spacing w:line="400" w:lineRule="exact"/>
        <w:ind w:firstLine="480" w:firstLineChars="200"/>
        <w:rPr>
          <w:rFonts w:hint="eastAsia" w:ascii="宋体" w:hAnsi="宋体" w:cs="宋体"/>
          <w:color w:val="auto"/>
          <w:sz w:val="24"/>
        </w:rPr>
      </w:pPr>
      <w:r>
        <w:rPr>
          <w:rFonts w:hint="eastAsia" w:ascii="宋体" w:hAnsi="宋体" w:cs="宋体"/>
          <w:color w:val="auto"/>
          <w:sz w:val="24"/>
        </w:rPr>
        <w:t>3.不同的供应商的响应文件载明的项目管理员为同一个人；</w:t>
      </w:r>
    </w:p>
    <w:p w14:paraId="62D5DC9E">
      <w:pPr>
        <w:spacing w:line="400" w:lineRule="exact"/>
        <w:ind w:firstLine="480" w:firstLineChars="200"/>
        <w:rPr>
          <w:rFonts w:hint="eastAsia" w:ascii="宋体" w:hAnsi="宋体" w:cs="宋体"/>
          <w:color w:val="auto"/>
          <w:sz w:val="24"/>
        </w:rPr>
      </w:pPr>
      <w:r>
        <w:rPr>
          <w:rFonts w:hint="eastAsia" w:ascii="宋体" w:hAnsi="宋体" w:cs="宋体"/>
          <w:color w:val="auto"/>
          <w:sz w:val="24"/>
        </w:rPr>
        <w:t>4.不</w:t>
      </w:r>
      <w:r>
        <w:rPr>
          <w:rFonts w:hint="eastAsia" w:ascii="宋体" w:hAnsi="宋体" w:cs="宋体"/>
          <w:color w:val="auto"/>
          <w:spacing w:val="-6"/>
          <w:sz w:val="24"/>
        </w:rPr>
        <w:t>同供应商的响应文件异常一致或竞标报价呈规律性差异；</w:t>
      </w:r>
    </w:p>
    <w:p w14:paraId="2CCBE32A">
      <w:pPr>
        <w:spacing w:line="400" w:lineRule="exact"/>
        <w:ind w:firstLine="480" w:firstLineChars="200"/>
        <w:rPr>
          <w:rFonts w:hint="eastAsia" w:ascii="宋体" w:hAnsi="宋体" w:cs="宋体"/>
          <w:color w:val="auto"/>
          <w:sz w:val="24"/>
        </w:rPr>
      </w:pPr>
      <w:r>
        <w:rPr>
          <w:rFonts w:hint="eastAsia" w:ascii="宋体" w:hAnsi="宋体" w:cs="宋体"/>
          <w:color w:val="auto"/>
          <w:sz w:val="24"/>
        </w:rPr>
        <w:t>5.不同供应商的响应文件相互混装；</w:t>
      </w:r>
    </w:p>
    <w:p w14:paraId="75051396">
      <w:pPr>
        <w:spacing w:line="400" w:lineRule="exact"/>
        <w:ind w:firstLine="480" w:firstLineChars="200"/>
        <w:rPr>
          <w:rFonts w:hint="eastAsia" w:ascii="宋体" w:hAnsi="宋体" w:cs="宋体"/>
          <w:b/>
          <w:bCs/>
          <w:color w:val="auto"/>
          <w:sz w:val="24"/>
        </w:rPr>
      </w:pPr>
      <w:r>
        <w:rPr>
          <w:rFonts w:hint="eastAsia" w:ascii="宋体" w:hAnsi="宋体" w:cs="宋体"/>
          <w:b/>
          <w:bCs/>
          <w:color w:val="auto"/>
          <w:sz w:val="24"/>
        </w:rPr>
        <w:t>二、我公司承诺无下列恶意串通的情形：</w:t>
      </w:r>
    </w:p>
    <w:p w14:paraId="03D6AEDC">
      <w:pPr>
        <w:spacing w:line="400" w:lineRule="exact"/>
        <w:ind w:firstLine="480" w:firstLineChars="200"/>
        <w:rPr>
          <w:rFonts w:hint="eastAsia" w:ascii="宋体" w:hAnsi="宋体" w:cs="宋体"/>
          <w:color w:val="auto"/>
          <w:sz w:val="24"/>
        </w:rPr>
      </w:pPr>
      <w:r>
        <w:rPr>
          <w:rFonts w:hint="eastAsia" w:ascii="宋体" w:hAnsi="宋体" w:cs="宋体"/>
          <w:color w:val="auto"/>
          <w:sz w:val="24"/>
        </w:rPr>
        <w:t>1.供应商直接或者间接从采购人处获得其他供应商的相关信息并修改其响应文件；</w:t>
      </w:r>
    </w:p>
    <w:p w14:paraId="7AA8EC0F">
      <w:pPr>
        <w:spacing w:line="400" w:lineRule="exact"/>
        <w:ind w:firstLine="480" w:firstLineChars="200"/>
        <w:rPr>
          <w:rFonts w:hint="eastAsia" w:ascii="宋体" w:hAnsi="宋体" w:cs="宋体"/>
          <w:color w:val="auto"/>
          <w:sz w:val="24"/>
        </w:rPr>
      </w:pPr>
      <w:r>
        <w:rPr>
          <w:rFonts w:hint="eastAsia" w:ascii="宋体" w:hAnsi="宋体" w:cs="宋体"/>
          <w:color w:val="auto"/>
          <w:sz w:val="24"/>
        </w:rPr>
        <w:t>2.供应商按照采购人的授意撤换、修改响应文件；</w:t>
      </w:r>
    </w:p>
    <w:p w14:paraId="7BF6367F">
      <w:pPr>
        <w:spacing w:line="400" w:lineRule="exact"/>
        <w:ind w:firstLine="480" w:firstLineChars="200"/>
        <w:rPr>
          <w:rFonts w:hint="eastAsia" w:ascii="宋体" w:hAnsi="宋体" w:cs="宋体"/>
          <w:color w:val="auto"/>
          <w:sz w:val="24"/>
        </w:rPr>
      </w:pPr>
      <w:r>
        <w:rPr>
          <w:rFonts w:hint="eastAsia" w:ascii="宋体" w:hAnsi="宋体" w:cs="宋体"/>
          <w:color w:val="auto"/>
          <w:sz w:val="24"/>
        </w:rPr>
        <w:t>3.供</w:t>
      </w:r>
      <w:r>
        <w:rPr>
          <w:rFonts w:hint="eastAsia" w:ascii="宋体" w:hAnsi="宋体" w:cs="宋体"/>
          <w:color w:val="auto"/>
          <w:spacing w:val="-6"/>
          <w:sz w:val="24"/>
        </w:rPr>
        <w:t>应商之间协商报价、技术方案等响应文件的实质性内容；</w:t>
      </w:r>
    </w:p>
    <w:p w14:paraId="130C4523">
      <w:pPr>
        <w:spacing w:line="400" w:lineRule="exact"/>
        <w:ind w:firstLine="480" w:firstLineChars="200"/>
        <w:rPr>
          <w:rFonts w:hint="eastAsia" w:ascii="宋体" w:hAnsi="宋体" w:cs="宋体"/>
          <w:color w:val="auto"/>
          <w:sz w:val="24"/>
        </w:rPr>
      </w:pPr>
      <w:r>
        <w:rPr>
          <w:rFonts w:hint="eastAsia" w:ascii="宋体" w:hAnsi="宋体" w:cs="宋体"/>
          <w:color w:val="auto"/>
          <w:sz w:val="24"/>
        </w:rPr>
        <w:t>4.属于同一集团、协会、商会等组织成员的供应商按照该组织要求协同参加政府采购活动；</w:t>
      </w:r>
    </w:p>
    <w:p w14:paraId="51600870">
      <w:pPr>
        <w:spacing w:line="400" w:lineRule="exact"/>
        <w:ind w:firstLine="480" w:firstLineChars="200"/>
        <w:rPr>
          <w:rFonts w:hint="eastAsia" w:ascii="宋体" w:hAnsi="宋体" w:cs="宋体"/>
          <w:color w:val="auto"/>
          <w:sz w:val="24"/>
        </w:rPr>
      </w:pPr>
      <w:r>
        <w:rPr>
          <w:rFonts w:hint="eastAsia" w:ascii="宋体" w:hAnsi="宋体" w:cs="宋体"/>
          <w:color w:val="auto"/>
          <w:sz w:val="24"/>
        </w:rPr>
        <w:t>5.供应商之间事先约定一致抬高或者压低竞标报价，或者在</w:t>
      </w:r>
      <w:r>
        <w:rPr>
          <w:rFonts w:hint="eastAsia" w:ascii="宋体" w:hAnsi="宋体" w:cs="宋体"/>
          <w:color w:val="auto"/>
          <w:sz w:val="24"/>
          <w:lang w:eastAsia="zh-CN"/>
        </w:rPr>
        <w:t>遴选</w:t>
      </w:r>
      <w:r>
        <w:rPr>
          <w:rFonts w:hint="eastAsia" w:ascii="宋体" w:hAnsi="宋体" w:cs="宋体"/>
          <w:color w:val="auto"/>
          <w:sz w:val="24"/>
        </w:rPr>
        <w:t>项目中事先约定轮流以高价位或者低价位成交，或者事先约定由某一特定供应商成交，然后再参加竞标；</w:t>
      </w:r>
    </w:p>
    <w:p w14:paraId="485D91C1">
      <w:pPr>
        <w:spacing w:line="400" w:lineRule="exact"/>
        <w:ind w:firstLine="480" w:firstLineChars="200"/>
        <w:rPr>
          <w:rFonts w:hint="eastAsia" w:ascii="宋体" w:hAnsi="宋体" w:cs="宋体"/>
          <w:color w:val="auto"/>
          <w:sz w:val="24"/>
        </w:rPr>
      </w:pPr>
      <w:r>
        <w:rPr>
          <w:rFonts w:hint="eastAsia" w:ascii="宋体" w:hAnsi="宋体" w:cs="宋体"/>
          <w:color w:val="auto"/>
          <w:sz w:val="24"/>
        </w:rPr>
        <w:t>6.供应商之间商定部分供应商放弃参加政府采购活动或者放弃成交；</w:t>
      </w:r>
    </w:p>
    <w:p w14:paraId="263D16D2">
      <w:pPr>
        <w:spacing w:line="400" w:lineRule="exact"/>
        <w:ind w:firstLine="480" w:firstLineChars="200"/>
        <w:rPr>
          <w:rFonts w:hint="eastAsia" w:ascii="宋体" w:hAnsi="宋体" w:cs="宋体"/>
          <w:color w:val="auto"/>
          <w:sz w:val="24"/>
        </w:rPr>
      </w:pPr>
      <w:r>
        <w:rPr>
          <w:rFonts w:hint="eastAsia" w:ascii="宋体" w:hAnsi="宋体" w:cs="宋体"/>
          <w:color w:val="auto"/>
          <w:sz w:val="24"/>
        </w:rPr>
        <w:t>7.供应商与采购人或者采购代理机构之间、供应商相互之间，为</w:t>
      </w:r>
      <w:r>
        <w:rPr>
          <w:rFonts w:hint="eastAsia" w:ascii="宋体" w:hAnsi="宋体" w:cs="宋体"/>
          <w:color w:val="auto"/>
          <w:spacing w:val="-6"/>
          <w:sz w:val="24"/>
        </w:rPr>
        <w:t>谋求特定供应商成交或者排斥其他供应商的其他串通行为。</w:t>
      </w:r>
    </w:p>
    <w:p w14:paraId="26955A57">
      <w:pPr>
        <w:spacing w:line="400" w:lineRule="exact"/>
        <w:ind w:firstLine="480" w:firstLineChars="200"/>
        <w:rPr>
          <w:rFonts w:hint="eastAsia" w:ascii="宋体" w:hAnsi="宋体" w:cs="宋体"/>
          <w:color w:val="auto"/>
          <w:sz w:val="24"/>
        </w:rPr>
      </w:pPr>
    </w:p>
    <w:p w14:paraId="5331796B">
      <w:pPr>
        <w:spacing w:line="400" w:lineRule="exact"/>
        <w:ind w:firstLine="480" w:firstLineChars="200"/>
        <w:rPr>
          <w:rFonts w:hint="eastAsia" w:ascii="宋体" w:hAnsi="宋体" w:cs="宋体"/>
          <w:b/>
          <w:bCs/>
          <w:color w:val="auto"/>
          <w:sz w:val="24"/>
        </w:rPr>
      </w:pPr>
      <w:r>
        <w:rPr>
          <w:rFonts w:hint="eastAsia" w:ascii="宋体" w:hAnsi="宋体" w:cs="宋体"/>
          <w:b/>
          <w:bCs/>
          <w:color w:val="auto"/>
          <w:sz w:val="24"/>
        </w:rPr>
        <w:t>以上情形一经核查属实，我方愿意承担一切后果，并不再寻求任何旨在减轻或免除法律责任的辩解。</w:t>
      </w:r>
    </w:p>
    <w:p w14:paraId="0C568CA9">
      <w:pPr>
        <w:spacing w:line="400" w:lineRule="exact"/>
        <w:ind w:firstLine="640" w:firstLineChars="200"/>
        <w:rPr>
          <w:rFonts w:hint="eastAsia" w:ascii="宋体" w:hAnsi="宋体" w:cs="宋体"/>
          <w:color w:val="auto"/>
          <w:sz w:val="32"/>
          <w:szCs w:val="32"/>
        </w:rPr>
      </w:pPr>
    </w:p>
    <w:p w14:paraId="2D9CE640">
      <w:pPr>
        <w:spacing w:line="400" w:lineRule="exact"/>
        <w:ind w:firstLine="480" w:firstLineChars="200"/>
        <w:rPr>
          <w:rFonts w:hint="eastAsia" w:ascii="宋体" w:hAnsi="宋体" w:cs="宋体"/>
          <w:color w:val="auto"/>
          <w:sz w:val="24"/>
        </w:rPr>
      </w:pPr>
    </w:p>
    <w:p w14:paraId="1D9CDA6A">
      <w:pPr>
        <w:spacing w:line="400" w:lineRule="exact"/>
        <w:ind w:firstLine="480" w:firstLineChars="200"/>
        <w:rPr>
          <w:rFonts w:hint="eastAsia" w:ascii="宋体" w:hAnsi="宋体" w:cs="宋体"/>
          <w:color w:val="auto"/>
          <w:sz w:val="24"/>
        </w:rPr>
      </w:pPr>
    </w:p>
    <w:p w14:paraId="42EC9CC1">
      <w:pPr>
        <w:spacing w:line="400" w:lineRule="exact"/>
        <w:ind w:firstLine="3600" w:firstLineChars="1500"/>
        <w:rPr>
          <w:rFonts w:hint="eastAsia" w:ascii="宋体" w:hAnsi="宋体" w:cs="宋体"/>
          <w:color w:val="auto"/>
          <w:sz w:val="24"/>
        </w:rPr>
      </w:pPr>
      <w:r>
        <w:rPr>
          <w:rFonts w:hint="eastAsia" w:ascii="宋体" w:hAnsi="宋体" w:cs="宋体"/>
          <w:color w:val="auto"/>
          <w:sz w:val="24"/>
        </w:rPr>
        <w:t>供应商（盖公章 ）：</w:t>
      </w:r>
    </w:p>
    <w:p w14:paraId="5A6DE947">
      <w:pPr>
        <w:spacing w:line="520" w:lineRule="exact"/>
        <w:ind w:firstLine="480" w:firstLineChars="200"/>
        <w:jc w:val="center"/>
        <w:rPr>
          <w:rFonts w:hint="eastAsia" w:ascii="宋体" w:hAnsi="宋体" w:cs="宋体"/>
          <w:color w:val="auto"/>
          <w:sz w:val="24"/>
        </w:rPr>
      </w:pPr>
      <w:r>
        <w:rPr>
          <w:rFonts w:hint="eastAsia" w:ascii="宋体" w:hAnsi="宋体" w:cs="宋体"/>
          <w:color w:val="auto"/>
          <w:sz w:val="24"/>
        </w:rPr>
        <w:t xml:space="preserve">                               年   月   日</w:t>
      </w:r>
    </w:p>
    <w:p w14:paraId="76D2D1DF">
      <w:pPr>
        <w:spacing w:line="520" w:lineRule="exact"/>
        <w:ind w:firstLine="640" w:firstLineChars="200"/>
        <w:jc w:val="center"/>
        <w:rPr>
          <w:rFonts w:hint="eastAsia" w:ascii="宋体" w:hAnsi="宋体" w:cs="宋体"/>
          <w:color w:val="auto"/>
          <w:sz w:val="32"/>
          <w:szCs w:val="32"/>
        </w:rPr>
      </w:pPr>
    </w:p>
    <w:p w14:paraId="1324E34F">
      <w:pPr>
        <w:spacing w:line="520" w:lineRule="exact"/>
        <w:ind w:firstLine="640" w:firstLineChars="200"/>
        <w:jc w:val="center"/>
        <w:rPr>
          <w:rFonts w:hint="eastAsia" w:ascii="宋体" w:hAnsi="宋体" w:cs="宋体"/>
          <w:color w:val="auto"/>
          <w:sz w:val="32"/>
          <w:szCs w:val="32"/>
        </w:rPr>
      </w:pPr>
    </w:p>
    <w:p w14:paraId="3AE528BB">
      <w:pPr>
        <w:spacing w:line="520" w:lineRule="exact"/>
        <w:ind w:firstLine="640" w:firstLineChars="200"/>
        <w:jc w:val="center"/>
        <w:rPr>
          <w:rFonts w:hint="eastAsia" w:ascii="宋体" w:hAnsi="宋体" w:cs="宋体"/>
          <w:color w:val="auto"/>
          <w:sz w:val="32"/>
          <w:szCs w:val="32"/>
        </w:rPr>
      </w:pPr>
    </w:p>
    <w:p w14:paraId="34716632">
      <w:pPr>
        <w:pStyle w:val="5"/>
        <w:rPr>
          <w:rFonts w:hint="eastAsia" w:ascii="宋体" w:hAnsi="宋体" w:cs="宋体"/>
          <w:color w:val="auto"/>
          <w:sz w:val="32"/>
          <w:szCs w:val="32"/>
        </w:rPr>
      </w:pPr>
    </w:p>
    <w:p w14:paraId="4185ECA1">
      <w:pPr>
        <w:rPr>
          <w:rFonts w:hint="eastAsia"/>
          <w:color w:val="auto"/>
        </w:rPr>
      </w:pPr>
    </w:p>
    <w:p w14:paraId="3454EBD5">
      <w:pPr>
        <w:spacing w:line="520" w:lineRule="exact"/>
        <w:ind w:firstLine="640" w:firstLineChars="200"/>
        <w:jc w:val="center"/>
        <w:rPr>
          <w:rFonts w:hint="eastAsia" w:ascii="宋体" w:hAnsi="宋体" w:cs="宋体"/>
          <w:color w:val="auto"/>
          <w:sz w:val="32"/>
          <w:szCs w:val="32"/>
        </w:rPr>
      </w:pPr>
    </w:p>
    <w:p w14:paraId="17681568">
      <w:pPr>
        <w:spacing w:line="520" w:lineRule="exact"/>
        <w:ind w:firstLine="640" w:firstLineChars="200"/>
        <w:jc w:val="center"/>
        <w:rPr>
          <w:rFonts w:hint="eastAsia" w:ascii="宋体" w:hAnsi="宋体" w:cs="宋体"/>
          <w:color w:val="auto"/>
          <w:sz w:val="32"/>
          <w:szCs w:val="32"/>
        </w:rPr>
      </w:pPr>
    </w:p>
    <w:p w14:paraId="4C9A1D20">
      <w:pPr>
        <w:spacing w:line="520" w:lineRule="exact"/>
        <w:jc w:val="center"/>
        <w:rPr>
          <w:rFonts w:hint="eastAsia" w:ascii="宋体" w:hAnsi="宋体" w:cs="宋体"/>
          <w:b/>
          <w:color w:val="auto"/>
          <w:sz w:val="32"/>
          <w:szCs w:val="32"/>
        </w:rPr>
      </w:pPr>
      <w:r>
        <w:rPr>
          <w:rFonts w:hint="eastAsia" w:ascii="宋体" w:hAnsi="宋体" w:cs="宋体"/>
          <w:b/>
          <w:color w:val="auto"/>
          <w:sz w:val="32"/>
          <w:szCs w:val="32"/>
        </w:rPr>
        <w:t>防城港市政府采购供应商信用承诺函（格式）</w:t>
      </w:r>
    </w:p>
    <w:p w14:paraId="0D062556">
      <w:pPr>
        <w:spacing w:line="520" w:lineRule="exact"/>
        <w:ind w:firstLine="640" w:firstLineChars="200"/>
        <w:rPr>
          <w:rFonts w:hint="eastAsia" w:ascii="宋体" w:hAnsi="宋体" w:cs="宋体"/>
          <w:b/>
          <w:color w:val="auto"/>
          <w:sz w:val="32"/>
          <w:szCs w:val="32"/>
        </w:rPr>
      </w:pPr>
    </w:p>
    <w:p w14:paraId="61A852D2">
      <w:pPr>
        <w:spacing w:line="400" w:lineRule="exact"/>
        <w:ind w:firstLine="480" w:firstLineChars="200"/>
        <w:rPr>
          <w:rFonts w:hint="eastAsia" w:ascii="宋体" w:hAnsi="宋体" w:cs="宋体"/>
          <w:color w:val="auto"/>
          <w:sz w:val="24"/>
        </w:rPr>
      </w:pPr>
      <w:r>
        <w:rPr>
          <w:rFonts w:hint="eastAsia" w:ascii="宋体" w:hAnsi="宋体" w:cs="宋体"/>
          <w:color w:val="auto"/>
          <w:sz w:val="24"/>
        </w:rPr>
        <w:t>致（采购人或采购代理机构） ：</w:t>
      </w:r>
    </w:p>
    <w:p w14:paraId="2F141265">
      <w:pPr>
        <w:spacing w:line="400" w:lineRule="exact"/>
        <w:ind w:firstLine="480" w:firstLineChars="200"/>
        <w:rPr>
          <w:rFonts w:hint="eastAsia" w:ascii="宋体" w:hAnsi="宋体" w:cs="宋体"/>
          <w:color w:val="auto"/>
          <w:sz w:val="24"/>
        </w:rPr>
      </w:pPr>
      <w:r>
        <w:rPr>
          <w:rFonts w:hint="eastAsia" w:ascii="宋体" w:hAnsi="宋体" w:cs="宋体"/>
          <w:color w:val="auto"/>
          <w:sz w:val="24"/>
        </w:rPr>
        <w:t xml:space="preserve">我方自愿参加 （项目名称） 项目（项目编号：         ）的政府采购活动，严格遵守《中华人民共和国政府采购法》及相关法律法规，依法诚信经营，无条件遵守本次政府采购活动的各项规定，并郑重承诺： </w:t>
      </w:r>
    </w:p>
    <w:p w14:paraId="5A18F824">
      <w:pPr>
        <w:spacing w:line="400" w:lineRule="exact"/>
        <w:ind w:firstLine="480" w:firstLineChars="200"/>
        <w:rPr>
          <w:rFonts w:hint="eastAsia" w:ascii="宋体" w:hAnsi="宋体" w:cs="宋体"/>
          <w:color w:val="auto"/>
          <w:sz w:val="24"/>
        </w:rPr>
      </w:pPr>
      <w:r>
        <w:rPr>
          <w:rFonts w:hint="eastAsia" w:ascii="宋体" w:hAnsi="宋体" w:cs="宋体"/>
          <w:color w:val="auto"/>
          <w:sz w:val="24"/>
        </w:rPr>
        <w:t xml:space="preserve">1.我方具有符合采购文件资格要求的财务状况报告。 </w:t>
      </w:r>
    </w:p>
    <w:p w14:paraId="27971976">
      <w:pPr>
        <w:spacing w:line="400" w:lineRule="exact"/>
        <w:ind w:firstLine="480" w:firstLineChars="200"/>
        <w:rPr>
          <w:rFonts w:hint="eastAsia" w:ascii="宋体" w:hAnsi="宋体" w:cs="宋体"/>
          <w:color w:val="auto"/>
          <w:sz w:val="24"/>
        </w:rPr>
      </w:pPr>
      <w:r>
        <w:rPr>
          <w:rFonts w:hint="eastAsia" w:ascii="宋体" w:hAnsi="宋体" w:cs="宋体"/>
          <w:color w:val="auto"/>
          <w:sz w:val="24"/>
        </w:rPr>
        <w:t xml:space="preserve">2.我方具有符合采购文件资格要求的依法缴纳税收和社会保障资金的良好记录。 </w:t>
      </w:r>
    </w:p>
    <w:p w14:paraId="5F8E1F1F">
      <w:pPr>
        <w:spacing w:line="400" w:lineRule="exact"/>
        <w:ind w:firstLine="480" w:firstLineChars="200"/>
        <w:rPr>
          <w:rFonts w:hint="eastAsia" w:ascii="宋体" w:hAnsi="宋体" w:cs="宋体"/>
          <w:color w:val="auto"/>
          <w:sz w:val="24"/>
        </w:rPr>
      </w:pPr>
      <w:r>
        <w:rPr>
          <w:rFonts w:hint="eastAsia" w:ascii="宋体" w:hAnsi="宋体" w:cs="宋体"/>
          <w:color w:val="auto"/>
          <w:sz w:val="24"/>
        </w:rPr>
        <w:t xml:space="preserve">3.我方参加政府采购活动前三年内在经营活动中没有重大违法记录。 </w:t>
      </w:r>
    </w:p>
    <w:p w14:paraId="202A685C">
      <w:pPr>
        <w:spacing w:line="400" w:lineRule="exact"/>
        <w:ind w:firstLine="480" w:firstLineChars="200"/>
        <w:rPr>
          <w:rFonts w:hint="eastAsia" w:ascii="宋体" w:hAnsi="宋体" w:cs="宋体"/>
          <w:color w:val="auto"/>
          <w:sz w:val="24"/>
        </w:rPr>
      </w:pPr>
      <w:r>
        <w:rPr>
          <w:rFonts w:hint="eastAsia" w:ascii="宋体" w:hAnsi="宋体" w:cs="宋体"/>
          <w:color w:val="auto"/>
          <w:sz w:val="24"/>
        </w:rPr>
        <w:t>我方对以上承诺内容的真实性负责。如有虚假，将依法承担相应责任。</w:t>
      </w:r>
    </w:p>
    <w:p w14:paraId="4A73E952">
      <w:pPr>
        <w:spacing w:line="400" w:lineRule="exact"/>
        <w:ind w:firstLine="480" w:firstLineChars="200"/>
        <w:rPr>
          <w:rFonts w:hint="eastAsia" w:ascii="宋体" w:hAnsi="宋体" w:cs="宋体"/>
          <w:color w:val="auto"/>
          <w:sz w:val="24"/>
        </w:rPr>
      </w:pPr>
    </w:p>
    <w:p w14:paraId="2DAA4F3A">
      <w:pPr>
        <w:spacing w:line="400" w:lineRule="exact"/>
        <w:ind w:firstLine="480" w:firstLineChars="200"/>
        <w:rPr>
          <w:rFonts w:hint="eastAsia" w:ascii="宋体" w:hAnsi="宋体" w:cs="宋体"/>
          <w:color w:val="auto"/>
          <w:sz w:val="24"/>
        </w:rPr>
      </w:pPr>
    </w:p>
    <w:p w14:paraId="6B10B515">
      <w:pPr>
        <w:spacing w:line="400" w:lineRule="exact"/>
        <w:ind w:firstLine="480" w:firstLineChars="200"/>
        <w:rPr>
          <w:rFonts w:hint="eastAsia" w:ascii="宋体" w:hAnsi="宋体" w:cs="宋体"/>
          <w:color w:val="auto"/>
          <w:sz w:val="24"/>
        </w:rPr>
      </w:pPr>
      <w:r>
        <w:rPr>
          <w:rFonts w:hint="eastAsia" w:ascii="宋体" w:hAnsi="宋体" w:cs="宋体"/>
          <w:color w:val="auto"/>
          <w:sz w:val="24"/>
        </w:rPr>
        <w:t>供应商名称（公章）：</w:t>
      </w:r>
    </w:p>
    <w:p w14:paraId="1DD08942">
      <w:pPr>
        <w:spacing w:line="400" w:lineRule="exact"/>
        <w:ind w:firstLine="480" w:firstLineChars="200"/>
        <w:rPr>
          <w:rFonts w:hint="eastAsia" w:ascii="宋体" w:hAnsi="宋体" w:cs="宋体"/>
          <w:color w:val="auto"/>
          <w:sz w:val="24"/>
        </w:rPr>
      </w:pPr>
      <w:r>
        <w:rPr>
          <w:rFonts w:hint="eastAsia" w:ascii="宋体" w:hAnsi="宋体" w:cs="宋体"/>
          <w:color w:val="auto"/>
          <w:sz w:val="24"/>
        </w:rPr>
        <w:t>统一社会信用代码：</w:t>
      </w:r>
    </w:p>
    <w:p w14:paraId="11F3566B">
      <w:pPr>
        <w:spacing w:line="400" w:lineRule="exact"/>
        <w:ind w:firstLine="480" w:firstLineChars="200"/>
        <w:rPr>
          <w:rFonts w:hint="eastAsia" w:ascii="宋体" w:hAnsi="宋体" w:cs="宋体"/>
          <w:color w:val="auto"/>
          <w:sz w:val="24"/>
        </w:rPr>
      </w:pPr>
      <w:r>
        <w:rPr>
          <w:rFonts w:hint="eastAsia" w:ascii="宋体" w:hAnsi="宋体" w:cs="宋体"/>
          <w:color w:val="auto"/>
          <w:sz w:val="24"/>
        </w:rPr>
        <w:t>法定代表人或授权代表(签名)：</w:t>
      </w:r>
    </w:p>
    <w:p w14:paraId="6CD492B8">
      <w:pPr>
        <w:spacing w:line="400" w:lineRule="exact"/>
        <w:ind w:firstLine="480" w:firstLineChars="200"/>
        <w:rPr>
          <w:rFonts w:hint="eastAsia" w:ascii="宋体" w:hAnsi="宋体" w:cs="宋体"/>
          <w:color w:val="auto"/>
          <w:sz w:val="24"/>
        </w:rPr>
      </w:pPr>
      <w:r>
        <w:rPr>
          <w:rFonts w:hint="eastAsia" w:ascii="宋体" w:hAnsi="宋体" w:cs="宋体"/>
          <w:color w:val="auto"/>
          <w:sz w:val="24"/>
        </w:rPr>
        <w:t>日期： 年 月 日</w:t>
      </w:r>
    </w:p>
    <w:p w14:paraId="0D224498">
      <w:pPr>
        <w:spacing w:line="520" w:lineRule="exact"/>
        <w:ind w:firstLine="640" w:firstLineChars="200"/>
        <w:jc w:val="center"/>
        <w:rPr>
          <w:rFonts w:hint="eastAsia" w:ascii="宋体" w:hAnsi="宋体" w:cs="宋体"/>
          <w:color w:val="auto"/>
          <w:sz w:val="32"/>
          <w:szCs w:val="32"/>
        </w:rPr>
      </w:pPr>
    </w:p>
    <w:p w14:paraId="047E60EB">
      <w:pPr>
        <w:spacing w:line="520" w:lineRule="exact"/>
        <w:ind w:firstLine="640" w:firstLineChars="200"/>
        <w:jc w:val="center"/>
        <w:rPr>
          <w:rFonts w:hint="eastAsia" w:ascii="宋体" w:hAnsi="宋体" w:cs="宋体"/>
          <w:color w:val="auto"/>
          <w:sz w:val="32"/>
          <w:szCs w:val="32"/>
        </w:rPr>
      </w:pPr>
    </w:p>
    <w:p w14:paraId="2F784A36">
      <w:pPr>
        <w:spacing w:line="520" w:lineRule="exact"/>
        <w:ind w:firstLine="640" w:firstLineChars="200"/>
        <w:jc w:val="center"/>
        <w:rPr>
          <w:rFonts w:hint="eastAsia" w:ascii="宋体" w:hAnsi="宋体" w:cs="宋体"/>
          <w:color w:val="auto"/>
          <w:sz w:val="32"/>
          <w:szCs w:val="32"/>
        </w:rPr>
      </w:pPr>
    </w:p>
    <w:p w14:paraId="6BB977D4">
      <w:pPr>
        <w:spacing w:line="520" w:lineRule="exact"/>
        <w:ind w:firstLine="640" w:firstLineChars="200"/>
        <w:jc w:val="center"/>
        <w:rPr>
          <w:rFonts w:hint="eastAsia" w:ascii="宋体" w:hAnsi="宋体" w:cs="宋体"/>
          <w:color w:val="auto"/>
          <w:sz w:val="32"/>
          <w:szCs w:val="32"/>
        </w:rPr>
      </w:pPr>
    </w:p>
    <w:p w14:paraId="1FD57DF3">
      <w:pPr>
        <w:spacing w:line="520" w:lineRule="exact"/>
        <w:ind w:firstLine="640" w:firstLineChars="200"/>
        <w:jc w:val="center"/>
        <w:rPr>
          <w:rFonts w:hint="eastAsia" w:ascii="宋体" w:hAnsi="宋体" w:cs="宋体"/>
          <w:color w:val="auto"/>
          <w:sz w:val="32"/>
          <w:szCs w:val="32"/>
        </w:rPr>
      </w:pPr>
    </w:p>
    <w:p w14:paraId="1392327A">
      <w:pPr>
        <w:spacing w:line="520" w:lineRule="exact"/>
        <w:ind w:firstLine="640" w:firstLineChars="200"/>
        <w:jc w:val="center"/>
        <w:rPr>
          <w:rFonts w:hint="eastAsia" w:ascii="宋体" w:hAnsi="宋体" w:cs="宋体"/>
          <w:color w:val="auto"/>
          <w:sz w:val="32"/>
          <w:szCs w:val="32"/>
        </w:rPr>
      </w:pPr>
    </w:p>
    <w:p w14:paraId="3EB5505F">
      <w:pPr>
        <w:spacing w:line="520" w:lineRule="exact"/>
        <w:ind w:firstLine="640" w:firstLineChars="200"/>
        <w:jc w:val="center"/>
        <w:rPr>
          <w:rFonts w:hint="eastAsia" w:ascii="宋体" w:hAnsi="宋体" w:cs="宋体"/>
          <w:color w:val="auto"/>
          <w:sz w:val="32"/>
          <w:szCs w:val="32"/>
        </w:rPr>
      </w:pPr>
    </w:p>
    <w:p w14:paraId="47F9CB4C">
      <w:pPr>
        <w:spacing w:line="520" w:lineRule="exact"/>
        <w:jc w:val="both"/>
        <w:rPr>
          <w:rFonts w:hint="eastAsia" w:ascii="宋体" w:hAnsi="宋体" w:cs="宋体"/>
          <w:color w:val="auto"/>
          <w:sz w:val="32"/>
          <w:szCs w:val="32"/>
        </w:rPr>
      </w:pPr>
    </w:p>
    <w:p w14:paraId="72279421">
      <w:pPr>
        <w:spacing w:before="39"/>
        <w:rPr>
          <w:rFonts w:hint="eastAsia" w:ascii="宋体" w:hAnsi="宋体" w:eastAsia="宋体" w:cs="宋体"/>
          <w:color w:val="auto"/>
          <w:spacing w:val="9"/>
          <w:sz w:val="20"/>
          <w:szCs w:val="20"/>
        </w:rPr>
      </w:pPr>
    </w:p>
    <w:sectPr>
      <w:footerReference r:id="rId10" w:type="default"/>
      <w:pgSz w:w="11906" w:h="16838"/>
      <w:pgMar w:top="1440" w:right="1236" w:bottom="1440" w:left="1236"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6EC43">
    <w:pPr>
      <w:spacing w:line="173" w:lineRule="auto"/>
      <w:ind w:left="4332"/>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49DD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EE49DD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DDB68">
    <w:pPr>
      <w:spacing w:line="226"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4EEA7">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B54EEA7">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C6EAA">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8486C">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178486C">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24CB8">
    <w:pPr>
      <w:spacing w:line="226" w:lineRule="exact"/>
      <w:ind w:left="49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8BEDF">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9C8BEDF">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86747">
    <w:pPr>
      <w:spacing w:line="226" w:lineRule="exact"/>
      <w:ind w:left="4927"/>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53F16">
                          <w:pPr>
                            <w:pStyle w:val="1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5E53F16">
                    <w:pPr>
                      <w:pStyle w:val="1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88600">
    <w:pPr>
      <w:spacing w:line="226" w:lineRule="exact"/>
      <w:ind w:left="50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930B4">
                          <w:pPr>
                            <w:pStyle w:val="1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F3930B4">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64D1A0"/>
    <w:multiLevelType w:val="singleLevel"/>
    <w:tmpl w:val="7C64D1A0"/>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ZjcwZWU3Yjc5YTY1ZDQyNzQzYjYyNjM5MTUwODEifQ=="/>
  </w:docVars>
  <w:rsids>
    <w:rsidRoot w:val="00000000"/>
    <w:rsid w:val="060F6458"/>
    <w:rsid w:val="0E2F6315"/>
    <w:rsid w:val="0F8066B1"/>
    <w:rsid w:val="13EE00D2"/>
    <w:rsid w:val="17C32ED3"/>
    <w:rsid w:val="22D24CAE"/>
    <w:rsid w:val="24D233AD"/>
    <w:rsid w:val="24D42836"/>
    <w:rsid w:val="2B0F3B6A"/>
    <w:rsid w:val="2DDA66B8"/>
    <w:rsid w:val="2E77287C"/>
    <w:rsid w:val="32956289"/>
    <w:rsid w:val="3DC21977"/>
    <w:rsid w:val="47326C94"/>
    <w:rsid w:val="54EB0D96"/>
    <w:rsid w:val="593E2D1F"/>
    <w:rsid w:val="5C2A0E09"/>
    <w:rsid w:val="692825A4"/>
    <w:rsid w:val="75381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120" w:line="240" w:lineRule="auto"/>
      <w:ind w:left="420" w:leftChars="200" w:firstLine="420"/>
    </w:pPr>
    <w:rPr>
      <w:sz w:val="21"/>
    </w:rPr>
  </w:style>
  <w:style w:type="paragraph" w:styleId="3">
    <w:name w:val="Body Text Indent"/>
    <w:basedOn w:val="1"/>
    <w:next w:val="1"/>
    <w:qFormat/>
    <w:uiPriority w:val="99"/>
    <w:pPr>
      <w:spacing w:line="540" w:lineRule="exact"/>
      <w:ind w:firstLine="480" w:firstLineChars="200"/>
    </w:pPr>
    <w:rPr>
      <w:sz w:val="24"/>
    </w:rPr>
  </w:style>
  <w:style w:type="paragraph" w:styleId="5">
    <w:name w:val="table of authorities"/>
    <w:basedOn w:val="1"/>
    <w:next w:val="1"/>
    <w:unhideWhenUsed/>
    <w:qFormat/>
    <w:uiPriority w:val="99"/>
    <w:pPr>
      <w:ind w:left="420" w:leftChars="200"/>
    </w:p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List 2"/>
    <w:basedOn w:val="1"/>
    <w:unhideWhenUsed/>
    <w:qFormat/>
    <w:uiPriority w:val="99"/>
    <w:pPr>
      <w:ind w:left="100" w:leftChars="200" w:hanging="200" w:hangingChars="200"/>
      <w:contextualSpacing/>
    </w:pPr>
  </w:style>
  <w:style w:type="paragraph" w:styleId="9">
    <w:name w:val="Plain Text"/>
    <w:basedOn w:val="1"/>
    <w:unhideWhenUsed/>
    <w:qFormat/>
    <w:uiPriority w:val="0"/>
    <w:pPr>
      <w:adjustRightInd w:val="0"/>
      <w:spacing w:line="312" w:lineRule="atLeast"/>
    </w:pPr>
    <w:rPr>
      <w:rFonts w:ascii="宋体" w:hAnsi="Courier New" w:eastAsia="Times New Roman" w:cs="Times New Roman"/>
      <w:kern w:val="0"/>
      <w:sz w:val="20"/>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qFormat/>
    <w:uiPriority w:val="0"/>
    <w:pPr>
      <w:spacing w:before="60" w:after="120" w:line="560" w:lineRule="exact"/>
      <w:jc w:val="center"/>
      <w:outlineLvl w:val="0"/>
    </w:pPr>
    <w:rPr>
      <w:rFonts w:eastAsia="方正小标宋简体"/>
      <w:bCs/>
      <w:sz w:val="44"/>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Table Text"/>
    <w:basedOn w:val="1"/>
    <w:semiHidden/>
    <w:qFormat/>
    <w:uiPriority w:val="0"/>
    <w:rPr>
      <w:rFonts w:ascii="宋体" w:hAnsi="宋体" w:eastAsia="宋体" w:cs="宋体"/>
      <w:sz w:val="20"/>
      <w:szCs w:val="20"/>
      <w:lang w:val="en-US" w:eastAsia="en-US" w:bidi="ar-SA"/>
    </w:rPr>
  </w:style>
  <w:style w:type="table" w:customStyle="1" w:styleId="1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654</Words>
  <Characters>676</Characters>
  <Lines>0</Lines>
  <Paragraphs>0</Paragraphs>
  <TotalTime>0</TotalTime>
  <ScaleCrop>false</ScaleCrop>
  <LinksUpToDate>false</LinksUpToDate>
  <CharactersWithSpaces>680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2025-10-12T03:07:00Z</dcterms:created>
  <dc:creator>WYY</dc:creator>
  <cp:lastModifiedBy>芳</cp:lastModifiedBy>
  <dcterms:modified xsi:type="dcterms:W3CDTF">2025-10-24T01:34:30Z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D7AB15496A864384A0E43042A952CA69_13</vt:lpwstr>
  </property>
  <property fmtid="{D5CDD505-2E9C-101B-9397-08002B2CF9AE}" pid="4" name="KSOTemplateDocerSaveRecord">
    <vt:lpwstr>eyJoZGlkIjoiZWQxMjVjNDMwMDNkNDViYzEzNmMwNmFlMjU1NTBhYjUiLCJ1c2VySWQiOiIyNjkwMjEwMTMifQ==</vt:lpwstr>
  </property>
</Properties>
</file>