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3" w:lineRule="atLeast"/>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附件</w:t>
      </w:r>
    </w:p>
    <w:p>
      <w:pPr>
        <w:pStyle w:val="2"/>
        <w:keepNext w:val="0"/>
        <w:keepLines w:val="0"/>
        <w:widowControl/>
        <w:suppressLineNumbers w:val="0"/>
        <w:spacing w:line="23" w:lineRule="atLeast"/>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防城港市动物疫病预防控制中心2025年兽医实验室仪器设备采购项目公开遴选采购代理机构评分表</w:t>
      </w:r>
    </w:p>
    <w:tbl>
      <w:tblPr>
        <w:tblStyle w:val="4"/>
        <w:tblW w:w="13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1"/>
        <w:gridCol w:w="1135"/>
        <w:gridCol w:w="3356"/>
        <w:gridCol w:w="3100"/>
        <w:gridCol w:w="2924"/>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rPr>
        <w:tc>
          <w:tcPr>
            <w:tcW w:w="1331" w:type="dxa"/>
            <w:tcBorders>
              <w:top w:val="single" w:color="auto" w:sz="4" w:space="0"/>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评分大类</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评分项目</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评分内容及标准</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分值范围</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证明材料</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2" w:hRule="atLeast"/>
        </w:trPr>
        <w:tc>
          <w:tcPr>
            <w:tcW w:w="1331" w:type="dxa"/>
            <w:vMerge w:val="restart"/>
            <w:tcBorders>
              <w:top w:val="single" w:color="auto" w:sz="4" w:space="0"/>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一、资质及基础条件（12分）</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 营业执照</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具备有效营业执照，经营范围明确包含政府采购代理业务。</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4分（符合得4分，否则0分）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营业执照副本复印件（加盖公章）。</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0" w:hRule="atLeast"/>
        </w:trPr>
        <w:tc>
          <w:tcPr>
            <w:tcW w:w="1331" w:type="dxa"/>
            <w:vMerge w:val="continue"/>
            <w:tcBorders>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 代理登记备案</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提供在广西壮族自治区政府采购网政府采购代理机构上登记备案的相关</w:t>
            </w:r>
          </w:p>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信息、资料或者截图。</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4分（符合得4分，否则0分）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登记截图（加盖公章）。</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2" w:hRule="atLeast"/>
        </w:trPr>
        <w:tc>
          <w:tcPr>
            <w:tcW w:w="1331" w:type="dxa"/>
            <w:vMerge w:val="continue"/>
            <w:tcBorders>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 信用记录</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无政府采购黑名单记录，信用中国查询无失信行为。</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4分（符合得4分，否则0分）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信用中国网站查询截图（加盖公章）、无违规声明书。</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2" w:hRule="atLeast"/>
        </w:trPr>
        <w:tc>
          <w:tcPr>
            <w:tcW w:w="1331" w:type="dxa"/>
            <w:vMerge w:val="restart"/>
            <w:tcBorders>
              <w:top w:val="single" w:color="auto" w:sz="4" w:space="0"/>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二、人员情况及办公场所（13分）</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1.专业人员数量</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专职采购代理人员≥5人，且全部持有政府采购培训合格证书。</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2分（每少1人扣0.5分，最低0分）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人员名单、劳动合同、培训证书复印件。</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2" w:hRule="atLeast"/>
        </w:trPr>
        <w:tc>
          <w:tcPr>
            <w:tcW w:w="1331" w:type="dxa"/>
            <w:vMerge w:val="continue"/>
            <w:tcBorders>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 人员经验</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项目经理具有3年以上政府采购代理经验，并提供3个成功案例。</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3分（符合得3分，每少1个案例扣1分）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项目经理简历、案例合同复印件。</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0" w:hRule="atLeast"/>
        </w:trPr>
        <w:tc>
          <w:tcPr>
            <w:tcW w:w="1331" w:type="dxa"/>
            <w:vMerge w:val="continue"/>
            <w:tcBorders>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3.团队稳定性</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近3年核心人员无重大变动</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3分（无变动得2分，核心人员变动一人扣0.5分）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社保记录、任职文件</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2" w:hRule="atLeast"/>
        </w:trPr>
        <w:tc>
          <w:tcPr>
            <w:tcW w:w="1331" w:type="dxa"/>
            <w:vMerge w:val="continue"/>
            <w:tcBorders>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4.场所设施</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有独立的办公场所。硬件条件。</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5分（在防城港市内有固定办公场所得5分，无办公场所的不得分）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产权证明、租赁合同、设备清单（需提供加盖公章的办公场所房产证或不动产产权证或购房合同或租房证明复印件，否则不得分。）</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8" w:hRule="atLeast"/>
        </w:trPr>
        <w:tc>
          <w:tcPr>
            <w:tcW w:w="1331" w:type="dxa"/>
            <w:vMerge w:val="restart"/>
            <w:tcBorders>
              <w:top w:val="single" w:color="auto" w:sz="4" w:space="0"/>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三、业绩情况（19分）</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1.近三年代理项目情况</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近三年代理采购项目数量总数</w:t>
            </w:r>
          </w:p>
          <w:p>
            <w:pPr>
              <w:autoSpaceDN w:val="0"/>
              <w:spacing w:line="560" w:lineRule="exact"/>
              <w:jc w:val="center"/>
              <w:textAlignment w:val="center"/>
              <w:rPr>
                <w:rFonts w:hint="eastAsia" w:ascii="仿宋_GB2312" w:hAnsi="宋体" w:eastAsia="仿宋_GB2312"/>
                <w:color w:val="000000"/>
                <w:sz w:val="32"/>
                <w:szCs w:val="32"/>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eastAsia="zh-CN"/>
              </w:rPr>
              <w:t>本项满分</w:t>
            </w:r>
            <w:r>
              <w:rPr>
                <w:rFonts w:hint="eastAsia" w:ascii="仿宋_GB2312" w:hAnsi="宋体" w:eastAsia="仿宋_GB2312"/>
                <w:color w:val="000000"/>
                <w:sz w:val="32"/>
                <w:szCs w:val="32"/>
                <w:lang w:val="en-US" w:eastAsia="zh-CN"/>
              </w:rPr>
              <w:t>4分，近三年代理总数30（含）个以上得4分，20（含）-30个得3分，10（含）-20得2分，小于10个得1分。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代理项目清单。</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9" w:hRule="atLeast"/>
        </w:trPr>
        <w:tc>
          <w:tcPr>
            <w:tcW w:w="1331" w:type="dxa"/>
            <w:vMerge w:val="continue"/>
            <w:tcBorders>
              <w:left w:val="single" w:color="auto" w:sz="4" w:space="0"/>
              <w:bottom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2.项目代理被质疑、投诉情况</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近一年代理项目被质疑成功、投诉成功的相关情况。</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最高15分，结合代理机构自查的工作情况以及网上查询结果，发现被投诉成立1次扣3分扣完为止。</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近一年代理机构被质疑投诉成功的自查工作情况、网上查询结果</w:t>
            </w:r>
            <w:bookmarkStart w:id="0" w:name="_GoBack"/>
            <w:bookmarkEnd w:id="0"/>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9" w:hRule="atLeast"/>
        </w:trPr>
        <w:tc>
          <w:tcPr>
            <w:tcW w:w="1331" w:type="dxa"/>
            <w:vMerge w:val="restart"/>
            <w:tcBorders>
              <w:top w:val="single" w:color="auto" w:sz="4" w:space="0"/>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lang w:val="en-US" w:eastAsia="zh-CN"/>
              </w:rPr>
            </w:pPr>
          </w:p>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四、服务质量（56分）</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 服务方案</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提供完整服务方案（含采购流程、风险控制、应急预案），方案科学合理。</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满分36分（优秀24-36分，一般12-24，差0-12分。）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服务方案文档、专家评审意见（如有）。</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66" w:hRule="atLeast"/>
        </w:trPr>
        <w:tc>
          <w:tcPr>
            <w:tcW w:w="1331" w:type="dxa"/>
            <w:vMerge w:val="continue"/>
            <w:tcBorders>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2.服务能力及效率</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代理制作标书文件速度</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满分10分，1-2天得10分、3-4天8分、5-6天得6分、7-8天得4分、9-10天得2分。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服务承诺函</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0" w:hRule="atLeast"/>
        </w:trPr>
        <w:tc>
          <w:tcPr>
            <w:tcW w:w="1331" w:type="dxa"/>
            <w:vMerge w:val="continue"/>
            <w:tcBorders>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 客户满意度</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近三年客户满意度≥90%（每低5%扣1分）。</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提供一家90%以上好评加0.5分，最高5分。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客户评价表（至少10份，需盖对方公章）。</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8" w:hRule="atLeast"/>
        </w:trPr>
        <w:tc>
          <w:tcPr>
            <w:tcW w:w="1331" w:type="dxa"/>
            <w:vMerge w:val="continue"/>
            <w:tcBorders>
              <w:left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4.采购档案管理</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档案管理综合评定</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满分5分，档案管理制度完备程度2分，档案管理人员配备情况2分，库房配备情况1分。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提供档案管理制度、人员配岗情况、库房相片。</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3" w:hRule="atLeast"/>
        </w:trPr>
        <w:tc>
          <w:tcPr>
            <w:tcW w:w="1331" w:type="dxa"/>
            <w:tcBorders>
              <w:top w:val="single" w:color="auto" w:sz="4" w:space="0"/>
              <w:left w:val="single" w:color="auto" w:sz="4" w:space="0"/>
              <w:bottom w:val="single" w:color="auto" w:sz="4" w:space="0"/>
              <w:right w:val="single" w:color="auto" w:sz="4" w:space="0"/>
            </w:tcBorders>
            <w:noWrap w:val="0"/>
            <w:tcMar>
              <w:left w:w="0" w:type="dxa"/>
            </w:tcMar>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总分</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3356"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100分</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textAlignment w:val="center"/>
              <w:rPr>
                <w:rFonts w:hint="eastAsia" w:ascii="仿宋_GB2312" w:hAnsi="宋体" w:eastAsia="仿宋_GB2312"/>
                <w:color w:val="000000"/>
                <w:sz w:val="32"/>
                <w:szCs w:val="32"/>
              </w:rPr>
            </w:pPr>
          </w:p>
        </w:tc>
      </w:tr>
    </w:tbl>
    <w:p>
      <w:pPr>
        <w:autoSpaceDN w:val="0"/>
        <w:spacing w:line="560" w:lineRule="exact"/>
        <w:jc w:val="both"/>
        <w:textAlignment w:val="center"/>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表格说明</w:t>
      </w:r>
    </w:p>
    <w:p>
      <w:pPr>
        <w:autoSpaceDN w:val="0"/>
        <w:spacing w:line="560" w:lineRule="exact"/>
        <w:ind w:left="2240" w:hanging="2240" w:hangingChars="700"/>
        <w:jc w:val="left"/>
        <w:textAlignment w:val="center"/>
        <w:rPr>
          <w:rFonts w:hint="eastAsia" w:ascii="仿宋_GB2312" w:hAnsi="宋体" w:eastAsia="仿宋_GB2312"/>
          <w:color w:val="000000"/>
          <w:sz w:val="32"/>
          <w:szCs w:val="32"/>
        </w:rPr>
      </w:pPr>
      <w:r>
        <w:rPr>
          <w:rFonts w:hint="eastAsia" w:hAnsi="宋体"/>
          <w:color w:val="000000"/>
          <w:sz w:val="32"/>
          <w:szCs w:val="32"/>
          <w:lang w:val="en-US" w:eastAsia="zh-CN"/>
        </w:rPr>
        <w:t xml:space="preserve">    </w:t>
      </w:r>
      <w:r>
        <w:rPr>
          <w:rFonts w:hint="eastAsia" w:ascii="仿宋_GB2312" w:hAnsi="宋体" w:eastAsia="仿宋_GB2312"/>
          <w:color w:val="000000"/>
          <w:sz w:val="32"/>
          <w:szCs w:val="32"/>
        </w:rPr>
        <w:t>分值范围：明确评分区间，定量指标按数据打分，定性指标由专家评审组评定。</w:t>
      </w:r>
    </w:p>
    <w:p>
      <w:pPr>
        <w:autoSpaceDN w:val="0"/>
        <w:spacing w:line="560" w:lineRule="exact"/>
        <w:ind w:firstLine="640" w:firstLineChars="200"/>
        <w:jc w:val="both"/>
        <w:textAlignment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证明材料：</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所有材料需加盖公章，确保真实有效。</w:t>
      </w:r>
    </w:p>
    <w:p>
      <w:pPr>
        <w:numPr>
          <w:ilvl w:val="0"/>
          <w:numId w:val="0"/>
        </w:numPr>
        <w:autoSpaceDN w:val="0"/>
        <w:spacing w:line="560" w:lineRule="exact"/>
        <w:ind w:left="2554" w:leftChars="1064" w:right="0" w:rightChars="0" w:hanging="320" w:hangingChars="100"/>
        <w:jc w:val="both"/>
        <w:textAlignment w:val="center"/>
        <w:rPr>
          <w:lang w:val="en-US" w:eastAsia="zh-CN"/>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若提供虚假材料，直接取消资格并列入黑名单</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6132195</wp:posOffset>
              </wp:positionH>
              <wp:positionV relativeFrom="page">
                <wp:posOffset>9853295</wp:posOffset>
              </wp:positionV>
              <wp:extent cx="47180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1805"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1</w:t>
                          </w:r>
                          <w:r>
                            <w:rPr>
                              <w:rFonts w:ascii="宋体"/>
                              <w:sz w:val="28"/>
                            </w:rPr>
                            <w:fldChar w:fldCharType="end"/>
                          </w:r>
                          <w:r>
                            <w:rPr>
                              <w:rFonts w:ascii="宋体"/>
                              <w:sz w:val="28"/>
                            </w:rPr>
                            <w:t xml:space="preserve"> </w:t>
                          </w:r>
                          <w:r>
                            <w:rPr>
                              <w:rFonts w:ascii="宋体"/>
                              <w:spacing w:val="-10"/>
                              <w:sz w:val="28"/>
                            </w:rPr>
                            <w:t>-</w:t>
                          </w:r>
                        </w:p>
                      </w:txbxContent>
                    </wps:txbx>
                    <wps:bodyPr lIns="0" tIns="0" rIns="0" bIns="0" upright="1"/>
                  </wps:wsp>
                </a:graphicData>
              </a:graphic>
            </wp:anchor>
          </w:drawing>
        </mc:Choice>
        <mc:Fallback>
          <w:pict>
            <v:shape id="_x0000_s1026" o:spid="_x0000_s1026" o:spt="202" type="#_x0000_t202" style="position:absolute;left:0pt;margin-left:482.85pt;margin-top:775.85pt;height:16.05pt;width:37.15pt;mso-position-horizontal-relative:page;mso-position-vertical-relative:page;z-index:-251657216;mso-width-relative:page;mso-height-relative:page;" filled="f" stroked="f" coordsize="21600,21600" o:gfxdata="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BkoaZ2gAAAA4BAAAPAAAAAAAA&#10;AAEAIAAAACIAAABkcnMvZG93bnJldi54bWxQSwECFAAUAAAACACHTuJAHOj+rJ4BAAAjAwAADgAA&#10;AAAAAAABACAAAAApAQAAZHJzL2Uyb0RvYy54bWxQSwUGAAAAAAYABgBZAQAAOQ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1</w:t>
                    </w:r>
                    <w:r>
                      <w:rPr>
                        <w:rFonts w:ascii="宋体"/>
                        <w:sz w:val="28"/>
                      </w:rPr>
                      <w:fldChar w:fldCharType="end"/>
                    </w:r>
                    <w:r>
                      <w:rPr>
                        <w:rFonts w:ascii="宋体"/>
                        <w:sz w:val="28"/>
                      </w:rPr>
                      <w:t xml:space="preserve"> </w:t>
                    </w:r>
                    <w:r>
                      <w:rPr>
                        <w:rFonts w:ascii="宋体"/>
                        <w:spacing w:val="-1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24AC3"/>
    <w:rsid w:val="09C24AC3"/>
    <w:rsid w:val="23445800"/>
    <w:rsid w:val="7FEE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419</Words>
  <Characters>428</Characters>
  <Lines>0</Lines>
  <Paragraphs>0</Paragraphs>
  <TotalTime>9</TotalTime>
  <ScaleCrop>false</ScaleCrop>
  <LinksUpToDate>false</LinksUpToDate>
  <CharactersWithSpaces>432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2025-03-20T02:14:00Z</dcterms:created>
  <dc:creator>宁婕</dc:creator>
  <cp:lastModifiedBy>Administrator</cp:lastModifiedBy>
  <dcterms:modified xsi:type="dcterms:W3CDTF">2025-10-23T08:53:50Z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24DE4F8B8B3E451E87105C54FE09F0A9_11</vt:lpwstr>
  </property>
  <property fmtid="{D5CDD505-2E9C-101B-9397-08002B2CF9AE}" pid="4" name="KSOTemplateDocerSaveRecord">
    <vt:lpwstr>eyJoZGlkIjoiYTA2MjVjMTI3ODAyODE2ZmQ5OGQ5YTQyMjJkNzhhZDEiLCJ1c2VySWQiOiIxMTI4OTcwMzkyIn0=</vt:lpwstr>
  </property>
</Properties>
</file>