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B4" w:rsidRDefault="00B34AA3">
      <w:pPr>
        <w:spacing w:line="60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防城港市气象局2020年</w:t>
      </w:r>
    </w:p>
    <w:p w:rsidR="003B1EB4" w:rsidRDefault="00B34AA3">
      <w:pPr>
        <w:spacing w:line="600" w:lineRule="exact"/>
        <w:jc w:val="center"/>
        <w:rPr>
          <w:rFonts w:ascii="方正小标宋简体" w:eastAsia="方正小标宋简体" w:hAnsi="方正仿宋_GBK" w:cs="方正仿宋_GBK"/>
          <w:sz w:val="32"/>
          <w:szCs w:val="32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政府信息公开工作年度报告</w:t>
      </w:r>
    </w:p>
    <w:p w:rsidR="003B1EB4" w:rsidRDefault="003B1EB4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600" w:lineRule="exact"/>
        <w:jc w:val="both"/>
        <w:rPr>
          <w:rFonts w:ascii="楷体_GB2312" w:eastAsia="楷体_GB2312" w:hAnsi="楷体_GB2312" w:cs="楷体_GB2312"/>
          <w:bCs/>
          <w:sz w:val="32"/>
          <w:szCs w:val="32"/>
          <w:shd w:val="clear" w:color="auto" w:fill="FFFFFF"/>
        </w:rPr>
      </w:pPr>
    </w:p>
    <w:p w:rsidR="003B1EB4" w:rsidRDefault="00B34AA3">
      <w:pPr>
        <w:shd w:val="clear" w:color="auto" w:fill="FFFFFF"/>
        <w:adjustRightInd w:val="0"/>
        <w:spacing w:line="600" w:lineRule="exact"/>
        <w:ind w:firstLineChars="200" w:firstLine="640"/>
        <w:rPr>
          <w:rFonts w:ascii="仿宋_GB2312" w:eastAsia="仿宋_GB2312" w:hAnsi="楷体_GB2312" w:cs="楷体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楷体_GB2312" w:cs="楷体_GB2312"/>
          <w:bCs/>
          <w:sz w:val="32"/>
          <w:szCs w:val="32"/>
          <w:shd w:val="clear" w:color="auto" w:fill="FFFFFF"/>
        </w:rPr>
        <w:t>根据《中华人民共和国政府信息公开条例》、《广西壮族自治区政府信息公开工作年度报告制度（试行）》、《自治区气象局关于印发广西气象部门政府信息公开管理办法的通知》(桂气发〔2020〕72号)要求，特编制本年度报告。本报告包括总体情况、主动公开政府信息情况、收到和处理政府信息公开申请情况、因政府信息公开引起的行政复议及行政诉讼情况、存在的主要问题及改进情况。报告中所列数据统计期限为2020年1月1日至2020年12月31日。报告电子版可在</w:t>
      </w:r>
      <w:r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防城港</w:t>
      </w:r>
      <w:r>
        <w:rPr>
          <w:rFonts w:ascii="仿宋_GB2312" w:eastAsia="仿宋_GB2312" w:hAnsi="楷体_GB2312" w:cs="楷体_GB2312"/>
          <w:bCs/>
          <w:sz w:val="32"/>
          <w:szCs w:val="32"/>
          <w:shd w:val="clear" w:color="auto" w:fill="FFFFFF"/>
        </w:rPr>
        <w:t>市人民政府门户网站查阅和下载。如对本报告有疑问，请与</w:t>
      </w:r>
      <w:r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防城港</w:t>
      </w:r>
      <w:r>
        <w:rPr>
          <w:rFonts w:ascii="仿宋_GB2312" w:eastAsia="仿宋_GB2312" w:hAnsi="楷体_GB2312" w:cs="楷体_GB2312"/>
          <w:bCs/>
          <w:sz w:val="32"/>
          <w:szCs w:val="32"/>
          <w:shd w:val="clear" w:color="auto" w:fill="FFFFFF"/>
        </w:rPr>
        <w:t>市气象局办公室联系</w:t>
      </w:r>
      <w:r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。通讯</w:t>
      </w:r>
      <w:r>
        <w:rPr>
          <w:rFonts w:ascii="仿宋_GB2312" w:eastAsia="仿宋_GB2312" w:hAnsi="楷体_GB2312" w:cs="楷体_GB2312"/>
          <w:bCs/>
          <w:sz w:val="32"/>
          <w:szCs w:val="32"/>
          <w:shd w:val="clear" w:color="auto" w:fill="FFFFFF"/>
        </w:rPr>
        <w:t>地址：</w:t>
      </w:r>
      <w:r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防城港市金花茶大道中段民乐街市中级人民法院南侧门对面</w:t>
      </w:r>
      <w:r>
        <w:rPr>
          <w:rFonts w:ascii="仿宋_GB2312" w:eastAsia="仿宋_GB2312" w:hAnsi="楷体_GB2312" w:cs="楷体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邮政编码</w:t>
      </w:r>
      <w:r>
        <w:rPr>
          <w:rFonts w:ascii="仿宋_GB2312" w:eastAsia="仿宋_GB2312" w:hAnsi="楷体_GB2312" w:cs="楷体_GB2312"/>
          <w:bCs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538001</w:t>
      </w:r>
      <w:r>
        <w:rPr>
          <w:rFonts w:ascii="仿宋_GB2312" w:eastAsia="仿宋_GB2312" w:hAnsi="楷体_GB2312" w:cs="楷体_GB2312"/>
          <w:bCs/>
          <w:sz w:val="32"/>
          <w:szCs w:val="32"/>
          <w:shd w:val="clear" w:color="auto" w:fill="FFFFFF"/>
        </w:rPr>
        <w:t>，联系电话：077</w:t>
      </w:r>
      <w:r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楷体_GB2312" w:cs="楷体_GB2312"/>
          <w:bCs/>
          <w:sz w:val="32"/>
          <w:szCs w:val="32"/>
          <w:shd w:val="clear" w:color="auto" w:fill="FFFFFF"/>
        </w:rPr>
        <w:t>-</w:t>
      </w:r>
      <w:r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2822912，</w:t>
      </w:r>
      <w:r>
        <w:rPr>
          <w:rFonts w:ascii="仿宋_GB2312" w:eastAsia="仿宋_GB2312" w:hAnsi="楷体_GB2312" w:cs="楷体_GB2312"/>
          <w:bCs/>
          <w:sz w:val="32"/>
          <w:szCs w:val="32"/>
          <w:shd w:val="clear" w:color="auto" w:fill="FFFFFF"/>
        </w:rPr>
        <w:t>电子邮箱：</w:t>
      </w:r>
      <w:r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fcgsqxjbgs</w:t>
      </w:r>
      <w:r>
        <w:rPr>
          <w:rFonts w:ascii="仿宋_GB2312" w:eastAsia="仿宋_GB2312" w:hAnsi="楷体_GB2312" w:cs="楷体_GB2312"/>
          <w:bCs/>
          <w:sz w:val="32"/>
          <w:szCs w:val="32"/>
          <w:shd w:val="clear" w:color="auto" w:fill="FFFFFF"/>
        </w:rPr>
        <w:t>@163.com</w:t>
      </w:r>
      <w:r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。</w:t>
      </w:r>
    </w:p>
    <w:p w:rsidR="003B1EB4" w:rsidRDefault="00B34AA3">
      <w:pPr>
        <w:pStyle w:val="a5"/>
        <w:widowControl/>
        <w:shd w:val="clear" w:color="auto" w:fill="FFFFFF"/>
        <w:adjustRightInd w:val="0"/>
        <w:spacing w:beforeAutospacing="0" w:afterAutospacing="0" w:line="600" w:lineRule="exact"/>
        <w:ind w:firstLineChars="200" w:firstLine="640"/>
        <w:jc w:val="both"/>
        <w:rPr>
          <w:rFonts w:ascii="黑体" w:eastAsia="黑体" w:hAnsi="楷体_GB2312" w:cs="楷体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楷体_GB2312" w:cs="楷体_GB2312" w:hint="eastAsia"/>
          <w:bCs/>
          <w:sz w:val="32"/>
          <w:szCs w:val="32"/>
          <w:shd w:val="clear" w:color="auto" w:fill="FFFFFF"/>
        </w:rPr>
        <w:t>一、总体情况</w:t>
      </w:r>
    </w:p>
    <w:p w:rsidR="003B1EB4" w:rsidRDefault="00B34AA3">
      <w:pPr>
        <w:pStyle w:val="a5"/>
        <w:widowControl/>
        <w:shd w:val="clear" w:color="auto" w:fill="FFFFFF"/>
        <w:adjustRightInd w:val="0"/>
        <w:spacing w:beforeAutospacing="0" w:afterAutospacing="0" w:line="60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（一）政府信息公开工作机构和人员设置情况</w:t>
      </w:r>
    </w:p>
    <w:p w:rsidR="00BB4AFA" w:rsidRDefault="00BB4AFA" w:rsidP="00BB4AFA">
      <w:pPr>
        <w:spacing w:line="600" w:lineRule="exact"/>
        <w:ind w:firstLineChars="200" w:firstLine="643"/>
        <w:rPr>
          <w:rFonts w:ascii="仿宋_GB2312" w:eastAsia="仿宋_GB2312" w:hAnsi="楷体_GB2312" w:cs="楷体_GB2312"/>
          <w:bCs/>
          <w:sz w:val="32"/>
          <w:szCs w:val="32"/>
          <w:shd w:val="clear" w:color="auto" w:fill="FFFFFF"/>
        </w:rPr>
      </w:pPr>
      <w:r w:rsidRPr="00BB4AFA">
        <w:rPr>
          <w:rFonts w:ascii="仿宋_GB2312" w:eastAsia="仿宋_GB2312" w:hAnsi="楷体_GB2312" w:cs="楷体_GB2312" w:hint="eastAsia"/>
          <w:b/>
          <w:bCs/>
          <w:sz w:val="32"/>
          <w:szCs w:val="32"/>
          <w:shd w:val="clear" w:color="auto" w:fill="FFFFFF"/>
        </w:rPr>
        <w:t>一是设立机构。</w:t>
      </w:r>
      <w:r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我局成立有</w:t>
      </w:r>
      <w:r w:rsidR="00B34AA3"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防城港市气象局政府信息公开工作领导小组。</w:t>
      </w:r>
      <w:r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局长为组长，纪检组长、副局长</w:t>
      </w:r>
      <w:r w:rsidR="00B34AA3"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为副组长，各内设机构、各直属单位负责人为成员。领导小组下设办公室，分管政府信息公开</w:t>
      </w:r>
      <w:r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副局长</w:t>
      </w:r>
      <w:r w:rsidR="00B34AA3"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兼职主任，</w:t>
      </w:r>
      <w:r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办公室、人事教育科、业务科、政</w:t>
      </w:r>
      <w:r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lastRenderedPageBreak/>
        <w:t>策法规科科长</w:t>
      </w:r>
      <w:r w:rsidR="00B34AA3"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兼职副主任，各内设机构、各直属单位</w:t>
      </w:r>
      <w:r w:rsidR="001B3498"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负责政府信息公开的</w:t>
      </w:r>
      <w:r w:rsidR="00B34AA3"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工作人员为成员。</w:t>
      </w:r>
    </w:p>
    <w:p w:rsidR="003B1EB4" w:rsidRDefault="001B3498" w:rsidP="00BB4AFA">
      <w:pPr>
        <w:spacing w:line="600" w:lineRule="exact"/>
        <w:ind w:firstLineChars="200" w:firstLine="643"/>
        <w:rPr>
          <w:rFonts w:ascii="仿宋_GB2312" w:eastAsia="仿宋_GB2312" w:hAnsi="楷体_GB2312" w:cs="楷体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  <w:shd w:val="clear" w:color="auto" w:fill="FFFFFF"/>
        </w:rPr>
        <w:t>二是落实职责</w:t>
      </w:r>
      <w:r w:rsidR="00BB4AFA" w:rsidRPr="00BB4AFA">
        <w:rPr>
          <w:rFonts w:ascii="仿宋_GB2312" w:eastAsia="仿宋_GB2312" w:hAnsi="楷体_GB2312" w:cs="楷体_GB2312" w:hint="eastAsia"/>
          <w:b/>
          <w:bCs/>
          <w:sz w:val="32"/>
          <w:szCs w:val="32"/>
          <w:shd w:val="clear" w:color="auto" w:fill="FFFFFF"/>
        </w:rPr>
        <w:t>。</w:t>
      </w:r>
      <w:r w:rsidRPr="001B3498"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政府信息公开</w:t>
      </w:r>
      <w:r w:rsidR="00B34AA3" w:rsidRPr="001B3498"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领导小</w:t>
      </w:r>
      <w:r w:rsidR="00B34AA3"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组办公室负责具体承办本局的政府信息公开事宜，维护和更新本局公开的政府信息，组织编制本局的政府信息公开指南、政府信息公开目录和政府信息公开工作年度报告，对拟公开的政府信息进行保密审查，履行本局规定的与政府信息公开有关的其他职责。各单位按照岗位职责向领导小组办公室提供政府信息公开内容。</w:t>
      </w:r>
    </w:p>
    <w:p w:rsidR="003B1EB4" w:rsidRDefault="00B34AA3">
      <w:pPr>
        <w:pStyle w:val="a5"/>
        <w:widowControl/>
        <w:shd w:val="clear" w:color="auto" w:fill="FFFFFF"/>
        <w:adjustRightInd w:val="0"/>
        <w:spacing w:beforeAutospacing="0" w:afterAutospacing="0" w:line="600" w:lineRule="exact"/>
        <w:ind w:firstLineChars="196" w:firstLine="630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（二）建立健全政府信息公开工作制度情况</w:t>
      </w:r>
    </w:p>
    <w:p w:rsidR="003B1EB4" w:rsidRDefault="001B3498">
      <w:pPr>
        <w:spacing w:line="600" w:lineRule="exact"/>
        <w:ind w:firstLineChars="200" w:firstLine="640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一是建立联络员制度。局各单位确定1名联络员，负责将本单位需公开的文件，按公开时限要求报办公室负责公开。二是认真落实公开审查发布规定。各单位认真执行《防城港市气象局政府信息公开保密审查暂行办法》，按照政府信息公开流程，做好信息审查和发布工作</w:t>
      </w:r>
      <w:r w:rsidR="00B34AA3">
        <w:rPr>
          <w:rFonts w:ascii="仿宋_GB2312" w:eastAsia="仿宋_GB2312" w:hint="eastAsia"/>
          <w:sz w:val="32"/>
          <w:szCs w:val="32"/>
        </w:rPr>
        <w:t>。</w:t>
      </w:r>
    </w:p>
    <w:p w:rsidR="003B1EB4" w:rsidRDefault="00B34AA3">
      <w:pPr>
        <w:pStyle w:val="a5"/>
        <w:widowControl/>
        <w:shd w:val="clear" w:color="auto" w:fill="FFFFFF"/>
        <w:adjustRightInd w:val="0"/>
        <w:spacing w:beforeAutospacing="0" w:afterAutospacing="0" w:line="600" w:lineRule="exact"/>
        <w:ind w:firstLineChars="196" w:firstLine="630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（三）政府信息公开目录、公开指南的编制、更新情况</w:t>
      </w:r>
    </w:p>
    <w:p w:rsidR="003B1EB4" w:rsidRDefault="00B34AA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按照“以公开为原则，不公开为例外”的总体要求，</w:t>
      </w:r>
      <w:r w:rsidR="00A92A65">
        <w:rPr>
          <w:rFonts w:ascii="仿宋_GB2312" w:eastAsia="仿宋_GB2312" w:hint="eastAsia"/>
          <w:sz w:val="32"/>
          <w:szCs w:val="32"/>
        </w:rPr>
        <w:t>结合单位实际，修订了</w:t>
      </w:r>
      <w:r>
        <w:rPr>
          <w:rFonts w:ascii="仿宋_GB2312" w:eastAsia="仿宋_GB2312" w:hint="eastAsia"/>
          <w:sz w:val="32"/>
          <w:szCs w:val="32"/>
        </w:rPr>
        <w:t>《</w:t>
      </w:r>
      <w:bookmarkStart w:id="0" w:name="OLE_LINK1"/>
      <w:r>
        <w:rPr>
          <w:rFonts w:ascii="仿宋_GB2312" w:eastAsia="仿宋_GB2312" w:hint="eastAsia"/>
          <w:sz w:val="32"/>
          <w:szCs w:val="32"/>
        </w:rPr>
        <w:t>防城港市</w:t>
      </w:r>
      <w:bookmarkEnd w:id="0"/>
      <w:r>
        <w:rPr>
          <w:rFonts w:ascii="仿宋_GB2312" w:eastAsia="仿宋_GB2312" w:hint="eastAsia"/>
          <w:sz w:val="32"/>
          <w:szCs w:val="32"/>
        </w:rPr>
        <w:t>气象局政府信息公开指南》、《防城港市气象局政府信息公开目录》。</w:t>
      </w:r>
      <w:r w:rsidR="00A92A65">
        <w:rPr>
          <w:rFonts w:ascii="仿宋_GB2312" w:eastAsia="仿宋_GB2312" w:hint="eastAsia"/>
          <w:sz w:val="32"/>
          <w:szCs w:val="32"/>
        </w:rPr>
        <w:t>《防城港市气象局政府信息公开指南》新增明确了信息分类和编排体系、依申请公开受理机构、受理程序、申请处理、受理确认及答复期限、答复形式和收费标准。</w:t>
      </w:r>
      <w:r w:rsidR="00BB4AFA">
        <w:rPr>
          <w:rFonts w:ascii="仿宋_GB2312" w:eastAsia="仿宋_GB2312" w:hint="eastAsia"/>
          <w:sz w:val="32"/>
          <w:szCs w:val="32"/>
        </w:rPr>
        <w:t>《防城港市气象局政府信息公开目录》参照上级部门的要求进行</w:t>
      </w:r>
      <w:r w:rsidR="00BB4AFA">
        <w:rPr>
          <w:rFonts w:ascii="仿宋_GB2312" w:eastAsia="仿宋_GB2312" w:hint="eastAsia"/>
          <w:sz w:val="32"/>
          <w:szCs w:val="32"/>
        </w:rPr>
        <w:lastRenderedPageBreak/>
        <w:t>了调整，对部门概况、机构设置等内容公开信息要求更加具体。</w:t>
      </w:r>
    </w:p>
    <w:p w:rsidR="003B1EB4" w:rsidRDefault="00B34AA3">
      <w:pPr>
        <w:pStyle w:val="a5"/>
        <w:widowControl/>
        <w:shd w:val="clear" w:color="auto" w:fill="FFFFFF"/>
        <w:adjustRightInd w:val="0"/>
        <w:spacing w:beforeAutospacing="0" w:afterAutospacing="0" w:line="600" w:lineRule="exact"/>
        <w:ind w:firstLineChars="196" w:firstLine="630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（四）政府信息公开载体的建设、运行情况</w:t>
      </w:r>
    </w:p>
    <w:p w:rsidR="006F1095" w:rsidRDefault="006F1095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1.抓好政府信息公开管理工作。一是召开会议学习传达有关政府信息公开工作要求，部署年度工作。二是进一步明确各单位政府信息公开工作任务。年内修订了</w:t>
      </w:r>
      <w:r>
        <w:rPr>
          <w:rFonts w:ascii="仿宋_GB2312" w:eastAsia="仿宋_GB2312" w:hint="eastAsia"/>
          <w:sz w:val="32"/>
          <w:szCs w:val="32"/>
        </w:rPr>
        <w:t>《防城港市气象局政府信息公开指南》、《防城港市气象局政府信息公开目录》。各单位对照职责，做好政府信息公开工作。</w:t>
      </w:r>
    </w:p>
    <w:p w:rsidR="003B1EB4" w:rsidRDefault="006F1095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 w:rsidR="00B34AA3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1B3498">
        <w:rPr>
          <w:rFonts w:ascii="仿宋_GB2312" w:eastAsia="仿宋_GB2312" w:hint="eastAsia"/>
          <w:color w:val="000000" w:themeColor="text1"/>
          <w:sz w:val="32"/>
          <w:szCs w:val="32"/>
        </w:rPr>
        <w:t>加强政府信息公开平台建设。一是做好网站</w:t>
      </w:r>
      <w:r w:rsidR="00B34AA3">
        <w:rPr>
          <w:rFonts w:ascii="仿宋_GB2312" w:eastAsia="仿宋_GB2312" w:hint="eastAsia"/>
          <w:color w:val="000000" w:themeColor="text1"/>
          <w:sz w:val="32"/>
          <w:szCs w:val="32"/>
        </w:rPr>
        <w:t>政府信息公开。2020年，</w:t>
      </w:r>
      <w:r w:rsidR="001B3498">
        <w:rPr>
          <w:rFonts w:ascii="仿宋_GB2312" w:eastAsia="仿宋_GB2312" w:hint="eastAsia"/>
          <w:color w:val="000000" w:themeColor="text1"/>
          <w:sz w:val="32"/>
          <w:szCs w:val="32"/>
        </w:rPr>
        <w:t>防城港市人民政府门户网防城港市气象局子网站</w:t>
      </w:r>
      <w:r w:rsidR="00B34AA3">
        <w:rPr>
          <w:rFonts w:ascii="仿宋_GB2312" w:eastAsia="仿宋_GB2312" w:hint="eastAsia"/>
          <w:color w:val="000000" w:themeColor="text1"/>
          <w:sz w:val="32"/>
          <w:szCs w:val="32"/>
        </w:rPr>
        <w:t>共发布信息581条，其中工作动态84条，预警信息发布426条，政务公开内容63条，转载法律法规内容8条。</w:t>
      </w:r>
      <w:r w:rsidR="00604BAD">
        <w:rPr>
          <w:rFonts w:ascii="仿宋_GB2312" w:eastAsia="仿宋_GB2312" w:hint="eastAsia"/>
          <w:color w:val="000000" w:themeColor="text1"/>
          <w:sz w:val="32"/>
          <w:szCs w:val="32"/>
        </w:rPr>
        <w:t>二是拓展政府信息公开发布渠道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，利用手机</w:t>
      </w:r>
      <w:r w:rsidR="00604BAD">
        <w:rPr>
          <w:rFonts w:ascii="仿宋_GB2312" w:eastAsia="仿宋_GB2312" w:hint="eastAsia"/>
          <w:color w:val="000000" w:themeColor="text1"/>
          <w:sz w:val="32"/>
          <w:szCs w:val="32"/>
        </w:rPr>
        <w:t>短信、预警大喇叭等媒体发布气象预警信息。</w:t>
      </w:r>
      <w:r w:rsidR="00B34AA3">
        <w:rPr>
          <w:rFonts w:ascii="仿宋_GB2312" w:eastAsia="仿宋_GB2312" w:hint="eastAsia"/>
          <w:color w:val="000000" w:themeColor="text1"/>
          <w:sz w:val="32"/>
          <w:szCs w:val="32"/>
        </w:rPr>
        <w:t xml:space="preserve">按照自治区气象局的要求，我局共召开4 场新闻发布会，内容涉及老百姓最关心的天气资讯等相关信息。 </w:t>
      </w:r>
    </w:p>
    <w:p w:rsidR="003B1EB4" w:rsidRDefault="00B34AA3">
      <w:pPr>
        <w:pStyle w:val="a5"/>
        <w:widowControl/>
        <w:shd w:val="clear" w:color="auto" w:fill="FFFFFF"/>
        <w:adjustRightInd w:val="0"/>
        <w:spacing w:beforeAutospacing="0" w:afterAutospacing="0" w:line="600" w:lineRule="exact"/>
        <w:ind w:firstLineChars="196" w:firstLine="630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（五）政府信息公开工作考核、社会评议和责任追究结果等监督</w:t>
      </w:r>
      <w:r w:rsidR="00FA7E3A"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保障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情况</w:t>
      </w:r>
    </w:p>
    <w:p w:rsidR="003B1EB4" w:rsidRDefault="006F1095">
      <w:pPr>
        <w:pStyle w:val="a5"/>
        <w:widowControl/>
        <w:shd w:val="clear" w:color="auto" w:fill="FFFFFF"/>
        <w:adjustRightIn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楷体_GB2312" w:cs="楷体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政府信息公开工作纳入各单位2020</w:t>
      </w:r>
      <w:r w:rsidR="00FD0A87"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年目标考核内容</w:t>
      </w:r>
      <w:r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。</w:t>
      </w:r>
      <w:r w:rsidR="00B34AA3"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局政府信息公开领导小组办公室</w:t>
      </w:r>
      <w:r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负责</w:t>
      </w:r>
      <w:r w:rsidR="00B34AA3"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政府信息公开督查工作。</w:t>
      </w:r>
      <w:r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局政府信息公开领导小组办公室认真</w:t>
      </w:r>
      <w:r w:rsidRPr="003C0B98">
        <w:rPr>
          <w:rFonts w:ascii="仿宋_GB2312" w:eastAsia="仿宋_GB2312"/>
          <w:color w:val="000000"/>
          <w:sz w:val="32"/>
          <w:szCs w:val="32"/>
        </w:rPr>
        <w:t>落实全面推进政务公开的相关政策文件，并下发通知要求各单位自检自查，及时查漏补缺。严格按照第三方评估的解读，督促各单位完成第三方评估各项指标。</w:t>
      </w:r>
      <w:r w:rsidR="007E5E67">
        <w:rPr>
          <w:rFonts w:ascii="仿宋_GB2312" w:eastAsia="仿宋_GB2312" w:hint="eastAsia"/>
          <w:color w:val="000000"/>
          <w:sz w:val="32"/>
          <w:szCs w:val="32"/>
        </w:rPr>
        <w:lastRenderedPageBreak/>
        <w:t>2020年，我局有序推进政府信息公开工作，无相关信访和被通报批评的情况发生。</w:t>
      </w:r>
    </w:p>
    <w:p w:rsidR="003B1EB4" w:rsidRDefault="00B34AA3">
      <w:pPr>
        <w:pStyle w:val="a5"/>
        <w:widowControl/>
        <w:shd w:val="clear" w:color="auto" w:fill="FFFFFF"/>
        <w:adjustRightInd w:val="0"/>
        <w:spacing w:beforeAutospacing="0" w:afterAutospacing="0" w:line="600" w:lineRule="exact"/>
        <w:ind w:firstLineChars="196" w:firstLine="630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（六）推进政务公开各项工作情况</w:t>
      </w:r>
    </w:p>
    <w:p w:rsidR="003B1EB4" w:rsidRDefault="00B34AA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重点领域政府信息公开方面，根据有关要求，认真做好财政预算、财政决算、“三公经费”使用情况的公开工作。气象灾害过程，如台风影响等，认真做好过程总结工作，并在网站上进行公开。</w:t>
      </w:r>
    </w:p>
    <w:p w:rsidR="003B1EB4" w:rsidRDefault="00B34AA3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600" w:lineRule="exact"/>
        <w:jc w:val="both"/>
        <w:rPr>
          <w:rFonts w:ascii="黑体" w:eastAsia="黑体" w:hAnsi="楷体_GB2312" w:cs="楷体_GB2312"/>
          <w:bCs/>
          <w:sz w:val="32"/>
          <w:szCs w:val="32"/>
          <w:shd w:val="clear" w:color="auto" w:fill="FFFFFF"/>
        </w:rPr>
      </w:pPr>
      <w:r>
        <w:rPr>
          <w:rFonts w:ascii="方正黑体_GBK" w:eastAsia="方正黑体_GBK" w:hAnsi="楷体_GB2312" w:cs="楷体_GB2312" w:hint="eastAsia"/>
          <w:bCs/>
          <w:sz w:val="32"/>
          <w:szCs w:val="32"/>
          <w:shd w:val="clear" w:color="auto" w:fill="FFFFFF"/>
        </w:rPr>
        <w:t xml:space="preserve">    </w:t>
      </w:r>
      <w:r>
        <w:rPr>
          <w:rFonts w:ascii="黑体" w:eastAsia="黑体" w:hAnsi="楷体_GB2312" w:cs="楷体_GB2312" w:hint="eastAsia"/>
          <w:bCs/>
          <w:sz w:val="32"/>
          <w:szCs w:val="32"/>
          <w:shd w:val="clear" w:color="auto" w:fill="FFFFFF"/>
        </w:rPr>
        <w:t>二、主动公开政府信息情况</w:t>
      </w:r>
    </w:p>
    <w:tbl>
      <w:tblPr>
        <w:tblW w:w="945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672"/>
        <w:gridCol w:w="2183"/>
        <w:gridCol w:w="1551"/>
        <w:gridCol w:w="3047"/>
      </w:tblGrid>
      <w:tr w:rsidR="003B1EB4">
        <w:trPr>
          <w:trHeight w:val="495"/>
          <w:jc w:val="center"/>
        </w:trPr>
        <w:tc>
          <w:tcPr>
            <w:tcW w:w="94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第二十条第（一）项</w:t>
            </w:r>
          </w:p>
        </w:tc>
      </w:tr>
      <w:tr w:rsidR="003B1EB4">
        <w:trPr>
          <w:trHeight w:val="882"/>
          <w:jc w:val="center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本年新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br/>
            </w:r>
            <w:r>
              <w:rPr>
                <w:b/>
                <w:kern w:val="0"/>
                <w:sz w:val="24"/>
                <w:szCs w:val="24"/>
              </w:rPr>
              <w:t>制作数量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本年新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br/>
            </w:r>
            <w:r>
              <w:rPr>
                <w:b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对外公开总数量</w:t>
            </w:r>
          </w:p>
        </w:tc>
      </w:tr>
      <w:tr w:rsidR="003B1EB4">
        <w:trPr>
          <w:trHeight w:val="272"/>
          <w:jc w:val="center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规章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</w:t>
            </w:r>
          </w:p>
        </w:tc>
      </w:tr>
      <w:tr w:rsidR="003B1EB4">
        <w:trPr>
          <w:trHeight w:val="361"/>
          <w:jc w:val="center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</w:t>
            </w:r>
          </w:p>
        </w:tc>
      </w:tr>
      <w:tr w:rsidR="003B1EB4">
        <w:trPr>
          <w:trHeight w:val="480"/>
          <w:jc w:val="center"/>
        </w:trPr>
        <w:tc>
          <w:tcPr>
            <w:tcW w:w="94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第二十条第（五）项</w:t>
            </w:r>
          </w:p>
        </w:tc>
      </w:tr>
      <w:tr w:rsidR="003B1EB4">
        <w:trPr>
          <w:trHeight w:val="436"/>
          <w:jc w:val="center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处理决定数量</w:t>
            </w:r>
          </w:p>
        </w:tc>
      </w:tr>
      <w:tr w:rsidR="003B1EB4">
        <w:trPr>
          <w:trHeight w:val="400"/>
          <w:jc w:val="center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26</w:t>
            </w:r>
          </w:p>
        </w:tc>
      </w:tr>
      <w:tr w:rsidR="003B1EB4">
        <w:trPr>
          <w:trHeight w:val="417"/>
          <w:jc w:val="center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</w:t>
            </w:r>
          </w:p>
        </w:tc>
      </w:tr>
      <w:tr w:rsidR="003B1EB4">
        <w:trPr>
          <w:trHeight w:val="406"/>
          <w:jc w:val="center"/>
        </w:trPr>
        <w:tc>
          <w:tcPr>
            <w:tcW w:w="94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第二十条第（六）项</w:t>
            </w:r>
          </w:p>
        </w:tc>
      </w:tr>
      <w:tr w:rsidR="003B1EB4">
        <w:trPr>
          <w:trHeight w:val="447"/>
          <w:jc w:val="center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处理决定数量</w:t>
            </w:r>
          </w:p>
        </w:tc>
      </w:tr>
      <w:tr w:rsidR="003B1EB4">
        <w:trPr>
          <w:trHeight w:val="430"/>
          <w:jc w:val="center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</w:tr>
      <w:tr w:rsidR="003B1EB4">
        <w:trPr>
          <w:trHeight w:val="409"/>
          <w:jc w:val="center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</w:t>
            </w:r>
          </w:p>
        </w:tc>
      </w:tr>
      <w:tr w:rsidR="003B1EB4">
        <w:trPr>
          <w:trHeight w:val="474"/>
          <w:jc w:val="center"/>
        </w:trPr>
        <w:tc>
          <w:tcPr>
            <w:tcW w:w="94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第二十条第（八）项</w:t>
            </w:r>
          </w:p>
        </w:tc>
      </w:tr>
      <w:tr w:rsidR="003B1EB4">
        <w:trPr>
          <w:trHeight w:val="270"/>
          <w:jc w:val="center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45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本年增/减</w:t>
            </w:r>
          </w:p>
        </w:tc>
      </w:tr>
      <w:tr w:rsidR="003B1EB4">
        <w:trPr>
          <w:trHeight w:val="347"/>
          <w:jc w:val="center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4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</w:t>
            </w:r>
          </w:p>
        </w:tc>
      </w:tr>
      <w:tr w:rsidR="003B1EB4">
        <w:trPr>
          <w:trHeight w:val="476"/>
          <w:jc w:val="center"/>
        </w:trPr>
        <w:tc>
          <w:tcPr>
            <w:tcW w:w="94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lastRenderedPageBreak/>
              <w:t>第二十条第（九）项</w:t>
            </w:r>
          </w:p>
        </w:tc>
      </w:tr>
      <w:tr w:rsidR="003B1EB4">
        <w:trPr>
          <w:trHeight w:val="419"/>
          <w:jc w:val="center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45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采购总金额</w:t>
            </w:r>
          </w:p>
        </w:tc>
      </w:tr>
      <w:tr w:rsidR="003B1EB4">
        <w:trPr>
          <w:trHeight w:val="427"/>
          <w:jc w:val="center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1EB4" w:rsidRDefault="00B34AA3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4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1EB4" w:rsidRDefault="00B34AA3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79490.00元</w:t>
            </w:r>
          </w:p>
        </w:tc>
      </w:tr>
    </w:tbl>
    <w:p w:rsidR="003B1EB4" w:rsidRDefault="00B34AA3">
      <w:pPr>
        <w:pStyle w:val="a5"/>
        <w:widowControl/>
        <w:shd w:val="clear" w:color="auto" w:fill="FFFFFF"/>
        <w:spacing w:beforeAutospacing="0" w:afterAutospacing="0" w:line="580" w:lineRule="exact"/>
        <w:ind w:firstLineChars="200" w:firstLine="640"/>
        <w:jc w:val="both"/>
        <w:rPr>
          <w:rFonts w:ascii="黑体" w:eastAsia="黑体" w:hAnsi="楷体_GB2312" w:cs="楷体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楷体_GB2312" w:cs="楷体_GB2312" w:hint="eastAsia"/>
          <w:bCs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9393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6"/>
        <w:gridCol w:w="921"/>
        <w:gridCol w:w="2941"/>
        <w:gridCol w:w="708"/>
        <w:gridCol w:w="689"/>
        <w:gridCol w:w="739"/>
        <w:gridCol w:w="765"/>
        <w:gridCol w:w="755"/>
        <w:gridCol w:w="497"/>
        <w:gridCol w:w="682"/>
      </w:tblGrid>
      <w:tr w:rsidR="003B1EB4">
        <w:trPr>
          <w:jc w:val="center"/>
        </w:trPr>
        <w:tc>
          <w:tcPr>
            <w:tcW w:w="45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申请人情况</w:t>
            </w:r>
          </w:p>
        </w:tc>
      </w:tr>
      <w:tr w:rsidR="003B1EB4">
        <w:trPr>
          <w:jc w:val="center"/>
        </w:trPr>
        <w:tc>
          <w:tcPr>
            <w:tcW w:w="45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总计</w:t>
            </w:r>
          </w:p>
        </w:tc>
      </w:tr>
      <w:tr w:rsidR="003B1EB4">
        <w:trPr>
          <w:trHeight w:val="1013"/>
          <w:jc w:val="center"/>
        </w:trPr>
        <w:tc>
          <w:tcPr>
            <w:tcW w:w="45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其他</w:t>
            </w:r>
          </w:p>
        </w:tc>
        <w:tc>
          <w:tcPr>
            <w:tcW w:w="68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3B1EB4">
        <w:trPr>
          <w:jc w:val="center"/>
        </w:trPr>
        <w:tc>
          <w:tcPr>
            <w:tcW w:w="45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1EB4" w:rsidRDefault="00B34AA3">
            <w:pPr>
              <w:widowControl/>
              <w:spacing w:after="180" w:line="40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3B1EB4">
        <w:trPr>
          <w:jc w:val="center"/>
        </w:trPr>
        <w:tc>
          <w:tcPr>
            <w:tcW w:w="45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1EB4" w:rsidRDefault="00B34AA3">
            <w:pPr>
              <w:widowControl/>
              <w:spacing w:after="180" w:line="40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3B1EB4">
        <w:trPr>
          <w:jc w:val="center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3B1EB4">
        <w:trPr>
          <w:trHeight w:val="565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3B1EB4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3B1EB4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360" w:lineRule="exac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3B1EB4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360" w:lineRule="exac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3B1EB4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360" w:lineRule="exac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3B1EB4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360" w:lineRule="exac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3B1EB4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360" w:lineRule="exac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3B1EB4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360" w:lineRule="exac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3B1EB4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360" w:lineRule="exac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3B1EB4">
        <w:trPr>
          <w:trHeight w:val="637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3B1EB4">
        <w:trPr>
          <w:trHeight w:val="805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360" w:lineRule="exac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3B1EB4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360" w:lineRule="exac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3B1EB4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3B1EB4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360" w:lineRule="exac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3B1EB4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360" w:lineRule="exac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3B1EB4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360" w:lineRule="exac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3B1EB4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360" w:lineRule="exac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3B1EB4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3B1EB4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b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3B1EB4">
        <w:trPr>
          <w:jc w:val="center"/>
        </w:trPr>
        <w:tc>
          <w:tcPr>
            <w:tcW w:w="45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left"/>
              <w:rPr>
                <w:b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 </w:t>
            </w:r>
          </w:p>
        </w:tc>
      </w:tr>
    </w:tbl>
    <w:p w:rsidR="003B1EB4" w:rsidRDefault="003B1EB4">
      <w:pPr>
        <w:pStyle w:val="a5"/>
        <w:widowControl/>
        <w:shd w:val="clear" w:color="auto" w:fill="FFFFFF"/>
        <w:spacing w:beforeAutospacing="0" w:after="240" w:afterAutospacing="0"/>
        <w:ind w:firstLineChars="200" w:firstLine="640"/>
        <w:jc w:val="both"/>
        <w:rPr>
          <w:rFonts w:ascii="黑体" w:eastAsia="黑体" w:hAnsi="楷体_GB2312" w:cs="楷体_GB2312"/>
          <w:bCs/>
          <w:sz w:val="32"/>
          <w:szCs w:val="32"/>
          <w:shd w:val="clear" w:color="auto" w:fill="FFFFFF"/>
        </w:rPr>
      </w:pPr>
      <w:bookmarkStart w:id="1" w:name="_GoBack"/>
      <w:bookmarkEnd w:id="1"/>
    </w:p>
    <w:p w:rsidR="003B1EB4" w:rsidRDefault="00B34AA3">
      <w:pPr>
        <w:pStyle w:val="a5"/>
        <w:widowControl/>
        <w:shd w:val="clear" w:color="auto" w:fill="FFFFFF"/>
        <w:spacing w:beforeAutospacing="0" w:after="240" w:afterAutospacing="0"/>
        <w:ind w:firstLineChars="200" w:firstLine="640"/>
        <w:jc w:val="both"/>
        <w:rPr>
          <w:rFonts w:ascii="黑体" w:eastAsia="黑体" w:hAnsi="楷体_GB2312" w:cs="楷体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楷体_GB2312" w:cs="楷体_GB2312" w:hint="eastAsia"/>
          <w:bCs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3B1EB4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行政诉讼</w:t>
            </w:r>
          </w:p>
        </w:tc>
      </w:tr>
      <w:tr w:rsidR="003B1EB4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复议后起诉</w:t>
            </w:r>
          </w:p>
        </w:tc>
      </w:tr>
      <w:tr w:rsidR="003B1EB4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3B1EB4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总计</w:t>
            </w:r>
          </w:p>
        </w:tc>
      </w:tr>
      <w:tr w:rsidR="003B1EB4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lastRenderedPageBreak/>
              <w:t> </w:t>
            </w:r>
            <w:r>
              <w:rPr>
                <w:rFonts w:ascii="Calibri" w:hAnsi="Calibri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1EB4" w:rsidRDefault="00B34AA3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  <w:szCs w:val="24"/>
              </w:rPr>
              <w:t>0</w:t>
            </w:r>
          </w:p>
        </w:tc>
      </w:tr>
    </w:tbl>
    <w:p w:rsidR="003B1EB4" w:rsidRDefault="00B34AA3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黑体" w:eastAsia="黑体" w:hAnsi="楷体_GB2312" w:cs="楷体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楷体_GB2312" w:cs="楷体_GB2312" w:hint="eastAsia"/>
          <w:bCs/>
          <w:sz w:val="32"/>
          <w:szCs w:val="32"/>
          <w:shd w:val="clear" w:color="auto" w:fill="FFFFFF"/>
        </w:rPr>
        <w:t>五、存在的主要问题及改进情况</w:t>
      </w:r>
    </w:p>
    <w:p w:rsidR="003B1EB4" w:rsidRDefault="00B34AA3">
      <w:pPr>
        <w:widowControl/>
        <w:spacing w:line="600" w:lineRule="atLeast"/>
        <w:ind w:firstLine="640"/>
        <w:jc w:val="left"/>
        <w:rPr>
          <w:rFonts w:ascii="仿宋_GB2312" w:eastAsia="仿宋_GB2312" w:hAnsi="Arial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仿宋_GB2312" w:hint="eastAsia"/>
          <w:color w:val="333333"/>
          <w:kern w:val="0"/>
          <w:sz w:val="32"/>
          <w:szCs w:val="32"/>
        </w:rPr>
        <w:t>2019年政府信息公开存在的主要问题和改进情况：针对政府信息公开因人员调整导致公开内容更新不够及时的问题，我局已明确了政府信息公开负责的具体人员，明确网站各相关模块发布的具体负责人。2019年已按要求在网站上及时公开政务内容。</w:t>
      </w:r>
    </w:p>
    <w:p w:rsidR="003B1EB4" w:rsidRDefault="00B34AA3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2020年政府信息公开存在的主要问题：政府信息公开内容有待进一步更新。改进措施：结合上级部门要求及本单位工作实际，调整编制《防城港市气象局政府信息主动公开基本目录》和《防城港市气象局政府信息公开指南》。</w:t>
      </w:r>
    </w:p>
    <w:p w:rsidR="003B1EB4" w:rsidRDefault="00B34AA3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黑体" w:eastAsia="黑体" w:hAnsi="楷体_GB2312" w:cs="楷体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楷体_GB2312" w:cs="楷体_GB2312" w:hint="eastAsia"/>
          <w:bCs/>
          <w:sz w:val="32"/>
          <w:szCs w:val="32"/>
          <w:shd w:val="clear" w:color="auto" w:fill="FFFFFF"/>
        </w:rPr>
        <w:t>六、其他需要报告的事项</w:t>
      </w:r>
    </w:p>
    <w:p w:rsidR="003B1EB4" w:rsidRDefault="00B34AA3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楷体_GB2312" w:cs="楷体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楷体_GB2312" w:cs="楷体_GB2312" w:hint="eastAsia"/>
          <w:bCs/>
          <w:sz w:val="32"/>
          <w:szCs w:val="32"/>
          <w:shd w:val="clear" w:color="auto" w:fill="FFFFFF"/>
        </w:rPr>
        <w:t>无。</w:t>
      </w:r>
    </w:p>
    <w:p w:rsidR="003B1EB4" w:rsidRDefault="003B1EB4">
      <w:pPr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3B1EB4" w:rsidRDefault="003B1EB4">
      <w:pPr>
        <w:spacing w:line="600" w:lineRule="exact"/>
      </w:pPr>
    </w:p>
    <w:p w:rsidR="003B1EB4" w:rsidRDefault="00B34AA3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/>
        </w:rPr>
        <w:t xml:space="preserve">             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防城港市气象局</w:t>
      </w:r>
    </w:p>
    <w:p w:rsidR="003B1EB4" w:rsidRDefault="00B34AA3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2021年1月15日</w:t>
      </w:r>
    </w:p>
    <w:p w:rsidR="003B1EB4" w:rsidRDefault="003B1EB4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sectPr w:rsidR="003B1EB4" w:rsidSect="003B1EB4">
      <w:footerReference w:type="even" r:id="rId8"/>
      <w:footerReference w:type="default" r:id="rId9"/>
      <w:pgSz w:w="11906" w:h="16838"/>
      <w:pgMar w:top="2098" w:right="1531" w:bottom="1985" w:left="1531" w:header="851" w:footer="992" w:gutter="0"/>
      <w:cols w:space="0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342" w:rsidRDefault="00AE3342" w:rsidP="003B1EB4">
      <w:r>
        <w:separator/>
      </w:r>
    </w:p>
  </w:endnote>
  <w:endnote w:type="continuationSeparator" w:id="0">
    <w:p w:rsidR="00AE3342" w:rsidRDefault="00AE3342" w:rsidP="003B1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B4" w:rsidRDefault="003B1EB4">
    <w:pPr>
      <w:pStyle w:val="a3"/>
      <w:ind w:firstLineChars="100" w:firstLine="280"/>
      <w:rPr>
        <w:rFonts w:asciiTheme="minorEastAsia" w:eastAsiaTheme="minorEastAsia" w:hAnsiTheme="minorEastAsia"/>
        <w:sz w:val="28"/>
        <w:szCs w:val="28"/>
      </w:rPr>
    </w:pPr>
  </w:p>
  <w:p w:rsidR="003B1EB4" w:rsidRDefault="003B1EB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1954913"/>
      <w:docPartObj>
        <w:docPartGallery w:val="AutoText"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B1EB4" w:rsidRDefault="00F77F4B">
        <w:pPr>
          <w:pStyle w:val="a3"/>
          <w:wordWrap w:val="0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3B1EB4" w:rsidRDefault="003B1EB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342" w:rsidRDefault="00AE3342" w:rsidP="003B1EB4">
      <w:r>
        <w:separator/>
      </w:r>
    </w:p>
  </w:footnote>
  <w:footnote w:type="continuationSeparator" w:id="0">
    <w:p w:rsidR="00AE3342" w:rsidRDefault="00AE3342" w:rsidP="003B1E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682F"/>
    <w:rsid w:val="0001759B"/>
    <w:rsid w:val="00114C46"/>
    <w:rsid w:val="001B3498"/>
    <w:rsid w:val="002F7282"/>
    <w:rsid w:val="00322380"/>
    <w:rsid w:val="00384291"/>
    <w:rsid w:val="003B1EB4"/>
    <w:rsid w:val="003C1636"/>
    <w:rsid w:val="004D302F"/>
    <w:rsid w:val="00504A65"/>
    <w:rsid w:val="00550172"/>
    <w:rsid w:val="005508F5"/>
    <w:rsid w:val="00602DF1"/>
    <w:rsid w:val="00604BAD"/>
    <w:rsid w:val="006A01C8"/>
    <w:rsid w:val="006D3B5E"/>
    <w:rsid w:val="006F1095"/>
    <w:rsid w:val="0070682F"/>
    <w:rsid w:val="00713791"/>
    <w:rsid w:val="007E5E67"/>
    <w:rsid w:val="00837378"/>
    <w:rsid w:val="008523B2"/>
    <w:rsid w:val="00877F19"/>
    <w:rsid w:val="00975D13"/>
    <w:rsid w:val="009B3727"/>
    <w:rsid w:val="00A25F2A"/>
    <w:rsid w:val="00A92A65"/>
    <w:rsid w:val="00AA273C"/>
    <w:rsid w:val="00AA5C60"/>
    <w:rsid w:val="00AE1707"/>
    <w:rsid w:val="00AE3342"/>
    <w:rsid w:val="00AF03A0"/>
    <w:rsid w:val="00AF6C15"/>
    <w:rsid w:val="00B34AA3"/>
    <w:rsid w:val="00BB4AFA"/>
    <w:rsid w:val="00CB6845"/>
    <w:rsid w:val="00CC2078"/>
    <w:rsid w:val="00D81255"/>
    <w:rsid w:val="00EF289A"/>
    <w:rsid w:val="00F25791"/>
    <w:rsid w:val="00F26FAB"/>
    <w:rsid w:val="00F43488"/>
    <w:rsid w:val="00F77F4B"/>
    <w:rsid w:val="00FA7E3A"/>
    <w:rsid w:val="00FD0A87"/>
    <w:rsid w:val="00FD7EF9"/>
    <w:rsid w:val="1DE90038"/>
    <w:rsid w:val="722826EE"/>
    <w:rsid w:val="766B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B4"/>
    <w:pPr>
      <w:widowControl w:val="0"/>
      <w:jc w:val="both"/>
    </w:pPr>
    <w:rPr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B1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B1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3B1EB4"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basedOn w:val="a0"/>
    <w:uiPriority w:val="99"/>
    <w:unhideWhenUsed/>
    <w:rsid w:val="003B1EB4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sid w:val="003B1EB4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B1E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561AAE-F740-4719-8FED-04CB25A8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501</Words>
  <Characters>2861</Characters>
  <Application>Microsoft Office Word</Application>
  <DocSecurity>0</DocSecurity>
  <Lines>23</Lines>
  <Paragraphs>6</Paragraphs>
  <ScaleCrop>false</ScaleCrop>
  <Company>防城港市气象局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防城港市局文秘</dc:creator>
  <cp:lastModifiedBy>江源源(拟稿人校对)</cp:lastModifiedBy>
  <cp:revision>8</cp:revision>
  <dcterms:created xsi:type="dcterms:W3CDTF">2021-11-28T08:49:00Z</dcterms:created>
  <dcterms:modified xsi:type="dcterms:W3CDTF">2021-11-28T09:49:00Z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2D1F1F23AF3D481CBE5450905EF7BD59</vt:lpwstr>
  </property>
</Properties>
</file>