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防城港市气象局2020年</w:t>
      </w:r>
    </w:p>
    <w:p>
      <w:pPr>
        <w:spacing w:line="600" w:lineRule="exact"/>
        <w:jc w:val="center"/>
        <w:rPr>
          <w:rFonts w:ascii="方正小标宋简体" w:hAnsi="方正仿宋_GBK" w:eastAsia="方正小标宋简体" w:cs="方正仿宋_GBK"/>
          <w:sz w:val="32"/>
          <w:szCs w:val="32"/>
        </w:rPr>
      </w:pPr>
      <w:r>
        <w:rPr>
          <w:rFonts w:hint="eastAsia" w:ascii="方正小标宋简体" w:hAnsi="方正小标宋_GBK" w:eastAsia="方正小标宋简体" w:cs="方正小标宋_GBK"/>
          <w:sz w:val="44"/>
          <w:szCs w:val="44"/>
        </w:rPr>
        <w:t>政府信息公开工作年度报告</w:t>
      </w:r>
    </w:p>
    <w:p>
      <w:pPr>
        <w:pStyle w:val="4"/>
        <w:widowControl/>
        <w:shd w:val="clear" w:color="auto" w:fill="FFFFFF"/>
        <w:adjustRightInd w:val="0"/>
        <w:snapToGrid w:val="0"/>
        <w:spacing w:beforeAutospacing="0" w:afterAutospacing="0" w:line="600" w:lineRule="exact"/>
        <w:jc w:val="both"/>
        <w:rPr>
          <w:rFonts w:ascii="楷体_GB2312" w:hAnsi="楷体_GB2312" w:eastAsia="楷体_GB2312" w:cs="楷体_GB2312"/>
          <w:bCs/>
          <w:sz w:val="32"/>
          <w:szCs w:val="32"/>
          <w:shd w:val="clear" w:color="auto" w:fill="FFFFFF"/>
        </w:rPr>
      </w:pPr>
    </w:p>
    <w:p>
      <w:pPr>
        <w:shd w:val="clear" w:color="auto" w:fill="FFFFFF"/>
        <w:adjustRightInd w:val="0"/>
        <w:spacing w:line="600" w:lineRule="exact"/>
        <w:ind w:firstLine="640" w:firstLineChars="200"/>
        <w:rPr>
          <w:rFonts w:ascii="仿宋_GB2312" w:hAnsi="楷体_GB2312" w:eastAsia="仿宋_GB2312" w:cs="楷体_GB2312"/>
          <w:bCs/>
          <w:sz w:val="32"/>
          <w:szCs w:val="32"/>
          <w:shd w:val="clear" w:color="auto" w:fill="FFFFFF"/>
        </w:rPr>
      </w:pPr>
      <w:r>
        <w:rPr>
          <w:rFonts w:ascii="仿宋_GB2312" w:hAnsi="楷体_GB2312" w:eastAsia="仿宋_GB2312" w:cs="楷体_GB2312"/>
          <w:bCs/>
          <w:sz w:val="32"/>
          <w:szCs w:val="32"/>
          <w:shd w:val="clear" w:color="auto" w:fill="FFFFFF"/>
        </w:rPr>
        <w:t>根据《中华人民共和国政府信息公开条例》、《广西壮族自治区政府信息公开工作年度报告制度（试行）》、《自治区气象局关于印发广西气象部门政府信息公开管理办法的通知》(桂气发〔2020〕72号)要求，特编制本年度报告。本报告包括总体情况、主动公开政府信息情况、收到和处理政府信息公开申请情况、因政府信息公开引起的行政复议及行政诉讼情况、存在的主要问题及改进情况。报告中所列数据统计期限为2020年1月1日至2020年12月31日。报告电子版可在</w:t>
      </w:r>
      <w:r>
        <w:rPr>
          <w:rFonts w:hint="eastAsia" w:ascii="仿宋_GB2312" w:hAnsi="楷体_GB2312" w:eastAsia="仿宋_GB2312" w:cs="楷体_GB2312"/>
          <w:bCs/>
          <w:sz w:val="32"/>
          <w:szCs w:val="32"/>
          <w:shd w:val="clear" w:color="auto" w:fill="FFFFFF"/>
        </w:rPr>
        <w:t>防城港</w:t>
      </w:r>
      <w:r>
        <w:rPr>
          <w:rFonts w:ascii="仿宋_GB2312" w:hAnsi="楷体_GB2312" w:eastAsia="仿宋_GB2312" w:cs="楷体_GB2312"/>
          <w:bCs/>
          <w:sz w:val="32"/>
          <w:szCs w:val="32"/>
          <w:shd w:val="clear" w:color="auto" w:fill="FFFFFF"/>
        </w:rPr>
        <w:t>市人民政府门户网站查阅和下载。如对本报告有疑问，请与</w:t>
      </w:r>
      <w:r>
        <w:rPr>
          <w:rFonts w:hint="eastAsia" w:ascii="仿宋_GB2312" w:hAnsi="楷体_GB2312" w:eastAsia="仿宋_GB2312" w:cs="楷体_GB2312"/>
          <w:bCs/>
          <w:sz w:val="32"/>
          <w:szCs w:val="32"/>
          <w:shd w:val="clear" w:color="auto" w:fill="FFFFFF"/>
        </w:rPr>
        <w:t>防城港</w:t>
      </w:r>
      <w:r>
        <w:rPr>
          <w:rFonts w:ascii="仿宋_GB2312" w:hAnsi="楷体_GB2312" w:eastAsia="仿宋_GB2312" w:cs="楷体_GB2312"/>
          <w:bCs/>
          <w:sz w:val="32"/>
          <w:szCs w:val="32"/>
          <w:shd w:val="clear" w:color="auto" w:fill="FFFFFF"/>
        </w:rPr>
        <w:t>市气象局办公室联系</w:t>
      </w:r>
      <w:r>
        <w:rPr>
          <w:rFonts w:hint="eastAsia" w:ascii="仿宋_GB2312" w:hAnsi="楷体_GB2312" w:eastAsia="仿宋_GB2312" w:cs="楷体_GB2312"/>
          <w:bCs/>
          <w:sz w:val="32"/>
          <w:szCs w:val="32"/>
          <w:shd w:val="clear" w:color="auto" w:fill="FFFFFF"/>
        </w:rPr>
        <w:t>。通讯</w:t>
      </w:r>
      <w:r>
        <w:rPr>
          <w:rFonts w:ascii="仿宋_GB2312" w:hAnsi="楷体_GB2312" w:eastAsia="仿宋_GB2312" w:cs="楷体_GB2312"/>
          <w:bCs/>
          <w:sz w:val="32"/>
          <w:szCs w:val="32"/>
          <w:shd w:val="clear" w:color="auto" w:fill="FFFFFF"/>
        </w:rPr>
        <w:t>地址：</w:t>
      </w:r>
      <w:r>
        <w:rPr>
          <w:rFonts w:hint="eastAsia" w:ascii="仿宋_GB2312" w:hAnsi="楷体_GB2312" w:eastAsia="仿宋_GB2312" w:cs="楷体_GB2312"/>
          <w:bCs/>
          <w:sz w:val="32"/>
          <w:szCs w:val="32"/>
          <w:shd w:val="clear" w:color="auto" w:fill="FFFFFF"/>
        </w:rPr>
        <w:t>防城港市金花茶大道中段民乐街市中级人民法院南侧门对面</w:t>
      </w:r>
      <w:r>
        <w:rPr>
          <w:rFonts w:ascii="仿宋_GB2312" w:hAnsi="楷体_GB2312" w:eastAsia="仿宋_GB2312" w:cs="楷体_GB2312"/>
          <w:bCs/>
          <w:sz w:val="32"/>
          <w:szCs w:val="32"/>
          <w:shd w:val="clear" w:color="auto" w:fill="FFFFFF"/>
        </w:rPr>
        <w:t>，</w:t>
      </w:r>
      <w:r>
        <w:rPr>
          <w:rFonts w:hint="eastAsia" w:ascii="仿宋_GB2312" w:hAnsi="楷体_GB2312" w:eastAsia="仿宋_GB2312" w:cs="楷体_GB2312"/>
          <w:bCs/>
          <w:sz w:val="32"/>
          <w:szCs w:val="32"/>
          <w:shd w:val="clear" w:color="auto" w:fill="FFFFFF"/>
        </w:rPr>
        <w:t>邮政编码</w:t>
      </w:r>
      <w:r>
        <w:rPr>
          <w:rFonts w:ascii="仿宋_GB2312" w:hAnsi="楷体_GB2312" w:eastAsia="仿宋_GB2312" w:cs="楷体_GB2312"/>
          <w:bCs/>
          <w:sz w:val="32"/>
          <w:szCs w:val="32"/>
          <w:shd w:val="clear" w:color="auto" w:fill="FFFFFF"/>
        </w:rPr>
        <w:t>：</w:t>
      </w:r>
      <w:r>
        <w:rPr>
          <w:rFonts w:hint="eastAsia" w:ascii="仿宋_GB2312" w:hAnsi="楷体_GB2312" w:eastAsia="仿宋_GB2312" w:cs="楷体_GB2312"/>
          <w:bCs/>
          <w:sz w:val="32"/>
          <w:szCs w:val="32"/>
          <w:shd w:val="clear" w:color="auto" w:fill="FFFFFF"/>
        </w:rPr>
        <w:t>538001</w:t>
      </w:r>
      <w:r>
        <w:rPr>
          <w:rFonts w:ascii="仿宋_GB2312" w:hAnsi="楷体_GB2312" w:eastAsia="仿宋_GB2312" w:cs="楷体_GB2312"/>
          <w:bCs/>
          <w:sz w:val="32"/>
          <w:szCs w:val="32"/>
          <w:shd w:val="clear" w:color="auto" w:fill="FFFFFF"/>
        </w:rPr>
        <w:t>，联系电话：077</w:t>
      </w:r>
      <w:r>
        <w:rPr>
          <w:rFonts w:hint="eastAsia" w:ascii="仿宋_GB2312" w:hAnsi="楷体_GB2312" w:eastAsia="仿宋_GB2312" w:cs="楷体_GB2312"/>
          <w:bCs/>
          <w:sz w:val="32"/>
          <w:szCs w:val="32"/>
          <w:shd w:val="clear" w:color="auto" w:fill="FFFFFF"/>
        </w:rPr>
        <w:t>0</w:t>
      </w:r>
      <w:r>
        <w:rPr>
          <w:rFonts w:ascii="仿宋_GB2312" w:hAnsi="楷体_GB2312" w:eastAsia="仿宋_GB2312" w:cs="楷体_GB2312"/>
          <w:bCs/>
          <w:sz w:val="32"/>
          <w:szCs w:val="32"/>
          <w:shd w:val="clear" w:color="auto" w:fill="FFFFFF"/>
        </w:rPr>
        <w:t>-</w:t>
      </w:r>
      <w:r>
        <w:rPr>
          <w:rFonts w:hint="eastAsia" w:ascii="仿宋_GB2312" w:hAnsi="楷体_GB2312" w:eastAsia="仿宋_GB2312" w:cs="楷体_GB2312"/>
          <w:bCs/>
          <w:sz w:val="32"/>
          <w:szCs w:val="32"/>
          <w:shd w:val="clear" w:color="auto" w:fill="FFFFFF"/>
        </w:rPr>
        <w:t>2822912，</w:t>
      </w:r>
      <w:r>
        <w:rPr>
          <w:rFonts w:ascii="仿宋_GB2312" w:hAnsi="楷体_GB2312" w:eastAsia="仿宋_GB2312" w:cs="楷体_GB2312"/>
          <w:bCs/>
          <w:sz w:val="32"/>
          <w:szCs w:val="32"/>
          <w:shd w:val="clear" w:color="auto" w:fill="FFFFFF"/>
        </w:rPr>
        <w:t>电子邮箱：</w:t>
      </w:r>
      <w:r>
        <w:rPr>
          <w:rFonts w:hint="eastAsia" w:ascii="仿宋_GB2312" w:hAnsi="楷体_GB2312" w:eastAsia="仿宋_GB2312" w:cs="楷体_GB2312"/>
          <w:bCs/>
          <w:sz w:val="32"/>
          <w:szCs w:val="32"/>
          <w:shd w:val="clear" w:color="auto" w:fill="FFFFFF"/>
        </w:rPr>
        <w:t>fcgsqxjbgs</w:t>
      </w:r>
      <w:r>
        <w:rPr>
          <w:rFonts w:ascii="仿宋_GB2312" w:hAnsi="楷体_GB2312" w:eastAsia="仿宋_GB2312" w:cs="楷体_GB2312"/>
          <w:bCs/>
          <w:sz w:val="32"/>
          <w:szCs w:val="32"/>
          <w:shd w:val="clear" w:color="auto" w:fill="FFFFFF"/>
        </w:rPr>
        <w:t>@163.com</w:t>
      </w:r>
      <w:r>
        <w:rPr>
          <w:rFonts w:hint="eastAsia" w:ascii="仿宋_GB2312" w:hAnsi="楷体_GB2312" w:eastAsia="仿宋_GB2312" w:cs="楷体_GB2312"/>
          <w:bCs/>
          <w:sz w:val="32"/>
          <w:szCs w:val="32"/>
          <w:shd w:val="clear" w:color="auto" w:fill="FFFFFF"/>
        </w:rPr>
        <w:t>。</w:t>
      </w:r>
    </w:p>
    <w:p>
      <w:pPr>
        <w:pStyle w:val="4"/>
        <w:widowControl/>
        <w:shd w:val="clear" w:color="auto" w:fill="FFFFFF"/>
        <w:adjustRightInd w:val="0"/>
        <w:spacing w:beforeAutospacing="0" w:afterAutospacing="0" w:line="600" w:lineRule="exact"/>
        <w:ind w:firstLine="640" w:firstLineChars="200"/>
        <w:jc w:val="both"/>
        <w:rPr>
          <w:rFonts w:ascii="黑体" w:hAnsi="楷体_GB2312" w:eastAsia="黑体" w:cs="楷体_GB2312"/>
          <w:bCs/>
          <w:sz w:val="32"/>
          <w:szCs w:val="32"/>
        </w:rPr>
      </w:pPr>
      <w:r>
        <w:rPr>
          <w:rFonts w:hint="eastAsia" w:ascii="黑体" w:hAnsi="楷体_GB2312" w:eastAsia="黑体" w:cs="楷体_GB2312"/>
          <w:bCs/>
          <w:sz w:val="32"/>
          <w:szCs w:val="32"/>
          <w:shd w:val="clear" w:color="auto" w:fill="FFFFFF"/>
        </w:rPr>
        <w:t>一、总体情况</w:t>
      </w:r>
    </w:p>
    <w:p>
      <w:pPr>
        <w:pStyle w:val="4"/>
        <w:widowControl/>
        <w:shd w:val="clear" w:color="auto" w:fill="FFFFFF"/>
        <w:adjustRightInd w:val="0"/>
        <w:spacing w:beforeAutospacing="0" w:afterAutospacing="0" w:line="600" w:lineRule="exact"/>
        <w:ind w:firstLine="643" w:firstLineChars="200"/>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（一）政府信息公开工作机构和人员设置情况</w:t>
      </w:r>
    </w:p>
    <w:p>
      <w:pPr>
        <w:spacing w:line="600" w:lineRule="exact"/>
        <w:ind w:firstLine="200"/>
        <w:rPr>
          <w:rFonts w:ascii="仿宋_GB2312" w:hAnsi="楷体_GB2312" w:eastAsia="仿宋_GB2312" w:cs="楷体_GB2312"/>
          <w:bCs/>
          <w:sz w:val="32"/>
          <w:szCs w:val="32"/>
          <w:shd w:val="clear" w:color="auto" w:fill="FFFFFF"/>
        </w:rPr>
      </w:pPr>
      <w:r>
        <w:rPr>
          <w:rFonts w:hint="eastAsia" w:ascii="仿宋_GB2312" w:hAnsi="楷体_GB2312" w:eastAsia="仿宋_GB2312" w:cs="楷体_GB2312"/>
          <w:bCs/>
          <w:sz w:val="32"/>
          <w:szCs w:val="32"/>
          <w:shd w:val="clear" w:color="auto" w:fill="FFFFFF"/>
        </w:rPr>
        <w:t>我局成立了防城港市气象局政府信息公开工作领导小组。局一把手为组长，各分管领导为副组长，各内设机构、各直属单位负责人为成员。领导小组下设办公室，分管政府信息公开领导兼职主任，信息公开相关单位一把手兼职副主任，各内设机构、各直属单位工作人员为成员。领导小组办公室负责具体承办本局的政府信息公开事宜，维护和更新本局公开的政府信息，组织编制本局的政府信息公开指南、政府信息公开目录和政府信息公开工作年度报告，对拟公开的政府信息进行保密审查，履行本局规定的与政府信息公开有关的其他职责。各单位按照岗位职责向领导小组办公室提供政府信息公开内容。</w:t>
      </w:r>
    </w:p>
    <w:p>
      <w:pPr>
        <w:pStyle w:val="4"/>
        <w:widowControl/>
        <w:shd w:val="clear" w:color="auto" w:fill="FFFFFF"/>
        <w:adjustRightInd w:val="0"/>
        <w:spacing w:beforeAutospacing="0" w:afterAutospacing="0" w:line="600" w:lineRule="exact"/>
        <w:ind w:firstLine="630" w:firstLineChars="196"/>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（二）建立健全政府信息公开工作制度情况</w:t>
      </w:r>
    </w:p>
    <w:p>
      <w:pPr>
        <w:spacing w:line="600" w:lineRule="exact"/>
        <w:ind w:firstLine="640" w:firstLineChars="200"/>
        <w:rPr>
          <w:rFonts w:ascii="楷体_GB2312" w:hAnsi="楷体_GB2312" w:eastAsia="楷体_GB2312" w:cs="楷体_GB2312"/>
          <w:b/>
          <w:bCs/>
          <w:sz w:val="32"/>
          <w:szCs w:val="32"/>
          <w:shd w:val="clear" w:color="auto" w:fill="FFFFFF"/>
        </w:rPr>
      </w:pPr>
      <w:r>
        <w:rPr>
          <w:rFonts w:hint="eastAsia" w:ascii="仿宋_GB2312" w:eastAsia="仿宋_GB2312"/>
          <w:sz w:val="32"/>
          <w:szCs w:val="32"/>
        </w:rPr>
        <w:t>我局遵循“先审查、后公开，谁审查、谁负责，谁公开、谁负责，既确保国家秘密安全、又方便政府信息公开”的原则，制定了《防城港市气象局政府信息公开保密审查暂行办法》。</w:t>
      </w:r>
    </w:p>
    <w:p>
      <w:pPr>
        <w:pStyle w:val="4"/>
        <w:widowControl/>
        <w:shd w:val="clear" w:color="auto" w:fill="FFFFFF"/>
        <w:adjustRightInd w:val="0"/>
        <w:spacing w:beforeAutospacing="0" w:afterAutospacing="0" w:line="600" w:lineRule="exact"/>
        <w:ind w:firstLine="630" w:firstLineChars="196"/>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（三）政府信息公开目录、公开指南的编制、更新情况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按照“以公开为原则，不公开为例外”的总体要求，认真执行2018年修订的《</w:t>
      </w:r>
      <w:bookmarkStart w:id="0" w:name="OLE_LINK1"/>
      <w:r>
        <w:rPr>
          <w:rFonts w:hint="eastAsia" w:ascii="仿宋_GB2312" w:eastAsia="仿宋_GB2312"/>
          <w:sz w:val="32"/>
          <w:szCs w:val="32"/>
        </w:rPr>
        <w:t>防城港市</w:t>
      </w:r>
      <w:bookmarkEnd w:id="0"/>
      <w:r>
        <w:rPr>
          <w:rFonts w:hint="eastAsia" w:ascii="仿宋_GB2312" w:eastAsia="仿宋_GB2312"/>
          <w:sz w:val="32"/>
          <w:szCs w:val="32"/>
        </w:rPr>
        <w:t xml:space="preserve">气象局政府信息公开指南》、《防城港市气象局政府信息公开目录》，有序推进政府信息公开。 </w:t>
      </w:r>
    </w:p>
    <w:p>
      <w:pPr>
        <w:pStyle w:val="4"/>
        <w:widowControl/>
        <w:shd w:val="clear" w:color="auto" w:fill="FFFFFF"/>
        <w:adjustRightInd w:val="0"/>
        <w:spacing w:beforeAutospacing="0" w:afterAutospacing="0" w:line="600" w:lineRule="exact"/>
        <w:ind w:firstLine="630" w:firstLineChars="196"/>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（四）政府信息公开载体的建设、运行情况</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themeColor="text1"/>
          <w:sz w:val="32"/>
          <w:szCs w:val="32"/>
        </w:rPr>
        <w:t>1.网上政府信息公开。防城港市人民政府门户网防城港市气象局子网站发布信息及时发布了单位简介、主要领导信息、通知通告、工作动态等政府信息公开内容。2020年，共发布信息581条，其中工作动态84条，预警信息发布426条，政务公开内容63条，转载法律法规内容8条。</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2.完善新闻发布会制度。按照自治区气象局的要求，2020年，我局共召开4 场新闻发布会，内容涉及老百姓最关心的天气资讯等相关信息。 </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3.积极拓展信息公开渠道。为充分利用现有资源，降低政府信息公开投入成本，进一步拓展政府信息公开的渠道，扩大信息公开的覆盖面，通过手机短信、预警大喇叭等媒体发布气象相关信息。 </w:t>
      </w:r>
    </w:p>
    <w:p>
      <w:pPr>
        <w:pStyle w:val="4"/>
        <w:widowControl/>
        <w:shd w:val="clear" w:color="auto" w:fill="FFFFFF"/>
        <w:adjustRightInd w:val="0"/>
        <w:spacing w:beforeAutospacing="0" w:afterAutospacing="0" w:line="600" w:lineRule="exact"/>
        <w:ind w:firstLine="630" w:firstLineChars="196"/>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（五）政府信息公开工作考核、社会评议和责任追究结果等监督情况</w:t>
      </w:r>
    </w:p>
    <w:p>
      <w:pPr>
        <w:pStyle w:val="4"/>
        <w:widowControl/>
        <w:shd w:val="clear" w:color="auto" w:fill="FFFFFF"/>
        <w:adjustRightInd w:val="0"/>
        <w:spacing w:beforeAutospacing="0" w:afterAutospacing="0" w:line="600" w:lineRule="exact"/>
        <w:ind w:firstLine="640" w:firstLineChars="200"/>
        <w:jc w:val="both"/>
        <w:rPr>
          <w:rFonts w:ascii="仿宋_GB2312" w:hAnsi="楷体_GB2312" w:eastAsia="仿宋_GB2312" w:cs="楷体_GB2312"/>
          <w:bCs/>
          <w:sz w:val="32"/>
          <w:szCs w:val="32"/>
          <w:shd w:val="clear" w:color="auto" w:fill="FFFFFF"/>
        </w:rPr>
      </w:pPr>
      <w:r>
        <w:rPr>
          <w:rFonts w:hint="eastAsia" w:ascii="仿宋_GB2312" w:hAnsi="楷体_GB2312" w:eastAsia="仿宋_GB2312" w:cs="楷体_GB2312"/>
          <w:bCs/>
          <w:sz w:val="32"/>
          <w:szCs w:val="32"/>
          <w:shd w:val="clear" w:color="auto" w:fill="FFFFFF"/>
        </w:rPr>
        <w:t>2020年，我局将政府信息公开工作纳入到各单位年度目标考核中，局政府信息公开领导小组办公室认真做好政府信息公开督查工作。我局未收到有关政府信息公开工作的信访件，政府信息公开工作未被地方管理部门和上级部门通报。</w:t>
      </w:r>
    </w:p>
    <w:p>
      <w:pPr>
        <w:pStyle w:val="4"/>
        <w:widowControl/>
        <w:shd w:val="clear" w:color="auto" w:fill="FFFFFF"/>
        <w:adjustRightInd w:val="0"/>
        <w:spacing w:beforeAutospacing="0" w:afterAutospacing="0" w:line="600" w:lineRule="exact"/>
        <w:ind w:firstLine="630" w:firstLineChars="196"/>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（六）推进政务公开各项工作情况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重点领域政府信息公开方面，根据有关要求，认真做好财政预算、财政决算、“三公经费”使用情况的公开工作。气象灾害过程，如台风影响等，认真做好过程总结工作，并在网站上进行公开。</w:t>
      </w:r>
    </w:p>
    <w:p>
      <w:pPr>
        <w:pStyle w:val="4"/>
        <w:widowControl/>
        <w:shd w:val="clear" w:color="auto" w:fill="FFFFFF"/>
        <w:adjustRightInd w:val="0"/>
        <w:snapToGrid w:val="0"/>
        <w:spacing w:beforeAutospacing="0" w:afterAutospacing="0" w:line="600" w:lineRule="exact"/>
        <w:jc w:val="both"/>
        <w:rPr>
          <w:rFonts w:ascii="黑体" w:hAnsi="楷体_GB2312" w:eastAsia="黑体" w:cs="楷体_GB2312"/>
          <w:bCs/>
          <w:sz w:val="32"/>
          <w:szCs w:val="32"/>
          <w:shd w:val="clear" w:color="auto" w:fill="FFFFFF"/>
        </w:rPr>
      </w:pPr>
      <w:r>
        <w:rPr>
          <w:rFonts w:hint="eastAsia" w:ascii="方正黑体_GBK" w:hAnsi="楷体_GB2312" w:eastAsia="方正黑体_GBK" w:cs="楷体_GB2312"/>
          <w:bCs/>
          <w:sz w:val="32"/>
          <w:szCs w:val="32"/>
          <w:shd w:val="clear" w:color="auto" w:fill="FFFFFF"/>
        </w:rPr>
        <w:t xml:space="preserve">    </w:t>
      </w:r>
      <w:r>
        <w:rPr>
          <w:rFonts w:hint="eastAsia" w:ascii="黑体" w:hAnsi="楷体_GB2312" w:eastAsia="黑体" w:cs="楷体_GB2312"/>
          <w:bCs/>
          <w:sz w:val="32"/>
          <w:szCs w:val="32"/>
          <w:shd w:val="clear" w:color="auto" w:fill="FFFFFF"/>
        </w:rPr>
        <w:t>二、主动公开政府信息情况</w:t>
      </w:r>
    </w:p>
    <w:tbl>
      <w:tblPr>
        <w:tblStyle w:val="5"/>
        <w:tblW w:w="9453" w:type="dxa"/>
        <w:jc w:val="center"/>
        <w:tblLayout w:type="fixed"/>
        <w:tblCellMar>
          <w:top w:w="0" w:type="dxa"/>
          <w:left w:w="0" w:type="dxa"/>
          <w:bottom w:w="0" w:type="dxa"/>
          <w:right w:w="0" w:type="dxa"/>
        </w:tblCellMar>
      </w:tblPr>
      <w:tblGrid>
        <w:gridCol w:w="2672"/>
        <w:gridCol w:w="2183"/>
        <w:gridCol w:w="1551"/>
        <w:gridCol w:w="3047"/>
      </w:tblGrid>
      <w:tr>
        <w:tblPrEx>
          <w:tblCellMar>
            <w:top w:w="0" w:type="dxa"/>
            <w:left w:w="0" w:type="dxa"/>
            <w:bottom w:w="0" w:type="dxa"/>
            <w:right w:w="0" w:type="dxa"/>
          </w:tblCellMar>
        </w:tblPrEx>
        <w:trPr>
          <w:trHeight w:val="495" w:hRule="atLeast"/>
          <w:jc w:val="center"/>
        </w:trPr>
        <w:tc>
          <w:tcPr>
            <w:tcW w:w="9453"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bottom"/>
          </w:tcPr>
          <w:p>
            <w:pPr>
              <w:widowControl/>
              <w:spacing w:after="180"/>
              <w:jc w:val="center"/>
              <w:rPr>
                <w:b/>
                <w:sz w:val="24"/>
                <w:szCs w:val="24"/>
              </w:rPr>
            </w:pPr>
            <w:r>
              <w:rPr>
                <w:rFonts w:hint="eastAsia" w:ascii="宋体" w:hAnsi="宋体" w:cs="宋体"/>
                <w:b/>
                <w:kern w:val="0"/>
                <w:sz w:val="24"/>
                <w:szCs w:val="24"/>
              </w:rPr>
              <w:t>第二十条第（一）项</w:t>
            </w:r>
          </w:p>
        </w:tc>
      </w:tr>
      <w:tr>
        <w:tblPrEx>
          <w:tblCellMar>
            <w:top w:w="0" w:type="dxa"/>
            <w:left w:w="0" w:type="dxa"/>
            <w:bottom w:w="0" w:type="dxa"/>
            <w:right w:w="0" w:type="dxa"/>
          </w:tblCellMar>
        </w:tblPrEx>
        <w:trPr>
          <w:trHeight w:val="882"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spacing w:after="180"/>
              <w:jc w:val="center"/>
              <w:rPr>
                <w:b/>
                <w:sz w:val="24"/>
                <w:szCs w:val="24"/>
              </w:rPr>
            </w:pPr>
            <w:r>
              <w:rPr>
                <w:rFonts w:hint="eastAsia" w:ascii="宋体" w:hAnsi="宋体" w:cs="宋体"/>
                <w:b/>
                <w:kern w:val="0"/>
                <w:sz w:val="24"/>
                <w:szCs w:val="24"/>
              </w:rPr>
              <w:t>信息内容</w:t>
            </w:r>
          </w:p>
        </w:tc>
        <w:tc>
          <w:tcPr>
            <w:tcW w:w="2183"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spacing w:after="180"/>
              <w:jc w:val="center"/>
              <w:rPr>
                <w:b/>
                <w:sz w:val="24"/>
                <w:szCs w:val="24"/>
              </w:rPr>
            </w:pPr>
            <w:r>
              <w:rPr>
                <w:rFonts w:hint="eastAsia" w:ascii="宋体" w:hAnsi="宋体" w:cs="宋体"/>
                <w:b/>
                <w:kern w:val="0"/>
                <w:sz w:val="24"/>
                <w:szCs w:val="24"/>
              </w:rPr>
              <w:t>本年新</w:t>
            </w:r>
            <w:r>
              <w:rPr>
                <w:rFonts w:hint="eastAsia" w:ascii="宋体" w:hAnsi="宋体" w:cs="宋体"/>
                <w:b/>
                <w:kern w:val="0"/>
                <w:sz w:val="24"/>
                <w:szCs w:val="24"/>
              </w:rPr>
              <w:br w:type="textWrapping"/>
            </w:r>
            <w:r>
              <w:rPr>
                <w:b/>
                <w:kern w:val="0"/>
                <w:sz w:val="24"/>
                <w:szCs w:val="24"/>
              </w:rPr>
              <w:t>制作数量</w:t>
            </w:r>
          </w:p>
        </w:tc>
        <w:tc>
          <w:tcPr>
            <w:tcW w:w="1551"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spacing w:after="180"/>
              <w:jc w:val="center"/>
              <w:rPr>
                <w:b/>
                <w:sz w:val="24"/>
                <w:szCs w:val="24"/>
              </w:rPr>
            </w:pPr>
            <w:r>
              <w:rPr>
                <w:rFonts w:hint="eastAsia" w:ascii="宋体" w:hAnsi="宋体" w:cs="宋体"/>
                <w:b/>
                <w:kern w:val="0"/>
                <w:sz w:val="24"/>
                <w:szCs w:val="24"/>
              </w:rPr>
              <w:t>本年新</w:t>
            </w:r>
            <w:r>
              <w:rPr>
                <w:rFonts w:hint="eastAsia" w:ascii="宋体" w:hAnsi="宋体" w:cs="宋体"/>
                <w:b/>
                <w:kern w:val="0"/>
                <w:sz w:val="24"/>
                <w:szCs w:val="24"/>
              </w:rPr>
              <w:br w:type="textWrapping"/>
            </w:r>
            <w:r>
              <w:rPr>
                <w:b/>
                <w:kern w:val="0"/>
                <w:sz w:val="24"/>
                <w:szCs w:val="24"/>
              </w:rPr>
              <w:t>公开数量</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spacing w:after="180"/>
              <w:jc w:val="center"/>
              <w:rPr>
                <w:b/>
                <w:sz w:val="24"/>
                <w:szCs w:val="24"/>
              </w:rPr>
            </w:pPr>
            <w:r>
              <w:rPr>
                <w:rFonts w:hint="eastAsia" w:ascii="宋体" w:hAnsi="宋体" w:cs="宋体"/>
                <w:b/>
                <w:kern w:val="0"/>
                <w:sz w:val="24"/>
                <w:szCs w:val="24"/>
              </w:rPr>
              <w:t>对外公开总数量</w:t>
            </w:r>
          </w:p>
        </w:tc>
      </w:tr>
      <w:tr>
        <w:tblPrEx>
          <w:tblCellMar>
            <w:top w:w="0" w:type="dxa"/>
            <w:left w:w="0" w:type="dxa"/>
            <w:bottom w:w="0" w:type="dxa"/>
            <w:right w:w="0" w:type="dxa"/>
          </w:tblCellMar>
        </w:tblPrEx>
        <w:trPr>
          <w:trHeight w:val="272"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规章</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r>
      <w:tr>
        <w:tblPrEx>
          <w:tblCellMar>
            <w:top w:w="0" w:type="dxa"/>
            <w:left w:w="0" w:type="dxa"/>
            <w:bottom w:w="0" w:type="dxa"/>
            <w:right w:w="0" w:type="dxa"/>
          </w:tblCellMar>
        </w:tblPrEx>
        <w:trPr>
          <w:trHeight w:val="361"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规范性文件</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r>
      <w:tr>
        <w:tblPrEx>
          <w:tblCellMar>
            <w:top w:w="0" w:type="dxa"/>
            <w:left w:w="0" w:type="dxa"/>
            <w:bottom w:w="0" w:type="dxa"/>
            <w:right w:w="0" w:type="dxa"/>
          </w:tblCellMar>
        </w:tblPrEx>
        <w:trPr>
          <w:trHeight w:val="480" w:hRule="atLeast"/>
          <w:jc w:val="center"/>
        </w:trPr>
        <w:tc>
          <w:tcPr>
            <w:tcW w:w="9453"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第二十条第（五）项</w:t>
            </w:r>
          </w:p>
        </w:tc>
      </w:tr>
      <w:tr>
        <w:tblPrEx>
          <w:tblCellMar>
            <w:top w:w="0" w:type="dxa"/>
            <w:left w:w="0" w:type="dxa"/>
            <w:bottom w:w="0" w:type="dxa"/>
            <w:right w:w="0" w:type="dxa"/>
          </w:tblCellMar>
        </w:tblPrEx>
        <w:trPr>
          <w:trHeight w:val="436"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信息内容</w:t>
            </w:r>
          </w:p>
        </w:tc>
        <w:tc>
          <w:tcPr>
            <w:tcW w:w="2183"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上一年项目数量</w:t>
            </w:r>
          </w:p>
        </w:tc>
        <w:tc>
          <w:tcPr>
            <w:tcW w:w="1551"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本年增/减</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处理决定数量</w:t>
            </w:r>
          </w:p>
        </w:tc>
      </w:tr>
      <w:tr>
        <w:tblPrEx>
          <w:tblCellMar>
            <w:top w:w="0" w:type="dxa"/>
            <w:left w:w="0" w:type="dxa"/>
            <w:bottom w:w="0" w:type="dxa"/>
            <w:right w:w="0" w:type="dxa"/>
          </w:tblCellMar>
        </w:tblPrEx>
        <w:trPr>
          <w:trHeight w:val="400"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行政许可</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3</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26</w:t>
            </w:r>
          </w:p>
        </w:tc>
      </w:tr>
      <w:tr>
        <w:tblPrEx>
          <w:tblCellMar>
            <w:top w:w="0" w:type="dxa"/>
            <w:left w:w="0" w:type="dxa"/>
            <w:bottom w:w="0" w:type="dxa"/>
            <w:right w:w="0" w:type="dxa"/>
          </w:tblCellMar>
        </w:tblPrEx>
        <w:trPr>
          <w:trHeight w:val="417"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其他对外管理服务事项</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6</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r>
      <w:tr>
        <w:tblPrEx>
          <w:tblCellMar>
            <w:top w:w="0" w:type="dxa"/>
            <w:left w:w="0" w:type="dxa"/>
            <w:bottom w:w="0" w:type="dxa"/>
            <w:right w:w="0" w:type="dxa"/>
          </w:tblCellMar>
        </w:tblPrEx>
        <w:trPr>
          <w:trHeight w:val="406" w:hRule="atLeast"/>
          <w:jc w:val="center"/>
        </w:trPr>
        <w:tc>
          <w:tcPr>
            <w:tcW w:w="9453"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第二十条第（六）项</w:t>
            </w:r>
          </w:p>
        </w:tc>
      </w:tr>
      <w:tr>
        <w:tblPrEx>
          <w:tblCellMar>
            <w:top w:w="0" w:type="dxa"/>
            <w:left w:w="0" w:type="dxa"/>
            <w:bottom w:w="0" w:type="dxa"/>
            <w:right w:w="0" w:type="dxa"/>
          </w:tblCellMar>
        </w:tblPrEx>
        <w:trPr>
          <w:trHeight w:val="447"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信息内容</w:t>
            </w:r>
          </w:p>
        </w:tc>
        <w:tc>
          <w:tcPr>
            <w:tcW w:w="2183"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上一年项目数量</w:t>
            </w:r>
          </w:p>
        </w:tc>
        <w:tc>
          <w:tcPr>
            <w:tcW w:w="1551" w:type="dxa"/>
            <w:tcBorders>
              <w:top w:val="single" w:color="auto" w:sz="8" w:space="0"/>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本年增/减</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处理决定数量</w:t>
            </w:r>
          </w:p>
        </w:tc>
      </w:tr>
      <w:tr>
        <w:tblPrEx>
          <w:tblCellMar>
            <w:top w:w="0" w:type="dxa"/>
            <w:left w:w="0" w:type="dxa"/>
            <w:bottom w:w="0" w:type="dxa"/>
            <w:right w:w="0" w:type="dxa"/>
          </w:tblCellMar>
        </w:tblPrEx>
        <w:trPr>
          <w:trHeight w:val="430"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行政处罚</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24</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1</w:t>
            </w:r>
          </w:p>
        </w:tc>
      </w:tr>
      <w:tr>
        <w:tblPrEx>
          <w:tblCellMar>
            <w:top w:w="0" w:type="dxa"/>
            <w:left w:w="0" w:type="dxa"/>
            <w:bottom w:w="0" w:type="dxa"/>
            <w:right w:w="0" w:type="dxa"/>
          </w:tblCellMar>
        </w:tblPrEx>
        <w:trPr>
          <w:trHeight w:val="409"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行政强制</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1</w:t>
            </w:r>
          </w:p>
        </w:tc>
        <w:tc>
          <w:tcPr>
            <w:tcW w:w="1551"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3047"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r>
      <w:tr>
        <w:tblPrEx>
          <w:tblCellMar>
            <w:top w:w="0" w:type="dxa"/>
            <w:left w:w="0" w:type="dxa"/>
            <w:bottom w:w="0" w:type="dxa"/>
            <w:right w:w="0" w:type="dxa"/>
          </w:tblCellMar>
        </w:tblPrEx>
        <w:trPr>
          <w:trHeight w:val="474" w:hRule="atLeast"/>
          <w:jc w:val="center"/>
        </w:trPr>
        <w:tc>
          <w:tcPr>
            <w:tcW w:w="9453"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第二十条第（八）项</w:t>
            </w:r>
          </w:p>
        </w:tc>
      </w:tr>
      <w:tr>
        <w:tblPrEx>
          <w:tblCellMar>
            <w:top w:w="0" w:type="dxa"/>
            <w:left w:w="0" w:type="dxa"/>
            <w:bottom w:w="0" w:type="dxa"/>
            <w:right w:w="0" w:type="dxa"/>
          </w:tblCellMar>
        </w:tblPrEx>
        <w:trPr>
          <w:trHeight w:val="270"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信息内容</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上一年项目数量</w:t>
            </w:r>
          </w:p>
        </w:tc>
        <w:tc>
          <w:tcPr>
            <w:tcW w:w="459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本年增/减</w:t>
            </w:r>
          </w:p>
        </w:tc>
      </w:tr>
      <w:tr>
        <w:tblPrEx>
          <w:tblCellMar>
            <w:top w:w="0" w:type="dxa"/>
            <w:left w:w="0" w:type="dxa"/>
            <w:bottom w:w="0" w:type="dxa"/>
            <w:right w:w="0" w:type="dxa"/>
          </w:tblCellMar>
        </w:tblPrEx>
        <w:trPr>
          <w:trHeight w:val="347"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行政事业性收费</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c>
          <w:tcPr>
            <w:tcW w:w="4598" w:type="dxa"/>
            <w:gridSpan w:val="2"/>
            <w:tcBorders>
              <w:top w:val="nil"/>
              <w:left w:val="nil"/>
              <w:bottom w:val="single" w:color="auto" w:sz="8" w:space="0"/>
              <w:right w:val="single" w:color="000000"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0</w:t>
            </w:r>
          </w:p>
        </w:tc>
      </w:tr>
      <w:tr>
        <w:tblPrEx>
          <w:tblCellMar>
            <w:top w:w="0" w:type="dxa"/>
            <w:left w:w="0" w:type="dxa"/>
            <w:bottom w:w="0" w:type="dxa"/>
            <w:right w:w="0" w:type="dxa"/>
          </w:tblCellMar>
        </w:tblPrEx>
        <w:trPr>
          <w:trHeight w:val="476" w:hRule="atLeast"/>
          <w:jc w:val="center"/>
        </w:trPr>
        <w:tc>
          <w:tcPr>
            <w:tcW w:w="9453"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第二十条第（九）项</w:t>
            </w:r>
          </w:p>
        </w:tc>
      </w:tr>
      <w:tr>
        <w:tblPrEx>
          <w:tblCellMar>
            <w:top w:w="0" w:type="dxa"/>
            <w:left w:w="0" w:type="dxa"/>
            <w:bottom w:w="0" w:type="dxa"/>
            <w:right w:w="0" w:type="dxa"/>
          </w:tblCellMar>
        </w:tblPrEx>
        <w:trPr>
          <w:trHeight w:val="419"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信息内容</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采购项目数量</w:t>
            </w:r>
          </w:p>
        </w:tc>
        <w:tc>
          <w:tcPr>
            <w:tcW w:w="4598" w:type="dxa"/>
            <w:gridSpan w:val="2"/>
            <w:tcBorders>
              <w:top w:val="single" w:color="auto" w:sz="8" w:space="0"/>
              <w:left w:val="nil"/>
              <w:bottom w:val="single" w:color="auto" w:sz="8" w:space="0"/>
              <w:right w:val="single" w:color="000000"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采购总金额</w:t>
            </w:r>
          </w:p>
        </w:tc>
      </w:tr>
      <w:tr>
        <w:tblPrEx>
          <w:tblCellMar>
            <w:top w:w="0" w:type="dxa"/>
            <w:left w:w="0" w:type="dxa"/>
            <w:bottom w:w="0" w:type="dxa"/>
            <w:right w:w="0" w:type="dxa"/>
          </w:tblCellMar>
        </w:tblPrEx>
        <w:trPr>
          <w:trHeight w:val="427" w:hRule="atLeast"/>
          <w:jc w:val="center"/>
        </w:trPr>
        <w:tc>
          <w:tcPr>
            <w:tcW w:w="2672" w:type="dxa"/>
            <w:tcBorders>
              <w:top w:val="nil"/>
              <w:left w:val="single" w:color="auto" w:sz="8" w:space="0"/>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ascii="宋体" w:hAnsi="宋体" w:cs="宋体"/>
                <w:b/>
                <w:kern w:val="0"/>
                <w:sz w:val="24"/>
                <w:szCs w:val="24"/>
              </w:rPr>
              <w:t>政府集中采购</w:t>
            </w:r>
          </w:p>
        </w:tc>
        <w:tc>
          <w:tcPr>
            <w:tcW w:w="2183" w:type="dxa"/>
            <w:tcBorders>
              <w:top w:val="nil"/>
              <w:left w:val="nil"/>
              <w:bottom w:val="single" w:color="auto" w:sz="8" w:space="0"/>
              <w:right w:val="single" w:color="auto" w:sz="8" w:space="0"/>
            </w:tcBorders>
            <w:shd w:val="clear" w:color="auto" w:fill="auto"/>
            <w:tcMar>
              <w:left w:w="108" w:type="dxa"/>
              <w:right w:w="108" w:type="dxa"/>
            </w:tcMar>
            <w:vAlign w:val="bottom"/>
          </w:tcPr>
          <w:p>
            <w:pPr>
              <w:widowControl/>
              <w:adjustRightInd w:val="0"/>
              <w:snapToGrid w:val="0"/>
              <w:spacing w:after="180" w:line="260" w:lineRule="exact"/>
              <w:jc w:val="center"/>
              <w:rPr>
                <w:b/>
                <w:sz w:val="24"/>
                <w:szCs w:val="24"/>
              </w:rPr>
            </w:pPr>
            <w:r>
              <w:rPr>
                <w:rFonts w:hint="eastAsia"/>
                <w:b/>
                <w:sz w:val="24"/>
                <w:szCs w:val="24"/>
              </w:rPr>
              <w:t>1</w:t>
            </w:r>
          </w:p>
        </w:tc>
        <w:tc>
          <w:tcPr>
            <w:tcW w:w="4598" w:type="dxa"/>
            <w:gridSpan w:val="2"/>
            <w:tcBorders>
              <w:top w:val="nil"/>
              <w:left w:val="nil"/>
              <w:bottom w:val="single" w:color="auto" w:sz="8" w:space="0"/>
              <w:right w:val="single" w:color="000000" w:sz="8" w:space="0"/>
            </w:tcBorders>
            <w:shd w:val="clear" w:color="auto" w:fill="auto"/>
            <w:tcMar>
              <w:left w:w="108" w:type="dxa"/>
              <w:right w:w="108" w:type="dxa"/>
            </w:tcMar>
          </w:tcPr>
          <w:p>
            <w:pPr>
              <w:adjustRightInd w:val="0"/>
              <w:snapToGrid w:val="0"/>
              <w:spacing w:line="260" w:lineRule="exact"/>
              <w:jc w:val="center"/>
              <w:rPr>
                <w:rFonts w:ascii="宋体"/>
                <w:b/>
                <w:sz w:val="24"/>
                <w:szCs w:val="24"/>
              </w:rPr>
            </w:pPr>
            <w:r>
              <w:rPr>
                <w:rFonts w:hint="eastAsia" w:ascii="宋体"/>
                <w:b/>
                <w:sz w:val="24"/>
                <w:szCs w:val="24"/>
              </w:rPr>
              <w:t>79490.00元</w:t>
            </w:r>
          </w:p>
        </w:tc>
      </w:tr>
    </w:tbl>
    <w:p>
      <w:pPr>
        <w:pStyle w:val="4"/>
        <w:widowControl/>
        <w:shd w:val="clear" w:color="auto" w:fill="FFFFFF"/>
        <w:spacing w:beforeAutospacing="0" w:afterAutospacing="0" w:line="580" w:lineRule="exact"/>
        <w:ind w:firstLine="640" w:firstLineChars="200"/>
        <w:jc w:val="both"/>
        <w:rPr>
          <w:rFonts w:ascii="黑体" w:hAnsi="楷体_GB2312" w:eastAsia="黑体" w:cs="楷体_GB2312"/>
          <w:bCs/>
          <w:sz w:val="32"/>
          <w:szCs w:val="32"/>
          <w:shd w:val="clear" w:color="auto" w:fill="FFFFFF"/>
        </w:rPr>
      </w:pPr>
      <w:r>
        <w:rPr>
          <w:rFonts w:hint="eastAsia" w:ascii="黑体" w:hAnsi="楷体_GB2312" w:eastAsia="黑体" w:cs="楷体_GB2312"/>
          <w:bCs/>
          <w:sz w:val="32"/>
          <w:szCs w:val="32"/>
          <w:shd w:val="clear" w:color="auto" w:fill="FFFFFF"/>
        </w:rPr>
        <w:t>三、收到和处理政府信息公开申请情况</w:t>
      </w:r>
    </w:p>
    <w:tbl>
      <w:tblPr>
        <w:tblStyle w:val="5"/>
        <w:tblW w:w="939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21"/>
        <w:gridCol w:w="2941"/>
        <w:gridCol w:w="708"/>
        <w:gridCol w:w="689"/>
        <w:gridCol w:w="739"/>
        <w:gridCol w:w="765"/>
        <w:gridCol w:w="755"/>
        <w:gridCol w:w="497"/>
        <w:gridCol w:w="6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58"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（本列数据的勾稽关系为：第一项加第二项之和，等于第三项加第四项之和）</w:t>
            </w:r>
          </w:p>
        </w:tc>
        <w:tc>
          <w:tcPr>
            <w:tcW w:w="4835"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b/>
                <w:sz w:val="24"/>
                <w:szCs w:val="24"/>
              </w:rPr>
            </w:pPr>
          </w:p>
        </w:tc>
        <w:tc>
          <w:tcPr>
            <w:tcW w:w="70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法人或其他组织</w:t>
            </w:r>
          </w:p>
        </w:tc>
        <w:tc>
          <w:tcPr>
            <w:tcW w:w="68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13" w:hRule="atLeast"/>
          <w:jc w:val="center"/>
        </w:trPr>
        <w:tc>
          <w:tcPr>
            <w:tcW w:w="4558"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b/>
                <w:sz w:val="24"/>
                <w:szCs w:val="24"/>
              </w:rPr>
            </w:pPr>
          </w:p>
        </w:tc>
        <w:tc>
          <w:tcPr>
            <w:tcW w:w="70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b/>
                <w:sz w:val="24"/>
                <w:szCs w:val="24"/>
              </w:rPr>
            </w:pP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商业企业</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科研机构</w:t>
            </w:r>
          </w:p>
        </w:tc>
        <w:tc>
          <w:tcPr>
            <w:tcW w:w="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社会公益组织</w:t>
            </w:r>
          </w:p>
        </w:tc>
        <w:tc>
          <w:tcPr>
            <w:tcW w:w="7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法律服务机构</w:t>
            </w:r>
          </w:p>
        </w:tc>
        <w:tc>
          <w:tcPr>
            <w:tcW w:w="49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rPr>
            </w:pPr>
            <w:r>
              <w:rPr>
                <w:rFonts w:hint="eastAsia" w:ascii="宋体" w:hAnsi="宋体" w:cs="宋体"/>
                <w:b/>
                <w:kern w:val="0"/>
                <w:sz w:val="20"/>
                <w:szCs w:val="20"/>
              </w:rPr>
              <w:t>其他</w:t>
            </w:r>
          </w:p>
        </w:tc>
        <w:tc>
          <w:tcPr>
            <w:tcW w:w="68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tcPr>
          <w:p>
            <w:pPr>
              <w:widowControl/>
              <w:spacing w:after="180" w:line="400" w:lineRule="exact"/>
              <w:jc w:val="left"/>
              <w:rPr>
                <w:b/>
                <w:sz w:val="24"/>
                <w:szCs w:val="24"/>
              </w:rPr>
            </w:pPr>
            <w:r>
              <w:rPr>
                <w:rFonts w:hint="eastAsia" w:ascii="宋体" w:hAnsi="宋体" w:cs="宋体"/>
                <w:b/>
                <w:kern w:val="0"/>
                <w:sz w:val="24"/>
                <w:szCs w:val="24"/>
              </w:rPr>
              <w:t>一、本年新收政府信息公开申请数量</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tcPr>
          <w:p>
            <w:pPr>
              <w:widowControl/>
              <w:spacing w:after="180" w:line="400" w:lineRule="exact"/>
              <w:jc w:val="left"/>
              <w:rPr>
                <w:b/>
                <w:sz w:val="24"/>
                <w:szCs w:val="24"/>
              </w:rPr>
            </w:pPr>
            <w:r>
              <w:rPr>
                <w:rFonts w:hint="eastAsia" w:ascii="宋体" w:hAnsi="宋体" w:cs="宋体"/>
                <w:b/>
                <w:kern w:val="0"/>
                <w:sz w:val="24"/>
                <w:szCs w:val="24"/>
              </w:rPr>
              <w:t>二、上年结转政府信息公开申请数量</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400" w:lineRule="exact"/>
              <w:jc w:val="center"/>
              <w:rPr>
                <w:b/>
                <w:sz w:val="24"/>
                <w:szCs w:val="24"/>
              </w:rPr>
            </w:pPr>
            <w:r>
              <w:rPr>
                <w:rFonts w:hint="eastAsia" w:ascii="宋体" w:hAnsi="宋体" w:cs="宋体"/>
                <w:b/>
                <w:kern w:val="0"/>
                <w:sz w:val="24"/>
                <w:szCs w:val="24"/>
              </w:rPr>
              <w:t>三、本年度办理结果</w:t>
            </w:r>
          </w:p>
        </w:tc>
        <w:tc>
          <w:tcPr>
            <w:tcW w:w="386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（一）予以公开</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386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（二）部分公开（区分处理的，只计这一情形，不计其他情形）</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（三）不予公开</w:t>
            </w: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1.属于国家秘密</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2.其他法律行政法规禁止公开</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3.危及“三安全一稳定”</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4.保护第三方合法权益</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5.属于三类内部事务信息</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6.属于四类过程性信息</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7.属于行政执法案卷</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8.属于行政查询事项</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7"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（四）无法提供</w:t>
            </w: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1.本机关不掌握相关政府信息</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5" w:hRule="atLeast"/>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2.没有现成信息需要另行制作</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3.补正后申请内容仍不明确</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（五）不予处理</w:t>
            </w: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1.信访举报投诉类申请</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2.重复申请</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3.要求提供公开出版物</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4.无正当理由大量反复申请</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92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360" w:lineRule="exact"/>
              <w:rPr>
                <w:rFonts w:ascii="楷体_GB2312" w:eastAsia="楷体_GB2312"/>
                <w:b/>
                <w:sz w:val="24"/>
                <w:szCs w:val="24"/>
              </w:rPr>
            </w:pPr>
          </w:p>
        </w:tc>
        <w:tc>
          <w:tcPr>
            <w:tcW w:w="2941"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5.要求行政机关确认或重新出具已获取信息</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386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（六）其他处理</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400" w:lineRule="exact"/>
              <w:rPr>
                <w:rFonts w:ascii="宋体"/>
                <w:sz w:val="24"/>
                <w:szCs w:val="24"/>
              </w:rPr>
            </w:pPr>
          </w:p>
        </w:tc>
        <w:tc>
          <w:tcPr>
            <w:tcW w:w="386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rFonts w:ascii="楷体_GB2312" w:eastAsia="楷体_GB2312"/>
                <w:b/>
                <w:sz w:val="24"/>
                <w:szCs w:val="24"/>
              </w:rPr>
            </w:pPr>
            <w:r>
              <w:rPr>
                <w:rFonts w:hint="eastAsia" w:ascii="楷体_GB2312" w:hAnsi="楷体" w:eastAsia="楷体_GB2312" w:cs="楷体"/>
                <w:b/>
                <w:kern w:val="0"/>
                <w:sz w:val="24"/>
                <w:szCs w:val="24"/>
              </w:rPr>
              <w:t>（七）总计</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58"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left"/>
              <w:rPr>
                <w:b/>
              </w:rPr>
            </w:pPr>
            <w:r>
              <w:rPr>
                <w:rFonts w:hint="eastAsia" w:ascii="宋体" w:hAnsi="宋体" w:cs="宋体"/>
                <w:b/>
                <w:kern w:val="0"/>
                <w:sz w:val="24"/>
                <w:szCs w:val="24"/>
              </w:rPr>
              <w:t>四、结转下年度继续办理</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6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73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hint="eastAsia" w:ascii="Calibri" w:hAnsi="Calibri" w:cs="Calibri"/>
                <w:kern w:val="0"/>
                <w:sz w:val="20"/>
                <w:szCs w:val="20"/>
              </w:rPr>
              <w:t>0</w:t>
            </w:r>
            <w:r>
              <w:rPr>
                <w:rFonts w:ascii="Calibri" w:hAnsi="Calibri" w:cs="Calibri"/>
                <w:kern w:val="0"/>
                <w:sz w:val="20"/>
                <w:szCs w:val="20"/>
              </w:rPr>
              <w:t> </w:t>
            </w:r>
          </w:p>
        </w:tc>
        <w:tc>
          <w:tcPr>
            <w:tcW w:w="497"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pPr>
            <w:r>
              <w:rPr>
                <w:rFonts w:ascii="Calibri" w:hAnsi="Calibri" w:cs="Calibri"/>
                <w:kern w:val="0"/>
                <w:sz w:val="20"/>
                <w:szCs w:val="20"/>
              </w:rPr>
              <w:t> </w:t>
            </w:r>
            <w:r>
              <w:rPr>
                <w:rFonts w:hint="eastAsia" w:ascii="Calibri" w:hAnsi="Calibri" w:cs="Calibri"/>
                <w:kern w:val="0"/>
                <w:sz w:val="20"/>
                <w:szCs w:val="20"/>
              </w:rPr>
              <w:t>0</w:t>
            </w:r>
          </w:p>
        </w:tc>
        <w:tc>
          <w:tcPr>
            <w:tcW w:w="68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line="360" w:lineRule="exact"/>
              <w:jc w:val="center"/>
              <w:rPr>
                <w:sz w:val="24"/>
                <w:szCs w:val="24"/>
              </w:rPr>
            </w:pPr>
            <w:r>
              <w:rPr>
                <w:rFonts w:hint="eastAsia" w:ascii="Calibri" w:hAnsi="Calibri" w:cs="Calibri"/>
                <w:kern w:val="0"/>
                <w:sz w:val="24"/>
                <w:szCs w:val="24"/>
              </w:rPr>
              <w:t>0</w:t>
            </w:r>
            <w:r>
              <w:rPr>
                <w:rFonts w:ascii="Calibri" w:hAnsi="Calibri" w:cs="Calibri"/>
                <w:kern w:val="0"/>
                <w:sz w:val="24"/>
                <w:szCs w:val="24"/>
              </w:rPr>
              <w:t> </w:t>
            </w:r>
          </w:p>
        </w:tc>
      </w:tr>
    </w:tbl>
    <w:p>
      <w:pPr>
        <w:pStyle w:val="4"/>
        <w:widowControl/>
        <w:shd w:val="clear" w:color="auto" w:fill="FFFFFF"/>
        <w:spacing w:beforeAutospacing="0" w:after="240" w:afterAutospacing="0"/>
        <w:ind w:firstLine="640" w:firstLineChars="200"/>
        <w:jc w:val="both"/>
        <w:rPr>
          <w:rFonts w:ascii="黑体" w:hAnsi="楷体_GB2312" w:eastAsia="黑体" w:cs="楷体_GB2312"/>
          <w:bCs/>
          <w:sz w:val="32"/>
          <w:szCs w:val="32"/>
          <w:shd w:val="clear" w:color="auto" w:fill="FFFFFF"/>
        </w:rPr>
      </w:pPr>
      <w:bookmarkStart w:id="1" w:name="_GoBack"/>
      <w:bookmarkEnd w:id="1"/>
    </w:p>
    <w:p>
      <w:pPr>
        <w:pStyle w:val="4"/>
        <w:widowControl/>
        <w:shd w:val="clear" w:color="auto" w:fill="FFFFFF"/>
        <w:spacing w:beforeAutospacing="0" w:after="240" w:afterAutospacing="0"/>
        <w:ind w:firstLine="640" w:firstLineChars="200"/>
        <w:jc w:val="both"/>
        <w:rPr>
          <w:rFonts w:ascii="黑体" w:hAnsi="楷体_GB2312" w:eastAsia="黑体" w:cs="楷体_GB2312"/>
          <w:bCs/>
          <w:sz w:val="32"/>
          <w:szCs w:val="32"/>
          <w:shd w:val="clear" w:color="auto" w:fill="FFFFFF"/>
        </w:rPr>
      </w:pPr>
      <w:r>
        <w:rPr>
          <w:rFonts w:hint="eastAsia" w:ascii="黑体" w:hAnsi="楷体_GB2312" w:eastAsia="黑体" w:cs="楷体_GB2312"/>
          <w:bCs/>
          <w:sz w:val="32"/>
          <w:szCs w:val="32"/>
          <w:shd w:val="clear" w:color="auto" w:fill="FFFFFF"/>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宋体"/>
                <w:b/>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b/>
                <w:sz w:val="24"/>
                <w:szCs w:val="24"/>
              </w:rPr>
            </w:pPr>
            <w:r>
              <w:rPr>
                <w:rFonts w:hint="eastAsia" w:ascii="宋体" w:hAnsi="宋体" w:cs="宋体"/>
                <w:b/>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ascii="Calibri" w:hAnsi="Calibri" w:cs="Calibri"/>
                <w:kern w:val="0"/>
                <w:sz w:val="24"/>
                <w:szCs w:val="24"/>
              </w:rPr>
              <w:t> </w:t>
            </w:r>
            <w:r>
              <w:rPr>
                <w:rFonts w:hint="eastAsia" w:ascii="Calibri" w:hAnsi="Calibri" w:cs="Calibri"/>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sz w:val="24"/>
                <w:szCs w:val="24"/>
              </w:rPr>
            </w:pPr>
            <w:r>
              <w:rPr>
                <w:rFonts w:ascii="Calibri" w:hAnsi="Calibri" w:cs="Calibri"/>
                <w:kern w:val="0"/>
                <w:sz w:val="24"/>
                <w:szCs w:val="24"/>
              </w:rPr>
              <w:t> </w:t>
            </w:r>
            <w:r>
              <w:rPr>
                <w:rFonts w:hint="eastAsia" w:ascii="Calibri" w:hAnsi="Calibri" w:cs="Calibri"/>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ascii="Calibri" w:hAnsi="Calibri" w:cs="Calibri"/>
                <w:kern w:val="0"/>
                <w:sz w:val="24"/>
                <w:szCs w:val="24"/>
              </w:rPr>
              <w:t> </w:t>
            </w:r>
            <w:r>
              <w:rPr>
                <w:rFonts w:hint="eastAsia" w:ascii="Calibri" w:hAnsi="Calibri" w:cs="Calibri"/>
                <w:kern w:val="0"/>
                <w:sz w:val="24"/>
                <w:szCs w:val="24"/>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sz w:val="24"/>
                <w:szCs w:val="24"/>
              </w:rPr>
            </w:pPr>
            <w:r>
              <w:rPr>
                <w:rFonts w:hint="eastAsia" w:ascii="Calibri" w:hAnsi="Calibri" w:cs="Calibri"/>
                <w:kern w:val="0"/>
                <w:sz w:val="24"/>
                <w:szCs w:val="24"/>
              </w:rPr>
              <w:t>0</w:t>
            </w:r>
          </w:p>
        </w:tc>
      </w:tr>
    </w:tbl>
    <w:p>
      <w:pPr>
        <w:pStyle w:val="4"/>
        <w:widowControl/>
        <w:shd w:val="clear" w:color="auto" w:fill="FFFFFF"/>
        <w:spacing w:beforeAutospacing="0" w:afterAutospacing="0" w:line="600" w:lineRule="exact"/>
        <w:ind w:firstLine="640" w:firstLineChars="200"/>
        <w:jc w:val="both"/>
        <w:rPr>
          <w:rFonts w:ascii="黑体" w:hAnsi="楷体_GB2312" w:eastAsia="黑体" w:cs="楷体_GB2312"/>
          <w:bCs/>
          <w:sz w:val="32"/>
          <w:szCs w:val="32"/>
          <w:shd w:val="clear" w:color="auto" w:fill="FFFFFF"/>
        </w:rPr>
      </w:pPr>
      <w:r>
        <w:rPr>
          <w:rFonts w:hint="eastAsia" w:ascii="黑体" w:hAnsi="楷体_GB2312" w:eastAsia="黑体" w:cs="楷体_GB2312"/>
          <w:bCs/>
          <w:sz w:val="32"/>
          <w:szCs w:val="32"/>
          <w:shd w:val="clear" w:color="auto" w:fill="FFFFFF"/>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仿宋_GB2312" w:hAnsi="Arial" w:eastAsia="仿宋_GB2312" w:cs="仿宋_GB2312"/>
          <w:i w:val="0"/>
          <w:iCs w:val="0"/>
          <w:caps w:val="0"/>
          <w:color w:val="333333"/>
          <w:spacing w:val="0"/>
          <w:kern w:val="0"/>
          <w:sz w:val="32"/>
          <w:szCs w:val="32"/>
          <w:lang w:val="en-US" w:eastAsia="zh-CN" w:bidi="ar"/>
        </w:rPr>
      </w:pPr>
      <w:r>
        <w:rPr>
          <w:rFonts w:hint="eastAsia" w:ascii="仿宋_GB2312" w:hAnsi="Arial" w:eastAsia="仿宋_GB2312" w:cs="仿宋_GB2312"/>
          <w:i w:val="0"/>
          <w:iCs w:val="0"/>
          <w:caps w:val="0"/>
          <w:color w:val="333333"/>
          <w:spacing w:val="0"/>
          <w:kern w:val="0"/>
          <w:sz w:val="32"/>
          <w:szCs w:val="32"/>
          <w:lang w:val="en-US" w:eastAsia="zh-CN" w:bidi="ar"/>
        </w:rPr>
        <w:t>2019年政府信息公开存在的主要问题和改进情况：针对政府信息公开因人员调整导致公开内容更新不够及时的问题，我局已明确了政府信息公开负责的具体人员，明确网站各相关模块发布的具体负责人。2019年已按要求在网站上及时公开政务内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2020年政府信息公开存在的主要问题：政府信息公开</w:t>
      </w:r>
      <w:r>
        <w:rPr>
          <w:rFonts w:hint="eastAsia" w:ascii="仿宋_GB2312" w:eastAsia="仿宋_GB2312"/>
          <w:color w:val="000000"/>
          <w:sz w:val="32"/>
          <w:szCs w:val="32"/>
        </w:rPr>
        <w:t>内容有待</w:t>
      </w:r>
      <w:r>
        <w:rPr>
          <w:rFonts w:hint="eastAsia" w:ascii="仿宋_GB2312" w:eastAsia="仿宋_GB2312"/>
          <w:color w:val="000000"/>
          <w:sz w:val="32"/>
          <w:szCs w:val="32"/>
        </w:rPr>
        <w:t>进一步更新</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改进措施：</w:t>
      </w:r>
      <w:r>
        <w:rPr>
          <w:rFonts w:hint="eastAsia" w:ascii="仿宋_GB2312" w:eastAsia="仿宋_GB2312"/>
          <w:color w:val="000000"/>
          <w:sz w:val="32"/>
          <w:szCs w:val="32"/>
          <w:lang w:val="en-US" w:eastAsia="zh-CN"/>
        </w:rPr>
        <w:t>结合上级部门要求及本单位工作实际，调整编制《</w:t>
      </w:r>
      <w:r>
        <w:rPr>
          <w:rFonts w:hint="eastAsia" w:ascii="仿宋_GB2312" w:eastAsia="仿宋_GB2312"/>
          <w:color w:val="000000"/>
          <w:sz w:val="32"/>
          <w:szCs w:val="32"/>
          <w:lang w:val="en-US" w:eastAsia="zh-CN"/>
        </w:rPr>
        <w:t>防城港市气象局政府信息主动公开基本目录</w:t>
      </w:r>
      <w:r>
        <w:rPr>
          <w:rFonts w:hint="eastAsia" w:ascii="仿宋_GB2312" w:eastAsia="仿宋_GB2312"/>
          <w:color w:val="000000"/>
          <w:sz w:val="32"/>
          <w:szCs w:val="32"/>
          <w:lang w:val="en-US" w:eastAsia="zh-CN"/>
        </w:rPr>
        <w:t>》和《防城港市气象局政府信息公开指南》。</w:t>
      </w:r>
    </w:p>
    <w:p>
      <w:pPr>
        <w:pStyle w:val="4"/>
        <w:widowControl/>
        <w:shd w:val="clear" w:color="auto" w:fill="FFFFFF"/>
        <w:spacing w:beforeAutospacing="0" w:afterAutospacing="0" w:line="600" w:lineRule="exact"/>
        <w:ind w:firstLine="640" w:firstLineChars="200"/>
        <w:jc w:val="both"/>
        <w:rPr>
          <w:rFonts w:ascii="黑体" w:hAnsi="楷体_GB2312" w:eastAsia="黑体" w:cs="楷体_GB2312"/>
          <w:bCs/>
          <w:sz w:val="32"/>
          <w:szCs w:val="32"/>
          <w:shd w:val="clear" w:color="auto" w:fill="FFFFFF"/>
        </w:rPr>
      </w:pPr>
      <w:r>
        <w:rPr>
          <w:rFonts w:hint="eastAsia" w:ascii="黑体" w:hAnsi="楷体_GB2312" w:eastAsia="黑体" w:cs="楷体_GB2312"/>
          <w:bCs/>
          <w:sz w:val="32"/>
          <w:szCs w:val="32"/>
          <w:shd w:val="clear" w:color="auto" w:fill="FFFFFF"/>
        </w:rPr>
        <w:t>六、其他需要报告的事项</w:t>
      </w:r>
    </w:p>
    <w:p>
      <w:pPr>
        <w:pStyle w:val="4"/>
        <w:widowControl/>
        <w:shd w:val="clear" w:color="auto" w:fill="FFFFFF"/>
        <w:spacing w:beforeAutospacing="0" w:afterAutospacing="0" w:line="600" w:lineRule="exact"/>
        <w:ind w:firstLine="640" w:firstLineChars="200"/>
        <w:jc w:val="both"/>
        <w:rPr>
          <w:rFonts w:ascii="仿宋_GB2312" w:hAnsi="楷体_GB2312" w:eastAsia="仿宋_GB2312" w:cs="楷体_GB2312"/>
          <w:bCs/>
          <w:sz w:val="32"/>
          <w:szCs w:val="32"/>
          <w:shd w:val="clear" w:color="auto" w:fill="FFFFFF"/>
        </w:rPr>
      </w:pPr>
      <w:r>
        <w:rPr>
          <w:rFonts w:hint="eastAsia" w:ascii="仿宋_GB2312" w:hAnsi="楷体_GB2312" w:eastAsia="仿宋_GB2312" w:cs="楷体_GB2312"/>
          <w:bCs/>
          <w:sz w:val="32"/>
          <w:szCs w:val="32"/>
          <w:shd w:val="clear" w:color="auto" w:fill="FFFFFF"/>
        </w:rPr>
        <w:t>无。</w:t>
      </w:r>
    </w:p>
    <w:p>
      <w:pPr>
        <w:spacing w:line="600" w:lineRule="exact"/>
        <w:rPr>
          <w:rFonts w:ascii="方正仿宋_GBK" w:hAnsi="方正仿宋_GBK" w:eastAsia="方正仿宋_GBK" w:cs="方正仿宋_GBK"/>
          <w:sz w:val="32"/>
          <w:szCs w:val="32"/>
        </w:rPr>
      </w:pPr>
    </w:p>
    <w:p>
      <w:pPr>
        <w:spacing w:line="600" w:lineRule="exact"/>
      </w:pPr>
    </w:p>
    <w:p>
      <w:pPr>
        <w:spacing w:line="600" w:lineRule="exact"/>
        <w:rPr>
          <w:rFonts w:ascii="仿宋_GB2312" w:eastAsia="仿宋_GB2312"/>
          <w:color w:val="000000"/>
          <w:sz w:val="32"/>
          <w:szCs w:val="32"/>
        </w:rPr>
      </w:pPr>
      <w:r>
        <w:rPr>
          <w:rFonts w:hint="eastAsia"/>
        </w:rPr>
        <w:t xml:space="preserve">                                 </w:t>
      </w:r>
      <w:r>
        <w:rPr>
          <w:rFonts w:hint="eastAsia" w:ascii="仿宋_GB2312" w:eastAsia="仿宋_GB2312"/>
          <w:color w:val="000000"/>
          <w:sz w:val="32"/>
          <w:szCs w:val="32"/>
        </w:rPr>
        <w:t xml:space="preserve">   防城港市气象局</w:t>
      </w:r>
    </w:p>
    <w:p>
      <w:pPr>
        <w:spacing w:line="600" w:lineRule="exact"/>
        <w:rPr>
          <w:rFonts w:ascii="仿宋_GB2312" w:eastAsia="仿宋_GB2312"/>
          <w:color w:val="000000"/>
          <w:sz w:val="32"/>
          <w:szCs w:val="32"/>
        </w:rPr>
      </w:pPr>
      <w:r>
        <w:rPr>
          <w:rFonts w:hint="eastAsia" w:ascii="仿宋_GB2312" w:eastAsia="仿宋_GB2312"/>
          <w:color w:val="000000"/>
          <w:sz w:val="32"/>
          <w:szCs w:val="32"/>
        </w:rPr>
        <w:t xml:space="preserve">                                  2021年1月15日</w:t>
      </w:r>
    </w:p>
    <w:p>
      <w:pPr>
        <w:spacing w:line="600" w:lineRule="exact"/>
        <w:rPr>
          <w:rFonts w:ascii="仿宋_GB2312" w:eastAsia="仿宋_GB2312"/>
          <w:color w:val="000000"/>
          <w:sz w:val="32"/>
          <w:szCs w:val="32"/>
        </w:rPr>
      </w:pPr>
    </w:p>
    <w:sectPr>
      <w:footerReference r:id="rId3" w:type="default"/>
      <w:footerReference r:id="rId4" w:type="even"/>
      <w:pgSz w:w="11906" w:h="16838"/>
      <w:pgMar w:top="2098" w:right="1531" w:bottom="1985" w:left="1531" w:header="851" w:footer="992" w:gutter="0"/>
      <w:cols w:space="0"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954913"/>
      <w:docPartObj>
        <w:docPartGallery w:val="AutoText"/>
      </w:docPartObj>
    </w:sdtPr>
    <w:sdtEndPr>
      <w:rPr>
        <w:rFonts w:asciiTheme="minorEastAsia" w:hAnsiTheme="minorEastAsia" w:eastAsiaTheme="minorEastAsia"/>
        <w:sz w:val="28"/>
        <w:szCs w:val="28"/>
      </w:rPr>
    </w:sdtEndPr>
    <w:sdtContent>
      <w:p>
        <w:pPr>
          <w:pStyle w:val="2"/>
          <w:wordWrap w:val="0"/>
          <w:jc w:val="right"/>
          <w:rPr>
            <w:rFonts w:asciiTheme="minorEastAsia" w:hAnsiTheme="minorEastAsia" w:eastAsiaTheme="minorEastAsia"/>
            <w:sz w:val="28"/>
            <w:szCs w:val="28"/>
          </w:rPr>
        </w:pP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Theme="minorEastAsia" w:hAnsiTheme="minorEastAsia" w:eastAsiaTheme="minorEastAsia"/>
        <w:sz w:val="28"/>
        <w:szCs w:val="28"/>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2F"/>
    <w:rsid w:val="0001759B"/>
    <w:rsid w:val="00114C46"/>
    <w:rsid w:val="002F7282"/>
    <w:rsid w:val="00322380"/>
    <w:rsid w:val="00384291"/>
    <w:rsid w:val="003C1636"/>
    <w:rsid w:val="004D302F"/>
    <w:rsid w:val="00504A65"/>
    <w:rsid w:val="00550172"/>
    <w:rsid w:val="005508F5"/>
    <w:rsid w:val="00602DF1"/>
    <w:rsid w:val="006A01C8"/>
    <w:rsid w:val="006D3B5E"/>
    <w:rsid w:val="0070682F"/>
    <w:rsid w:val="00713791"/>
    <w:rsid w:val="008523B2"/>
    <w:rsid w:val="00877F19"/>
    <w:rsid w:val="00975D13"/>
    <w:rsid w:val="009B3727"/>
    <w:rsid w:val="00A25F2A"/>
    <w:rsid w:val="00AA273C"/>
    <w:rsid w:val="00AA5C60"/>
    <w:rsid w:val="00AE1707"/>
    <w:rsid w:val="00AF03A0"/>
    <w:rsid w:val="00AF6C15"/>
    <w:rsid w:val="00CB6845"/>
    <w:rsid w:val="00CC2078"/>
    <w:rsid w:val="00D81255"/>
    <w:rsid w:val="00EF289A"/>
    <w:rsid w:val="00F26FAB"/>
    <w:rsid w:val="00F43488"/>
    <w:rsid w:val="00FD7EF9"/>
    <w:rsid w:val="1DE90038"/>
    <w:rsid w:val="722826EE"/>
    <w:rsid w:val="766B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Hyperlink"/>
    <w:basedOn w:val="6"/>
    <w:unhideWhenUsed/>
    <w:uiPriority w:val="99"/>
    <w:rPr>
      <w:color w:val="0000FF"/>
      <w:u w:val="single"/>
    </w:rPr>
  </w:style>
  <w:style w:type="character" w:customStyle="1" w:styleId="8">
    <w:name w:val="页脚 Char"/>
    <w:basedOn w:val="6"/>
    <w:link w:val="2"/>
    <w:qFormat/>
    <w:uiPriority w:val="99"/>
    <w:rPr>
      <w:kern w:val="2"/>
      <w:sz w:val="18"/>
      <w:szCs w:val="18"/>
    </w:rPr>
  </w:style>
  <w:style w:type="character" w:customStyle="1" w:styleId="9">
    <w:name w:val="页眉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FA832-D3E4-44AF-9510-1806A195DF87}">
  <ds:schemaRefs/>
</ds:datastoreItem>
</file>

<file path=docProps/app.xml><?xml version="1.0" encoding="utf-8"?>
<Properties xmlns="http://schemas.openxmlformats.org/officeDocument/2006/extended-properties" xmlns:vt="http://schemas.openxmlformats.org/officeDocument/2006/docPropsVTypes">
  <Template>Normal.dotm</Template>
  <Company>防城港市气象局</Company>
  <Pages>7</Pages>
  <Words>468</Words>
  <Characters>2673</Characters>
  <Lines>22</Lines>
  <Paragraphs>6</Paragraphs>
  <TotalTime>3</TotalTime>
  <ScaleCrop>false</ScaleCrop>
  <LinksUpToDate>false</LinksUpToDate>
  <CharactersWithSpaces>3135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2021-01-22T08:01:00Z</dcterms:created>
  <dc:creator>防城港市局文秘</dc:creator>
  <cp:lastModifiedBy>翼</cp:lastModifiedBy>
  <dcterms:modified xsi:type="dcterms:W3CDTF">2021-11-08T06:33:25Z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2D1F1F23AF3D481CBE5450905EF7BD59</vt:lpwstr>
  </property>
</Properties>
</file>