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6E90E">
      <w:pPr>
        <w:rPr>
          <w:color w:val="C00000"/>
          <w:sz w:val="36"/>
          <w:szCs w:val="36"/>
        </w:rPr>
      </w:pPr>
      <w:bookmarkStart w:id="0" w:name="_Hlk57883707"/>
    </w:p>
    <w:p w14:paraId="7A97B67E">
      <w:pPr>
        <w:rPr>
          <w:color w:val="C00000"/>
          <w:sz w:val="36"/>
          <w:szCs w:val="36"/>
        </w:rPr>
      </w:pPr>
    </w:p>
    <w:p w14:paraId="2940FC02">
      <w:pPr>
        <w:rPr>
          <w:color w:val="C00000"/>
          <w:sz w:val="36"/>
          <w:szCs w:val="36"/>
        </w:rPr>
      </w:pPr>
    </w:p>
    <w:p w14:paraId="3D10927F">
      <w:pPr>
        <w:rPr>
          <w:color w:val="C00000"/>
          <w:sz w:val="36"/>
          <w:szCs w:val="36"/>
        </w:rPr>
      </w:pPr>
    </w:p>
    <w:bookmarkEnd w:id="0"/>
    <w:p w14:paraId="3FD0EDB3">
      <w:pPr>
        <w:adjustRightInd w:val="0"/>
        <w:snapToGrid w:val="0"/>
        <w:jc w:val="center"/>
        <w:rPr>
          <w:bCs/>
          <w:color w:val="auto"/>
          <w:sz w:val="72"/>
          <w:szCs w:val="72"/>
        </w:rPr>
      </w:pPr>
      <w:r>
        <w:rPr>
          <w:bCs/>
          <w:color w:val="auto"/>
          <w:sz w:val="72"/>
          <w:szCs w:val="72"/>
        </w:rPr>
        <w:t>建设项目环境影响报告表</w:t>
      </w:r>
    </w:p>
    <w:p w14:paraId="4D3BC484">
      <w:pPr>
        <w:adjustRightInd w:val="0"/>
        <w:snapToGrid w:val="0"/>
        <w:spacing w:before="192" w:beforeLines="80"/>
        <w:jc w:val="center"/>
        <w:rPr>
          <w:bCs/>
          <w:color w:val="auto"/>
          <w:sz w:val="48"/>
          <w:szCs w:val="48"/>
        </w:rPr>
      </w:pPr>
      <w:r>
        <w:rPr>
          <w:bCs/>
          <w:color w:val="auto"/>
          <w:sz w:val="48"/>
          <w:szCs w:val="48"/>
        </w:rPr>
        <w:t>（生态影响类）</w:t>
      </w:r>
    </w:p>
    <w:p w14:paraId="7A4ABBCA">
      <w:pPr>
        <w:adjustRightInd w:val="0"/>
        <w:snapToGrid w:val="0"/>
        <w:spacing w:before="192" w:beforeLines="80"/>
        <w:jc w:val="center"/>
        <w:rPr>
          <w:bCs/>
          <w:color w:val="auto"/>
          <w:sz w:val="48"/>
          <w:szCs w:val="48"/>
        </w:rPr>
      </w:pPr>
      <w:r>
        <w:rPr>
          <w:rFonts w:hint="eastAsia"/>
          <w:kern w:val="44"/>
          <w:sz w:val="36"/>
          <w:szCs w:val="44"/>
        </w:rPr>
        <w:t>（公示稿）</w:t>
      </w:r>
    </w:p>
    <w:p w14:paraId="50865C25">
      <w:pPr>
        <w:jc w:val="center"/>
        <w:rPr>
          <w:rFonts w:hint="eastAsia"/>
          <w:color w:val="auto"/>
          <w:kern w:val="44"/>
          <w:sz w:val="36"/>
          <w:szCs w:val="44"/>
          <w:lang w:val="en-US" w:eastAsia="zh-CN"/>
        </w:rPr>
      </w:pPr>
      <w:bookmarkStart w:id="1" w:name="_Hlk57883728"/>
      <w:r>
        <w:rPr>
          <w:rFonts w:hint="eastAsia"/>
          <w:color w:val="auto"/>
          <w:kern w:val="44"/>
          <w:sz w:val="36"/>
          <w:szCs w:val="44"/>
          <w:lang w:val="en-US" w:eastAsia="zh-CN"/>
        </w:rPr>
        <w:t xml:space="preserve"> </w:t>
      </w:r>
    </w:p>
    <w:p w14:paraId="09801AD0">
      <w:pPr>
        <w:jc w:val="center"/>
        <w:rPr>
          <w:rFonts w:hint="eastAsia"/>
          <w:color w:val="auto"/>
          <w:kern w:val="44"/>
          <w:sz w:val="36"/>
          <w:szCs w:val="44"/>
          <w:lang w:val="en-US" w:eastAsia="zh-CN"/>
        </w:rPr>
      </w:pPr>
    </w:p>
    <w:p w14:paraId="4D89E549">
      <w:pPr>
        <w:jc w:val="center"/>
        <w:rPr>
          <w:color w:val="auto"/>
          <w:sz w:val="52"/>
          <w:szCs w:val="52"/>
        </w:rPr>
      </w:pPr>
    </w:p>
    <w:p w14:paraId="3E2E064C">
      <w:pPr>
        <w:jc w:val="center"/>
        <w:rPr>
          <w:color w:val="auto"/>
          <w:sz w:val="52"/>
          <w:szCs w:val="52"/>
        </w:rPr>
      </w:pPr>
    </w:p>
    <w:p w14:paraId="06B47737">
      <w:pPr>
        <w:jc w:val="center"/>
        <w:rPr>
          <w:color w:val="auto"/>
          <w:sz w:val="52"/>
          <w:szCs w:val="52"/>
        </w:rPr>
      </w:pPr>
    </w:p>
    <w:p w14:paraId="544E3825">
      <w:pPr>
        <w:jc w:val="center"/>
        <w:rPr>
          <w:color w:val="auto"/>
          <w:sz w:val="52"/>
          <w:szCs w:val="52"/>
        </w:rPr>
      </w:pPr>
    </w:p>
    <w:p w14:paraId="57CCC200">
      <w:pPr>
        <w:jc w:val="center"/>
        <w:rPr>
          <w:color w:val="auto"/>
          <w:sz w:val="52"/>
          <w:szCs w:val="52"/>
        </w:rPr>
      </w:pPr>
    </w:p>
    <w:p w14:paraId="653B5CAE">
      <w:pPr>
        <w:jc w:val="center"/>
        <w:rPr>
          <w:color w:val="auto"/>
          <w:sz w:val="52"/>
          <w:szCs w:val="52"/>
        </w:rPr>
      </w:pPr>
    </w:p>
    <w:p w14:paraId="315F6185">
      <w:pPr>
        <w:jc w:val="center"/>
        <w:rPr>
          <w:color w:val="auto"/>
          <w:sz w:val="52"/>
          <w:szCs w:val="52"/>
        </w:rPr>
      </w:pPr>
    </w:p>
    <w:p w14:paraId="332CEAC8">
      <w:pPr>
        <w:jc w:val="center"/>
        <w:rPr>
          <w:color w:val="auto"/>
          <w:sz w:val="52"/>
          <w:szCs w:val="52"/>
        </w:rPr>
      </w:pPr>
    </w:p>
    <w:p w14:paraId="5D37CEB9">
      <w:pPr>
        <w:spacing w:line="336" w:lineRule="auto"/>
        <w:ind w:firstLine="964" w:firstLineChars="300"/>
        <w:rPr>
          <w:color w:val="auto"/>
          <w:sz w:val="32"/>
          <w:szCs w:val="44"/>
          <w:u w:val="single"/>
        </w:rPr>
      </w:pPr>
      <w:r>
        <w:rPr>
          <w:rFonts w:hint="eastAsia"/>
          <w:b/>
          <w:color w:val="auto"/>
          <w:sz w:val="32"/>
          <w:szCs w:val="44"/>
        </w:rPr>
        <w:t>项目名称：</w:t>
      </w:r>
      <w:r>
        <w:rPr>
          <w:rFonts w:hint="eastAsia"/>
          <w:color w:val="auto"/>
          <w:sz w:val="32"/>
          <w:szCs w:val="44"/>
          <w:u w:val="single"/>
        </w:rPr>
        <w:t>防城港市东湾榕木江西侧生态护岸工程</w:t>
      </w:r>
    </w:p>
    <w:p w14:paraId="410287C4">
      <w:pPr>
        <w:spacing w:line="336" w:lineRule="auto"/>
        <w:ind w:firstLine="964" w:firstLineChars="300"/>
        <w:rPr>
          <w:color w:val="auto"/>
          <w:sz w:val="32"/>
          <w:szCs w:val="44"/>
          <w:u w:val="single"/>
        </w:rPr>
      </w:pPr>
      <w:r>
        <w:rPr>
          <w:rFonts w:hint="eastAsia"/>
          <w:b/>
          <w:color w:val="auto"/>
          <w:sz w:val="32"/>
          <w:szCs w:val="44"/>
        </w:rPr>
        <w:t>建设单位：</w:t>
      </w:r>
      <w:r>
        <w:rPr>
          <w:rFonts w:hint="eastAsia"/>
          <w:color w:val="auto"/>
          <w:sz w:val="32"/>
          <w:szCs w:val="44"/>
          <w:u w:val="single"/>
          <w:lang w:val="en-US" w:eastAsia="zh-CN"/>
        </w:rPr>
        <w:t xml:space="preserve">       广</w:t>
      </w:r>
      <w:r>
        <w:rPr>
          <w:rFonts w:hint="eastAsia"/>
          <w:color w:val="auto"/>
          <w:sz w:val="32"/>
          <w:szCs w:val="44"/>
          <w:u w:val="single"/>
        </w:rPr>
        <w:t>西盛隆冶金有限公司</w:t>
      </w:r>
      <w:r>
        <w:rPr>
          <w:rFonts w:hint="eastAsia"/>
          <w:color w:val="auto"/>
          <w:sz w:val="32"/>
          <w:szCs w:val="44"/>
          <w:u w:val="single"/>
          <w:lang w:val="en-US" w:eastAsia="zh-CN"/>
        </w:rPr>
        <w:t xml:space="preserve">  </w:t>
      </w:r>
      <w:r>
        <w:rPr>
          <w:rFonts w:hint="eastAsia"/>
          <w:color w:val="auto"/>
          <w:sz w:val="32"/>
          <w:szCs w:val="44"/>
          <w:u w:val="single"/>
        </w:rPr>
        <w:t xml:space="preserve">  </w:t>
      </w:r>
      <w:r>
        <w:rPr>
          <w:rFonts w:hint="eastAsia"/>
          <w:color w:val="auto"/>
          <w:sz w:val="32"/>
          <w:szCs w:val="44"/>
          <w:u w:val="single"/>
          <w:lang w:val="en-US" w:eastAsia="zh-CN"/>
        </w:rPr>
        <w:t xml:space="preserve"> </w:t>
      </w:r>
      <w:r>
        <w:rPr>
          <w:color w:val="auto"/>
          <w:sz w:val="32"/>
          <w:szCs w:val="44"/>
          <w:u w:val="single"/>
        </w:rPr>
        <w:t xml:space="preserve">  </w:t>
      </w:r>
    </w:p>
    <w:p w14:paraId="191F4E03">
      <w:pPr>
        <w:spacing w:line="336" w:lineRule="auto"/>
        <w:ind w:firstLine="964" w:firstLineChars="300"/>
        <w:rPr>
          <w:color w:val="auto"/>
          <w:sz w:val="32"/>
          <w:szCs w:val="44"/>
          <w:u w:val="single"/>
        </w:rPr>
      </w:pPr>
      <w:r>
        <w:rPr>
          <w:rFonts w:hint="eastAsia"/>
          <w:b/>
          <w:color w:val="auto"/>
          <w:sz w:val="32"/>
          <w:szCs w:val="44"/>
        </w:rPr>
        <w:t>编制日期：</w:t>
      </w:r>
      <w:r>
        <w:rPr>
          <w:color w:val="auto"/>
          <w:sz w:val="32"/>
          <w:szCs w:val="44"/>
          <w:u w:val="single"/>
        </w:rPr>
        <w:t xml:space="preserve">    </w:t>
      </w:r>
      <w:r>
        <w:rPr>
          <w:rFonts w:hint="eastAsia"/>
          <w:color w:val="auto"/>
          <w:sz w:val="32"/>
          <w:szCs w:val="44"/>
          <w:u w:val="single"/>
          <w:lang w:val="en-US" w:eastAsia="zh-CN"/>
        </w:rPr>
        <w:t xml:space="preserve">  </w:t>
      </w:r>
      <w:r>
        <w:rPr>
          <w:color w:val="auto"/>
          <w:sz w:val="32"/>
          <w:szCs w:val="44"/>
          <w:u w:val="single"/>
        </w:rPr>
        <w:t xml:space="preserve"> </w:t>
      </w:r>
      <w:r>
        <w:rPr>
          <w:rFonts w:hint="eastAsia"/>
          <w:color w:val="auto"/>
          <w:sz w:val="32"/>
          <w:szCs w:val="44"/>
          <w:u w:val="single"/>
          <w:lang w:val="en-US" w:eastAsia="zh-CN"/>
        </w:rPr>
        <w:t xml:space="preserve">    </w:t>
      </w:r>
      <w:r>
        <w:rPr>
          <w:rFonts w:hint="eastAsia"/>
          <w:color w:val="auto"/>
          <w:sz w:val="32"/>
          <w:szCs w:val="44"/>
          <w:u w:val="single"/>
        </w:rPr>
        <w:t>202</w:t>
      </w:r>
      <w:r>
        <w:rPr>
          <w:rFonts w:hint="eastAsia"/>
          <w:color w:val="auto"/>
          <w:sz w:val="32"/>
          <w:szCs w:val="44"/>
          <w:u w:val="single"/>
          <w:lang w:val="en-US" w:eastAsia="zh-CN"/>
        </w:rPr>
        <w:t>6</w:t>
      </w:r>
      <w:r>
        <w:rPr>
          <w:rFonts w:hint="eastAsia"/>
          <w:color w:val="auto"/>
          <w:sz w:val="32"/>
          <w:szCs w:val="44"/>
          <w:u w:val="single"/>
        </w:rPr>
        <w:t>年</w:t>
      </w:r>
      <w:r>
        <w:rPr>
          <w:rFonts w:hint="eastAsia"/>
          <w:color w:val="auto"/>
          <w:sz w:val="32"/>
          <w:szCs w:val="44"/>
          <w:u w:val="single"/>
          <w:lang w:val="en-US" w:eastAsia="zh-CN"/>
        </w:rPr>
        <w:t>3</w:t>
      </w:r>
      <w:r>
        <w:rPr>
          <w:rFonts w:hint="eastAsia"/>
          <w:color w:val="auto"/>
          <w:sz w:val="32"/>
          <w:szCs w:val="44"/>
          <w:u w:val="single"/>
        </w:rPr>
        <w:t xml:space="preserve">月  </w:t>
      </w:r>
      <w:r>
        <w:rPr>
          <w:rFonts w:hint="eastAsia"/>
          <w:color w:val="auto"/>
          <w:sz w:val="32"/>
          <w:szCs w:val="44"/>
          <w:u w:val="single"/>
          <w:lang w:val="en-US" w:eastAsia="zh-CN"/>
        </w:rPr>
        <w:t xml:space="preserve">   </w:t>
      </w:r>
      <w:r>
        <w:rPr>
          <w:rFonts w:hint="eastAsia"/>
          <w:color w:val="auto"/>
          <w:sz w:val="32"/>
          <w:szCs w:val="44"/>
          <w:u w:val="single"/>
        </w:rPr>
        <w:t xml:space="preserve">    </w:t>
      </w:r>
      <w:r>
        <w:rPr>
          <w:color w:val="auto"/>
          <w:sz w:val="32"/>
          <w:szCs w:val="44"/>
          <w:u w:val="single"/>
        </w:rPr>
        <w:t xml:space="preserve">    </w:t>
      </w:r>
    </w:p>
    <w:p w14:paraId="61007A77">
      <w:pPr>
        <w:ind w:firstLine="1040"/>
        <w:rPr>
          <w:color w:val="auto"/>
          <w:sz w:val="44"/>
          <w:szCs w:val="44"/>
          <w:u w:val="single"/>
        </w:rPr>
      </w:pPr>
    </w:p>
    <w:p w14:paraId="6A671BF7">
      <w:pPr>
        <w:ind w:firstLine="1040"/>
        <w:rPr>
          <w:color w:val="auto"/>
          <w:sz w:val="44"/>
          <w:szCs w:val="44"/>
        </w:rPr>
      </w:pPr>
    </w:p>
    <w:bookmarkEnd w:id="1"/>
    <w:p w14:paraId="5CCFCD2A">
      <w:pPr>
        <w:adjustRightInd w:val="0"/>
        <w:snapToGrid w:val="0"/>
        <w:spacing w:line="288" w:lineRule="auto"/>
        <w:jc w:val="center"/>
        <w:rPr>
          <w:color w:val="auto"/>
          <w:sz w:val="36"/>
          <w:szCs w:val="36"/>
        </w:rPr>
      </w:pPr>
      <w:r>
        <w:rPr>
          <w:color w:val="auto"/>
          <w:sz w:val="36"/>
          <w:szCs w:val="36"/>
        </w:rPr>
        <w:t>中华人民共和国生态环境部制</w:t>
      </w:r>
    </w:p>
    <w:p w14:paraId="10A8D2C9">
      <w:pPr>
        <w:rPr>
          <w:color w:val="auto"/>
          <w:sz w:val="36"/>
          <w:szCs w:val="36"/>
        </w:rPr>
      </w:pPr>
      <w:r>
        <w:rPr>
          <w:color w:val="auto"/>
          <w:sz w:val="36"/>
          <w:szCs w:val="36"/>
        </w:rPr>
        <w:br w:type="page"/>
      </w:r>
    </w:p>
    <w:p w14:paraId="386FFAAD">
      <w:pPr>
        <w:bidi w:val="0"/>
        <w:jc w:val="center"/>
      </w:pPr>
    </w:p>
    <w:p w14:paraId="16A871DE">
      <w:pPr>
        <w:pStyle w:val="19"/>
        <w:rPr>
          <w:rFonts w:ascii="Times New Roman" w:hAnsi="Times New Roman" w:eastAsia="宋体"/>
          <w:b/>
          <w:color w:val="auto"/>
        </w:rPr>
      </w:pPr>
      <w:r>
        <w:rPr>
          <w:rFonts w:ascii="Times New Roman" w:hAnsi="Times New Roman" w:eastAsia="宋体"/>
          <w:b/>
          <w:color w:val="auto"/>
        </w:rPr>
        <w:t>目  录</w:t>
      </w:r>
    </w:p>
    <w:p w14:paraId="5724FE14">
      <w:pPr>
        <w:pStyle w:val="19"/>
        <w:rPr>
          <w:rFonts w:ascii="Times New Roman" w:hAnsi="Times New Roman" w:eastAsia="宋体"/>
          <w:color w:val="auto"/>
          <w:sz w:val="28"/>
          <w:szCs w:val="28"/>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TOC \o "1-1" \h \z \u </w:instrText>
      </w:r>
      <w:r>
        <w:rPr>
          <w:rFonts w:ascii="Times New Roman" w:hAnsi="Times New Roman" w:eastAsia="宋体"/>
          <w:color w:val="auto"/>
          <w:sz w:val="24"/>
          <w:szCs w:val="24"/>
        </w:rPr>
        <w:fldChar w:fldCharType="separate"/>
      </w:r>
      <w:r>
        <w:rPr>
          <w:color w:val="auto"/>
        </w:rPr>
        <w:fldChar w:fldCharType="begin"/>
      </w:r>
      <w:r>
        <w:rPr>
          <w:color w:val="auto"/>
        </w:rPr>
        <w:instrText xml:space="preserve"> HYPERLINK \l "_Toc103157931" </w:instrText>
      </w:r>
      <w:r>
        <w:rPr>
          <w:color w:val="auto"/>
        </w:rPr>
        <w:fldChar w:fldCharType="separate"/>
      </w:r>
      <w:r>
        <w:rPr>
          <w:rStyle w:val="32"/>
          <w:rFonts w:ascii="Times New Roman" w:hAnsi="Times New Roman" w:eastAsia="宋体"/>
          <w:snapToGrid w:val="0"/>
          <w:color w:val="auto"/>
          <w:sz w:val="28"/>
          <w:szCs w:val="28"/>
          <w:u w:val="none"/>
        </w:rPr>
        <w:t>一、建设项目基本情况</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_Toc103157931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1</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41343A74">
      <w:pPr>
        <w:pStyle w:val="19"/>
        <w:rPr>
          <w:rFonts w:ascii="Times New Roman" w:hAnsi="Times New Roman" w:eastAsia="宋体"/>
          <w:color w:val="auto"/>
          <w:sz w:val="28"/>
          <w:szCs w:val="28"/>
        </w:rPr>
      </w:pPr>
      <w:r>
        <w:rPr>
          <w:color w:val="auto"/>
        </w:rPr>
        <w:fldChar w:fldCharType="begin"/>
      </w:r>
      <w:r>
        <w:rPr>
          <w:color w:val="auto"/>
        </w:rPr>
        <w:instrText xml:space="preserve"> HYPERLINK \l "_Toc103157932" </w:instrText>
      </w:r>
      <w:r>
        <w:rPr>
          <w:color w:val="auto"/>
        </w:rPr>
        <w:fldChar w:fldCharType="separate"/>
      </w:r>
      <w:r>
        <w:rPr>
          <w:rStyle w:val="32"/>
          <w:rFonts w:ascii="Times New Roman" w:hAnsi="Times New Roman" w:eastAsia="宋体"/>
          <w:snapToGrid w:val="0"/>
          <w:color w:val="auto"/>
          <w:sz w:val="28"/>
          <w:szCs w:val="28"/>
          <w:u w:val="none"/>
        </w:rPr>
        <w:t>二、建设内容</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_Toc103157932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15</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0BB35148">
      <w:pPr>
        <w:pStyle w:val="19"/>
        <w:rPr>
          <w:rFonts w:ascii="Times New Roman" w:hAnsi="Times New Roman" w:eastAsia="宋体"/>
          <w:color w:val="auto"/>
          <w:sz w:val="28"/>
          <w:szCs w:val="28"/>
        </w:rPr>
      </w:pPr>
      <w:r>
        <w:rPr>
          <w:color w:val="auto"/>
        </w:rPr>
        <w:fldChar w:fldCharType="begin"/>
      </w:r>
      <w:r>
        <w:rPr>
          <w:color w:val="auto"/>
        </w:rPr>
        <w:instrText xml:space="preserve"> HYPERLINK \l "_Toc103157933" </w:instrText>
      </w:r>
      <w:r>
        <w:rPr>
          <w:color w:val="auto"/>
        </w:rPr>
        <w:fldChar w:fldCharType="separate"/>
      </w:r>
      <w:r>
        <w:rPr>
          <w:rStyle w:val="32"/>
          <w:rFonts w:ascii="Times New Roman" w:hAnsi="Times New Roman" w:eastAsia="宋体"/>
          <w:snapToGrid w:val="0"/>
          <w:color w:val="auto"/>
          <w:sz w:val="28"/>
          <w:szCs w:val="28"/>
          <w:u w:val="none"/>
        </w:rPr>
        <w:t>三、生态环境现状、保护目标及评价标准</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_Toc103157933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21</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7941E229">
      <w:pPr>
        <w:pStyle w:val="19"/>
        <w:rPr>
          <w:rFonts w:ascii="Times New Roman" w:hAnsi="Times New Roman" w:eastAsia="宋体"/>
          <w:color w:val="auto"/>
          <w:sz w:val="28"/>
          <w:szCs w:val="28"/>
        </w:rPr>
      </w:pPr>
      <w:r>
        <w:rPr>
          <w:color w:val="auto"/>
        </w:rPr>
        <w:fldChar w:fldCharType="begin"/>
      </w:r>
      <w:r>
        <w:rPr>
          <w:color w:val="auto"/>
        </w:rPr>
        <w:instrText xml:space="preserve"> HYPERLINK \l "_Toc103157934" </w:instrText>
      </w:r>
      <w:r>
        <w:rPr>
          <w:color w:val="auto"/>
        </w:rPr>
        <w:fldChar w:fldCharType="separate"/>
      </w:r>
      <w:r>
        <w:rPr>
          <w:rStyle w:val="32"/>
          <w:rFonts w:ascii="Times New Roman" w:hAnsi="Times New Roman" w:eastAsia="宋体"/>
          <w:snapToGrid w:val="0"/>
          <w:color w:val="auto"/>
          <w:sz w:val="28"/>
          <w:szCs w:val="28"/>
          <w:u w:val="none"/>
        </w:rPr>
        <w:t>四、生态环境影响分析</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_Toc103157934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76</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6F8E4922">
      <w:pPr>
        <w:pStyle w:val="19"/>
        <w:rPr>
          <w:rFonts w:ascii="Times New Roman" w:hAnsi="Times New Roman" w:eastAsia="宋体"/>
          <w:color w:val="auto"/>
          <w:sz w:val="28"/>
          <w:szCs w:val="28"/>
        </w:rPr>
      </w:pPr>
      <w:r>
        <w:rPr>
          <w:color w:val="auto"/>
        </w:rPr>
        <w:fldChar w:fldCharType="begin"/>
      </w:r>
      <w:r>
        <w:rPr>
          <w:color w:val="auto"/>
        </w:rPr>
        <w:instrText xml:space="preserve"> HYPERLINK \l "_Toc103157935" </w:instrText>
      </w:r>
      <w:r>
        <w:rPr>
          <w:color w:val="auto"/>
        </w:rPr>
        <w:fldChar w:fldCharType="separate"/>
      </w:r>
      <w:r>
        <w:rPr>
          <w:rStyle w:val="32"/>
          <w:rFonts w:ascii="Times New Roman" w:hAnsi="Times New Roman" w:eastAsia="宋体"/>
          <w:snapToGrid w:val="0"/>
          <w:color w:val="auto"/>
          <w:sz w:val="28"/>
          <w:szCs w:val="28"/>
          <w:u w:val="none"/>
        </w:rPr>
        <w:t>五、主要生态环境保护措施</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_Toc103157935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107</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4098A280">
      <w:pPr>
        <w:pStyle w:val="19"/>
        <w:rPr>
          <w:rFonts w:ascii="Times New Roman" w:hAnsi="Times New Roman" w:eastAsia="宋体"/>
          <w:color w:val="auto"/>
          <w:sz w:val="28"/>
          <w:szCs w:val="28"/>
        </w:rPr>
      </w:pPr>
      <w:r>
        <w:rPr>
          <w:color w:val="auto"/>
        </w:rPr>
        <w:fldChar w:fldCharType="begin"/>
      </w:r>
      <w:r>
        <w:rPr>
          <w:color w:val="auto"/>
        </w:rPr>
        <w:instrText xml:space="preserve"> HYPERLINK \l "_Toc103157936" </w:instrText>
      </w:r>
      <w:r>
        <w:rPr>
          <w:color w:val="auto"/>
        </w:rPr>
        <w:fldChar w:fldCharType="separate"/>
      </w:r>
      <w:r>
        <w:rPr>
          <w:rStyle w:val="32"/>
          <w:rFonts w:ascii="Times New Roman" w:hAnsi="Times New Roman" w:eastAsia="宋体"/>
          <w:snapToGrid w:val="0"/>
          <w:color w:val="auto"/>
          <w:sz w:val="28"/>
          <w:szCs w:val="28"/>
          <w:u w:val="none"/>
        </w:rPr>
        <w:t>六、生态环境保护措施监督检查清单</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_Toc103157936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111</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3A9ED9CC">
      <w:pPr>
        <w:pStyle w:val="19"/>
        <w:rPr>
          <w:rFonts w:ascii="Times New Roman" w:hAnsi="Times New Roman" w:eastAsia="宋体"/>
          <w:color w:val="auto"/>
          <w:sz w:val="28"/>
          <w:szCs w:val="28"/>
        </w:rPr>
      </w:pPr>
      <w:r>
        <w:rPr>
          <w:color w:val="auto"/>
        </w:rPr>
        <w:fldChar w:fldCharType="begin"/>
      </w:r>
      <w:r>
        <w:rPr>
          <w:color w:val="auto"/>
        </w:rPr>
        <w:instrText xml:space="preserve"> HYPERLINK \l "_Toc103157937" </w:instrText>
      </w:r>
      <w:r>
        <w:rPr>
          <w:color w:val="auto"/>
        </w:rPr>
        <w:fldChar w:fldCharType="separate"/>
      </w:r>
      <w:r>
        <w:rPr>
          <w:rStyle w:val="32"/>
          <w:rFonts w:ascii="Times New Roman" w:hAnsi="Times New Roman" w:eastAsia="宋体"/>
          <w:snapToGrid w:val="0"/>
          <w:color w:val="auto"/>
          <w:sz w:val="28"/>
          <w:szCs w:val="28"/>
          <w:u w:val="none"/>
        </w:rPr>
        <w:t>七、结论</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_Toc103157937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113</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203C56A6">
      <w:pPr>
        <w:adjustRightInd w:val="0"/>
        <w:snapToGrid w:val="0"/>
        <w:spacing w:line="288" w:lineRule="auto"/>
        <w:jc w:val="left"/>
        <w:rPr>
          <w:b/>
          <w:color w:val="C00000"/>
          <w:sz w:val="24"/>
        </w:rPr>
      </w:pPr>
      <w:r>
        <w:rPr>
          <w:color w:val="auto"/>
          <w:sz w:val="24"/>
        </w:rPr>
        <w:fldChar w:fldCharType="end"/>
      </w:r>
    </w:p>
    <w:p w14:paraId="45D4E842">
      <w:pPr>
        <w:adjustRightInd w:val="0"/>
        <w:snapToGrid w:val="0"/>
        <w:spacing w:line="360" w:lineRule="auto"/>
        <w:rPr>
          <w:b/>
          <w:color w:val="auto"/>
          <w:sz w:val="24"/>
        </w:rPr>
      </w:pPr>
      <w:r>
        <w:rPr>
          <w:b/>
          <w:color w:val="auto"/>
          <w:sz w:val="24"/>
        </w:rPr>
        <w:t>附图：</w:t>
      </w:r>
    </w:p>
    <w:p w14:paraId="13DF1089">
      <w:pPr>
        <w:adjustRightInd w:val="0"/>
        <w:snapToGrid w:val="0"/>
        <w:spacing w:line="360" w:lineRule="auto"/>
        <w:rPr>
          <w:color w:val="auto"/>
          <w:sz w:val="24"/>
        </w:rPr>
      </w:pPr>
      <w:r>
        <w:rPr>
          <w:rFonts w:hint="eastAsia"/>
          <w:color w:val="auto"/>
          <w:sz w:val="24"/>
        </w:rPr>
        <w:t>附图1</w:t>
      </w:r>
      <w:r>
        <w:rPr>
          <w:rFonts w:hint="eastAsia"/>
          <w:color w:val="auto"/>
          <w:sz w:val="24"/>
          <w:lang w:val="en-US" w:eastAsia="zh-CN"/>
        </w:rPr>
        <w:t xml:space="preserve"> </w:t>
      </w:r>
      <w:r>
        <w:rPr>
          <w:rFonts w:hint="eastAsia"/>
          <w:color w:val="auto"/>
          <w:sz w:val="24"/>
        </w:rPr>
        <w:t>项目地理位置图</w:t>
      </w:r>
    </w:p>
    <w:p w14:paraId="6F8A021A">
      <w:pPr>
        <w:adjustRightInd w:val="0"/>
        <w:snapToGrid w:val="0"/>
        <w:spacing w:line="360" w:lineRule="auto"/>
        <w:rPr>
          <w:color w:val="auto"/>
          <w:sz w:val="24"/>
        </w:rPr>
      </w:pPr>
      <w:r>
        <w:rPr>
          <w:rFonts w:hint="eastAsia"/>
          <w:color w:val="auto"/>
          <w:sz w:val="24"/>
        </w:rPr>
        <w:t>附图2</w:t>
      </w:r>
      <w:r>
        <w:rPr>
          <w:rFonts w:hint="eastAsia"/>
          <w:color w:val="auto"/>
          <w:sz w:val="24"/>
          <w:lang w:val="en-US" w:eastAsia="zh-CN"/>
        </w:rPr>
        <w:t xml:space="preserve"> </w:t>
      </w:r>
      <w:r>
        <w:rPr>
          <w:rFonts w:hint="eastAsia"/>
          <w:color w:val="auto"/>
          <w:sz w:val="24"/>
        </w:rPr>
        <w:t>与《广西壮族自治区国土空间规划（2021-2035年）》位置关系</w:t>
      </w:r>
    </w:p>
    <w:p w14:paraId="1C7F9157">
      <w:pPr>
        <w:adjustRightInd w:val="0"/>
        <w:snapToGrid w:val="0"/>
        <w:spacing w:line="360" w:lineRule="auto"/>
        <w:rPr>
          <w:color w:val="auto"/>
          <w:sz w:val="24"/>
        </w:rPr>
      </w:pPr>
      <w:r>
        <w:rPr>
          <w:rFonts w:hint="eastAsia"/>
          <w:color w:val="auto"/>
          <w:sz w:val="24"/>
        </w:rPr>
        <w:t>附图</w:t>
      </w:r>
      <w:r>
        <w:rPr>
          <w:rFonts w:hint="eastAsia"/>
          <w:color w:val="auto"/>
          <w:sz w:val="24"/>
          <w:lang w:val="en-US" w:eastAsia="zh-CN"/>
        </w:rPr>
        <w:t>3 与《防城港市国土空间总体规划（2021-2035年）》位置关系</w:t>
      </w:r>
    </w:p>
    <w:p w14:paraId="64F76DAD">
      <w:pPr>
        <w:adjustRightInd w:val="0"/>
        <w:snapToGrid w:val="0"/>
        <w:spacing w:line="360" w:lineRule="auto"/>
        <w:rPr>
          <w:color w:val="auto"/>
          <w:sz w:val="24"/>
        </w:rPr>
      </w:pPr>
      <w:r>
        <w:rPr>
          <w:rFonts w:hint="eastAsia"/>
          <w:color w:val="auto"/>
          <w:sz w:val="24"/>
        </w:rPr>
        <w:t>附图</w:t>
      </w:r>
      <w:r>
        <w:rPr>
          <w:rFonts w:hint="eastAsia"/>
          <w:color w:val="auto"/>
          <w:sz w:val="24"/>
          <w:lang w:val="en-US" w:eastAsia="zh-CN"/>
        </w:rPr>
        <w:t xml:space="preserve">4 </w:t>
      </w:r>
      <w:r>
        <w:rPr>
          <w:rFonts w:hint="eastAsia"/>
          <w:color w:val="auto"/>
          <w:sz w:val="24"/>
        </w:rPr>
        <w:t>项目规划总平面图、施工平面、立面、剖面图</w:t>
      </w:r>
    </w:p>
    <w:p w14:paraId="03377319">
      <w:pPr>
        <w:adjustRightInd w:val="0"/>
        <w:snapToGrid w:val="0"/>
        <w:spacing w:line="360" w:lineRule="auto"/>
        <w:rPr>
          <w:color w:val="auto"/>
          <w:sz w:val="24"/>
        </w:rPr>
      </w:pPr>
      <w:r>
        <w:rPr>
          <w:rFonts w:hint="eastAsia"/>
          <w:color w:val="auto"/>
          <w:sz w:val="24"/>
        </w:rPr>
        <w:t>附图</w:t>
      </w:r>
      <w:r>
        <w:rPr>
          <w:rFonts w:hint="eastAsia"/>
          <w:color w:val="auto"/>
          <w:sz w:val="24"/>
          <w:lang w:val="en-US" w:eastAsia="zh-CN"/>
        </w:rPr>
        <w:t xml:space="preserve">5 </w:t>
      </w:r>
      <w:r>
        <w:rPr>
          <w:rFonts w:hint="eastAsia"/>
          <w:color w:val="auto"/>
          <w:sz w:val="24"/>
        </w:rPr>
        <w:t>项目与广西壮族自治区近岸海域环境功能区划调整方案的位置关系</w:t>
      </w:r>
    </w:p>
    <w:p w14:paraId="0147331E">
      <w:pPr>
        <w:adjustRightInd w:val="0"/>
        <w:snapToGrid w:val="0"/>
        <w:spacing w:line="360" w:lineRule="auto"/>
        <w:rPr>
          <w:color w:val="auto"/>
          <w:sz w:val="24"/>
        </w:rPr>
      </w:pPr>
      <w:r>
        <w:rPr>
          <w:rFonts w:hint="eastAsia"/>
          <w:color w:val="auto"/>
          <w:sz w:val="24"/>
        </w:rPr>
        <w:t>附图</w:t>
      </w:r>
      <w:r>
        <w:rPr>
          <w:rFonts w:hint="eastAsia"/>
          <w:color w:val="auto"/>
          <w:sz w:val="24"/>
          <w:lang w:val="en-US" w:eastAsia="zh-CN"/>
        </w:rPr>
        <w:t>6 生态环境敏感目标分布</w:t>
      </w:r>
    </w:p>
    <w:p w14:paraId="582EA2C3">
      <w:pPr>
        <w:adjustRightInd w:val="0"/>
        <w:snapToGrid w:val="0"/>
        <w:spacing w:line="360" w:lineRule="auto"/>
        <w:rPr>
          <w:b/>
          <w:color w:val="auto"/>
          <w:sz w:val="24"/>
        </w:rPr>
      </w:pPr>
      <w:r>
        <w:rPr>
          <w:b/>
          <w:color w:val="auto"/>
          <w:sz w:val="24"/>
        </w:rPr>
        <w:t>附件：</w:t>
      </w:r>
    </w:p>
    <w:p w14:paraId="1026F872">
      <w:pPr>
        <w:adjustRightInd w:val="0"/>
        <w:snapToGrid w:val="0"/>
        <w:spacing w:line="360" w:lineRule="auto"/>
        <w:rPr>
          <w:color w:val="auto"/>
          <w:sz w:val="24"/>
        </w:rPr>
      </w:pPr>
      <w:r>
        <w:rPr>
          <w:color w:val="auto"/>
          <w:sz w:val="24"/>
        </w:rPr>
        <w:t>附件1</w:t>
      </w:r>
      <w:r>
        <w:rPr>
          <w:rFonts w:hint="eastAsia"/>
          <w:color w:val="auto"/>
          <w:sz w:val="24"/>
        </w:rPr>
        <w:t xml:space="preserve"> 环评</w:t>
      </w:r>
      <w:r>
        <w:rPr>
          <w:color w:val="auto"/>
          <w:sz w:val="24"/>
        </w:rPr>
        <w:t>委托书</w:t>
      </w:r>
    </w:p>
    <w:p w14:paraId="4215EC94">
      <w:pPr>
        <w:adjustRightInd w:val="0"/>
        <w:snapToGrid w:val="0"/>
        <w:spacing w:line="360" w:lineRule="auto"/>
        <w:ind w:left="720" w:hanging="720" w:hangingChars="300"/>
        <w:rPr>
          <w:color w:val="auto"/>
          <w:sz w:val="24"/>
        </w:rPr>
      </w:pPr>
      <w:r>
        <w:rPr>
          <w:color w:val="auto"/>
          <w:sz w:val="24"/>
        </w:rPr>
        <w:t>附件2</w:t>
      </w:r>
      <w:r>
        <w:rPr>
          <w:rFonts w:hint="eastAsia"/>
          <w:color w:val="auto"/>
          <w:sz w:val="24"/>
          <w:lang w:val="en-US" w:eastAsia="zh-CN"/>
        </w:rPr>
        <w:t xml:space="preserve"> </w:t>
      </w:r>
      <w:r>
        <w:rPr>
          <w:rFonts w:hint="eastAsia"/>
          <w:color w:val="auto"/>
          <w:sz w:val="24"/>
        </w:rPr>
        <w:t>备案证明</w:t>
      </w:r>
    </w:p>
    <w:p w14:paraId="5E21C853">
      <w:pPr>
        <w:adjustRightInd w:val="0"/>
        <w:snapToGrid w:val="0"/>
        <w:spacing w:line="360" w:lineRule="auto"/>
        <w:rPr>
          <w:rFonts w:hint="eastAsia"/>
          <w:color w:val="auto"/>
          <w:sz w:val="24"/>
          <w:lang w:val="en-US" w:eastAsia="zh-CN"/>
        </w:rPr>
      </w:pPr>
      <w:r>
        <w:rPr>
          <w:color w:val="auto"/>
          <w:sz w:val="24"/>
        </w:rPr>
        <w:t xml:space="preserve">附件3 </w:t>
      </w:r>
      <w:r>
        <w:rPr>
          <w:rFonts w:hint="eastAsia"/>
          <w:color w:val="auto"/>
          <w:sz w:val="24"/>
          <w:lang w:val="en-US" w:eastAsia="zh-CN"/>
        </w:rPr>
        <w:t>项目研判报告</w:t>
      </w:r>
    </w:p>
    <w:p w14:paraId="2FC0E6A2">
      <w:pPr>
        <w:adjustRightInd w:val="0"/>
        <w:snapToGrid w:val="0"/>
        <w:spacing w:line="360" w:lineRule="auto"/>
        <w:rPr>
          <w:rFonts w:hint="eastAsia"/>
          <w:color w:val="auto"/>
          <w:sz w:val="24"/>
          <w:lang w:val="en-US" w:eastAsia="zh-CN"/>
        </w:rPr>
      </w:pPr>
      <w:r>
        <w:rPr>
          <w:rFonts w:hint="eastAsia"/>
          <w:color w:val="auto"/>
          <w:sz w:val="24"/>
          <w:lang w:val="en-US" w:eastAsia="zh-CN"/>
        </w:rPr>
        <w:t>附件4 项目宗海图</w:t>
      </w:r>
    </w:p>
    <w:p w14:paraId="63808403">
      <w:pPr>
        <w:adjustRightInd w:val="0"/>
        <w:snapToGrid w:val="0"/>
        <w:spacing w:line="360" w:lineRule="auto"/>
        <w:rPr>
          <w:rFonts w:hint="eastAsia"/>
          <w:color w:val="auto"/>
          <w:sz w:val="24"/>
          <w:lang w:val="en-US" w:eastAsia="zh-CN"/>
        </w:rPr>
      </w:pPr>
      <w:r>
        <w:rPr>
          <w:rFonts w:hint="eastAsia"/>
          <w:color w:val="auto"/>
          <w:sz w:val="24"/>
          <w:lang w:val="en-US" w:eastAsia="zh-CN"/>
        </w:rPr>
        <w:t>附件5 防城港市林业局关于反馈盛隆四轧沿边海岸线修复堆坡工程用海选址意见的函</w:t>
      </w:r>
    </w:p>
    <w:p w14:paraId="2FFC613F">
      <w:pPr>
        <w:adjustRightInd w:val="0"/>
        <w:snapToGrid w:val="0"/>
        <w:spacing w:line="360" w:lineRule="auto"/>
        <w:rPr>
          <w:rFonts w:hint="eastAsia"/>
          <w:color w:val="auto"/>
          <w:sz w:val="24"/>
          <w:lang w:val="en-US" w:eastAsia="zh-CN"/>
        </w:rPr>
      </w:pPr>
      <w:r>
        <w:rPr>
          <w:rFonts w:hint="eastAsia"/>
          <w:color w:val="auto"/>
          <w:sz w:val="24"/>
          <w:lang w:val="en-US" w:eastAsia="zh-CN"/>
        </w:rPr>
        <w:t>附件6 关于征求盛隆四轧沿边海岸线修复堆坡工程用海选址意见的复函</w:t>
      </w:r>
    </w:p>
    <w:p w14:paraId="6DFAA919">
      <w:pPr>
        <w:adjustRightInd w:val="0"/>
        <w:snapToGrid w:val="0"/>
        <w:spacing w:line="288" w:lineRule="auto"/>
        <w:rPr>
          <w:b/>
          <w:color w:val="auto"/>
          <w:sz w:val="24"/>
        </w:rPr>
      </w:pPr>
      <w:r>
        <w:rPr>
          <w:rFonts w:hint="eastAsia"/>
          <w:b/>
          <w:color w:val="auto"/>
          <w:sz w:val="24"/>
        </w:rPr>
        <w:t>附表</w:t>
      </w:r>
    </w:p>
    <w:p w14:paraId="375470F6">
      <w:pPr>
        <w:adjustRightInd w:val="0"/>
        <w:snapToGrid w:val="0"/>
        <w:spacing w:line="288" w:lineRule="auto"/>
        <w:rPr>
          <w:rFonts w:hint="eastAsia"/>
          <w:color w:val="auto"/>
          <w:sz w:val="24"/>
        </w:rPr>
      </w:pPr>
      <w:r>
        <w:rPr>
          <w:color w:val="auto"/>
          <w:sz w:val="24"/>
        </w:rPr>
        <w:t>附件1</w:t>
      </w:r>
      <w:r>
        <w:rPr>
          <w:rFonts w:hint="eastAsia"/>
          <w:color w:val="auto"/>
          <w:sz w:val="24"/>
        </w:rPr>
        <w:t xml:space="preserve"> 各站位水质调查要素统计及评价结果</w:t>
      </w:r>
    </w:p>
    <w:p w14:paraId="37EB027B">
      <w:pPr>
        <w:adjustRightInd w:val="0"/>
        <w:snapToGrid w:val="0"/>
        <w:spacing w:line="288" w:lineRule="auto"/>
        <w:rPr>
          <w:color w:val="C00000"/>
          <w:sz w:val="36"/>
          <w:szCs w:val="36"/>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color w:val="auto"/>
          <w:sz w:val="24"/>
          <w:lang w:val="en-US" w:eastAsia="zh-CN"/>
        </w:rPr>
        <w:t>附表2 各站位沉积物调查要素统计及评价</w:t>
      </w:r>
    </w:p>
    <w:p w14:paraId="2CD20A02">
      <w:pPr>
        <w:pStyle w:val="21"/>
        <w:spacing w:before="0" w:beforeAutospacing="0" w:after="120" w:afterLines="50" w:afterAutospacing="0"/>
        <w:jc w:val="center"/>
        <w:outlineLvl w:val="0"/>
        <w:rPr>
          <w:rFonts w:hint="eastAsia" w:ascii="Times New Roman" w:hAnsi="Times New Roman" w:eastAsia="宋体"/>
          <w:b/>
          <w:snapToGrid w:val="0"/>
          <w:color w:val="C00000"/>
          <w:sz w:val="30"/>
          <w:szCs w:val="30"/>
          <w:lang w:eastAsia="zh-CN"/>
        </w:rPr>
      </w:pPr>
      <w:bookmarkStart w:id="2" w:name="_Toc103157931"/>
      <w:r>
        <w:rPr>
          <w:rFonts w:ascii="Times New Roman" w:hAnsi="Times New Roman"/>
          <w:b/>
          <w:snapToGrid w:val="0"/>
          <w:color w:val="auto"/>
          <w:sz w:val="30"/>
          <w:szCs w:val="30"/>
        </w:rPr>
        <w:t>一、建设项目基本情况</w:t>
      </w:r>
      <w:bookmarkEnd w:id="2"/>
    </w:p>
    <w:tbl>
      <w:tblPr>
        <w:tblStyle w:val="28"/>
        <w:tblW w:w="9046"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42"/>
        <w:gridCol w:w="2968"/>
        <w:gridCol w:w="1869"/>
        <w:gridCol w:w="118"/>
        <w:gridCol w:w="2549"/>
      </w:tblGrid>
      <w:tr w14:paraId="1451E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42" w:type="dxa"/>
            <w:tcMar>
              <w:top w:w="16" w:type="dxa"/>
              <w:left w:w="16" w:type="dxa"/>
              <w:right w:w="16" w:type="dxa"/>
            </w:tcMar>
            <w:vAlign w:val="center"/>
          </w:tcPr>
          <w:p w14:paraId="17707C39">
            <w:pPr>
              <w:keepNext w:val="0"/>
              <w:keepLines w:val="0"/>
              <w:suppressLineNumbers w:val="0"/>
              <w:adjustRightInd w:val="0"/>
              <w:snapToGrid w:val="0"/>
              <w:spacing w:before="0" w:beforeAutospacing="0" w:after="0" w:afterAutospacing="0"/>
              <w:ind w:left="0" w:right="0"/>
              <w:jc w:val="center"/>
              <w:rPr>
                <w:rFonts w:hint="eastAsia"/>
                <w:color w:val="C00000"/>
                <w:sz w:val="24"/>
              </w:rPr>
            </w:pPr>
            <w:r>
              <w:rPr>
                <w:rFonts w:hint="eastAsia"/>
                <w:color w:val="auto"/>
                <w:sz w:val="24"/>
              </w:rPr>
              <w:t>建设项目名称</w:t>
            </w:r>
          </w:p>
        </w:tc>
        <w:tc>
          <w:tcPr>
            <w:tcW w:w="7504" w:type="dxa"/>
            <w:gridSpan w:val="4"/>
            <w:vAlign w:val="center"/>
          </w:tcPr>
          <w:p w14:paraId="515A67EE">
            <w:pPr>
              <w:keepNext w:val="0"/>
              <w:keepLines w:val="0"/>
              <w:suppressLineNumbers w:val="0"/>
              <w:adjustRightInd w:val="0"/>
              <w:snapToGrid w:val="0"/>
              <w:spacing w:before="0" w:beforeAutospacing="0" w:after="0" w:afterAutospacing="0"/>
              <w:ind w:left="0" w:right="0"/>
              <w:jc w:val="center"/>
              <w:rPr>
                <w:rFonts w:hint="eastAsia"/>
                <w:color w:val="C00000"/>
                <w:sz w:val="24"/>
              </w:rPr>
            </w:pPr>
            <w:r>
              <w:rPr>
                <w:rFonts w:hint="eastAsia"/>
                <w:color w:val="auto"/>
                <w:sz w:val="24"/>
              </w:rPr>
              <w:t>防城港市东湾榕木江西侧生态护岸工程</w:t>
            </w:r>
          </w:p>
        </w:tc>
      </w:tr>
      <w:tr w14:paraId="6BB1C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42" w:type="dxa"/>
            <w:tcMar>
              <w:top w:w="16" w:type="dxa"/>
              <w:left w:w="16" w:type="dxa"/>
              <w:right w:w="16" w:type="dxa"/>
            </w:tcMar>
            <w:vAlign w:val="center"/>
          </w:tcPr>
          <w:p w14:paraId="25C0B55F">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项目代码</w:t>
            </w:r>
          </w:p>
        </w:tc>
        <w:tc>
          <w:tcPr>
            <w:tcW w:w="7504" w:type="dxa"/>
            <w:gridSpan w:val="4"/>
            <w:vAlign w:val="center"/>
          </w:tcPr>
          <w:p w14:paraId="6CFAC704">
            <w:pPr>
              <w:keepNext w:val="0"/>
              <w:keepLines w:val="0"/>
              <w:suppressLineNumbers w:val="0"/>
              <w:adjustRightInd w:val="0"/>
              <w:snapToGrid w:val="0"/>
              <w:spacing w:before="0" w:beforeAutospacing="0" w:after="0" w:afterAutospacing="0"/>
              <w:ind w:left="0" w:right="0"/>
              <w:jc w:val="center"/>
              <w:rPr>
                <w:rFonts w:hint="eastAsia" w:eastAsia="宋体"/>
                <w:color w:val="auto"/>
                <w:sz w:val="24"/>
                <w:lang w:eastAsia="zh-CN"/>
              </w:rPr>
            </w:pPr>
            <w:r>
              <w:rPr>
                <w:rFonts w:hint="eastAsia"/>
                <w:color w:val="auto"/>
                <w:sz w:val="24"/>
                <w:lang w:val="en-US" w:eastAsia="zh-CN"/>
              </w:rPr>
              <w:t>无</w:t>
            </w:r>
          </w:p>
        </w:tc>
      </w:tr>
      <w:tr w14:paraId="6CADD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42" w:type="dxa"/>
            <w:tcMar>
              <w:top w:w="16" w:type="dxa"/>
              <w:left w:w="16" w:type="dxa"/>
              <w:right w:w="16" w:type="dxa"/>
            </w:tcMar>
            <w:vAlign w:val="center"/>
          </w:tcPr>
          <w:p w14:paraId="1DF4E860">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建设单位联系人</w:t>
            </w:r>
          </w:p>
        </w:tc>
        <w:tc>
          <w:tcPr>
            <w:tcW w:w="2968" w:type="dxa"/>
            <w:vAlign w:val="center"/>
          </w:tcPr>
          <w:p w14:paraId="5783743B">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sz w:val="24"/>
              </w:rPr>
              <w:t>*</w:t>
            </w:r>
            <w:r>
              <w:rPr>
                <w:sz w:val="24"/>
              </w:rPr>
              <w:t>**</w:t>
            </w:r>
          </w:p>
        </w:tc>
        <w:tc>
          <w:tcPr>
            <w:tcW w:w="1987" w:type="dxa"/>
            <w:gridSpan w:val="2"/>
            <w:vAlign w:val="center"/>
          </w:tcPr>
          <w:p w14:paraId="690ECE9A">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联系方式</w:t>
            </w:r>
          </w:p>
        </w:tc>
        <w:tc>
          <w:tcPr>
            <w:tcW w:w="2549" w:type="dxa"/>
            <w:vAlign w:val="center"/>
          </w:tcPr>
          <w:p w14:paraId="7818DB9C">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sz w:val="24"/>
              </w:rPr>
              <w:t>*</w:t>
            </w:r>
            <w:r>
              <w:rPr>
                <w:sz w:val="24"/>
              </w:rPr>
              <w:t>**</w:t>
            </w:r>
          </w:p>
        </w:tc>
      </w:tr>
      <w:tr w14:paraId="14C06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42" w:type="dxa"/>
            <w:tcMar>
              <w:top w:w="16" w:type="dxa"/>
              <w:left w:w="16" w:type="dxa"/>
              <w:right w:w="16" w:type="dxa"/>
            </w:tcMar>
            <w:vAlign w:val="center"/>
          </w:tcPr>
          <w:p w14:paraId="654033EB">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建设地点</w:t>
            </w:r>
          </w:p>
        </w:tc>
        <w:tc>
          <w:tcPr>
            <w:tcW w:w="7504" w:type="dxa"/>
            <w:gridSpan w:val="4"/>
            <w:vAlign w:val="center"/>
          </w:tcPr>
          <w:p w14:paraId="6B14B714">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lang w:val="en-US" w:eastAsia="zh-CN"/>
              </w:rPr>
              <w:t>广西壮族自治区</w:t>
            </w:r>
            <w:r>
              <w:rPr>
                <w:rFonts w:hint="eastAsia"/>
                <w:color w:val="auto"/>
                <w:sz w:val="24"/>
              </w:rPr>
              <w:t>防城港市东湾内，榕木江工业用海、防城港海岸保护和整治工程西侧</w:t>
            </w:r>
          </w:p>
        </w:tc>
      </w:tr>
      <w:tr w14:paraId="0E89B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42" w:type="dxa"/>
            <w:tcMar>
              <w:top w:w="16" w:type="dxa"/>
              <w:left w:w="16" w:type="dxa"/>
              <w:right w:w="16" w:type="dxa"/>
            </w:tcMar>
            <w:vAlign w:val="center"/>
          </w:tcPr>
          <w:p w14:paraId="34FC5860">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地理坐标</w:t>
            </w:r>
          </w:p>
        </w:tc>
        <w:tc>
          <w:tcPr>
            <w:tcW w:w="7504" w:type="dxa"/>
            <w:gridSpan w:val="4"/>
            <w:vAlign w:val="center"/>
          </w:tcPr>
          <w:p w14:paraId="4FD737EF">
            <w:pPr>
              <w:keepNext w:val="0"/>
              <w:keepLines w:val="0"/>
              <w:widowControl/>
              <w:suppressLineNumbers w:val="0"/>
              <w:spacing w:before="0" w:beforeAutospacing="0" w:after="0" w:afterAutospacing="0"/>
              <w:ind w:left="0" w:right="0"/>
              <w:jc w:val="center"/>
              <w:rPr>
                <w:rFonts w:hint="eastAsia" w:eastAsia="宋体"/>
                <w:color w:val="auto"/>
                <w:sz w:val="24"/>
                <w:lang w:val="en-US" w:eastAsia="zh-CN"/>
              </w:rPr>
            </w:pPr>
            <w:r>
              <w:rPr>
                <w:rFonts w:hint="eastAsia"/>
                <w:color w:val="auto"/>
                <w:sz w:val="24"/>
                <w:lang w:val="en-US" w:eastAsia="zh-CN"/>
              </w:rPr>
              <w:t>东经108°25′06.674″，北纬21°40′23.744″</w:t>
            </w:r>
          </w:p>
        </w:tc>
      </w:tr>
      <w:tr w14:paraId="4D16E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542" w:type="dxa"/>
            <w:tcMar>
              <w:top w:w="16" w:type="dxa"/>
              <w:left w:w="16" w:type="dxa"/>
              <w:right w:w="16" w:type="dxa"/>
            </w:tcMar>
            <w:vAlign w:val="center"/>
          </w:tcPr>
          <w:p w14:paraId="5514D4DB">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建设项目</w:t>
            </w:r>
          </w:p>
          <w:p w14:paraId="1B36B3E5">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行业类别</w:t>
            </w:r>
          </w:p>
        </w:tc>
        <w:tc>
          <w:tcPr>
            <w:tcW w:w="2968" w:type="dxa"/>
            <w:vAlign w:val="center"/>
          </w:tcPr>
          <w:p w14:paraId="1CA025F8">
            <w:pPr>
              <w:keepNext w:val="0"/>
              <w:keepLines w:val="0"/>
              <w:suppressLineNumbers w:val="0"/>
              <w:adjustRightInd w:val="0"/>
              <w:snapToGrid w:val="0"/>
              <w:spacing w:before="0" w:beforeAutospacing="0" w:after="0" w:afterAutospacing="0"/>
              <w:ind w:left="0" w:right="0"/>
              <w:rPr>
                <w:rFonts w:hint="eastAsia"/>
                <w:color w:val="auto"/>
                <w:sz w:val="24"/>
              </w:rPr>
            </w:pPr>
            <w:r>
              <w:rPr>
                <w:rFonts w:hint="eastAsia"/>
                <w:color w:val="auto"/>
                <w:sz w:val="24"/>
              </w:rPr>
              <w:t>“五十四、海洋工程”中“158、海洋生态修复工程”</w:t>
            </w:r>
          </w:p>
        </w:tc>
        <w:tc>
          <w:tcPr>
            <w:tcW w:w="1869" w:type="dxa"/>
            <w:vAlign w:val="center"/>
          </w:tcPr>
          <w:p w14:paraId="46DD6366">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用地（用海）面积（m</w:t>
            </w:r>
            <w:r>
              <w:rPr>
                <w:rFonts w:hint="eastAsia"/>
                <w:color w:val="auto"/>
                <w:sz w:val="24"/>
                <w:vertAlign w:val="superscript"/>
              </w:rPr>
              <w:t>2</w:t>
            </w:r>
            <w:r>
              <w:rPr>
                <w:rFonts w:hint="eastAsia"/>
                <w:color w:val="auto"/>
                <w:sz w:val="24"/>
              </w:rPr>
              <w:t>）/长度（km）</w:t>
            </w:r>
          </w:p>
        </w:tc>
        <w:tc>
          <w:tcPr>
            <w:tcW w:w="2667" w:type="dxa"/>
            <w:gridSpan w:val="2"/>
            <w:vAlign w:val="center"/>
          </w:tcPr>
          <w:p w14:paraId="15FE051D">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rPr>
              <w:t>用</w:t>
            </w:r>
            <w:r>
              <w:rPr>
                <w:rFonts w:hint="eastAsia"/>
                <w:color w:val="auto"/>
                <w:sz w:val="24"/>
                <w:lang w:val="en-US" w:eastAsia="zh-CN"/>
              </w:rPr>
              <w:t>海</w:t>
            </w:r>
            <w:r>
              <w:rPr>
                <w:rFonts w:hint="eastAsia"/>
                <w:color w:val="auto"/>
                <w:sz w:val="24"/>
              </w:rPr>
              <w:t>面积</w:t>
            </w:r>
            <w:r>
              <w:rPr>
                <w:rFonts w:hint="eastAsia"/>
                <w:color w:val="auto"/>
                <w:sz w:val="24"/>
                <w:lang w:val="en-US" w:eastAsia="zh-CN"/>
              </w:rPr>
              <w:t>2308</w:t>
            </w:r>
            <w:r>
              <w:rPr>
                <w:rFonts w:hint="eastAsia"/>
                <w:color w:val="auto"/>
                <w:sz w:val="24"/>
              </w:rPr>
              <w:t>m</w:t>
            </w:r>
            <w:r>
              <w:rPr>
                <w:rFonts w:hint="eastAsia"/>
                <w:color w:val="auto"/>
                <w:sz w:val="24"/>
                <w:vertAlign w:val="superscript"/>
              </w:rPr>
              <w:t>2</w:t>
            </w:r>
            <w:r>
              <w:rPr>
                <w:rFonts w:hint="eastAsia"/>
                <w:color w:val="auto"/>
                <w:sz w:val="24"/>
                <w:vertAlign w:val="baseline"/>
                <w:lang w:val="en-US" w:eastAsia="zh-CN"/>
              </w:rPr>
              <w:t>/长度300m</w:t>
            </w:r>
          </w:p>
        </w:tc>
      </w:tr>
      <w:tr w14:paraId="00A1D8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42" w:type="dxa"/>
            <w:tcMar>
              <w:top w:w="16" w:type="dxa"/>
              <w:left w:w="16" w:type="dxa"/>
              <w:right w:w="16" w:type="dxa"/>
            </w:tcMar>
            <w:vAlign w:val="center"/>
          </w:tcPr>
          <w:p w14:paraId="0388127A">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建设性质</w:t>
            </w:r>
          </w:p>
        </w:tc>
        <w:tc>
          <w:tcPr>
            <w:tcW w:w="2968" w:type="dxa"/>
            <w:vAlign w:val="center"/>
          </w:tcPr>
          <w:p w14:paraId="16399229">
            <w:pPr>
              <w:keepNext w:val="0"/>
              <w:keepLines w:val="0"/>
              <w:suppressLineNumbers w:val="0"/>
              <w:adjustRightInd w:val="0"/>
              <w:snapToGrid w:val="0"/>
              <w:spacing w:before="0" w:beforeAutospacing="0" w:after="0" w:afterAutospacing="0"/>
              <w:ind w:left="0" w:right="0"/>
              <w:jc w:val="left"/>
              <w:rPr>
                <w:rFonts w:hint="eastAsia"/>
                <w:color w:val="auto"/>
                <w:sz w:val="24"/>
              </w:rPr>
            </w:pPr>
            <w:r>
              <w:rPr>
                <w:rFonts w:hint="eastAsia" w:ascii="宋体" w:hAnsi="宋体"/>
                <w:color w:val="auto"/>
                <w:sz w:val="24"/>
                <w:lang w:eastAsia="zh-CN"/>
              </w:rPr>
              <w:t>☑</w:t>
            </w:r>
            <w:r>
              <w:rPr>
                <w:rFonts w:hint="eastAsia"/>
                <w:color w:val="auto"/>
                <w:sz w:val="24"/>
              </w:rPr>
              <w:t>新建（迁建）</w:t>
            </w:r>
          </w:p>
          <w:p w14:paraId="39A8FF71">
            <w:pPr>
              <w:keepNext w:val="0"/>
              <w:keepLines w:val="0"/>
              <w:suppressLineNumbers w:val="0"/>
              <w:adjustRightInd w:val="0"/>
              <w:snapToGrid w:val="0"/>
              <w:spacing w:before="0" w:beforeAutospacing="0" w:after="0" w:afterAutospacing="0"/>
              <w:ind w:left="0" w:right="0"/>
              <w:jc w:val="left"/>
              <w:rPr>
                <w:rFonts w:hint="eastAsia"/>
                <w:color w:val="auto"/>
                <w:sz w:val="24"/>
              </w:rPr>
            </w:pPr>
            <w:r>
              <w:rPr>
                <w:rFonts w:hint="eastAsia" w:ascii="MS Mincho" w:hAnsi="MS Mincho" w:cs="MS Mincho"/>
                <w:color w:val="auto"/>
                <w:sz w:val="24"/>
                <w:lang w:eastAsia="zh-CN"/>
              </w:rPr>
              <w:t>□</w:t>
            </w:r>
            <w:r>
              <w:rPr>
                <w:rFonts w:hint="eastAsia"/>
                <w:color w:val="auto"/>
                <w:sz w:val="24"/>
              </w:rPr>
              <w:t>改建</w:t>
            </w:r>
          </w:p>
          <w:p w14:paraId="235C7602">
            <w:pPr>
              <w:keepNext w:val="0"/>
              <w:keepLines w:val="0"/>
              <w:suppressLineNumbers w:val="0"/>
              <w:adjustRightInd w:val="0"/>
              <w:snapToGrid w:val="0"/>
              <w:spacing w:before="0" w:beforeAutospacing="0" w:after="0" w:afterAutospacing="0"/>
              <w:ind w:left="0" w:right="0"/>
              <w:jc w:val="left"/>
              <w:rPr>
                <w:rFonts w:hint="eastAsia"/>
                <w:color w:val="auto"/>
                <w:sz w:val="24"/>
              </w:rPr>
            </w:pPr>
            <w:r>
              <w:rPr>
                <w:rFonts w:hint="eastAsia" w:ascii="宋体" w:hAnsi="宋体"/>
                <w:color w:val="auto"/>
                <w:sz w:val="24"/>
                <w:lang w:eastAsia="zh-CN"/>
              </w:rPr>
              <w:t>□</w:t>
            </w:r>
            <w:r>
              <w:rPr>
                <w:rFonts w:hint="eastAsia"/>
                <w:color w:val="auto"/>
                <w:sz w:val="24"/>
              </w:rPr>
              <w:t>扩建</w:t>
            </w:r>
          </w:p>
          <w:p w14:paraId="2D27EA0B">
            <w:pPr>
              <w:keepNext w:val="0"/>
              <w:keepLines w:val="0"/>
              <w:suppressLineNumbers w:val="0"/>
              <w:adjustRightInd w:val="0"/>
              <w:snapToGrid w:val="0"/>
              <w:spacing w:before="0" w:beforeAutospacing="0" w:after="0" w:afterAutospacing="0"/>
              <w:ind w:left="0" w:right="0"/>
              <w:jc w:val="left"/>
              <w:rPr>
                <w:rFonts w:hint="eastAsia"/>
                <w:color w:val="auto"/>
                <w:sz w:val="24"/>
              </w:rPr>
            </w:pPr>
            <w:r>
              <w:rPr>
                <w:rFonts w:hint="eastAsia" w:ascii="宋体" w:hAnsi="宋体"/>
                <w:color w:val="auto"/>
                <w:sz w:val="24"/>
              </w:rPr>
              <w:t>□</w:t>
            </w:r>
            <w:r>
              <w:rPr>
                <w:rFonts w:hint="eastAsia"/>
                <w:color w:val="auto"/>
                <w:sz w:val="24"/>
              </w:rPr>
              <w:t>技术改造</w:t>
            </w:r>
          </w:p>
        </w:tc>
        <w:tc>
          <w:tcPr>
            <w:tcW w:w="1869" w:type="dxa"/>
            <w:vAlign w:val="center"/>
          </w:tcPr>
          <w:p w14:paraId="6F4A6E20">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建设项目</w:t>
            </w:r>
          </w:p>
          <w:p w14:paraId="156FC26E">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申报情形</w:t>
            </w:r>
          </w:p>
        </w:tc>
        <w:tc>
          <w:tcPr>
            <w:tcW w:w="2667" w:type="dxa"/>
            <w:gridSpan w:val="2"/>
            <w:vAlign w:val="center"/>
          </w:tcPr>
          <w:p w14:paraId="7B82B2B9">
            <w:pPr>
              <w:keepNext w:val="0"/>
              <w:keepLines w:val="0"/>
              <w:suppressLineNumbers w:val="0"/>
              <w:adjustRightInd w:val="0"/>
              <w:snapToGrid w:val="0"/>
              <w:spacing w:before="0" w:beforeAutospacing="0" w:after="0" w:afterAutospacing="0"/>
              <w:ind w:left="0" w:right="0"/>
              <w:jc w:val="left"/>
              <w:rPr>
                <w:rFonts w:hint="eastAsia"/>
                <w:color w:val="auto"/>
                <w:sz w:val="24"/>
              </w:rPr>
            </w:pPr>
            <w:r>
              <w:rPr>
                <w:rFonts w:hint="eastAsia" w:ascii="MS Mincho" w:hAnsi="MS Mincho" w:eastAsia="MS Mincho" w:cs="MS Mincho"/>
                <w:color w:val="auto"/>
                <w:sz w:val="24"/>
              </w:rPr>
              <w:t>☑</w:t>
            </w:r>
            <w:r>
              <w:rPr>
                <w:rFonts w:hint="eastAsia"/>
                <w:color w:val="auto"/>
                <w:sz w:val="24"/>
              </w:rPr>
              <w:t>首次申报项目</w:t>
            </w:r>
          </w:p>
          <w:p w14:paraId="600F6F52">
            <w:pPr>
              <w:keepNext w:val="0"/>
              <w:keepLines w:val="0"/>
              <w:suppressLineNumbers w:val="0"/>
              <w:adjustRightInd w:val="0"/>
              <w:snapToGrid w:val="0"/>
              <w:spacing w:before="0" w:beforeAutospacing="0" w:after="0" w:afterAutospacing="0"/>
              <w:ind w:left="0" w:right="0"/>
              <w:jc w:val="left"/>
              <w:rPr>
                <w:rFonts w:hint="eastAsia"/>
                <w:color w:val="auto"/>
                <w:sz w:val="24"/>
              </w:rPr>
            </w:pPr>
            <w:r>
              <w:rPr>
                <w:rFonts w:hint="eastAsia" w:ascii="宋体" w:hAnsi="宋体"/>
                <w:color w:val="auto"/>
                <w:sz w:val="24"/>
              </w:rPr>
              <w:t>□</w:t>
            </w:r>
            <w:r>
              <w:rPr>
                <w:rFonts w:hint="eastAsia"/>
                <w:color w:val="auto"/>
                <w:sz w:val="24"/>
              </w:rPr>
              <w:t>不予批准后再次申报项目</w:t>
            </w:r>
          </w:p>
          <w:p w14:paraId="4B2E9067">
            <w:pPr>
              <w:keepNext w:val="0"/>
              <w:keepLines w:val="0"/>
              <w:suppressLineNumbers w:val="0"/>
              <w:adjustRightInd w:val="0"/>
              <w:snapToGrid w:val="0"/>
              <w:spacing w:before="0" w:beforeAutospacing="0" w:after="0" w:afterAutospacing="0"/>
              <w:ind w:left="0" w:right="0"/>
              <w:jc w:val="left"/>
              <w:rPr>
                <w:rFonts w:hint="eastAsia"/>
                <w:color w:val="auto"/>
                <w:sz w:val="24"/>
              </w:rPr>
            </w:pPr>
            <w:r>
              <w:rPr>
                <w:rFonts w:hint="eastAsia" w:ascii="宋体" w:hAnsi="宋体"/>
                <w:color w:val="auto"/>
                <w:sz w:val="24"/>
              </w:rPr>
              <w:t>□</w:t>
            </w:r>
            <w:r>
              <w:rPr>
                <w:rFonts w:hint="eastAsia"/>
                <w:color w:val="auto"/>
                <w:sz w:val="24"/>
              </w:rPr>
              <w:t>超五年重新审核项目</w:t>
            </w:r>
          </w:p>
          <w:p w14:paraId="5466A3AC">
            <w:pPr>
              <w:keepNext w:val="0"/>
              <w:keepLines w:val="0"/>
              <w:suppressLineNumbers w:val="0"/>
              <w:adjustRightInd w:val="0"/>
              <w:snapToGrid w:val="0"/>
              <w:spacing w:before="0" w:beforeAutospacing="0" w:after="0" w:afterAutospacing="0"/>
              <w:ind w:left="0" w:right="0"/>
              <w:rPr>
                <w:rFonts w:hint="eastAsia"/>
                <w:color w:val="auto"/>
                <w:sz w:val="24"/>
              </w:rPr>
            </w:pPr>
            <w:r>
              <w:rPr>
                <w:rFonts w:hint="eastAsia" w:ascii="宋体" w:hAnsi="宋体"/>
                <w:color w:val="auto"/>
                <w:sz w:val="24"/>
              </w:rPr>
              <w:t>□</w:t>
            </w:r>
            <w:r>
              <w:rPr>
                <w:rFonts w:hint="eastAsia"/>
                <w:color w:val="auto"/>
                <w:sz w:val="24"/>
              </w:rPr>
              <w:t>重大变动重新报批项目</w:t>
            </w:r>
          </w:p>
        </w:tc>
      </w:tr>
      <w:tr w14:paraId="0A645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42" w:type="dxa"/>
            <w:tcMar>
              <w:top w:w="16" w:type="dxa"/>
              <w:left w:w="16" w:type="dxa"/>
              <w:right w:w="16" w:type="dxa"/>
            </w:tcMar>
            <w:vAlign w:val="center"/>
          </w:tcPr>
          <w:p w14:paraId="1890DC9E">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项目审批</w:t>
            </w:r>
          </w:p>
          <w:p w14:paraId="5C021A7F">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（核准/</w:t>
            </w:r>
          </w:p>
          <w:p w14:paraId="01CE28BA">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备案）部门</w:t>
            </w:r>
          </w:p>
          <w:p w14:paraId="57BF5613">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（选填）</w:t>
            </w:r>
          </w:p>
        </w:tc>
        <w:tc>
          <w:tcPr>
            <w:tcW w:w="2968" w:type="dxa"/>
            <w:vAlign w:val="center"/>
          </w:tcPr>
          <w:p w14:paraId="6255F755">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防城港市发展和改革委员会</w:t>
            </w:r>
          </w:p>
        </w:tc>
        <w:tc>
          <w:tcPr>
            <w:tcW w:w="1869" w:type="dxa"/>
            <w:vAlign w:val="center"/>
          </w:tcPr>
          <w:p w14:paraId="16FE6F51">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项目审批（核准/</w:t>
            </w:r>
          </w:p>
          <w:p w14:paraId="3A013E6F">
            <w:pPr>
              <w:keepNext w:val="0"/>
              <w:keepLines w:val="0"/>
              <w:suppressLineNumbers w:val="0"/>
              <w:adjustRightInd w:val="0"/>
              <w:snapToGrid w:val="0"/>
              <w:spacing w:before="0" w:beforeAutospacing="0" w:after="0" w:afterAutospacing="0"/>
              <w:ind w:left="0" w:right="0"/>
              <w:rPr>
                <w:rFonts w:hint="eastAsia"/>
                <w:color w:val="auto"/>
                <w:sz w:val="24"/>
              </w:rPr>
            </w:pPr>
            <w:r>
              <w:rPr>
                <w:rFonts w:hint="eastAsia"/>
                <w:color w:val="auto"/>
                <w:sz w:val="24"/>
              </w:rPr>
              <w:t>备案）文号（选填）</w:t>
            </w:r>
          </w:p>
        </w:tc>
        <w:tc>
          <w:tcPr>
            <w:tcW w:w="2667" w:type="dxa"/>
            <w:gridSpan w:val="2"/>
            <w:vAlign w:val="center"/>
          </w:tcPr>
          <w:p w14:paraId="5CC4F127">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sz w:val="24"/>
              </w:rPr>
              <w:t>*</w:t>
            </w:r>
            <w:r>
              <w:rPr>
                <w:sz w:val="24"/>
              </w:rPr>
              <w:t>**</w:t>
            </w:r>
          </w:p>
        </w:tc>
      </w:tr>
      <w:tr w14:paraId="413DF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42" w:type="dxa"/>
            <w:tcMar>
              <w:top w:w="16" w:type="dxa"/>
              <w:left w:w="16" w:type="dxa"/>
              <w:right w:w="16" w:type="dxa"/>
            </w:tcMar>
            <w:vAlign w:val="center"/>
          </w:tcPr>
          <w:p w14:paraId="46025CAB">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总投资（万元）</w:t>
            </w:r>
          </w:p>
        </w:tc>
        <w:tc>
          <w:tcPr>
            <w:tcW w:w="2968" w:type="dxa"/>
            <w:vAlign w:val="center"/>
          </w:tcPr>
          <w:p w14:paraId="63A9F864">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sz w:val="24"/>
              </w:rPr>
              <w:t>*</w:t>
            </w:r>
            <w:r>
              <w:rPr>
                <w:sz w:val="24"/>
              </w:rPr>
              <w:t>**</w:t>
            </w:r>
          </w:p>
        </w:tc>
        <w:tc>
          <w:tcPr>
            <w:tcW w:w="1869" w:type="dxa"/>
            <w:tcMar>
              <w:top w:w="16" w:type="dxa"/>
              <w:left w:w="16" w:type="dxa"/>
              <w:right w:w="16" w:type="dxa"/>
            </w:tcMar>
            <w:vAlign w:val="center"/>
          </w:tcPr>
          <w:p w14:paraId="0AAB003A">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环保投资（万元）</w:t>
            </w:r>
          </w:p>
        </w:tc>
        <w:tc>
          <w:tcPr>
            <w:tcW w:w="2667" w:type="dxa"/>
            <w:gridSpan w:val="2"/>
            <w:vAlign w:val="center"/>
          </w:tcPr>
          <w:p w14:paraId="5D347A20">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20.89</w:t>
            </w:r>
          </w:p>
        </w:tc>
      </w:tr>
      <w:tr w14:paraId="1F293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42" w:type="dxa"/>
            <w:tcMar>
              <w:top w:w="16" w:type="dxa"/>
              <w:left w:w="16" w:type="dxa"/>
              <w:right w:w="16" w:type="dxa"/>
            </w:tcMar>
            <w:vAlign w:val="center"/>
          </w:tcPr>
          <w:p w14:paraId="01DDFB50">
            <w:pPr>
              <w:keepNext w:val="0"/>
              <w:keepLines w:val="0"/>
              <w:suppressLineNumbers w:val="0"/>
              <w:adjustRightInd w:val="0"/>
              <w:snapToGrid w:val="0"/>
              <w:spacing w:before="0" w:beforeAutospacing="0" w:after="0" w:afterAutospacing="0"/>
              <w:ind w:left="0" w:right="0"/>
              <w:jc w:val="center"/>
              <w:rPr>
                <w:rFonts w:hint="eastAsia"/>
                <w:color w:val="C00000"/>
                <w:sz w:val="24"/>
              </w:rPr>
            </w:pPr>
            <w:r>
              <w:rPr>
                <w:rFonts w:hint="eastAsia"/>
                <w:color w:val="auto"/>
                <w:sz w:val="24"/>
              </w:rPr>
              <w:t>环保投资占比（%）</w:t>
            </w:r>
          </w:p>
        </w:tc>
        <w:tc>
          <w:tcPr>
            <w:tcW w:w="2968" w:type="dxa"/>
            <w:vAlign w:val="center"/>
          </w:tcPr>
          <w:p w14:paraId="3BFECCBB">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10.4</w:t>
            </w:r>
          </w:p>
        </w:tc>
        <w:tc>
          <w:tcPr>
            <w:tcW w:w="1869" w:type="dxa"/>
            <w:tcMar>
              <w:top w:w="16" w:type="dxa"/>
              <w:left w:w="16" w:type="dxa"/>
              <w:right w:w="16" w:type="dxa"/>
            </w:tcMar>
            <w:vAlign w:val="center"/>
          </w:tcPr>
          <w:p w14:paraId="39010345">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施工工期</w:t>
            </w:r>
          </w:p>
        </w:tc>
        <w:tc>
          <w:tcPr>
            <w:tcW w:w="2667" w:type="dxa"/>
            <w:gridSpan w:val="2"/>
            <w:vAlign w:val="center"/>
          </w:tcPr>
          <w:p w14:paraId="76E736AB">
            <w:pPr>
              <w:keepNext w:val="0"/>
              <w:keepLines w:val="0"/>
              <w:suppressLineNumbers w:val="0"/>
              <w:adjustRightInd w:val="0"/>
              <w:snapToGrid w:val="0"/>
              <w:spacing w:before="0" w:beforeAutospacing="0" w:after="0" w:afterAutospacing="0"/>
              <w:ind w:left="0" w:right="0"/>
              <w:jc w:val="center"/>
              <w:rPr>
                <w:rFonts w:hint="eastAsia" w:eastAsia="宋体"/>
                <w:color w:val="auto"/>
                <w:sz w:val="24"/>
                <w:lang w:eastAsia="zh-CN"/>
              </w:rPr>
            </w:pPr>
            <w:r>
              <w:rPr>
                <w:rFonts w:hint="eastAsia"/>
                <w:color w:val="auto"/>
                <w:sz w:val="24"/>
                <w:lang w:val="en-US" w:eastAsia="zh-CN"/>
              </w:rPr>
              <w:t>1.3</w:t>
            </w:r>
            <w:r>
              <w:rPr>
                <w:rFonts w:hint="eastAsia"/>
                <w:color w:val="auto"/>
                <w:sz w:val="24"/>
              </w:rPr>
              <w:t>个月</w:t>
            </w:r>
            <w:r>
              <w:rPr>
                <w:rFonts w:hint="eastAsia"/>
                <w:color w:val="auto"/>
                <w:sz w:val="24"/>
                <w:lang w:eastAsia="zh-CN"/>
              </w:rPr>
              <w:t>（</w:t>
            </w:r>
            <w:r>
              <w:rPr>
                <w:rFonts w:hint="eastAsia"/>
                <w:color w:val="auto"/>
                <w:sz w:val="24"/>
                <w:lang w:val="en-US" w:eastAsia="zh-CN"/>
              </w:rPr>
              <w:t>40天</w:t>
            </w:r>
            <w:r>
              <w:rPr>
                <w:rFonts w:hint="eastAsia"/>
                <w:color w:val="auto"/>
                <w:sz w:val="24"/>
                <w:lang w:eastAsia="zh-CN"/>
              </w:rPr>
              <w:t>）</w:t>
            </w:r>
          </w:p>
        </w:tc>
      </w:tr>
      <w:tr w14:paraId="0617C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42" w:type="dxa"/>
            <w:tcMar>
              <w:top w:w="16" w:type="dxa"/>
              <w:left w:w="16" w:type="dxa"/>
              <w:right w:w="16" w:type="dxa"/>
            </w:tcMar>
            <w:vAlign w:val="center"/>
          </w:tcPr>
          <w:p w14:paraId="0C57272E">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是否开工建设</w:t>
            </w:r>
          </w:p>
        </w:tc>
        <w:tc>
          <w:tcPr>
            <w:tcW w:w="7504" w:type="dxa"/>
            <w:gridSpan w:val="4"/>
            <w:vAlign w:val="center"/>
          </w:tcPr>
          <w:p w14:paraId="0686D480">
            <w:pPr>
              <w:keepNext w:val="0"/>
              <w:keepLines w:val="0"/>
              <w:suppressLineNumbers w:val="0"/>
              <w:adjustRightInd w:val="0"/>
              <w:snapToGrid w:val="0"/>
              <w:spacing w:before="0" w:beforeAutospacing="0" w:after="0" w:afterAutospacing="0"/>
              <w:ind w:left="0" w:right="0" w:firstLine="105"/>
              <w:jc w:val="left"/>
              <w:rPr>
                <w:rFonts w:hint="eastAsia"/>
                <w:color w:val="auto"/>
                <w:sz w:val="24"/>
              </w:rPr>
            </w:pPr>
            <w:r>
              <w:rPr>
                <w:rFonts w:hint="eastAsia" w:ascii="MS Mincho" w:hAnsi="MS Mincho" w:eastAsia="MS Mincho" w:cs="MS Mincho"/>
                <w:color w:val="auto"/>
                <w:sz w:val="24"/>
              </w:rPr>
              <w:t>☑</w:t>
            </w:r>
            <w:r>
              <w:rPr>
                <w:rFonts w:hint="eastAsia"/>
                <w:color w:val="auto"/>
                <w:sz w:val="24"/>
              </w:rPr>
              <w:t>否</w:t>
            </w:r>
          </w:p>
          <w:p w14:paraId="7D92DC3B">
            <w:pPr>
              <w:keepNext w:val="0"/>
              <w:keepLines w:val="0"/>
              <w:suppressLineNumbers w:val="0"/>
              <w:adjustRightInd w:val="0"/>
              <w:snapToGrid w:val="0"/>
              <w:spacing w:before="0" w:beforeAutospacing="0" w:after="0" w:afterAutospacing="0"/>
              <w:ind w:left="0" w:right="0" w:firstLine="92"/>
              <w:jc w:val="left"/>
              <w:rPr>
                <w:rFonts w:hint="eastAsia"/>
                <w:color w:val="auto"/>
                <w:sz w:val="24"/>
              </w:rPr>
            </w:pPr>
            <w:r>
              <w:rPr>
                <w:rFonts w:hint="eastAsia" w:ascii="宋体" w:hAnsi="宋体"/>
                <w:color w:val="auto"/>
                <w:sz w:val="24"/>
              </w:rPr>
              <w:t>□</w:t>
            </w:r>
            <w:r>
              <w:rPr>
                <w:rFonts w:hint="eastAsia"/>
                <w:color w:val="auto"/>
                <w:sz w:val="24"/>
              </w:rPr>
              <w:t xml:space="preserve">是：             </w:t>
            </w:r>
          </w:p>
        </w:tc>
      </w:tr>
      <w:tr w14:paraId="0E5C4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42" w:type="dxa"/>
            <w:tcMar>
              <w:top w:w="16" w:type="dxa"/>
              <w:left w:w="16" w:type="dxa"/>
              <w:right w:w="16" w:type="dxa"/>
            </w:tcMar>
            <w:vAlign w:val="center"/>
          </w:tcPr>
          <w:p w14:paraId="59B8EA60">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 w:val="24"/>
              </w:rPr>
            </w:pPr>
            <w:r>
              <w:rPr>
                <w:rFonts w:hint="eastAsia"/>
                <w:color w:val="auto"/>
                <w:kern w:val="0"/>
                <w:sz w:val="24"/>
              </w:rPr>
              <w:t>专项评价设置情况</w:t>
            </w:r>
          </w:p>
        </w:tc>
        <w:tc>
          <w:tcPr>
            <w:tcW w:w="7504" w:type="dxa"/>
            <w:gridSpan w:val="4"/>
            <w:tcMar>
              <w:top w:w="16" w:type="dxa"/>
              <w:left w:w="16" w:type="dxa"/>
              <w:right w:w="16" w:type="dxa"/>
            </w:tcMar>
            <w:vAlign w:val="center"/>
          </w:tcPr>
          <w:p w14:paraId="26044F20">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color w:val="auto"/>
                <w:kern w:val="0"/>
                <w:sz w:val="24"/>
              </w:rPr>
            </w:pPr>
            <w:r>
              <w:rPr>
                <w:rFonts w:hint="eastAsia"/>
                <w:color w:val="auto"/>
                <w:kern w:val="0"/>
                <w:sz w:val="24"/>
              </w:rPr>
              <w:t>根据《建设项目环境影响报告表编制技术指南（生态影响类）》（试行）表1专项评价设置原则表，本项目无需设置专项评价</w:t>
            </w:r>
          </w:p>
        </w:tc>
      </w:tr>
      <w:tr w14:paraId="64FF6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22" w:hRule="atLeast"/>
        </w:trPr>
        <w:tc>
          <w:tcPr>
            <w:tcW w:w="1542" w:type="dxa"/>
            <w:tcMar>
              <w:top w:w="16" w:type="dxa"/>
              <w:left w:w="16" w:type="dxa"/>
              <w:right w:w="16" w:type="dxa"/>
            </w:tcMar>
            <w:vAlign w:val="center"/>
          </w:tcPr>
          <w:p w14:paraId="053C7B9E">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C00000"/>
                <w:kern w:val="0"/>
                <w:sz w:val="24"/>
              </w:rPr>
            </w:pPr>
            <w:r>
              <w:rPr>
                <w:rFonts w:hint="eastAsia"/>
                <w:color w:val="auto"/>
                <w:sz w:val="24"/>
              </w:rPr>
              <w:t>规划情况</w:t>
            </w:r>
          </w:p>
        </w:tc>
        <w:tc>
          <w:tcPr>
            <w:tcW w:w="7504" w:type="dxa"/>
            <w:gridSpan w:val="4"/>
            <w:tcMar>
              <w:top w:w="16" w:type="dxa"/>
              <w:left w:w="16" w:type="dxa"/>
              <w:right w:w="16" w:type="dxa"/>
            </w:tcMar>
            <w:vAlign w:val="center"/>
          </w:tcPr>
          <w:p w14:paraId="7C5F099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C00000"/>
                <w:kern w:val="0"/>
                <w:sz w:val="24"/>
              </w:rPr>
            </w:pPr>
            <w:r>
              <w:rPr>
                <w:rFonts w:hint="eastAsia"/>
                <w:color w:val="auto"/>
                <w:kern w:val="0"/>
                <w:sz w:val="24"/>
              </w:rPr>
              <w:t>《</w:t>
            </w:r>
            <w:r>
              <w:rPr>
                <w:rFonts w:hint="eastAsia"/>
                <w:color w:val="auto"/>
                <w:kern w:val="0"/>
                <w:sz w:val="24"/>
                <w:lang w:val="en-US" w:eastAsia="zh-CN"/>
              </w:rPr>
              <w:t>防城港市</w:t>
            </w:r>
            <w:r>
              <w:rPr>
                <w:rFonts w:hint="eastAsia"/>
                <w:color w:val="auto"/>
                <w:kern w:val="0"/>
                <w:sz w:val="24"/>
              </w:rPr>
              <w:t>国土空间生态修复规划（2021—2035年）》，</w:t>
            </w:r>
            <w:r>
              <w:rPr>
                <w:rFonts w:hint="eastAsia"/>
                <w:color w:val="auto"/>
                <w:kern w:val="0"/>
                <w:sz w:val="24"/>
                <w:lang w:val="en-US" w:eastAsia="zh-CN"/>
              </w:rPr>
              <w:t>防城港市</w:t>
            </w:r>
            <w:r>
              <w:rPr>
                <w:rFonts w:hint="eastAsia"/>
                <w:color w:val="auto"/>
                <w:kern w:val="0"/>
                <w:sz w:val="24"/>
              </w:rPr>
              <w:t>自然资源局，2024年</w:t>
            </w:r>
            <w:r>
              <w:rPr>
                <w:rFonts w:hint="eastAsia"/>
                <w:color w:val="auto"/>
                <w:kern w:val="0"/>
                <w:sz w:val="24"/>
                <w:lang w:val="en-US" w:eastAsia="zh-CN"/>
              </w:rPr>
              <w:t>1</w:t>
            </w:r>
            <w:r>
              <w:rPr>
                <w:rFonts w:hint="eastAsia"/>
                <w:color w:val="auto"/>
                <w:kern w:val="0"/>
                <w:sz w:val="24"/>
              </w:rPr>
              <w:t>月。</w:t>
            </w:r>
          </w:p>
        </w:tc>
      </w:tr>
      <w:tr w14:paraId="4050D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42" w:type="dxa"/>
            <w:tcMar>
              <w:top w:w="16" w:type="dxa"/>
              <w:left w:w="16" w:type="dxa"/>
              <w:right w:w="16" w:type="dxa"/>
            </w:tcMar>
            <w:vAlign w:val="center"/>
          </w:tcPr>
          <w:p w14:paraId="090AF9B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color w:val="auto"/>
                <w:kern w:val="0"/>
                <w:sz w:val="24"/>
              </w:rPr>
            </w:pPr>
            <w:r>
              <w:rPr>
                <w:rFonts w:hint="eastAsia"/>
                <w:color w:val="auto"/>
                <w:sz w:val="24"/>
              </w:rPr>
              <w:t>规划环境影响评价情况</w:t>
            </w:r>
          </w:p>
        </w:tc>
        <w:tc>
          <w:tcPr>
            <w:tcW w:w="7504" w:type="dxa"/>
            <w:gridSpan w:val="4"/>
            <w:tcMar>
              <w:top w:w="16" w:type="dxa"/>
              <w:left w:w="16" w:type="dxa"/>
              <w:right w:w="16" w:type="dxa"/>
            </w:tcMar>
            <w:vAlign w:val="center"/>
          </w:tcPr>
          <w:p w14:paraId="05198D5D">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eastAsia="宋体"/>
                <w:color w:val="auto"/>
                <w:kern w:val="0"/>
                <w:sz w:val="24"/>
                <w:lang w:val="en-US" w:eastAsia="zh-CN"/>
              </w:rPr>
            </w:pPr>
            <w:r>
              <w:rPr>
                <w:rFonts w:hint="eastAsia"/>
                <w:color w:val="auto"/>
                <w:kern w:val="0"/>
                <w:sz w:val="24"/>
                <w:lang w:val="en-US" w:eastAsia="zh-CN"/>
              </w:rPr>
              <w:t>无</w:t>
            </w:r>
          </w:p>
        </w:tc>
      </w:tr>
      <w:tr w14:paraId="18956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7" w:hRule="atLeast"/>
        </w:trPr>
        <w:tc>
          <w:tcPr>
            <w:tcW w:w="1542" w:type="dxa"/>
            <w:tcMar>
              <w:top w:w="16" w:type="dxa"/>
              <w:left w:w="16" w:type="dxa"/>
              <w:right w:w="16" w:type="dxa"/>
            </w:tcMar>
            <w:vAlign w:val="center"/>
          </w:tcPr>
          <w:p w14:paraId="6CD2C7E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color w:val="auto"/>
                <w:sz w:val="24"/>
              </w:rPr>
            </w:pPr>
            <w:bookmarkStart w:id="3" w:name="_Hlk56690880"/>
            <w:r>
              <w:rPr>
                <w:rFonts w:hint="eastAsia"/>
                <w:color w:val="auto"/>
                <w:sz w:val="24"/>
              </w:rPr>
              <w:t>规划及规划环境影响评价符合性分析</w:t>
            </w:r>
          </w:p>
        </w:tc>
        <w:tc>
          <w:tcPr>
            <w:tcW w:w="7504" w:type="dxa"/>
            <w:gridSpan w:val="4"/>
            <w:tcMar>
              <w:top w:w="16" w:type="dxa"/>
              <w:left w:w="16" w:type="dxa"/>
              <w:right w:w="16" w:type="dxa"/>
            </w:tcMar>
            <w:vAlign w:val="center"/>
          </w:tcPr>
          <w:p w14:paraId="5466707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防城港市自然资源局印发的《防城港市国土空间生态修复规划（2021—2035年）》，在自治区生态修复分区基础上，结合防城港市自身发展情况，秉承生态修复分区原则，综合区域重点生态功能以及重要生态问题研判结果，以生态修复布局为方针、生态修复策略为导向，将生态分区划分为十万大山生态保护与修复区，明江水土流失防治与农田生态系统功能提升区，八尺江流域水源涵养与自然恢复区，北仑河流域生物多样性保育与生态修复区，防城河流域水源保护与水生态修复区，茅岭江矿山修复与农林生态整治区，中心城区生态修复与环境提升区共七个修复分区。</w:t>
            </w:r>
          </w:p>
          <w:p w14:paraId="5C433F7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lang w:val="en-US" w:eastAsia="zh-CN" w:bidi="ar"/>
              </w:rPr>
            </w:pPr>
            <w:r>
              <w:rPr>
                <w:rFonts w:hint="eastAsia"/>
                <w:color w:val="auto"/>
                <w:kern w:val="0"/>
                <w:sz w:val="24"/>
              </w:rPr>
              <w:t>根据防城港市市域国土空间生态修复分区图，项目位于中心城区生态修复与环境提升区。</w:t>
            </w:r>
            <w:r>
              <w:rPr>
                <w:rFonts w:hint="eastAsia"/>
                <w:color w:val="auto"/>
                <w:sz w:val="24"/>
                <w:lang w:bidi="ar"/>
              </w:rPr>
              <w:t>规划中对项目所在中心城区生态修复与环境提升区的生态修复要求为“区域以人工辅助修复和整治重塑模式的低效地与人居环境整治、城市污染防治为主攻方向。重点针对港口区公车工业园片区、渔洲坪片区以及防城区防城镇进行局部改造、全面改造与综合整治。港口区西南部海湾区湿地资源较为丰富，海洋生态需要进一步加强维护。针对该区域进一步完善城市功能、提升城市品质、改善人居环境，提高市民获得感和幸福感”</w:t>
            </w:r>
            <w:r>
              <w:rPr>
                <w:rFonts w:hint="eastAsia"/>
                <w:color w:val="auto"/>
                <w:sz w:val="24"/>
                <w:lang w:eastAsia="zh-CN" w:bidi="ar"/>
              </w:rPr>
              <w:t>。</w:t>
            </w:r>
            <w:r>
              <w:rPr>
                <w:rFonts w:hint="eastAsia"/>
                <w:color w:val="auto"/>
                <w:sz w:val="24"/>
                <w:lang w:val="en-US" w:eastAsia="zh-CN" w:bidi="ar"/>
              </w:rPr>
              <w:t>修复任务为“规划期内主要开展两大任务，针对中心城区人居环境改造与提升重点区与东湾海洋生态修复重点区开展人居环境整治，低效地整治，从大气污染、水污染、噪声污染三个方面着重进行污染防治能力提升，切实改善环境质量，解决消除突出环境问题（任务八）。港口区西南部海湾区湿地资源较为丰富，海洋生态需要进一步加强维护，在东湾湿地资源保护修复重点区与东湾海洋生态修复重点区内，进一步进行东湾海洋生态修复与东湾湿地资源保护（任务二），提升海洋海岸带生态服务能力。”</w:t>
            </w:r>
          </w:p>
          <w:p w14:paraId="73D06A9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sz w:val="24"/>
                <w:lang w:bidi="ar"/>
              </w:rPr>
              <w:t>综上可知，项目所在区域主要以东湾海洋生态修复与东湾湿地资源保护，提升海洋海岸带生态服务能力</w:t>
            </w:r>
            <w:r>
              <w:rPr>
                <w:rFonts w:hint="eastAsia"/>
                <w:color w:val="auto"/>
                <w:sz w:val="24"/>
                <w:lang w:val="en-US" w:eastAsia="zh-CN" w:bidi="ar"/>
              </w:rPr>
              <w:t>为主</w:t>
            </w:r>
            <w:r>
              <w:rPr>
                <w:rFonts w:hint="eastAsia"/>
                <w:color w:val="auto"/>
                <w:sz w:val="24"/>
                <w:lang w:bidi="ar"/>
              </w:rPr>
              <w:t>。积极探索生态海堤的建设模式，在保护好自然岸线的基础上，采用逐步改造模式，采取生态化方式，应用自然材料，改造人工岸线，推进建设集海岸防护、生物多样性及生态恢复、格局优化、休闲科普于一体的生态海堤建设新模式</w:t>
            </w:r>
            <w:r>
              <w:rPr>
                <w:rFonts w:hint="eastAsia"/>
                <w:color w:val="auto"/>
                <w:sz w:val="24"/>
                <w:lang w:eastAsia="zh-CN" w:bidi="ar"/>
              </w:rPr>
              <w:t>。</w:t>
            </w:r>
            <w:r>
              <w:rPr>
                <w:rFonts w:hint="eastAsia"/>
                <w:color w:val="auto"/>
                <w:sz w:val="24"/>
                <w:lang w:val="en-US" w:eastAsia="zh-CN" w:bidi="ar"/>
              </w:rPr>
              <w:t>本项目不占用自然岸线，用海范围不在生态红线区，施工期和运营期对周边的红树林没有影响，项目主要进行岸线修复并种植植被养护，项目建成后有利于</w:t>
            </w:r>
            <w:r>
              <w:rPr>
                <w:rFonts w:hint="eastAsia"/>
                <w:color w:val="auto"/>
                <w:sz w:val="24"/>
                <w:lang w:bidi="ar"/>
              </w:rPr>
              <w:t>发挥海堤生态带的综合减灾效能</w:t>
            </w:r>
            <w:r>
              <w:rPr>
                <w:rFonts w:hint="eastAsia"/>
                <w:color w:val="auto"/>
                <w:sz w:val="24"/>
                <w:lang w:eastAsia="zh-CN" w:bidi="ar"/>
              </w:rPr>
              <w:t>。</w:t>
            </w:r>
            <w:r>
              <w:rPr>
                <w:rFonts w:hint="eastAsia"/>
                <w:color w:val="auto"/>
                <w:sz w:val="24"/>
                <w:lang w:val="en-US" w:eastAsia="zh-CN" w:bidi="ar"/>
              </w:rPr>
              <w:t>项目的内容与该规划内容紧密结合，积极响应规划中的要求，符合《防城港市国土空间生态修复规划（2021—2035年）》</w:t>
            </w:r>
            <w:r>
              <w:rPr>
                <w:rFonts w:hint="eastAsia"/>
                <w:color w:val="auto"/>
                <w:sz w:val="24"/>
                <w:lang w:bidi="ar"/>
              </w:rPr>
              <w:t>。</w:t>
            </w:r>
          </w:p>
        </w:tc>
      </w:tr>
      <w:tr w14:paraId="58208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155" w:hRule="atLeast"/>
        </w:trPr>
        <w:tc>
          <w:tcPr>
            <w:tcW w:w="1542" w:type="dxa"/>
            <w:tcMar>
              <w:top w:w="16" w:type="dxa"/>
              <w:left w:w="16" w:type="dxa"/>
              <w:right w:w="16" w:type="dxa"/>
            </w:tcMar>
            <w:vAlign w:val="center"/>
          </w:tcPr>
          <w:p w14:paraId="229C16B5">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C00000"/>
                <w:kern w:val="0"/>
                <w:sz w:val="24"/>
              </w:rPr>
            </w:pPr>
            <w:r>
              <w:rPr>
                <w:rFonts w:hint="eastAsia"/>
                <w:color w:val="auto"/>
                <w:kern w:val="0"/>
                <w:sz w:val="24"/>
              </w:rPr>
              <w:t>其他符合性分析</w:t>
            </w:r>
            <w:bookmarkEnd w:id="3"/>
          </w:p>
        </w:tc>
        <w:tc>
          <w:tcPr>
            <w:tcW w:w="7504" w:type="dxa"/>
            <w:gridSpan w:val="4"/>
            <w:tcMar>
              <w:top w:w="16" w:type="dxa"/>
              <w:left w:w="16" w:type="dxa"/>
              <w:right w:w="16" w:type="dxa"/>
            </w:tcMar>
            <w:vAlign w:val="center"/>
          </w:tcPr>
          <w:p w14:paraId="591FD8B9">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1.1</w:t>
            </w:r>
            <w:r>
              <w:rPr>
                <w:rFonts w:hint="eastAsia"/>
                <w:b/>
                <w:color w:val="auto"/>
                <w:kern w:val="0"/>
                <w:sz w:val="24"/>
              </w:rPr>
              <w:t>与产业政策相符性分析</w:t>
            </w:r>
          </w:p>
          <w:p w14:paraId="35CA092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产业结构调整指导目录（2024年本）》（国家发展和改革委员会2023年第7号令），本项目建设属于四十二、环境保护与资源节约综合利用的鼓励类“2、海洋生态修复”项目，项目建设符合国家产业政策的要求。</w:t>
            </w:r>
          </w:p>
          <w:p w14:paraId="22CEC044">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1.2</w:t>
            </w:r>
            <w:r>
              <w:rPr>
                <w:rFonts w:hint="eastAsia"/>
                <w:b/>
                <w:color w:val="auto"/>
                <w:kern w:val="0"/>
                <w:sz w:val="24"/>
              </w:rPr>
              <w:t>与生态环境分区管控的相符性分析</w:t>
            </w:r>
          </w:p>
          <w:p w14:paraId="70B2BE0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根据《中共中央办公厅 国务院办公厅关于加强生态环境分区管控的意见》（2024年3月6日）、《生态环境部关于印发＜生态环境分区管控管理暂行规定＞的通知》（环环评〔2024〕41号），深入实施主体功能区战略，全面落实《全国国土空间规划纲要（2021－2035年）》，制定以落实生态保护红线、环境质量底线、资源利用上线硬约束为重点，以生态环境管控单元为基础，以生态环境准入清单为手段，以信息平台为支撑的生态环境分区管控方案。</w:t>
            </w:r>
          </w:p>
          <w:p w14:paraId="0696EA26">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bCs/>
                <w:color w:val="auto"/>
                <w:kern w:val="0"/>
                <w:sz w:val="24"/>
                <w:lang w:val="en-US" w:eastAsia="zh-CN"/>
              </w:rPr>
            </w:pPr>
            <w:r>
              <w:rPr>
                <w:rFonts w:hint="eastAsia"/>
                <w:b/>
                <w:bCs/>
                <w:color w:val="auto"/>
                <w:kern w:val="0"/>
                <w:sz w:val="24"/>
                <w:lang w:val="en-US" w:eastAsia="zh-CN"/>
              </w:rPr>
              <w:t>1.2.1生态保护红线</w:t>
            </w:r>
          </w:p>
          <w:p w14:paraId="62606F3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eastAsia"/>
                <w:color w:val="auto"/>
                <w:kern w:val="0"/>
                <w:sz w:val="24"/>
                <w:lang w:val="en-US" w:eastAsia="zh-CN"/>
              </w:rPr>
              <w:t>防城港市</w:t>
            </w:r>
            <w:r>
              <w:rPr>
                <w:rFonts w:hint="default"/>
                <w:color w:val="auto"/>
                <w:kern w:val="0"/>
                <w:sz w:val="24"/>
                <w:lang w:val="en-US" w:eastAsia="zh-CN"/>
              </w:rPr>
              <w:t>全市海洋生态保护红线面积286.62平方千米，主要分布在北仑河口自然保护区以及东湾红树林湿地、沿海红树林、海草床、珊瑚礁等具有重要生态保护意义的区域，重点维护生物多样性，保持海洋生态功能稳定。</w:t>
            </w:r>
          </w:p>
          <w:p w14:paraId="351A22D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default"/>
                <w:color w:val="auto"/>
                <w:kern w:val="0"/>
                <w:sz w:val="24"/>
                <w:lang w:val="en-US" w:eastAsia="zh-CN"/>
              </w:rPr>
              <w:t>根据本项目与国土空间规划中“生态保护红线”矢量层叠置可知：项目不占用红线区，</w:t>
            </w:r>
            <w:r>
              <w:rPr>
                <w:rFonts w:hint="eastAsia"/>
                <w:color w:val="auto"/>
                <w:kern w:val="0"/>
                <w:sz w:val="24"/>
                <w:lang w:val="en-US" w:eastAsia="zh-CN"/>
              </w:rPr>
              <w:t>项目北侧距离周边的红线区最近距离约150m，南侧距离红线区最近距离约480m，东侧距离红线区最近距离约530m。</w:t>
            </w:r>
            <w:r>
              <w:rPr>
                <w:rFonts w:hint="default"/>
                <w:color w:val="auto"/>
                <w:kern w:val="0"/>
                <w:sz w:val="24"/>
                <w:lang w:val="en-US" w:eastAsia="zh-CN"/>
              </w:rPr>
              <w:t>项目与“生态保护红线”位置关系见图</w:t>
            </w:r>
            <w:r>
              <w:rPr>
                <w:rFonts w:hint="eastAsia"/>
                <w:color w:val="auto"/>
                <w:kern w:val="0"/>
                <w:sz w:val="24"/>
                <w:lang w:val="en-US" w:eastAsia="zh-CN"/>
              </w:rPr>
              <w:t>1.2-1</w:t>
            </w:r>
            <w:r>
              <w:rPr>
                <w:rFonts w:hint="default"/>
                <w:color w:val="auto"/>
                <w:kern w:val="0"/>
                <w:sz w:val="24"/>
                <w:lang w:val="en-US" w:eastAsia="zh-CN"/>
              </w:rPr>
              <w:t>。</w:t>
            </w:r>
          </w:p>
          <w:p w14:paraId="04CCF1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0000FF"/>
                <w:kern w:val="0"/>
                <w:sz w:val="24"/>
                <w:lang w:val="en-US" w:eastAsia="zh-CN"/>
              </w:rPr>
            </w:pPr>
            <w:r>
              <w:rPr>
                <w:rFonts w:hint="eastAsia"/>
                <w:sz w:val="24"/>
              </w:rPr>
              <w:t>*</w:t>
            </w:r>
            <w:r>
              <w:rPr>
                <w:sz w:val="24"/>
              </w:rPr>
              <w:t>**</w:t>
            </w:r>
          </w:p>
          <w:p w14:paraId="1CE9A6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图1.2-1  项目与生态保护红线位置关系图</w:t>
            </w:r>
          </w:p>
          <w:p w14:paraId="1A7A0FC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default"/>
                <w:color w:val="auto"/>
                <w:kern w:val="0"/>
                <w:sz w:val="24"/>
                <w:lang w:val="en-US" w:eastAsia="zh-CN"/>
              </w:rPr>
              <w:t>项目施工期间，</w:t>
            </w:r>
            <w:r>
              <w:rPr>
                <w:rFonts w:hint="eastAsia"/>
                <w:color w:val="auto"/>
                <w:kern w:val="0"/>
                <w:sz w:val="24"/>
                <w:lang w:val="en-US" w:eastAsia="zh-CN"/>
              </w:rPr>
              <w:t>抛石作业</w:t>
            </w:r>
            <w:r>
              <w:rPr>
                <w:rFonts w:hint="default"/>
                <w:color w:val="auto"/>
                <w:kern w:val="0"/>
                <w:sz w:val="24"/>
                <w:lang w:val="en-US" w:eastAsia="zh-CN"/>
              </w:rPr>
              <w:t>会产生一定的悬浮泥沙，</w:t>
            </w:r>
            <w:r>
              <w:rPr>
                <w:rFonts w:hint="eastAsia"/>
                <w:color w:val="auto"/>
                <w:kern w:val="0"/>
                <w:sz w:val="24"/>
                <w:lang w:val="en-US" w:eastAsia="zh-CN"/>
              </w:rPr>
              <w:t>但项目施工时选择低潮时作业，施工时间短，且</w:t>
            </w:r>
            <w:r>
              <w:rPr>
                <w:rFonts w:hint="default"/>
                <w:color w:val="auto"/>
                <w:kern w:val="0"/>
                <w:sz w:val="24"/>
                <w:lang w:val="en-US" w:eastAsia="zh-CN"/>
              </w:rPr>
              <w:t>施工结束后悬浮泥沙浓度会迅速恢复至本底水平，</w:t>
            </w:r>
            <w:r>
              <w:rPr>
                <w:rFonts w:hint="eastAsia"/>
                <w:color w:val="auto"/>
                <w:kern w:val="0"/>
                <w:sz w:val="24"/>
                <w:lang w:val="en-US" w:eastAsia="zh-CN"/>
              </w:rPr>
              <w:t>对海水水质影响较小。项目建设与生态红线管控要求不冲突。</w:t>
            </w:r>
          </w:p>
          <w:p w14:paraId="16CACB4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eastAsia"/>
                <w:color w:val="auto"/>
                <w:kern w:val="0"/>
                <w:sz w:val="24"/>
                <w:lang w:val="en-US" w:eastAsia="zh-CN"/>
              </w:rPr>
              <w:t>施工期</w:t>
            </w:r>
            <w:r>
              <w:rPr>
                <w:rFonts w:hint="default"/>
                <w:color w:val="auto"/>
                <w:kern w:val="0"/>
                <w:sz w:val="24"/>
                <w:lang w:val="en-US" w:eastAsia="zh-CN"/>
              </w:rPr>
              <w:t>污水、固废等均有合理处置措施，不直接排放，</w:t>
            </w:r>
            <w:r>
              <w:rPr>
                <w:rFonts w:hint="eastAsia"/>
                <w:color w:val="auto"/>
                <w:kern w:val="0"/>
                <w:sz w:val="24"/>
                <w:lang w:val="en-US" w:eastAsia="zh-CN"/>
              </w:rPr>
              <w:t>项目施工期运营期不会对附近红树林造成破坏，对生态红线影响较小</w:t>
            </w:r>
            <w:r>
              <w:rPr>
                <w:rFonts w:hint="default"/>
                <w:color w:val="auto"/>
                <w:kern w:val="0"/>
                <w:sz w:val="24"/>
                <w:lang w:val="en-US" w:eastAsia="zh-CN"/>
              </w:rPr>
              <w:t>。</w:t>
            </w:r>
          </w:p>
          <w:p w14:paraId="1E8B0E9B">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bCs/>
                <w:color w:val="auto"/>
                <w:kern w:val="0"/>
                <w:sz w:val="24"/>
                <w:lang w:val="en-US" w:eastAsia="zh-CN"/>
              </w:rPr>
            </w:pPr>
            <w:r>
              <w:rPr>
                <w:rFonts w:hint="eastAsia"/>
                <w:b/>
                <w:bCs/>
                <w:color w:val="auto"/>
                <w:kern w:val="0"/>
                <w:sz w:val="24"/>
                <w:lang w:val="en-US" w:eastAsia="zh-CN"/>
              </w:rPr>
              <w:t>1.2.2环境质量底线</w:t>
            </w:r>
          </w:p>
          <w:p w14:paraId="1DD6B86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default"/>
                <w:color w:val="auto"/>
                <w:kern w:val="0"/>
                <w:sz w:val="24"/>
                <w:lang w:val="en-US" w:eastAsia="zh-CN"/>
              </w:rPr>
              <w:t>环境质量底线是国家和地方设置的大气、水和土壤环境质量目标，也是改善环境质量的基准线。根据现状调查结果，项目所在海域海水水质</w:t>
            </w:r>
            <w:r>
              <w:rPr>
                <w:rFonts w:hint="eastAsia"/>
                <w:color w:val="auto"/>
                <w:kern w:val="0"/>
                <w:sz w:val="24"/>
                <w:lang w:val="en-US" w:eastAsia="zh-CN"/>
              </w:rPr>
              <w:t>除部分站位无机氮、磷酸盐超标外，其余各站位均</w:t>
            </w:r>
            <w:r>
              <w:rPr>
                <w:rFonts w:hint="default"/>
                <w:color w:val="auto"/>
                <w:kern w:val="0"/>
                <w:sz w:val="24"/>
                <w:lang w:val="en-US" w:eastAsia="zh-CN"/>
              </w:rPr>
              <w:t>满足《海水水质标准》（GB 3097-1997）中二类标准，海洋沉积物质量</w:t>
            </w:r>
            <w:r>
              <w:rPr>
                <w:rFonts w:hint="eastAsia"/>
                <w:color w:val="auto"/>
                <w:kern w:val="0"/>
                <w:sz w:val="24"/>
                <w:lang w:val="en-US" w:eastAsia="zh-CN"/>
              </w:rPr>
              <w:t>除1-2个站位石油类、总汞和锌不满足第一类标准外，其余均</w:t>
            </w:r>
            <w:r>
              <w:rPr>
                <w:rFonts w:hint="default"/>
                <w:color w:val="auto"/>
                <w:kern w:val="0"/>
                <w:sz w:val="24"/>
                <w:lang w:val="en-US" w:eastAsia="zh-CN"/>
              </w:rPr>
              <w:t>满足《海洋沉积物质量》（GB 18668-2002）中一类标准，海洋生物质量满足《海洋生物质量》（GB 18421-2001）中一类标准。声环境满足《声环境质量标准》（GB 3096-2008）中1类声环境功能区要求；大气环境满足《环境空气质量标准》（GB 3095-</w:t>
            </w:r>
            <w:r>
              <w:rPr>
                <w:rFonts w:hint="eastAsia"/>
                <w:color w:val="auto"/>
                <w:kern w:val="0"/>
                <w:sz w:val="24"/>
                <w:lang w:val="en-US" w:eastAsia="zh-CN"/>
              </w:rPr>
              <w:t>2026</w:t>
            </w:r>
            <w:r>
              <w:rPr>
                <w:rFonts w:hint="default"/>
                <w:color w:val="auto"/>
                <w:kern w:val="0"/>
                <w:sz w:val="24"/>
                <w:lang w:val="en-US" w:eastAsia="zh-CN"/>
              </w:rPr>
              <w:t>）中二级浓度限值要求。本项目产生的废水、废气、噪声、固体废物均得到有效合理的处置，不会突破项目所在区域的环境质量底线。</w:t>
            </w:r>
          </w:p>
          <w:p w14:paraId="18ADF223">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bCs/>
                <w:color w:val="auto"/>
                <w:kern w:val="0"/>
                <w:sz w:val="24"/>
                <w:lang w:val="en-US" w:eastAsia="zh-CN"/>
              </w:rPr>
            </w:pPr>
            <w:r>
              <w:rPr>
                <w:rFonts w:hint="eastAsia"/>
                <w:b/>
                <w:bCs/>
                <w:color w:val="auto"/>
                <w:kern w:val="0"/>
                <w:sz w:val="24"/>
                <w:lang w:val="en-US" w:eastAsia="zh-CN"/>
              </w:rPr>
              <w:t>1.2.3资源利用上线</w:t>
            </w:r>
          </w:p>
          <w:p w14:paraId="7F442C2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default"/>
                <w:color w:val="auto"/>
                <w:kern w:val="0"/>
                <w:sz w:val="24"/>
                <w:lang w:val="en-US" w:eastAsia="zh-CN"/>
              </w:rPr>
              <w:t>资源是环境的载体，资源利用上线是各地区能源、水、土地等资源消耗不得突破的“天花板”。本项目为</w:t>
            </w:r>
            <w:r>
              <w:rPr>
                <w:rFonts w:hint="eastAsia"/>
                <w:color w:val="auto"/>
                <w:kern w:val="0"/>
                <w:sz w:val="24"/>
                <w:lang w:val="en-US" w:eastAsia="zh-CN"/>
              </w:rPr>
              <w:t>岸线</w:t>
            </w:r>
            <w:r>
              <w:rPr>
                <w:rFonts w:hint="default"/>
                <w:color w:val="auto"/>
                <w:kern w:val="0"/>
                <w:sz w:val="24"/>
                <w:lang w:val="en-US" w:eastAsia="zh-CN"/>
              </w:rPr>
              <w:t>修复工程，项目的实施能够恢复近海及海岸湿地资源；施工期所用资源为水、电等，均利用当地市政供水管网，市政电网供应。</w:t>
            </w:r>
          </w:p>
          <w:p w14:paraId="49D8E2E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default"/>
                <w:color w:val="auto"/>
                <w:kern w:val="0"/>
                <w:sz w:val="24"/>
                <w:lang w:val="en-US" w:eastAsia="zh-CN"/>
              </w:rPr>
              <w:t>本项目为</w:t>
            </w:r>
            <w:r>
              <w:rPr>
                <w:rFonts w:hint="eastAsia"/>
                <w:color w:val="auto"/>
                <w:kern w:val="0"/>
                <w:sz w:val="24"/>
                <w:lang w:val="en-US" w:eastAsia="zh-CN"/>
              </w:rPr>
              <w:t>岸线</w:t>
            </w:r>
            <w:r>
              <w:rPr>
                <w:rFonts w:hint="default"/>
                <w:color w:val="auto"/>
                <w:kern w:val="0"/>
                <w:sz w:val="24"/>
                <w:lang w:val="en-US" w:eastAsia="zh-CN"/>
              </w:rPr>
              <w:t>修复类工程，不涉及运营期，施工期较短，对资源的能耗较小，不会突破地区能源，水等资源消耗的上限。而且对海洋空间资源的恢复是有利的。</w:t>
            </w:r>
          </w:p>
          <w:p w14:paraId="31D2718F">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lang w:val="en-US" w:eastAsia="zh-CN"/>
              </w:rPr>
            </w:pPr>
            <w:r>
              <w:rPr>
                <w:rFonts w:hint="eastAsia"/>
                <w:b/>
                <w:bCs/>
                <w:color w:val="auto"/>
                <w:kern w:val="0"/>
                <w:sz w:val="24"/>
                <w:lang w:val="en-US" w:eastAsia="zh-CN"/>
              </w:rPr>
              <w:t>1.2.4生态环境分区管控符合性</w:t>
            </w:r>
          </w:p>
          <w:p w14:paraId="1430FDC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根据《防城港市生态环境局关于印发实施防城港市生态环境分区管控动态更新成果（2023年）的通知》，项目与防城港市生态环境准入及管控要求分析如下：</w:t>
            </w:r>
          </w:p>
          <w:p w14:paraId="36841F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表1.2-1 项目与防城港市生态环境准入及管控要求相符性分析</w:t>
            </w:r>
          </w:p>
          <w:tbl>
            <w:tblPr>
              <w:tblStyle w:val="28"/>
              <w:tblW w:w="7771"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8"/>
              <w:gridCol w:w="3764"/>
              <w:gridCol w:w="3169"/>
            </w:tblGrid>
            <w:tr w14:paraId="3DB0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2961" w:type="pct"/>
                  <w:gridSpan w:val="2"/>
                  <w:tcBorders>
                    <w:top w:val="single" w:color="auto" w:sz="4" w:space="0"/>
                    <w:left w:val="single" w:color="auto" w:sz="4" w:space="0"/>
                    <w:bottom w:val="single" w:color="auto" w:sz="4" w:space="0"/>
                    <w:right w:val="single" w:color="auto" w:sz="4" w:space="0"/>
                  </w:tcBorders>
                  <w:vAlign w:val="center"/>
                </w:tcPr>
                <w:p w14:paraId="05B35654">
                  <w:pPr>
                    <w:keepNext w:val="0"/>
                    <w:keepLines w:val="0"/>
                    <w:widowControl/>
                    <w:suppressLineNumbers w:val="0"/>
                    <w:adjustRightInd w:val="0"/>
                    <w:snapToGrid w:val="0"/>
                    <w:spacing w:before="0" w:beforeAutospacing="0" w:after="0" w:afterAutospacing="0"/>
                    <w:ind w:left="0" w:right="0"/>
                    <w:jc w:val="center"/>
                    <w:textAlignment w:val="center"/>
                    <w:rPr>
                      <w:rFonts w:hint="eastAsia"/>
                      <w:b/>
                      <w:color w:val="auto"/>
                      <w:szCs w:val="21"/>
                    </w:rPr>
                  </w:pPr>
                  <w:r>
                    <w:rPr>
                      <w:rFonts w:hint="eastAsia"/>
                      <w:b/>
                      <w:color w:val="auto"/>
                      <w:szCs w:val="21"/>
                    </w:rPr>
                    <w:t>生态环境准入及管控要求</w:t>
                  </w:r>
                </w:p>
              </w:tc>
              <w:tc>
                <w:tcPr>
                  <w:tcW w:w="2038"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4C038272">
                  <w:pPr>
                    <w:keepNext w:val="0"/>
                    <w:keepLines w:val="0"/>
                    <w:widowControl/>
                    <w:suppressLineNumbers w:val="0"/>
                    <w:adjustRightInd w:val="0"/>
                    <w:snapToGrid w:val="0"/>
                    <w:spacing w:before="0" w:beforeAutospacing="0" w:after="0" w:afterAutospacing="0"/>
                    <w:ind w:left="0" w:right="0"/>
                    <w:jc w:val="center"/>
                    <w:textAlignment w:val="center"/>
                    <w:rPr>
                      <w:rFonts w:hint="eastAsia"/>
                      <w:b/>
                      <w:color w:val="auto"/>
                      <w:kern w:val="0"/>
                      <w:szCs w:val="21"/>
                      <w:lang w:bidi="ar"/>
                    </w:rPr>
                  </w:pPr>
                  <w:r>
                    <w:rPr>
                      <w:rFonts w:hint="eastAsia"/>
                      <w:b/>
                      <w:color w:val="auto"/>
                      <w:kern w:val="0"/>
                      <w:szCs w:val="21"/>
                      <w:lang w:bidi="ar"/>
                    </w:rPr>
                    <w:t>本项目符合性分析</w:t>
                  </w:r>
                </w:p>
              </w:tc>
            </w:tr>
            <w:tr w14:paraId="5394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539" w:type="pct"/>
                  <w:vMerge w:val="restart"/>
                  <w:tcBorders>
                    <w:top w:val="single" w:color="auto" w:sz="4" w:space="0"/>
                    <w:left w:val="single" w:color="auto" w:sz="4" w:space="0"/>
                    <w:right w:val="single" w:color="auto" w:sz="4" w:space="0"/>
                  </w:tcBorders>
                  <w:vAlign w:val="center"/>
                </w:tcPr>
                <w:p w14:paraId="2C283D65">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szCs w:val="21"/>
                    </w:rPr>
                  </w:pPr>
                  <w:r>
                    <w:rPr>
                      <w:rFonts w:hint="eastAsia"/>
                      <w:color w:val="auto"/>
                      <w:szCs w:val="21"/>
                    </w:rPr>
                    <w:t>空间布局约束</w:t>
                  </w:r>
                </w:p>
              </w:tc>
              <w:tc>
                <w:tcPr>
                  <w:tcW w:w="242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EC8248F">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szCs w:val="21"/>
                    </w:rPr>
                  </w:pPr>
                  <w:r>
                    <w:rPr>
                      <w:rFonts w:hint="eastAsia"/>
                      <w:color w:val="auto"/>
                      <w:szCs w:val="21"/>
                    </w:rPr>
                    <w:t>自然保护区、森林公园、湿地公园、石漠公园、饮用水水源保护区、风景名胜区、公益林、天然林等具有法律地位，有管理条例、规定、办法等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tc>
              <w:tc>
                <w:tcPr>
                  <w:tcW w:w="2038"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75C2DFDC">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kern w:val="0"/>
                      <w:szCs w:val="21"/>
                      <w:lang w:bidi="ar"/>
                    </w:rPr>
                  </w:pPr>
                  <w:r>
                    <w:rPr>
                      <w:rFonts w:hint="eastAsia"/>
                      <w:color w:val="auto"/>
                      <w:kern w:val="0"/>
                      <w:szCs w:val="21"/>
                      <w:lang w:bidi="ar"/>
                    </w:rPr>
                    <w:t>本项目不涉及自然保护区、</w:t>
                  </w:r>
                </w:p>
                <w:p w14:paraId="4C6B0CBE">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kern w:val="0"/>
                      <w:szCs w:val="21"/>
                      <w:lang w:bidi="ar"/>
                    </w:rPr>
                  </w:pPr>
                  <w:r>
                    <w:rPr>
                      <w:rFonts w:hint="eastAsia"/>
                      <w:color w:val="auto"/>
                      <w:kern w:val="0"/>
                      <w:szCs w:val="21"/>
                      <w:lang w:bidi="ar"/>
                    </w:rPr>
                    <w:t>森林公园、湿地公园、</w:t>
                  </w:r>
                </w:p>
                <w:p w14:paraId="04A02444">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kern w:val="0"/>
                      <w:szCs w:val="21"/>
                      <w:lang w:bidi="ar"/>
                    </w:rPr>
                  </w:pPr>
                  <w:r>
                    <w:rPr>
                      <w:rFonts w:hint="eastAsia"/>
                      <w:color w:val="auto"/>
                      <w:kern w:val="0"/>
                      <w:szCs w:val="21"/>
                      <w:lang w:bidi="ar"/>
                    </w:rPr>
                    <w:t>石漠公园、风景名胜区、</w:t>
                  </w:r>
                </w:p>
                <w:p w14:paraId="6E1FD0CB">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kern w:val="0"/>
                      <w:szCs w:val="21"/>
                      <w:lang w:bidi="ar"/>
                    </w:rPr>
                  </w:pPr>
                  <w:r>
                    <w:rPr>
                      <w:rFonts w:hint="eastAsia"/>
                      <w:color w:val="auto"/>
                      <w:kern w:val="0"/>
                      <w:szCs w:val="21"/>
                      <w:lang w:bidi="ar"/>
                    </w:rPr>
                    <w:t>公益林、天然林、水源保护区</w:t>
                  </w:r>
                </w:p>
                <w:p w14:paraId="7F2F45C1">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kern w:val="0"/>
                      <w:szCs w:val="21"/>
                      <w:lang w:bidi="ar"/>
                    </w:rPr>
                  </w:pPr>
                  <w:r>
                    <w:rPr>
                      <w:rFonts w:hint="eastAsia"/>
                      <w:color w:val="auto"/>
                      <w:kern w:val="0"/>
                      <w:szCs w:val="21"/>
                      <w:lang w:bidi="ar"/>
                    </w:rPr>
                    <w:t>等各类保护地</w:t>
                  </w:r>
                </w:p>
              </w:tc>
            </w:tr>
            <w:tr w14:paraId="6B7D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539" w:type="pct"/>
                  <w:vMerge w:val="continue"/>
                  <w:tcBorders>
                    <w:left w:val="single" w:color="auto" w:sz="4" w:space="0"/>
                    <w:bottom w:val="single" w:color="auto" w:sz="4" w:space="0"/>
                    <w:right w:val="single" w:color="auto" w:sz="4" w:space="0"/>
                  </w:tcBorders>
                  <w:vAlign w:val="center"/>
                </w:tcPr>
                <w:p w14:paraId="71A0249E">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szCs w:val="21"/>
                    </w:rPr>
                  </w:pPr>
                </w:p>
              </w:tc>
              <w:tc>
                <w:tcPr>
                  <w:tcW w:w="242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7A9BAEF">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szCs w:val="21"/>
                    </w:rPr>
                  </w:pPr>
                  <w:r>
                    <w:rPr>
                      <w:rFonts w:hint="eastAsia"/>
                      <w:color w:val="auto"/>
                      <w:szCs w:val="21"/>
                    </w:rPr>
                    <w:t>全市产业布局符合《北钦防一体化产业协同发展限制布局清单》要求。</w:t>
                  </w:r>
                </w:p>
              </w:tc>
              <w:tc>
                <w:tcPr>
                  <w:tcW w:w="2038"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36508AF4">
                  <w:pPr>
                    <w:keepNext w:val="0"/>
                    <w:keepLines w:val="0"/>
                    <w:widowControl/>
                    <w:suppressLineNumbers w:val="0"/>
                    <w:adjustRightInd w:val="0"/>
                    <w:snapToGrid w:val="0"/>
                    <w:spacing w:before="0" w:beforeAutospacing="0" w:after="0" w:afterAutospacing="0"/>
                    <w:ind w:left="0" w:right="0"/>
                    <w:jc w:val="both"/>
                    <w:textAlignment w:val="center"/>
                    <w:rPr>
                      <w:rFonts w:hint="eastAsia"/>
                      <w:color w:val="auto"/>
                      <w:kern w:val="0"/>
                      <w:szCs w:val="21"/>
                      <w:lang w:bidi="ar"/>
                    </w:rPr>
                  </w:pPr>
                  <w:r>
                    <w:rPr>
                      <w:rFonts w:hint="eastAsia"/>
                      <w:color w:val="auto"/>
                      <w:kern w:val="0"/>
                      <w:szCs w:val="21"/>
                      <w:lang w:bidi="ar"/>
                    </w:rPr>
                    <w:t>经对照《北钦防一体化产业协</w:t>
                  </w:r>
                </w:p>
                <w:p w14:paraId="38387F9D">
                  <w:pPr>
                    <w:keepNext w:val="0"/>
                    <w:keepLines w:val="0"/>
                    <w:widowControl/>
                    <w:suppressLineNumbers w:val="0"/>
                    <w:adjustRightInd w:val="0"/>
                    <w:snapToGrid w:val="0"/>
                    <w:spacing w:before="0" w:beforeAutospacing="0" w:after="0" w:afterAutospacing="0"/>
                    <w:ind w:left="0" w:right="0"/>
                    <w:jc w:val="both"/>
                    <w:textAlignment w:val="center"/>
                    <w:rPr>
                      <w:rFonts w:hint="eastAsia"/>
                      <w:color w:val="auto"/>
                      <w:kern w:val="0"/>
                      <w:szCs w:val="21"/>
                      <w:lang w:bidi="ar"/>
                    </w:rPr>
                  </w:pPr>
                  <w:r>
                    <w:rPr>
                      <w:rFonts w:hint="eastAsia"/>
                      <w:color w:val="auto"/>
                      <w:kern w:val="0"/>
                      <w:szCs w:val="21"/>
                      <w:lang w:bidi="ar"/>
                    </w:rPr>
                    <w:t>同发展限制布局清单》</w:t>
                  </w:r>
                  <w:r>
                    <w:rPr>
                      <w:rFonts w:hint="eastAsia"/>
                      <w:color w:val="auto"/>
                      <w:kern w:val="0"/>
                      <w:szCs w:val="21"/>
                      <w:lang w:eastAsia="zh-CN" w:bidi="ar"/>
                    </w:rPr>
                    <w:t>，</w:t>
                  </w:r>
                  <w:r>
                    <w:rPr>
                      <w:rFonts w:hint="eastAsia"/>
                      <w:color w:val="auto"/>
                      <w:kern w:val="0"/>
                      <w:szCs w:val="21"/>
                      <w:lang w:bidi="ar"/>
                    </w:rPr>
                    <w:t>项目</w:t>
                  </w:r>
                </w:p>
                <w:p w14:paraId="34238249">
                  <w:pPr>
                    <w:keepNext w:val="0"/>
                    <w:keepLines w:val="0"/>
                    <w:widowControl/>
                    <w:suppressLineNumbers w:val="0"/>
                    <w:adjustRightInd w:val="0"/>
                    <w:snapToGrid w:val="0"/>
                    <w:spacing w:before="0" w:beforeAutospacing="0" w:after="0" w:afterAutospacing="0"/>
                    <w:ind w:left="0" w:right="0"/>
                    <w:jc w:val="both"/>
                    <w:textAlignment w:val="center"/>
                    <w:rPr>
                      <w:rFonts w:hint="eastAsia"/>
                      <w:color w:val="auto"/>
                      <w:kern w:val="0"/>
                      <w:szCs w:val="21"/>
                      <w:lang w:bidi="ar"/>
                    </w:rPr>
                  </w:pPr>
                  <w:r>
                    <w:rPr>
                      <w:rFonts w:hint="eastAsia"/>
                      <w:color w:val="auto"/>
                      <w:kern w:val="0"/>
                      <w:szCs w:val="21"/>
                      <w:lang w:bidi="ar"/>
                    </w:rPr>
                    <w:t>为</w:t>
                  </w:r>
                  <w:r>
                    <w:rPr>
                      <w:rFonts w:hint="eastAsia"/>
                      <w:color w:val="auto"/>
                      <w:kern w:val="0"/>
                      <w:szCs w:val="21"/>
                      <w:lang w:val="en-US" w:eastAsia="zh-CN" w:bidi="ar"/>
                    </w:rPr>
                    <w:t>岸线修复工程</w:t>
                  </w:r>
                  <w:r>
                    <w:rPr>
                      <w:rFonts w:hint="eastAsia"/>
                      <w:color w:val="auto"/>
                      <w:kern w:val="0"/>
                      <w:szCs w:val="21"/>
                      <w:lang w:bidi="ar"/>
                    </w:rPr>
                    <w:t>，不在防城港</w:t>
                  </w:r>
                </w:p>
                <w:p w14:paraId="35752E47">
                  <w:pPr>
                    <w:keepNext w:val="0"/>
                    <w:keepLines w:val="0"/>
                    <w:widowControl/>
                    <w:suppressLineNumbers w:val="0"/>
                    <w:adjustRightInd w:val="0"/>
                    <w:snapToGrid w:val="0"/>
                    <w:spacing w:before="0" w:beforeAutospacing="0" w:after="0" w:afterAutospacing="0"/>
                    <w:ind w:left="0" w:right="0"/>
                    <w:jc w:val="both"/>
                    <w:textAlignment w:val="center"/>
                    <w:rPr>
                      <w:rFonts w:hint="eastAsia"/>
                      <w:color w:val="auto"/>
                      <w:kern w:val="0"/>
                      <w:szCs w:val="21"/>
                      <w:lang w:bidi="ar"/>
                    </w:rPr>
                  </w:pPr>
                  <w:r>
                    <w:rPr>
                      <w:rFonts w:hint="eastAsia"/>
                      <w:color w:val="auto"/>
                      <w:kern w:val="0"/>
                      <w:szCs w:val="21"/>
                      <w:lang w:bidi="ar"/>
                    </w:rPr>
                    <w:t>市产业限制清单内</w:t>
                  </w:r>
                </w:p>
              </w:tc>
            </w:tr>
            <w:tr w14:paraId="7A92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539" w:type="pct"/>
                  <w:tcBorders>
                    <w:top w:val="single" w:color="auto" w:sz="4" w:space="0"/>
                    <w:left w:val="single" w:color="auto" w:sz="4" w:space="0"/>
                    <w:bottom w:val="single" w:color="auto" w:sz="4" w:space="0"/>
                    <w:right w:val="single" w:color="auto" w:sz="4" w:space="0"/>
                  </w:tcBorders>
                  <w:vAlign w:val="center"/>
                </w:tcPr>
                <w:p w14:paraId="3CB14558">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szCs w:val="21"/>
                    </w:rPr>
                  </w:pPr>
                  <w:r>
                    <w:rPr>
                      <w:rFonts w:hint="eastAsia"/>
                      <w:color w:val="auto"/>
                      <w:szCs w:val="21"/>
                    </w:rPr>
                    <w:t>污染物排放管控</w:t>
                  </w:r>
                </w:p>
              </w:tc>
              <w:tc>
                <w:tcPr>
                  <w:tcW w:w="242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7BE1410">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szCs w:val="21"/>
                    </w:rPr>
                  </w:pPr>
                  <w:r>
                    <w:rPr>
                      <w:rFonts w:hint="eastAsia"/>
                      <w:color w:val="auto"/>
                      <w:szCs w:val="21"/>
                    </w:rPr>
                    <w:t>深化工业水污染综合治理，清理取缔“十小”企业及“散乱污”企业。推进工业集聚区污水治理设施及配套管网建设，严格规范入园企业，确保入园企业类型以及污水排放量与设计相匹配，保障污水处理设施正常运行。</w:t>
                  </w:r>
                </w:p>
              </w:tc>
              <w:tc>
                <w:tcPr>
                  <w:tcW w:w="2038"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790C2F42">
                  <w:pPr>
                    <w:keepNext w:val="0"/>
                    <w:keepLines w:val="0"/>
                    <w:widowControl/>
                    <w:suppressLineNumbers w:val="0"/>
                    <w:adjustRightInd w:val="0"/>
                    <w:snapToGrid w:val="0"/>
                    <w:spacing w:before="0" w:beforeAutospacing="0" w:after="0" w:afterAutospacing="0"/>
                    <w:ind w:left="0" w:right="0"/>
                    <w:jc w:val="both"/>
                    <w:textAlignment w:val="center"/>
                    <w:rPr>
                      <w:rFonts w:hint="eastAsia"/>
                      <w:color w:val="auto"/>
                      <w:kern w:val="0"/>
                      <w:szCs w:val="21"/>
                      <w:lang w:bidi="ar"/>
                    </w:rPr>
                  </w:pPr>
                  <w:r>
                    <w:rPr>
                      <w:rFonts w:hint="eastAsia"/>
                      <w:color w:val="auto"/>
                      <w:kern w:val="0"/>
                      <w:szCs w:val="21"/>
                      <w:lang w:bidi="ar"/>
                    </w:rPr>
                    <w:t>项目运营期无工业废水产生，</w:t>
                  </w:r>
                </w:p>
                <w:p w14:paraId="718CB008">
                  <w:pPr>
                    <w:keepNext w:val="0"/>
                    <w:keepLines w:val="0"/>
                    <w:widowControl/>
                    <w:suppressLineNumbers w:val="0"/>
                    <w:adjustRightInd w:val="0"/>
                    <w:snapToGrid w:val="0"/>
                    <w:spacing w:before="0" w:beforeAutospacing="0" w:after="0" w:afterAutospacing="0"/>
                    <w:ind w:left="0" w:right="0"/>
                    <w:jc w:val="both"/>
                    <w:textAlignment w:val="center"/>
                    <w:rPr>
                      <w:rFonts w:hint="eastAsia"/>
                      <w:color w:val="auto"/>
                      <w:kern w:val="0"/>
                      <w:szCs w:val="21"/>
                      <w:lang w:bidi="ar"/>
                    </w:rPr>
                  </w:pPr>
                  <w:r>
                    <w:rPr>
                      <w:rFonts w:hint="eastAsia"/>
                      <w:color w:val="auto"/>
                      <w:kern w:val="0"/>
                      <w:szCs w:val="21"/>
                      <w:lang w:bidi="ar"/>
                    </w:rPr>
                    <w:t>施工期</w:t>
                  </w:r>
                  <w:r>
                    <w:rPr>
                      <w:rFonts w:hint="eastAsia"/>
                      <w:color w:val="auto"/>
                      <w:kern w:val="0"/>
                      <w:szCs w:val="21"/>
                      <w:lang w:val="en-US" w:eastAsia="zh-CN" w:bidi="ar"/>
                    </w:rPr>
                    <w:t>生活污水依托现有的污水收集设施进行收集，然后送污水处理厂处理。</w:t>
                  </w:r>
                </w:p>
              </w:tc>
            </w:tr>
            <w:tr w14:paraId="4BF8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539" w:type="pct"/>
                  <w:tcBorders>
                    <w:top w:val="single" w:color="auto" w:sz="4" w:space="0"/>
                    <w:left w:val="single" w:color="auto" w:sz="4" w:space="0"/>
                    <w:bottom w:val="single" w:color="auto" w:sz="4" w:space="0"/>
                    <w:right w:val="single" w:color="auto" w:sz="4" w:space="0"/>
                  </w:tcBorders>
                  <w:vAlign w:val="center"/>
                </w:tcPr>
                <w:p w14:paraId="559E4765">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szCs w:val="21"/>
                    </w:rPr>
                  </w:pPr>
                  <w:r>
                    <w:rPr>
                      <w:rFonts w:hint="eastAsia"/>
                      <w:color w:val="auto"/>
                      <w:szCs w:val="21"/>
                    </w:rPr>
                    <w:t>环境风险防控</w:t>
                  </w:r>
                </w:p>
              </w:tc>
              <w:tc>
                <w:tcPr>
                  <w:tcW w:w="242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425C3A3">
                  <w:pPr>
                    <w:keepNext w:val="0"/>
                    <w:keepLines w:val="0"/>
                    <w:widowControl/>
                    <w:suppressLineNumbers w:val="0"/>
                    <w:adjustRightInd w:val="0"/>
                    <w:snapToGrid w:val="0"/>
                    <w:spacing w:before="0" w:beforeAutospacing="0" w:after="0" w:afterAutospacing="0"/>
                    <w:ind w:left="0" w:right="0"/>
                    <w:jc w:val="center"/>
                    <w:textAlignment w:val="center"/>
                    <w:rPr>
                      <w:rFonts w:hint="eastAsia"/>
                      <w:color w:val="auto"/>
                      <w:szCs w:val="21"/>
                    </w:rPr>
                  </w:pPr>
                  <w:r>
                    <w:rPr>
                      <w:rFonts w:hint="eastAsia"/>
                      <w:color w:val="auto"/>
                      <w:szCs w:val="21"/>
                    </w:rPr>
                    <w:t>严格建设项目环境准入，永久基本农田集中区域禁止规划新建可能造成土壤污染的建设项目；新（改、扩）建涉有毒有害物质可能造成土壤污染的建设项目，提出并落实污染防治要求。</w:t>
                  </w:r>
                </w:p>
              </w:tc>
              <w:tc>
                <w:tcPr>
                  <w:tcW w:w="2038"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34E75700">
                  <w:pPr>
                    <w:keepNext w:val="0"/>
                    <w:keepLines w:val="0"/>
                    <w:widowControl/>
                    <w:suppressLineNumbers w:val="0"/>
                    <w:adjustRightInd w:val="0"/>
                    <w:snapToGrid w:val="0"/>
                    <w:spacing w:before="0" w:beforeAutospacing="0" w:after="0" w:afterAutospacing="0"/>
                    <w:ind w:left="0" w:right="0"/>
                    <w:jc w:val="both"/>
                    <w:textAlignment w:val="center"/>
                    <w:rPr>
                      <w:rFonts w:hint="eastAsia"/>
                      <w:color w:val="auto"/>
                      <w:kern w:val="0"/>
                      <w:szCs w:val="21"/>
                      <w:lang w:bidi="ar"/>
                    </w:rPr>
                  </w:pPr>
                  <w:r>
                    <w:rPr>
                      <w:rFonts w:hint="eastAsia"/>
                      <w:color w:val="auto"/>
                      <w:kern w:val="0"/>
                      <w:szCs w:val="21"/>
                      <w:lang w:bidi="ar"/>
                    </w:rPr>
                    <w:t>项目为</w:t>
                  </w:r>
                  <w:r>
                    <w:rPr>
                      <w:rFonts w:hint="eastAsia"/>
                      <w:color w:val="auto"/>
                      <w:kern w:val="0"/>
                      <w:szCs w:val="21"/>
                      <w:lang w:val="en-US" w:eastAsia="zh-CN" w:bidi="ar"/>
                    </w:rPr>
                    <w:t>岸线修复</w:t>
                  </w:r>
                  <w:r>
                    <w:rPr>
                      <w:rFonts w:hint="eastAsia"/>
                      <w:color w:val="auto"/>
                      <w:kern w:val="0"/>
                      <w:szCs w:val="21"/>
                      <w:lang w:bidi="ar"/>
                    </w:rPr>
                    <w:t>项目，不属于</w:t>
                  </w:r>
                </w:p>
                <w:p w14:paraId="64878E82">
                  <w:pPr>
                    <w:keepNext w:val="0"/>
                    <w:keepLines w:val="0"/>
                    <w:widowControl/>
                    <w:suppressLineNumbers w:val="0"/>
                    <w:adjustRightInd w:val="0"/>
                    <w:snapToGrid w:val="0"/>
                    <w:spacing w:before="0" w:beforeAutospacing="0" w:after="0" w:afterAutospacing="0"/>
                    <w:ind w:left="0" w:right="0"/>
                    <w:jc w:val="both"/>
                    <w:textAlignment w:val="center"/>
                    <w:rPr>
                      <w:rFonts w:hint="eastAsia"/>
                      <w:color w:val="auto"/>
                      <w:kern w:val="0"/>
                      <w:szCs w:val="21"/>
                      <w:lang w:bidi="ar"/>
                    </w:rPr>
                  </w:pPr>
                  <w:r>
                    <w:rPr>
                      <w:rFonts w:hint="eastAsia"/>
                      <w:color w:val="auto"/>
                      <w:kern w:val="0"/>
                      <w:szCs w:val="21"/>
                      <w:lang w:bidi="ar"/>
                    </w:rPr>
                    <w:t>土壤污染项目，不涉及永久</w:t>
                  </w:r>
                </w:p>
                <w:p w14:paraId="27CF04CE">
                  <w:pPr>
                    <w:keepNext w:val="0"/>
                    <w:keepLines w:val="0"/>
                    <w:widowControl/>
                    <w:suppressLineNumbers w:val="0"/>
                    <w:adjustRightInd w:val="0"/>
                    <w:snapToGrid w:val="0"/>
                    <w:spacing w:before="0" w:beforeAutospacing="0" w:after="0" w:afterAutospacing="0"/>
                    <w:ind w:left="0" w:right="0"/>
                    <w:jc w:val="both"/>
                    <w:textAlignment w:val="center"/>
                    <w:rPr>
                      <w:rFonts w:hint="eastAsia"/>
                      <w:color w:val="auto"/>
                      <w:kern w:val="0"/>
                      <w:szCs w:val="21"/>
                      <w:lang w:bidi="ar"/>
                    </w:rPr>
                  </w:pPr>
                  <w:r>
                    <w:rPr>
                      <w:rFonts w:hint="eastAsia"/>
                      <w:color w:val="auto"/>
                      <w:kern w:val="0"/>
                      <w:szCs w:val="21"/>
                      <w:lang w:bidi="ar"/>
                    </w:rPr>
                    <w:t>基本农田。</w:t>
                  </w:r>
                </w:p>
              </w:tc>
            </w:tr>
          </w:tbl>
          <w:p w14:paraId="086416B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根据《防城港市生态环境局关于印发实施防城港市生态环境分区管控动态更新成果（2023年）的通知》及项目研判报告（附件</w:t>
            </w:r>
            <w:r>
              <w:rPr>
                <w:rFonts w:hint="eastAsia"/>
                <w:color w:val="auto"/>
                <w:kern w:val="0"/>
                <w:sz w:val="24"/>
                <w:lang w:val="en-US" w:eastAsia="zh-CN"/>
              </w:rPr>
              <w:t>3</w:t>
            </w:r>
            <w:r>
              <w:rPr>
                <w:rFonts w:hint="eastAsia"/>
                <w:color w:val="auto"/>
                <w:kern w:val="0"/>
                <w:sz w:val="24"/>
              </w:rPr>
              <w:t>），项目共涉及</w:t>
            </w:r>
            <w:r>
              <w:rPr>
                <w:rFonts w:hint="eastAsia"/>
                <w:color w:val="auto"/>
                <w:kern w:val="0"/>
                <w:sz w:val="24"/>
                <w:lang w:val="en-US" w:eastAsia="zh-CN"/>
              </w:rPr>
              <w:t>3</w:t>
            </w:r>
            <w:r>
              <w:rPr>
                <w:rFonts w:hint="eastAsia"/>
                <w:color w:val="auto"/>
                <w:kern w:val="0"/>
                <w:sz w:val="24"/>
              </w:rPr>
              <w:t>个环境管控单元，其中重点管控类2个，一般管控类1个。详见下表。</w:t>
            </w:r>
          </w:p>
          <w:p w14:paraId="02C82D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表1.2-2 本项目环境管控单元交叠情况一览表</w:t>
            </w:r>
          </w:p>
          <w:tbl>
            <w:tblPr>
              <w:tblStyle w:val="29"/>
              <w:tblW w:w="7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741"/>
              <w:gridCol w:w="2017"/>
              <w:gridCol w:w="1597"/>
              <w:gridCol w:w="1252"/>
            </w:tblGrid>
            <w:tr w14:paraId="5AF9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612" w:type="dxa"/>
                  <w:shd w:val="clear" w:color="auto" w:fill="auto"/>
                  <w:vAlign w:val="center"/>
                </w:tcPr>
                <w:p w14:paraId="41D21E31">
                  <w:pPr>
                    <w:pStyle w:val="72"/>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pacing w:val="-2"/>
                      <w:kern w:val="0"/>
                      <w:sz w:val="21"/>
                      <w:szCs w:val="21"/>
                      <w:lang w:val="en-US" w:eastAsia="zh-CN" w:bidi="ar-SA"/>
                    </w:rPr>
                  </w:pPr>
                  <w:r>
                    <w:rPr>
                      <w:rFonts w:hint="eastAsia" w:cs="Times New Roman"/>
                      <w:color w:val="auto"/>
                    </w:rPr>
                    <w:t>序号</w:t>
                  </w:r>
                </w:p>
              </w:tc>
              <w:tc>
                <w:tcPr>
                  <w:tcW w:w="1741" w:type="dxa"/>
                  <w:shd w:val="clear" w:color="auto" w:fill="auto"/>
                  <w:vAlign w:val="center"/>
                </w:tcPr>
                <w:p w14:paraId="52030A27">
                  <w:pPr>
                    <w:pStyle w:val="72"/>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pacing w:val="-2"/>
                      <w:kern w:val="0"/>
                      <w:sz w:val="21"/>
                      <w:szCs w:val="21"/>
                      <w:lang w:val="en-US" w:eastAsia="zh-CN" w:bidi="ar-SA"/>
                    </w:rPr>
                  </w:pPr>
                  <w:r>
                    <w:rPr>
                      <w:rFonts w:hint="eastAsia" w:cs="Times New Roman"/>
                      <w:color w:val="auto"/>
                    </w:rPr>
                    <w:t>管控单元编号</w:t>
                  </w:r>
                </w:p>
              </w:tc>
              <w:tc>
                <w:tcPr>
                  <w:tcW w:w="2017" w:type="dxa"/>
                  <w:shd w:val="clear" w:color="auto" w:fill="auto"/>
                  <w:vAlign w:val="center"/>
                </w:tcPr>
                <w:p w14:paraId="3D0F06DC">
                  <w:pPr>
                    <w:pStyle w:val="72"/>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pacing w:val="-2"/>
                      <w:kern w:val="0"/>
                      <w:sz w:val="21"/>
                      <w:szCs w:val="21"/>
                      <w:lang w:val="en-US" w:eastAsia="zh-CN" w:bidi="ar-SA"/>
                    </w:rPr>
                  </w:pPr>
                  <w:r>
                    <w:rPr>
                      <w:rFonts w:hint="eastAsia" w:cs="Times New Roman"/>
                      <w:color w:val="auto"/>
                    </w:rPr>
                    <w:t>管控单元名称</w:t>
                  </w:r>
                </w:p>
              </w:tc>
              <w:tc>
                <w:tcPr>
                  <w:tcW w:w="1597" w:type="dxa"/>
                  <w:shd w:val="clear" w:color="auto" w:fill="auto"/>
                  <w:vAlign w:val="center"/>
                </w:tcPr>
                <w:p w14:paraId="1B72C229">
                  <w:pPr>
                    <w:pStyle w:val="72"/>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pacing w:val="-2"/>
                      <w:kern w:val="0"/>
                      <w:sz w:val="21"/>
                      <w:szCs w:val="21"/>
                      <w:lang w:val="en-US" w:eastAsia="zh-CN" w:bidi="ar-SA"/>
                    </w:rPr>
                  </w:pPr>
                  <w:r>
                    <w:rPr>
                      <w:rFonts w:hint="eastAsia" w:cs="Times New Roman"/>
                      <w:color w:val="auto"/>
                    </w:rPr>
                    <w:t>管控单元分类</w:t>
                  </w:r>
                </w:p>
              </w:tc>
              <w:tc>
                <w:tcPr>
                  <w:tcW w:w="1252" w:type="dxa"/>
                  <w:shd w:val="clear" w:color="auto" w:fill="auto"/>
                  <w:vAlign w:val="center"/>
                </w:tcPr>
                <w:p w14:paraId="1F2C6E07">
                  <w:pPr>
                    <w:pStyle w:val="72"/>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pacing w:val="-2"/>
                      <w:kern w:val="0"/>
                      <w:sz w:val="21"/>
                      <w:szCs w:val="21"/>
                      <w:lang w:val="en-US" w:eastAsia="zh-CN" w:bidi="ar-SA"/>
                    </w:rPr>
                  </w:pPr>
                  <w:r>
                    <w:rPr>
                      <w:rFonts w:hint="eastAsia" w:cs="Times New Roman"/>
                      <w:color w:val="auto"/>
                    </w:rPr>
                    <w:t>国家标识码</w:t>
                  </w:r>
                </w:p>
              </w:tc>
            </w:tr>
            <w:tr w14:paraId="5B04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vAlign w:val="center"/>
                </w:tcPr>
                <w:p w14:paraId="00A0D762">
                  <w:pPr>
                    <w:pStyle w:val="69"/>
                    <w:keepNext w:val="0"/>
                    <w:keepLines w:val="0"/>
                    <w:suppressLineNumbers w:val="0"/>
                    <w:spacing w:before="0" w:beforeAutospacing="0" w:after="0" w:afterAutospacing="0"/>
                    <w:ind w:left="0" w:right="0"/>
                    <w:jc w:val="center"/>
                    <w:rPr>
                      <w:rFonts w:hint="eastAsia" w:eastAsia="宋体"/>
                      <w:color w:val="auto"/>
                      <w:vertAlign w:val="baseline"/>
                      <w:lang w:val="en-US" w:eastAsia="zh-CN"/>
                    </w:rPr>
                  </w:pPr>
                  <w:r>
                    <w:rPr>
                      <w:rFonts w:hint="eastAsia"/>
                      <w:color w:val="auto"/>
                      <w:vertAlign w:val="baseline"/>
                      <w:lang w:val="en-US" w:eastAsia="zh-CN"/>
                    </w:rPr>
                    <w:t>1</w:t>
                  </w:r>
                </w:p>
              </w:tc>
              <w:tc>
                <w:tcPr>
                  <w:tcW w:w="1741" w:type="dxa"/>
                  <w:shd w:val="clear" w:color="auto" w:fill="auto"/>
                  <w:vAlign w:val="center"/>
                </w:tcPr>
                <w:p w14:paraId="0F5D7405">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rPr>
                    <w:t>ZH45060220002</w:t>
                  </w:r>
                </w:p>
              </w:tc>
              <w:tc>
                <w:tcPr>
                  <w:tcW w:w="2017" w:type="dxa"/>
                  <w:shd w:val="clear" w:color="auto" w:fill="auto"/>
                  <w:vAlign w:val="center"/>
                </w:tcPr>
                <w:p w14:paraId="67F52018">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防城港经济技术开发区重点管控单元</w:t>
                  </w:r>
                </w:p>
              </w:tc>
              <w:tc>
                <w:tcPr>
                  <w:tcW w:w="1597" w:type="dxa"/>
                  <w:shd w:val="clear" w:color="auto" w:fill="auto"/>
                  <w:vAlign w:val="center"/>
                </w:tcPr>
                <w:p w14:paraId="3BA25751">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rPr>
                    <w:t>重点管控单元</w:t>
                  </w:r>
                </w:p>
              </w:tc>
              <w:tc>
                <w:tcPr>
                  <w:tcW w:w="1252" w:type="dxa"/>
                  <w:vAlign w:val="center"/>
                </w:tcPr>
                <w:p w14:paraId="6D30E7DE">
                  <w:pPr>
                    <w:pStyle w:val="69"/>
                    <w:keepNext w:val="0"/>
                    <w:keepLines w:val="0"/>
                    <w:suppressLineNumbers w:val="0"/>
                    <w:spacing w:before="0" w:beforeAutospacing="0" w:after="0" w:afterAutospacing="0"/>
                    <w:ind w:left="0" w:right="0"/>
                    <w:jc w:val="center"/>
                    <w:rPr>
                      <w:rFonts w:hint="eastAsia"/>
                      <w:color w:val="auto"/>
                      <w:vertAlign w:val="baseline"/>
                    </w:rPr>
                  </w:pPr>
                </w:p>
                <w:p w14:paraId="1F0695C8">
                  <w:pPr>
                    <w:pStyle w:val="69"/>
                    <w:keepNext w:val="0"/>
                    <w:keepLines w:val="0"/>
                    <w:suppressLineNumbers w:val="0"/>
                    <w:spacing w:before="0" w:beforeAutospacing="0" w:after="0" w:afterAutospacing="0"/>
                    <w:ind w:left="0" w:right="0"/>
                    <w:jc w:val="center"/>
                    <w:rPr>
                      <w:rFonts w:hint="default" w:eastAsia="宋体"/>
                      <w:color w:val="auto"/>
                      <w:vertAlign w:val="baseline"/>
                      <w:lang w:val="en-US" w:eastAsia="zh-CN"/>
                    </w:rPr>
                  </w:pPr>
                  <w:r>
                    <w:rPr>
                      <w:rFonts w:hint="eastAsia"/>
                      <w:color w:val="auto"/>
                      <w:vertAlign w:val="baseline"/>
                      <w:lang w:val="en-US" w:eastAsia="zh-CN"/>
                    </w:rPr>
                    <w:t>/</w:t>
                  </w:r>
                </w:p>
              </w:tc>
            </w:tr>
            <w:tr w14:paraId="444C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vAlign w:val="center"/>
                </w:tcPr>
                <w:p w14:paraId="0AEB8A19">
                  <w:pPr>
                    <w:pStyle w:val="69"/>
                    <w:keepNext w:val="0"/>
                    <w:keepLines w:val="0"/>
                    <w:suppressLineNumbers w:val="0"/>
                    <w:spacing w:before="0" w:beforeAutospacing="0" w:after="0" w:afterAutospacing="0"/>
                    <w:ind w:left="0" w:right="0"/>
                    <w:jc w:val="center"/>
                    <w:rPr>
                      <w:rFonts w:hint="eastAsia" w:eastAsia="宋体"/>
                      <w:color w:val="auto"/>
                      <w:vertAlign w:val="baseline"/>
                      <w:lang w:val="en-US" w:eastAsia="zh-CN"/>
                    </w:rPr>
                  </w:pPr>
                  <w:r>
                    <w:rPr>
                      <w:rFonts w:hint="eastAsia"/>
                      <w:color w:val="auto"/>
                      <w:vertAlign w:val="baseline"/>
                      <w:lang w:val="en-US" w:eastAsia="zh-CN"/>
                    </w:rPr>
                    <w:t>2</w:t>
                  </w:r>
                </w:p>
              </w:tc>
              <w:tc>
                <w:tcPr>
                  <w:tcW w:w="1741" w:type="dxa"/>
                  <w:shd w:val="clear" w:color="auto" w:fill="auto"/>
                  <w:vAlign w:val="center"/>
                </w:tcPr>
                <w:p w14:paraId="2123F313">
                  <w:pPr>
                    <w:pStyle w:val="54"/>
                    <w:keepNext w:val="0"/>
                    <w:keepLines w:val="0"/>
                    <w:suppressLineNumbers w:val="0"/>
                    <w:spacing w:before="0" w:beforeAutospacing="0" w:after="0" w:afterAutospacing="0"/>
                    <w:ind w:left="0" w:right="0"/>
                    <w:jc w:val="center"/>
                    <w:rPr>
                      <w:rFonts w:hint="eastAsia"/>
                      <w:color w:val="auto"/>
                      <w:sz w:val="21"/>
                    </w:rPr>
                  </w:pPr>
                  <w:r>
                    <w:rPr>
                      <w:rFonts w:hint="default"/>
                      <w:color w:val="auto"/>
                      <w:sz w:val="21"/>
                      <w:lang w:val="en-US" w:eastAsia="zh-CN"/>
                    </w:rPr>
                    <w:t>ZH45060220004</w:t>
                  </w:r>
                </w:p>
                <w:p w14:paraId="04FA3D08">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p>
              </w:tc>
              <w:tc>
                <w:tcPr>
                  <w:tcW w:w="2017" w:type="dxa"/>
                  <w:shd w:val="clear" w:color="auto" w:fill="auto"/>
                  <w:vAlign w:val="center"/>
                </w:tcPr>
                <w:p w14:paraId="046315DA">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港口区城镇空间重点管控单元</w:t>
                  </w:r>
                </w:p>
              </w:tc>
              <w:tc>
                <w:tcPr>
                  <w:tcW w:w="1597" w:type="dxa"/>
                  <w:shd w:val="clear" w:color="auto" w:fill="auto"/>
                  <w:vAlign w:val="center"/>
                </w:tcPr>
                <w:p w14:paraId="33CC0D87">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rPr>
                    <w:t>重点管控单元</w:t>
                  </w:r>
                </w:p>
              </w:tc>
              <w:tc>
                <w:tcPr>
                  <w:tcW w:w="1252" w:type="dxa"/>
                  <w:shd w:val="clear" w:color="auto" w:fill="auto"/>
                  <w:vAlign w:val="center"/>
                </w:tcPr>
                <w:p w14:paraId="4E5C6E03">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rPr>
                    <w:t>/</w:t>
                  </w:r>
                </w:p>
              </w:tc>
            </w:tr>
            <w:tr w14:paraId="0E57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vAlign w:val="center"/>
                </w:tcPr>
                <w:p w14:paraId="5C6A371C">
                  <w:pPr>
                    <w:pStyle w:val="69"/>
                    <w:keepNext w:val="0"/>
                    <w:keepLines w:val="0"/>
                    <w:suppressLineNumbers w:val="0"/>
                    <w:spacing w:before="0" w:beforeAutospacing="0" w:after="0" w:afterAutospacing="0"/>
                    <w:ind w:left="0" w:right="0"/>
                    <w:jc w:val="center"/>
                    <w:rPr>
                      <w:rFonts w:hint="eastAsia" w:eastAsia="宋体"/>
                      <w:color w:val="auto"/>
                      <w:vertAlign w:val="baseline"/>
                      <w:lang w:val="en-US" w:eastAsia="zh-CN"/>
                    </w:rPr>
                  </w:pPr>
                  <w:r>
                    <w:rPr>
                      <w:rFonts w:hint="eastAsia"/>
                      <w:color w:val="auto"/>
                      <w:vertAlign w:val="baseline"/>
                      <w:lang w:val="en-US" w:eastAsia="zh-CN"/>
                    </w:rPr>
                    <w:t>3</w:t>
                  </w:r>
                </w:p>
              </w:tc>
              <w:tc>
                <w:tcPr>
                  <w:tcW w:w="1741" w:type="dxa"/>
                  <w:shd w:val="clear" w:color="auto" w:fill="auto"/>
                  <w:vAlign w:val="center"/>
                </w:tcPr>
                <w:p w14:paraId="12E7F81F">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color w:val="auto"/>
                      <w:sz w:val="21"/>
                      <w:lang w:val="en-US" w:eastAsia="zh-CN"/>
                    </w:rPr>
                    <w:t>HY45060030012</w:t>
                  </w:r>
                </w:p>
              </w:tc>
              <w:tc>
                <w:tcPr>
                  <w:tcW w:w="2017" w:type="dxa"/>
                  <w:shd w:val="clear" w:color="auto" w:fill="auto"/>
                  <w:vAlign w:val="center"/>
                </w:tcPr>
                <w:p w14:paraId="35F7ABF4">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防城港市东湾保留区（防城港市东湾海洋预留区）</w:t>
                  </w:r>
                </w:p>
              </w:tc>
              <w:tc>
                <w:tcPr>
                  <w:tcW w:w="1597" w:type="dxa"/>
                  <w:shd w:val="clear" w:color="auto" w:fill="auto"/>
                  <w:vAlign w:val="center"/>
                </w:tcPr>
                <w:p w14:paraId="1D987CB8">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rPr>
                    <w:t>一般管控单元</w:t>
                  </w:r>
                </w:p>
              </w:tc>
              <w:tc>
                <w:tcPr>
                  <w:tcW w:w="1252" w:type="dxa"/>
                  <w:shd w:val="clear" w:color="auto" w:fill="auto"/>
                  <w:vAlign w:val="center"/>
                </w:tcPr>
                <w:p w14:paraId="2D602114">
                  <w:pPr>
                    <w:pStyle w:val="5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54</w:t>
                  </w:r>
                </w:p>
              </w:tc>
            </w:tr>
          </w:tbl>
          <w:p w14:paraId="6030AC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表1.2-3 项目与管控单元的相符性分析</w:t>
            </w:r>
          </w:p>
          <w:tbl>
            <w:tblPr>
              <w:tblStyle w:val="28"/>
              <w:tblW w:w="49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1"/>
              <w:gridCol w:w="5118"/>
              <w:gridCol w:w="1533"/>
            </w:tblGrid>
            <w:tr w14:paraId="668F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464AF0C7">
                  <w:pPr>
                    <w:keepNext w:val="0"/>
                    <w:keepLines w:val="0"/>
                    <w:suppressLineNumbers w:val="0"/>
                    <w:autoSpaceDE w:val="0"/>
                    <w:autoSpaceDN w:val="0"/>
                    <w:adjustRightInd w:val="0"/>
                    <w:snapToGrid w:val="0"/>
                    <w:spacing w:before="0" w:beforeAutospacing="0" w:after="0" w:afterAutospacing="0"/>
                    <w:ind w:left="0" w:right="0"/>
                    <w:jc w:val="center"/>
                    <w:rPr>
                      <w:rFonts w:hint="eastAsia"/>
                      <w:b/>
                      <w:color w:val="auto"/>
                      <w:kern w:val="0"/>
                      <w:szCs w:val="21"/>
                    </w:rPr>
                  </w:pPr>
                  <w:r>
                    <w:rPr>
                      <w:rFonts w:hint="eastAsia"/>
                      <w:b/>
                      <w:color w:val="auto"/>
                      <w:kern w:val="0"/>
                      <w:szCs w:val="21"/>
                    </w:rPr>
                    <w:t>管理类别</w:t>
                  </w:r>
                </w:p>
              </w:tc>
              <w:tc>
                <w:tcPr>
                  <w:tcW w:w="3462" w:type="pct"/>
                  <w:vAlign w:val="center"/>
                </w:tcPr>
                <w:p w14:paraId="4403CA60">
                  <w:pPr>
                    <w:keepNext w:val="0"/>
                    <w:keepLines w:val="0"/>
                    <w:suppressLineNumbers w:val="0"/>
                    <w:autoSpaceDE w:val="0"/>
                    <w:autoSpaceDN w:val="0"/>
                    <w:adjustRightInd w:val="0"/>
                    <w:snapToGrid w:val="0"/>
                    <w:spacing w:before="0" w:beforeAutospacing="0" w:after="0" w:afterAutospacing="0"/>
                    <w:ind w:left="0" w:right="0"/>
                    <w:jc w:val="center"/>
                    <w:rPr>
                      <w:rFonts w:hint="eastAsia"/>
                      <w:b/>
                      <w:color w:val="auto"/>
                      <w:kern w:val="0"/>
                      <w:szCs w:val="21"/>
                    </w:rPr>
                  </w:pPr>
                  <w:r>
                    <w:rPr>
                      <w:rFonts w:hint="eastAsia"/>
                      <w:b/>
                      <w:color w:val="auto"/>
                      <w:kern w:val="0"/>
                      <w:szCs w:val="21"/>
                    </w:rPr>
                    <w:t>生态环境准入及管控要求</w:t>
                  </w:r>
                </w:p>
              </w:tc>
              <w:tc>
                <w:tcPr>
                  <w:tcW w:w="1036" w:type="pct"/>
                  <w:vAlign w:val="center"/>
                </w:tcPr>
                <w:p w14:paraId="607794AC">
                  <w:pPr>
                    <w:keepNext w:val="0"/>
                    <w:keepLines w:val="0"/>
                    <w:suppressLineNumbers w:val="0"/>
                    <w:autoSpaceDE w:val="0"/>
                    <w:autoSpaceDN w:val="0"/>
                    <w:adjustRightInd w:val="0"/>
                    <w:snapToGrid w:val="0"/>
                    <w:spacing w:before="0" w:beforeAutospacing="0" w:after="0" w:afterAutospacing="0"/>
                    <w:ind w:left="0" w:right="0"/>
                    <w:jc w:val="center"/>
                    <w:rPr>
                      <w:rFonts w:hint="eastAsia"/>
                      <w:b/>
                      <w:color w:val="auto"/>
                      <w:kern w:val="0"/>
                      <w:szCs w:val="21"/>
                    </w:rPr>
                  </w:pPr>
                  <w:r>
                    <w:rPr>
                      <w:rFonts w:hint="eastAsia"/>
                      <w:b/>
                      <w:color w:val="auto"/>
                      <w:kern w:val="0"/>
                      <w:szCs w:val="21"/>
                    </w:rPr>
                    <w:t>本项目情况相符性分析</w:t>
                  </w:r>
                </w:p>
              </w:tc>
            </w:tr>
            <w:tr w14:paraId="5765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3"/>
                  <w:vAlign w:val="center"/>
                </w:tcPr>
                <w:p w14:paraId="289AD836">
                  <w:pPr>
                    <w:keepNext w:val="0"/>
                    <w:keepLines w:val="0"/>
                    <w:suppressLineNumbers w:val="0"/>
                    <w:autoSpaceDE w:val="0"/>
                    <w:autoSpaceDN w:val="0"/>
                    <w:adjustRightInd w:val="0"/>
                    <w:snapToGrid w:val="0"/>
                    <w:spacing w:before="0" w:beforeAutospacing="0" w:after="0" w:afterAutospacing="0"/>
                    <w:ind w:left="0" w:right="0"/>
                    <w:jc w:val="center"/>
                    <w:rPr>
                      <w:rFonts w:hint="eastAsia"/>
                      <w:b/>
                      <w:color w:val="C00000"/>
                      <w:kern w:val="0"/>
                      <w:szCs w:val="21"/>
                    </w:rPr>
                  </w:pPr>
                  <w:r>
                    <w:rPr>
                      <w:rFonts w:hint="eastAsia"/>
                      <w:b/>
                      <w:color w:val="auto"/>
                      <w:kern w:val="0"/>
                      <w:szCs w:val="21"/>
                    </w:rPr>
                    <w:t>防城港经济技术开发区重点管控单元</w:t>
                  </w:r>
                </w:p>
              </w:tc>
            </w:tr>
            <w:tr w14:paraId="1D31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6507C7A7">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空间布局约束</w:t>
                  </w:r>
                </w:p>
              </w:tc>
              <w:tc>
                <w:tcPr>
                  <w:tcW w:w="3462" w:type="pct"/>
                  <w:vAlign w:val="center"/>
                </w:tcPr>
                <w:p w14:paraId="0DF55F90">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1</w:t>
                  </w:r>
                  <w:r>
                    <w:rPr>
                      <w:rFonts w:hint="eastAsia"/>
                      <w:color w:val="auto"/>
                      <w:kern w:val="0"/>
                      <w:szCs w:val="21"/>
                      <w:lang w:eastAsia="zh-CN"/>
                    </w:rPr>
                    <w:t>.</w:t>
                  </w:r>
                  <w:r>
                    <w:rPr>
                      <w:rFonts w:hint="eastAsia"/>
                      <w:color w:val="auto"/>
                      <w:kern w:val="0"/>
                      <w:szCs w:val="21"/>
                    </w:rPr>
                    <w:t>引进的项目必须符合国家、自治区产业政策、供地政策及园区产业定位。</w:t>
                  </w:r>
                </w:p>
                <w:p w14:paraId="127E48A7">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2</w:t>
                  </w:r>
                  <w:r>
                    <w:rPr>
                      <w:rFonts w:hint="eastAsia"/>
                      <w:color w:val="auto"/>
                      <w:kern w:val="0"/>
                      <w:szCs w:val="21"/>
                      <w:lang w:eastAsia="zh-CN"/>
                    </w:rPr>
                    <w:t>.</w:t>
                  </w:r>
                  <w:r>
                    <w:rPr>
                      <w:rFonts w:hint="eastAsia"/>
                      <w:color w:val="auto"/>
                      <w:kern w:val="0"/>
                      <w:szCs w:val="21"/>
                    </w:rPr>
                    <w:t>严格控制东湾海域新增设入海排污口。</w:t>
                  </w:r>
                </w:p>
                <w:p w14:paraId="22E20FFC">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3</w:t>
                  </w:r>
                  <w:r>
                    <w:rPr>
                      <w:rFonts w:hint="eastAsia"/>
                      <w:color w:val="auto"/>
                      <w:kern w:val="0"/>
                      <w:szCs w:val="21"/>
                      <w:lang w:eastAsia="zh-CN"/>
                    </w:rPr>
                    <w:t>.</w:t>
                  </w:r>
                  <w:r>
                    <w:rPr>
                      <w:rFonts w:hint="eastAsia"/>
                      <w:color w:val="auto"/>
                      <w:kern w:val="0"/>
                      <w:szCs w:val="21"/>
                    </w:rPr>
                    <w:t>防城港东湾红树林红线区1公里范围内，严格控制新增油类等液体危化品码头项目布局，避免影响红树林生境。</w:t>
                  </w:r>
                </w:p>
                <w:p w14:paraId="4B8DC0EE">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4</w:t>
                  </w:r>
                  <w:r>
                    <w:rPr>
                      <w:rFonts w:hint="eastAsia"/>
                      <w:color w:val="auto"/>
                      <w:kern w:val="0"/>
                      <w:szCs w:val="21"/>
                      <w:lang w:eastAsia="zh-CN"/>
                    </w:rPr>
                    <w:t>.</w:t>
                  </w:r>
                  <w:r>
                    <w:rPr>
                      <w:rFonts w:hint="eastAsia"/>
                      <w:color w:val="auto"/>
                      <w:kern w:val="0"/>
                      <w:szCs w:val="21"/>
                    </w:rPr>
                    <w:t>禁止截断蝴蝶岛公园绿地周围水域与海洋的连通性，禁止侵占蝴蝶岛用地。</w:t>
                  </w:r>
                </w:p>
                <w:p w14:paraId="702F5B58">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5</w:t>
                  </w:r>
                  <w:r>
                    <w:rPr>
                      <w:rFonts w:hint="eastAsia"/>
                      <w:color w:val="auto"/>
                      <w:kern w:val="0"/>
                      <w:szCs w:val="21"/>
                      <w:lang w:eastAsia="zh-CN"/>
                    </w:rPr>
                    <w:t>.</w:t>
                  </w:r>
                  <w:r>
                    <w:rPr>
                      <w:rFonts w:hint="eastAsia"/>
                      <w:color w:val="auto"/>
                      <w:kern w:val="0"/>
                      <w:szCs w:val="21"/>
                    </w:rPr>
                    <w:t>新增产能的钢铁、电解铝、水泥、平板玻璃项目应当符合产业政策文件要求。对钢铁、石油、化工、电力、有色金属、水泥、平板玻璃、建筑陶瓷、砖瓦等重点行业依法实施清洁生产审核，采用先进清洁生产技术、工艺和装备。</w:t>
                  </w:r>
                </w:p>
                <w:p w14:paraId="6EC01BA4">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6</w:t>
                  </w:r>
                  <w:r>
                    <w:rPr>
                      <w:rFonts w:hint="eastAsia"/>
                      <w:color w:val="auto"/>
                      <w:kern w:val="0"/>
                      <w:szCs w:val="21"/>
                      <w:lang w:eastAsia="zh-CN"/>
                    </w:rPr>
                    <w:t>.</w:t>
                  </w:r>
                  <w:r>
                    <w:rPr>
                      <w:rFonts w:hint="eastAsia"/>
                      <w:color w:val="auto"/>
                      <w:kern w:val="0"/>
                      <w:szCs w:val="21"/>
                    </w:rPr>
                    <w:t>园区周边</w:t>
                  </w:r>
                  <w:r>
                    <w:rPr>
                      <w:rFonts w:hint="eastAsia"/>
                      <w:color w:val="auto"/>
                      <w:kern w:val="0"/>
                      <w:szCs w:val="21"/>
                      <w:lang w:val="en-US" w:eastAsia="zh-CN"/>
                    </w:rPr>
                    <w:t>1</w:t>
                  </w:r>
                  <w:r>
                    <w:rPr>
                      <w:rFonts w:hint="eastAsia"/>
                      <w:color w:val="auto"/>
                      <w:kern w:val="0"/>
                      <w:szCs w:val="21"/>
                    </w:rPr>
                    <w:t>公里范围内涉及生态保护红线（广西防城港东湾自治区级湿地公园）生态环境敏感区域，应优化产业布局，控制开发强度，优先引进无污染或轻污染的产业和项目，防止侵占生态空间。</w:t>
                  </w:r>
                </w:p>
                <w:p w14:paraId="342CE492">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7</w:t>
                  </w:r>
                  <w:r>
                    <w:rPr>
                      <w:rFonts w:hint="eastAsia"/>
                      <w:color w:val="auto"/>
                      <w:kern w:val="0"/>
                      <w:szCs w:val="21"/>
                      <w:lang w:eastAsia="zh-CN"/>
                    </w:rPr>
                    <w:t>.</w:t>
                  </w:r>
                  <w:r>
                    <w:rPr>
                      <w:rFonts w:hint="eastAsia"/>
                      <w:color w:val="auto"/>
                      <w:kern w:val="0"/>
                      <w:szCs w:val="21"/>
                    </w:rPr>
                    <w:t>强化源头管控，新上项目能效需达到国家、自治区相关标准要求。</w:t>
                  </w:r>
                </w:p>
                <w:p w14:paraId="305D4271">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8</w:t>
                  </w:r>
                  <w:r>
                    <w:rPr>
                      <w:rFonts w:hint="eastAsia"/>
                      <w:color w:val="auto"/>
                      <w:kern w:val="0"/>
                      <w:szCs w:val="21"/>
                      <w:lang w:eastAsia="zh-CN"/>
                    </w:rPr>
                    <w:t>.</w:t>
                  </w:r>
                  <w:r>
                    <w:rPr>
                      <w:rFonts w:hint="eastAsia"/>
                      <w:color w:val="auto"/>
                      <w:kern w:val="0"/>
                      <w:szCs w:val="21"/>
                    </w:rPr>
                    <w:t>新建石化和化工项目应符合自治区石化和化工产业发展相关规划、国土空间规划的要求。</w:t>
                  </w:r>
                </w:p>
                <w:p w14:paraId="24ACA36C">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9</w:t>
                  </w:r>
                  <w:r>
                    <w:rPr>
                      <w:rFonts w:hint="eastAsia"/>
                      <w:color w:val="auto"/>
                      <w:kern w:val="0"/>
                      <w:szCs w:val="21"/>
                      <w:lang w:eastAsia="zh-CN"/>
                    </w:rPr>
                    <w:t>.</w:t>
                  </w:r>
                  <w:r>
                    <w:rPr>
                      <w:rFonts w:hint="eastAsia"/>
                      <w:color w:val="auto"/>
                      <w:kern w:val="0"/>
                      <w:szCs w:val="21"/>
                    </w:rPr>
                    <w:t>园区应制定危险化学品“禁限控”目录及新建石化和化工项目准入条件，严禁限制类（按国家规定允许产能置换项目除外）和淘汰类项目入园。</w:t>
                  </w:r>
                </w:p>
              </w:tc>
              <w:tc>
                <w:tcPr>
                  <w:tcW w:w="1036" w:type="pct"/>
                  <w:vAlign w:val="center"/>
                </w:tcPr>
                <w:p w14:paraId="0E0627CD">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C00000"/>
                      <w:kern w:val="0"/>
                      <w:szCs w:val="21"/>
                      <w:lang w:val="en-US" w:eastAsia="zh-CN"/>
                    </w:rPr>
                  </w:pPr>
                  <w:r>
                    <w:rPr>
                      <w:rFonts w:hint="eastAsia"/>
                      <w:color w:val="auto"/>
                      <w:kern w:val="0"/>
                      <w:szCs w:val="21"/>
                      <w:lang w:val="en-US" w:eastAsia="zh-CN"/>
                    </w:rPr>
                    <w:t>符合，</w:t>
                  </w:r>
                  <w:r>
                    <w:rPr>
                      <w:rFonts w:hint="eastAsia"/>
                      <w:color w:val="auto"/>
                      <w:kern w:val="0"/>
                      <w:szCs w:val="21"/>
                    </w:rPr>
                    <w:t>项目属于</w:t>
                  </w:r>
                  <w:r>
                    <w:rPr>
                      <w:rFonts w:hint="eastAsia"/>
                      <w:color w:val="auto"/>
                      <w:kern w:val="0"/>
                      <w:szCs w:val="21"/>
                      <w:lang w:val="en-US" w:eastAsia="zh-CN"/>
                    </w:rPr>
                    <w:t>岸线修复</w:t>
                  </w:r>
                  <w:r>
                    <w:rPr>
                      <w:rFonts w:hint="eastAsia"/>
                      <w:color w:val="auto"/>
                      <w:kern w:val="0"/>
                      <w:szCs w:val="21"/>
                    </w:rPr>
                    <w:t>项目，</w:t>
                  </w:r>
                  <w:r>
                    <w:rPr>
                      <w:rFonts w:hint="eastAsia"/>
                      <w:color w:val="auto"/>
                      <w:kern w:val="0"/>
                      <w:szCs w:val="21"/>
                      <w:lang w:val="en-US" w:eastAsia="zh-CN"/>
                    </w:rPr>
                    <w:t>不涉及入海排污口和危化品码头项目，不会对红树林生境产生影响，运营期不产生污染，不侵占生态空间。</w:t>
                  </w:r>
                </w:p>
              </w:tc>
            </w:tr>
            <w:tr w14:paraId="02E2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1219DE38">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污染物排放管控</w:t>
                  </w:r>
                </w:p>
              </w:tc>
              <w:tc>
                <w:tcPr>
                  <w:tcW w:w="3462" w:type="pct"/>
                  <w:vAlign w:val="center"/>
                </w:tcPr>
                <w:p w14:paraId="00913B50">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1．新、改、扩建的涉重金属重点行业建设项目必须以改善环境质量为核心，确保区域环境质量符合功能区定位，遵循自治区重金属污染物排放管控相关要求，在项目审批前明确有具体的重金属污染物排放量来源，确保辖区完成重点行业重金属污染物排放总量控制目标。</w:t>
                  </w:r>
                </w:p>
                <w:p w14:paraId="1DB07C25">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2．持续加强工业园区污水集中处理设施和配套管网建设。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p w14:paraId="724C1D79">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3．园区及园区企业排放水污染物，要满足国家或者地方规定的水污染物排放标准和重点水污染物排放总量控制指标。</w:t>
                  </w:r>
                </w:p>
                <w:p w14:paraId="3915664C">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4</w:t>
                  </w:r>
                  <w:r>
                    <w:rPr>
                      <w:rFonts w:hint="eastAsia"/>
                      <w:color w:val="auto"/>
                      <w:kern w:val="0"/>
                      <w:szCs w:val="21"/>
                      <w:lang w:eastAsia="zh-CN"/>
                    </w:rPr>
                    <w:t>.</w:t>
                  </w:r>
                  <w:r>
                    <w:rPr>
                      <w:rFonts w:hint="eastAsia"/>
                      <w:color w:val="auto"/>
                      <w:kern w:val="0"/>
                      <w:szCs w:val="21"/>
                    </w:rPr>
                    <w:t>钢铁、水泥、焦化等重点产业全面推进行业达标排放改造，重点行业建设项目实行主要污染物排放等量或减量置换。新（改、扩）建钢铁企业同步建设烟气超低排放治理设施，达到超低排放限值要求。</w:t>
                  </w:r>
                </w:p>
                <w:p w14:paraId="5883DBD3">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5</w:t>
                  </w:r>
                  <w:r>
                    <w:rPr>
                      <w:rFonts w:hint="eastAsia"/>
                      <w:color w:val="auto"/>
                      <w:kern w:val="0"/>
                      <w:szCs w:val="21"/>
                      <w:lang w:eastAsia="zh-CN"/>
                    </w:rPr>
                    <w:t>.</w:t>
                  </w:r>
                  <w:r>
                    <w:rPr>
                      <w:rFonts w:hint="eastAsia"/>
                      <w:color w:val="auto"/>
                      <w:kern w:val="0"/>
                      <w:szCs w:val="21"/>
                    </w:rPr>
                    <w:t>推动石化、化工、工业涂装、包装印刷、合成材料等重点行业挥发性有机物（VOCs）污染防治。推动石化行业VOCs泄漏检测与修复行动、VOCs削减和有毒有害原料替代。加快实施低VOCs 含量原辅材料替代。有条件园区可建设集中喷涂工程中心，配备高效治污设施，替代企业独立喷涂工序。</w:t>
                  </w:r>
                </w:p>
                <w:p w14:paraId="39961436">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6</w:t>
                  </w:r>
                  <w:r>
                    <w:rPr>
                      <w:rFonts w:hint="eastAsia"/>
                      <w:color w:val="auto"/>
                      <w:kern w:val="0"/>
                      <w:szCs w:val="21"/>
                      <w:lang w:eastAsia="zh-CN"/>
                    </w:rPr>
                    <w:t>.</w:t>
                  </w:r>
                  <w:r>
                    <w:rPr>
                      <w:rFonts w:hint="eastAsia"/>
                      <w:color w:val="auto"/>
                      <w:kern w:val="0"/>
                      <w:szCs w:val="21"/>
                    </w:rPr>
                    <w:t>2025年底前，完成65蒸吨/小时以上的燃煤锅炉（含电力）超低排放改造。生物质锅炉氮氧化物排放浓度无法稳定达标的，加装高效脱硝设施。燃气锅炉实施低氮燃烧改造。</w:t>
                  </w:r>
                </w:p>
                <w:p w14:paraId="6EEF2F06">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7</w:t>
                  </w:r>
                  <w:r>
                    <w:rPr>
                      <w:rFonts w:hint="eastAsia"/>
                      <w:color w:val="auto"/>
                      <w:kern w:val="0"/>
                      <w:szCs w:val="21"/>
                      <w:lang w:eastAsia="zh-CN"/>
                    </w:rPr>
                    <w:t>.</w:t>
                  </w:r>
                  <w:r>
                    <w:rPr>
                      <w:rFonts w:hint="eastAsia"/>
                      <w:color w:val="auto"/>
                      <w:kern w:val="0"/>
                      <w:szCs w:val="21"/>
                    </w:rPr>
                    <w:t>推进园区重点行业节能降碳，重点开展钢铁、有色金属等行业节能降碳改造、工业革新和数字化转型。</w:t>
                  </w:r>
                </w:p>
                <w:p w14:paraId="489F4616">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8</w:t>
                  </w:r>
                  <w:r>
                    <w:rPr>
                      <w:rFonts w:hint="eastAsia"/>
                      <w:color w:val="auto"/>
                      <w:kern w:val="0"/>
                      <w:szCs w:val="21"/>
                      <w:lang w:eastAsia="zh-CN"/>
                    </w:rPr>
                    <w:t>.</w:t>
                  </w:r>
                  <w:r>
                    <w:rPr>
                      <w:rFonts w:hint="eastAsia"/>
                      <w:color w:val="auto"/>
                      <w:kern w:val="0"/>
                      <w:szCs w:val="21"/>
                    </w:rPr>
                    <w:t>新建石化和化工生产项目污染物排放必须同时满足污染物排放标准和主要污染物总量控制要求。</w:t>
                  </w:r>
                </w:p>
                <w:p w14:paraId="2EB08CE9">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9</w:t>
                  </w:r>
                  <w:r>
                    <w:rPr>
                      <w:rFonts w:hint="eastAsia"/>
                      <w:color w:val="auto"/>
                      <w:kern w:val="0"/>
                      <w:szCs w:val="21"/>
                      <w:lang w:eastAsia="zh-CN"/>
                    </w:rPr>
                    <w:t>.</w:t>
                  </w:r>
                  <w:r>
                    <w:rPr>
                      <w:rFonts w:hint="eastAsia"/>
                      <w:color w:val="auto"/>
                      <w:kern w:val="0"/>
                      <w:szCs w:val="21"/>
                    </w:rPr>
                    <w:t>新建石化和化工生产项目应配套固废综合利用或无害化处理设施，危险废物应按照国家及自治区相关危险废物的管理规定进行贮存、转移、安全处置。涉及有毒、有害物质的重点场所或者重点设施设备，应进行防渗漏设计和建设，消除土壤和地下水污染隐患。</w:t>
                  </w:r>
                </w:p>
              </w:tc>
              <w:tc>
                <w:tcPr>
                  <w:tcW w:w="1036" w:type="pct"/>
                  <w:vAlign w:val="center"/>
                </w:tcPr>
                <w:p w14:paraId="4071F9E9">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符合，</w:t>
                  </w:r>
                  <w:r>
                    <w:rPr>
                      <w:rFonts w:hint="eastAsia"/>
                      <w:color w:val="auto"/>
                      <w:kern w:val="0"/>
                      <w:szCs w:val="21"/>
                    </w:rPr>
                    <w:t>项目</w:t>
                  </w:r>
                  <w:r>
                    <w:rPr>
                      <w:rFonts w:hint="eastAsia"/>
                      <w:color w:val="auto"/>
                      <w:kern w:val="0"/>
                      <w:szCs w:val="21"/>
                      <w:lang w:val="en-US" w:eastAsia="zh-CN"/>
                    </w:rPr>
                    <w:t>施工期产生的</w:t>
                  </w:r>
                  <w:r>
                    <w:rPr>
                      <w:rFonts w:hint="eastAsia"/>
                      <w:color w:val="auto"/>
                      <w:kern w:val="0"/>
                      <w:szCs w:val="21"/>
                    </w:rPr>
                    <w:t>生活污水</w:t>
                  </w:r>
                  <w:r>
                    <w:rPr>
                      <w:rFonts w:hint="eastAsia"/>
                      <w:color w:val="auto"/>
                      <w:kern w:val="0"/>
                      <w:szCs w:val="21"/>
                      <w:lang w:val="en-US" w:eastAsia="zh-CN" w:bidi="ar"/>
                    </w:rPr>
                    <w:t>依托厂区现有的污水收集设施进行收集，然后送污水处理厂处理。</w:t>
                  </w:r>
                  <w:r>
                    <w:rPr>
                      <w:rFonts w:hint="eastAsia"/>
                      <w:color w:val="auto"/>
                      <w:kern w:val="0"/>
                      <w:szCs w:val="21"/>
                      <w:lang w:val="en-US" w:eastAsia="zh-CN"/>
                    </w:rPr>
                    <w:t>运营期不产生污染。</w:t>
                  </w:r>
                </w:p>
              </w:tc>
            </w:tr>
            <w:tr w14:paraId="335E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441141E1">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环境风险管控</w:t>
                  </w:r>
                </w:p>
              </w:tc>
              <w:tc>
                <w:tcPr>
                  <w:tcW w:w="3462" w:type="pct"/>
                  <w:vAlign w:val="center"/>
                </w:tcPr>
                <w:p w14:paraId="75DCD5C8">
                  <w:pPr>
                    <w:keepNext w:val="0"/>
                    <w:keepLines w:val="0"/>
                    <w:suppressLineNumbers w:val="0"/>
                    <w:autoSpaceDE w:val="0"/>
                    <w:autoSpaceDN w:val="0"/>
                    <w:adjustRightInd w:val="0"/>
                    <w:snapToGrid w:val="0"/>
                    <w:spacing w:before="0" w:beforeAutospacing="0" w:after="0" w:afterAutospacing="0"/>
                    <w:ind w:left="0" w:right="0"/>
                    <w:jc w:val="left"/>
                    <w:rPr>
                      <w:rFonts w:hint="eastAsia"/>
                      <w:color w:val="auto"/>
                      <w:kern w:val="0"/>
                      <w:szCs w:val="21"/>
                    </w:rPr>
                  </w:pPr>
                  <w:r>
                    <w:rPr>
                      <w:rFonts w:hint="eastAsia"/>
                      <w:color w:val="auto"/>
                      <w:kern w:val="0"/>
                      <w:szCs w:val="21"/>
                    </w:rPr>
                    <w:t>1</w:t>
                  </w:r>
                  <w:r>
                    <w:rPr>
                      <w:rFonts w:hint="eastAsia"/>
                      <w:color w:val="auto"/>
                      <w:kern w:val="0"/>
                      <w:szCs w:val="21"/>
                      <w:lang w:eastAsia="zh-CN"/>
                    </w:rPr>
                    <w:t>.</w:t>
                  </w:r>
                  <w:r>
                    <w:rPr>
                      <w:rFonts w:hint="eastAsia"/>
                      <w:color w:val="auto"/>
                      <w:kern w:val="0"/>
                      <w:szCs w:val="21"/>
                    </w:rPr>
                    <w:t>建设项目应严格落实环境保护措施和环境风险防范措施，防范对东湾红树林保护区、北部湾二长棘鲷长毛对虾国家级水产种质资源保护区、渔业养殖区等周边生态环境敏感区产生不良环境影响。</w:t>
                  </w:r>
                </w:p>
                <w:p w14:paraId="5B388119">
                  <w:pPr>
                    <w:keepNext w:val="0"/>
                    <w:keepLines w:val="0"/>
                    <w:suppressLineNumbers w:val="0"/>
                    <w:autoSpaceDE w:val="0"/>
                    <w:autoSpaceDN w:val="0"/>
                    <w:adjustRightInd w:val="0"/>
                    <w:snapToGrid w:val="0"/>
                    <w:spacing w:before="0" w:beforeAutospacing="0" w:after="0" w:afterAutospacing="0"/>
                    <w:ind w:left="0" w:right="0"/>
                    <w:jc w:val="left"/>
                    <w:rPr>
                      <w:rFonts w:hint="eastAsia"/>
                      <w:color w:val="auto"/>
                      <w:kern w:val="0"/>
                      <w:szCs w:val="21"/>
                    </w:rPr>
                  </w:pPr>
                  <w:r>
                    <w:rPr>
                      <w:rFonts w:hint="eastAsia"/>
                      <w:color w:val="auto"/>
                      <w:kern w:val="0"/>
                      <w:szCs w:val="21"/>
                    </w:rPr>
                    <w:t>2</w:t>
                  </w:r>
                  <w:r>
                    <w:rPr>
                      <w:rFonts w:hint="eastAsia"/>
                      <w:color w:val="auto"/>
                      <w:kern w:val="0"/>
                      <w:szCs w:val="21"/>
                      <w:lang w:eastAsia="zh-CN"/>
                    </w:rPr>
                    <w:t>.</w:t>
                  </w:r>
                  <w:r>
                    <w:rPr>
                      <w:rFonts w:hint="eastAsia"/>
                      <w:color w:val="auto"/>
                      <w:kern w:val="0"/>
                      <w:szCs w:val="21"/>
                    </w:rPr>
                    <w:t>开展环境风险评估，制定突发环境事件应急预案并备案，配备应急能力和物资，建设环境应急队伍，并定期演练。企业、园区与地方人民政府环境应急预案应当有机衔接。</w:t>
                  </w:r>
                </w:p>
                <w:p w14:paraId="65191BEC">
                  <w:pPr>
                    <w:keepNext w:val="0"/>
                    <w:keepLines w:val="0"/>
                    <w:suppressLineNumbers w:val="0"/>
                    <w:autoSpaceDE w:val="0"/>
                    <w:autoSpaceDN w:val="0"/>
                    <w:adjustRightInd w:val="0"/>
                    <w:snapToGrid w:val="0"/>
                    <w:spacing w:before="0" w:beforeAutospacing="0" w:after="0" w:afterAutospacing="0"/>
                    <w:ind w:left="0" w:right="0"/>
                    <w:jc w:val="left"/>
                    <w:rPr>
                      <w:rFonts w:hint="eastAsia"/>
                      <w:color w:val="auto"/>
                      <w:kern w:val="0"/>
                      <w:szCs w:val="21"/>
                    </w:rPr>
                  </w:pPr>
                  <w:r>
                    <w:rPr>
                      <w:rFonts w:hint="eastAsia"/>
                      <w:color w:val="auto"/>
                      <w:kern w:val="0"/>
                      <w:szCs w:val="21"/>
                    </w:rPr>
                    <w:t>3．土壤污染重点监管单位应当严格控制有毒有害物质排放，并按年度向市生态环境主管部门报告排放情况；建立土壤污染隐患排查制度，保证持续有效防止有毒有害物质渗漏、流失、扬散；制定、实施自行监测方案，并将监测数据报市生态环境主管部门。涉重企业要采用新技术、新工艺，加快提标升级改造，实现全面达标排放。坚决淘汰不符合国家产业政策的落后生产工艺装备。</w:t>
                  </w:r>
                </w:p>
              </w:tc>
              <w:tc>
                <w:tcPr>
                  <w:tcW w:w="1036" w:type="pct"/>
                  <w:vAlign w:val="center"/>
                </w:tcPr>
                <w:p w14:paraId="0F510CA5">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C00000"/>
                      <w:kern w:val="0"/>
                      <w:szCs w:val="21"/>
                    </w:rPr>
                  </w:pPr>
                  <w:r>
                    <w:rPr>
                      <w:rFonts w:hint="eastAsia"/>
                      <w:color w:val="auto"/>
                      <w:kern w:val="0"/>
                      <w:szCs w:val="21"/>
                      <w:lang w:val="en-US" w:eastAsia="zh-CN"/>
                    </w:rPr>
                    <w:t>符合，</w:t>
                  </w:r>
                  <w:r>
                    <w:rPr>
                      <w:rFonts w:hint="eastAsia"/>
                      <w:color w:val="auto"/>
                      <w:kern w:val="0"/>
                      <w:szCs w:val="21"/>
                    </w:rPr>
                    <w:t>项目</w:t>
                  </w:r>
                  <w:r>
                    <w:rPr>
                      <w:rFonts w:hint="eastAsia"/>
                      <w:color w:val="auto"/>
                      <w:kern w:val="0"/>
                      <w:szCs w:val="21"/>
                      <w:lang w:val="en-US" w:eastAsia="zh-CN"/>
                    </w:rPr>
                    <w:t>运营期不产生污染，</w:t>
                  </w:r>
                  <w:r>
                    <w:rPr>
                      <w:rFonts w:hint="eastAsia"/>
                      <w:color w:val="auto"/>
                      <w:kern w:val="0"/>
                      <w:szCs w:val="21"/>
                    </w:rPr>
                    <w:t>不</w:t>
                  </w:r>
                  <w:r>
                    <w:rPr>
                      <w:rFonts w:hint="eastAsia"/>
                      <w:color w:val="auto"/>
                      <w:kern w:val="0"/>
                      <w:szCs w:val="21"/>
                      <w:lang w:val="en-US" w:eastAsia="zh-CN"/>
                    </w:rPr>
                    <w:t>涉及</w:t>
                  </w:r>
                  <w:r>
                    <w:rPr>
                      <w:rFonts w:hint="eastAsia"/>
                      <w:color w:val="auto"/>
                      <w:kern w:val="0"/>
                      <w:szCs w:val="21"/>
                    </w:rPr>
                    <w:t>土壤污染类</w:t>
                  </w:r>
                </w:p>
              </w:tc>
            </w:tr>
            <w:tr w14:paraId="3AB3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7024039D">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资源开发利用效率要求</w:t>
                  </w:r>
                </w:p>
              </w:tc>
              <w:tc>
                <w:tcPr>
                  <w:tcW w:w="3462" w:type="pct"/>
                  <w:vAlign w:val="center"/>
                </w:tcPr>
                <w:p w14:paraId="5C08D227">
                  <w:pPr>
                    <w:keepNext w:val="0"/>
                    <w:keepLines w:val="0"/>
                    <w:suppressLineNumbers w:val="0"/>
                    <w:autoSpaceDE w:val="0"/>
                    <w:autoSpaceDN w:val="0"/>
                    <w:adjustRightInd w:val="0"/>
                    <w:snapToGrid w:val="0"/>
                    <w:spacing w:before="0" w:beforeAutospacing="0" w:after="0" w:afterAutospacing="0"/>
                    <w:ind w:left="0" w:right="0"/>
                    <w:jc w:val="left"/>
                    <w:rPr>
                      <w:rFonts w:hint="eastAsia"/>
                      <w:color w:val="auto"/>
                      <w:kern w:val="0"/>
                      <w:szCs w:val="21"/>
                    </w:rPr>
                  </w:pPr>
                  <w:r>
                    <w:rPr>
                      <w:rFonts w:hint="eastAsia"/>
                      <w:color w:val="auto"/>
                      <w:kern w:val="0"/>
                      <w:szCs w:val="21"/>
                    </w:rPr>
                    <w:t>1</w:t>
                  </w:r>
                  <w:r>
                    <w:rPr>
                      <w:rFonts w:hint="eastAsia"/>
                      <w:color w:val="auto"/>
                      <w:kern w:val="0"/>
                      <w:szCs w:val="21"/>
                      <w:lang w:eastAsia="zh-CN"/>
                    </w:rPr>
                    <w:t>.</w:t>
                  </w:r>
                  <w:r>
                    <w:rPr>
                      <w:rFonts w:hint="eastAsia"/>
                      <w:color w:val="auto"/>
                      <w:kern w:val="0"/>
                      <w:szCs w:val="21"/>
                    </w:rPr>
                    <w:t>《防城港市人民政府关于划定防城港市高污染燃料禁燃区的通告》划定的I类禁燃区内禁止燃用燃料种类包括：单台出力小于20蒸吨/小时的锅炉和民用燃煤设备燃用的含硫量大于0.5%、灰分大于10%的煤炭及其制品（其中，型煤、焦炭、兰炭的组分含量大于“部分煤炭制品的组分含量限制”）、石油焦、油页岩、原油、重油、渣油、煤焦油；II类禁燃区内禁止燃用燃料种类包括：除单台出力大于等于20蒸吨/小时锅炉以外燃用的煤炭及其制品、石油焦、油页岩、原油、重油、渣油、煤焦油。禁燃区内，新建、扩建的燃烧设施禁止燃用相应类别的高污染燃料，各单位和个人禁止销售相应类别的高污染燃料，现有的燃用高污染燃料的锅炉、工业窑炉、炉灶等燃烧设施，应当按照辖区人民政府规定的期限，逐步拆除或改用清洁能源。</w:t>
                  </w:r>
                </w:p>
                <w:p w14:paraId="528B9F64">
                  <w:pPr>
                    <w:keepNext w:val="0"/>
                    <w:keepLines w:val="0"/>
                    <w:suppressLineNumbers w:val="0"/>
                    <w:autoSpaceDE w:val="0"/>
                    <w:autoSpaceDN w:val="0"/>
                    <w:adjustRightInd w:val="0"/>
                    <w:snapToGrid w:val="0"/>
                    <w:spacing w:before="0" w:beforeAutospacing="0" w:after="0" w:afterAutospacing="0"/>
                    <w:ind w:left="0" w:right="0"/>
                    <w:jc w:val="left"/>
                    <w:rPr>
                      <w:rFonts w:hint="eastAsia"/>
                      <w:color w:val="auto"/>
                      <w:kern w:val="0"/>
                      <w:szCs w:val="21"/>
                    </w:rPr>
                  </w:pPr>
                  <w:r>
                    <w:rPr>
                      <w:rFonts w:hint="eastAsia"/>
                      <w:color w:val="auto"/>
                      <w:kern w:val="0"/>
                      <w:szCs w:val="21"/>
                    </w:rPr>
                    <w:t>2．鼓励园区内企业采用节能减污降碳协同增效的绿色关键技术、前沿引领技术和相关设施装备。推进能源清洁化，提高清洁能源利用率；推广可再生能源利用；提高工业用水重复利用率，降低新鲜水的使用率。</w:t>
                  </w:r>
                </w:p>
              </w:tc>
              <w:tc>
                <w:tcPr>
                  <w:tcW w:w="1036" w:type="pct"/>
                  <w:vAlign w:val="center"/>
                </w:tcPr>
                <w:p w14:paraId="13ADFABE">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C00000"/>
                      <w:kern w:val="0"/>
                      <w:szCs w:val="21"/>
                    </w:rPr>
                  </w:pPr>
                  <w:r>
                    <w:rPr>
                      <w:rFonts w:hint="eastAsia"/>
                      <w:color w:val="auto"/>
                      <w:kern w:val="0"/>
                      <w:szCs w:val="21"/>
                    </w:rPr>
                    <w:t>符合。项目运营过程中不涉及燃料的使用。</w:t>
                  </w:r>
                </w:p>
              </w:tc>
            </w:tr>
            <w:tr w14:paraId="4A33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3"/>
                  <w:vAlign w:val="center"/>
                </w:tcPr>
                <w:p w14:paraId="5941BE6F">
                  <w:pPr>
                    <w:keepNext w:val="0"/>
                    <w:keepLines w:val="0"/>
                    <w:suppressLineNumbers w:val="0"/>
                    <w:autoSpaceDE w:val="0"/>
                    <w:autoSpaceDN w:val="0"/>
                    <w:adjustRightInd w:val="0"/>
                    <w:snapToGrid w:val="0"/>
                    <w:spacing w:before="0" w:beforeAutospacing="0" w:after="0" w:afterAutospacing="0"/>
                    <w:ind w:left="0" w:right="0"/>
                    <w:jc w:val="center"/>
                    <w:rPr>
                      <w:rFonts w:hint="eastAsia"/>
                      <w:b/>
                      <w:color w:val="C00000"/>
                      <w:kern w:val="0"/>
                      <w:szCs w:val="21"/>
                    </w:rPr>
                  </w:pPr>
                  <w:r>
                    <w:rPr>
                      <w:rFonts w:hint="eastAsia"/>
                      <w:b/>
                      <w:color w:val="auto"/>
                      <w:kern w:val="0"/>
                      <w:szCs w:val="21"/>
                    </w:rPr>
                    <w:t>港口区城镇空间重点管控单元</w:t>
                  </w:r>
                </w:p>
              </w:tc>
            </w:tr>
            <w:tr w14:paraId="73B6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37E3F699">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空间布局约束</w:t>
                  </w:r>
                </w:p>
              </w:tc>
              <w:tc>
                <w:tcPr>
                  <w:tcW w:w="3462" w:type="pct"/>
                  <w:vAlign w:val="center"/>
                </w:tcPr>
                <w:p w14:paraId="52A5FDAC">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1</w:t>
                  </w:r>
                  <w:r>
                    <w:rPr>
                      <w:rFonts w:hint="eastAsia"/>
                      <w:color w:val="auto"/>
                      <w:kern w:val="0"/>
                      <w:sz w:val="21"/>
                      <w:lang w:eastAsia="zh-CN" w:bidi="ar"/>
                    </w:rPr>
                    <w:t>.</w:t>
                  </w:r>
                  <w:r>
                    <w:rPr>
                      <w:rFonts w:hint="eastAsia"/>
                      <w:color w:val="auto"/>
                      <w:kern w:val="0"/>
                      <w:sz w:val="21"/>
                      <w:lang w:bidi="ar"/>
                    </w:rPr>
                    <w:t>城市建成区内禁止新建、扩建煤电、石化、化工、现代煤化工、钢铁、焦化、有色金属冶炼、建材等高耗能、高排放项目，已建成企业应当逐步进行搬迁、改造或者转型、退出。</w:t>
                  </w:r>
                </w:p>
                <w:p w14:paraId="0A9E0B1D">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2</w:t>
                  </w:r>
                  <w:r>
                    <w:rPr>
                      <w:rFonts w:hint="eastAsia"/>
                      <w:color w:val="auto"/>
                      <w:kern w:val="0"/>
                      <w:sz w:val="21"/>
                      <w:lang w:eastAsia="zh-CN" w:bidi="ar"/>
                    </w:rPr>
                    <w:t>.</w:t>
                  </w:r>
                  <w:r>
                    <w:rPr>
                      <w:rFonts w:hint="eastAsia"/>
                      <w:color w:val="auto"/>
                      <w:kern w:val="0"/>
                      <w:sz w:val="21"/>
                      <w:lang w:bidi="ar"/>
                    </w:rPr>
                    <w:t>城区、镇和村庄居民区、文化教育科学研究区等人口集中区域禁止设置畜禽养殖场、养殖小区。</w:t>
                  </w:r>
                </w:p>
                <w:p w14:paraId="390BA480">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3</w:t>
                  </w:r>
                  <w:r>
                    <w:rPr>
                      <w:rFonts w:hint="eastAsia"/>
                      <w:color w:val="auto"/>
                      <w:kern w:val="0"/>
                      <w:sz w:val="21"/>
                      <w:lang w:eastAsia="zh-CN" w:bidi="ar"/>
                    </w:rPr>
                    <w:t>.</w:t>
                  </w:r>
                  <w:r>
                    <w:rPr>
                      <w:rFonts w:hint="eastAsia"/>
                      <w:color w:val="auto"/>
                      <w:kern w:val="0"/>
                      <w:sz w:val="21"/>
                      <w:lang w:bidi="ar"/>
                    </w:rPr>
                    <w:t>禁止在居民区和学校、医院、疗养院、养老院等单位周边新建、改建、扩建可能造成土壤污染的建设项目。严格控制在人口聚居区域内新（改、扩）建涉重金属企业。</w:t>
                  </w:r>
                </w:p>
              </w:tc>
              <w:tc>
                <w:tcPr>
                  <w:tcW w:w="1036" w:type="pct"/>
                  <w:vAlign w:val="center"/>
                </w:tcPr>
                <w:p w14:paraId="0EB292CA">
                  <w:pPr>
                    <w:keepNext w:val="0"/>
                    <w:keepLines w:val="0"/>
                    <w:suppressLineNumbers w:val="0"/>
                    <w:autoSpaceDE w:val="0"/>
                    <w:autoSpaceDN w:val="0"/>
                    <w:adjustRightInd w:val="0"/>
                    <w:snapToGrid w:val="0"/>
                    <w:spacing w:before="0" w:beforeAutospacing="0" w:after="0" w:afterAutospacing="0"/>
                    <w:ind w:left="0" w:right="0"/>
                    <w:rPr>
                      <w:rFonts w:hint="eastAsia"/>
                      <w:color w:val="C00000"/>
                      <w:kern w:val="0"/>
                      <w:szCs w:val="21"/>
                    </w:rPr>
                  </w:pPr>
                  <w:r>
                    <w:rPr>
                      <w:rFonts w:hint="eastAsia"/>
                      <w:color w:val="auto"/>
                      <w:kern w:val="0"/>
                      <w:szCs w:val="21"/>
                    </w:rPr>
                    <w:t>符合。项目为</w:t>
                  </w:r>
                  <w:r>
                    <w:rPr>
                      <w:rFonts w:hint="eastAsia"/>
                      <w:color w:val="auto"/>
                      <w:kern w:val="0"/>
                      <w:szCs w:val="21"/>
                      <w:lang w:val="en-US" w:eastAsia="zh-CN"/>
                    </w:rPr>
                    <w:t>岸线修复项目</w:t>
                  </w:r>
                  <w:r>
                    <w:rPr>
                      <w:rFonts w:hint="eastAsia"/>
                      <w:color w:val="auto"/>
                      <w:kern w:val="0"/>
                      <w:szCs w:val="21"/>
                    </w:rPr>
                    <w:t>，不属于</w:t>
                  </w:r>
                  <w:r>
                    <w:rPr>
                      <w:rFonts w:hint="eastAsia"/>
                      <w:color w:val="auto"/>
                      <w:kern w:val="0"/>
                      <w:sz w:val="21"/>
                      <w:lang w:bidi="ar"/>
                    </w:rPr>
                    <w:t>高耗能、高排放</w:t>
                  </w:r>
                  <w:r>
                    <w:rPr>
                      <w:rFonts w:hint="eastAsia"/>
                      <w:color w:val="auto"/>
                      <w:kern w:val="0"/>
                      <w:sz w:val="21"/>
                      <w:lang w:val="en-US" w:eastAsia="zh-CN" w:bidi="ar"/>
                    </w:rPr>
                    <w:t>和可能造成土壤污染的</w:t>
                  </w:r>
                  <w:r>
                    <w:rPr>
                      <w:rFonts w:hint="eastAsia"/>
                      <w:color w:val="auto"/>
                      <w:kern w:val="0"/>
                      <w:sz w:val="21"/>
                      <w:lang w:bidi="ar"/>
                    </w:rPr>
                    <w:t>项目</w:t>
                  </w:r>
                  <w:r>
                    <w:rPr>
                      <w:rFonts w:hint="eastAsia"/>
                      <w:color w:val="auto"/>
                      <w:kern w:val="0"/>
                      <w:sz w:val="21"/>
                      <w:lang w:val="en-US" w:eastAsia="zh-CN" w:bidi="ar"/>
                    </w:rPr>
                    <w:t>。</w:t>
                  </w:r>
                </w:p>
              </w:tc>
            </w:tr>
            <w:tr w14:paraId="59B0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29535B30">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污染物排放管控</w:t>
                  </w:r>
                </w:p>
              </w:tc>
              <w:tc>
                <w:tcPr>
                  <w:tcW w:w="3462" w:type="pct"/>
                  <w:vAlign w:val="center"/>
                </w:tcPr>
                <w:p w14:paraId="55A6B8D6">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1</w:t>
                  </w:r>
                  <w:r>
                    <w:rPr>
                      <w:rFonts w:hint="eastAsia"/>
                      <w:color w:val="auto"/>
                      <w:kern w:val="0"/>
                      <w:sz w:val="21"/>
                      <w:lang w:eastAsia="zh-CN" w:bidi="ar"/>
                    </w:rPr>
                    <w:t>.</w:t>
                  </w:r>
                  <w:r>
                    <w:rPr>
                      <w:rFonts w:hint="eastAsia"/>
                      <w:color w:val="auto"/>
                      <w:kern w:val="0"/>
                      <w:sz w:val="21"/>
                      <w:lang w:bidi="ar"/>
                    </w:rPr>
                    <w:t>建成区基本消除生活污水直排口和收集处理设施空白区，有效杜绝污水直排水体。</w:t>
                  </w:r>
                </w:p>
                <w:p w14:paraId="23666D77">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2．提高污水处理能力，完善既有污水处理厂和新建、扩建污水处理厂配套管网建设，基本实现城中村、老旧城区和城乡结合部生活污水收集处理。</w:t>
                  </w:r>
                </w:p>
                <w:p w14:paraId="0BF5F240">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3</w:t>
                  </w:r>
                  <w:r>
                    <w:rPr>
                      <w:rFonts w:hint="eastAsia"/>
                      <w:color w:val="auto"/>
                      <w:kern w:val="0"/>
                      <w:sz w:val="21"/>
                      <w:lang w:eastAsia="zh-CN" w:bidi="ar"/>
                    </w:rPr>
                    <w:t>.</w:t>
                  </w:r>
                  <w:r>
                    <w:rPr>
                      <w:rFonts w:hint="eastAsia"/>
                      <w:color w:val="auto"/>
                      <w:kern w:val="0"/>
                      <w:sz w:val="21"/>
                      <w:lang w:bidi="ar"/>
                    </w:rPr>
                    <w:t>建成区污水处理率达到95%，污水处理设施必须达到一级A排放标准。加强沿海城市生活污水处理设施及配套管网建设和改造，增强脱氮除磷功能。</w:t>
                  </w:r>
                </w:p>
                <w:p w14:paraId="35074CB4">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4</w:t>
                  </w:r>
                  <w:r>
                    <w:rPr>
                      <w:rFonts w:hint="eastAsia"/>
                      <w:color w:val="auto"/>
                      <w:kern w:val="0"/>
                      <w:sz w:val="21"/>
                      <w:lang w:eastAsia="zh-CN" w:bidi="ar"/>
                    </w:rPr>
                    <w:t>.</w:t>
                  </w:r>
                  <w:r>
                    <w:rPr>
                      <w:rFonts w:hint="eastAsia"/>
                      <w:color w:val="auto"/>
                      <w:kern w:val="0"/>
                      <w:sz w:val="21"/>
                      <w:lang w:bidi="ar"/>
                    </w:rPr>
                    <w:t>加大淘汰35蒸吨/小时以下燃煤锅炉力度。依法依规加快淘汰老旧柴油货车。严格控制施工和道路扬尘污染。禁止露天焚烧产生有毒有害烟尘和恶臭气体的物质。在房屋建筑和市政工程中，全面推广使用低VOCs 含量涂料和胶粘剂。</w:t>
                  </w:r>
                </w:p>
                <w:p w14:paraId="6F7CFA4D">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5．大力推进港口污染防治，强化港口码头堆场扬尘控制。</w:t>
                  </w:r>
                </w:p>
                <w:p w14:paraId="470F8F82">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6</w:t>
                  </w:r>
                  <w:r>
                    <w:rPr>
                      <w:rFonts w:hint="eastAsia"/>
                      <w:color w:val="auto"/>
                      <w:kern w:val="0"/>
                      <w:sz w:val="21"/>
                      <w:lang w:eastAsia="zh-CN" w:bidi="ar"/>
                    </w:rPr>
                    <w:t>.</w:t>
                  </w:r>
                  <w:r>
                    <w:rPr>
                      <w:rFonts w:hint="eastAsia"/>
                      <w:color w:val="auto"/>
                      <w:kern w:val="0"/>
                      <w:sz w:val="21"/>
                      <w:lang w:bidi="ar"/>
                    </w:rPr>
                    <w:t>推动港口船舶绿色发展。实施船舶发动机第二阶段排放标准。推动新能源、清洁能源动力船舶应用，鼓励有条件的内河船舶实施液化天然气(LNG )动力系统更新改造，加快港口供电设施建设，协同推进船舶受电设施和港口岸电设施改造，推动船舶靠港使用岸电。推进码头水平运输机械“油改电”和“油改气”改造工作。</w:t>
                  </w:r>
                </w:p>
                <w:p w14:paraId="798CD8AD">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7</w:t>
                  </w:r>
                  <w:r>
                    <w:rPr>
                      <w:rFonts w:hint="eastAsia"/>
                      <w:color w:val="auto"/>
                      <w:kern w:val="0"/>
                      <w:sz w:val="21"/>
                      <w:lang w:eastAsia="zh-CN" w:bidi="ar"/>
                    </w:rPr>
                    <w:t>.</w:t>
                  </w:r>
                  <w:r>
                    <w:rPr>
                      <w:rFonts w:hint="eastAsia"/>
                      <w:color w:val="auto"/>
                      <w:kern w:val="0"/>
                      <w:sz w:val="21"/>
                      <w:lang w:bidi="ar"/>
                    </w:rPr>
                    <w:t>2024年1月1日起，具有万吨级以上油品泊位的码头、现有8000 总吨及以上的油船按照国家标准开展油气回收治理。</w:t>
                  </w:r>
                </w:p>
                <w:p w14:paraId="7DDE1A93">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8</w:t>
                  </w:r>
                  <w:r>
                    <w:rPr>
                      <w:rFonts w:hint="eastAsia"/>
                      <w:color w:val="auto"/>
                      <w:kern w:val="0"/>
                      <w:sz w:val="21"/>
                      <w:lang w:eastAsia="zh-CN" w:bidi="ar"/>
                    </w:rPr>
                    <w:t>.</w:t>
                  </w:r>
                  <w:r>
                    <w:rPr>
                      <w:rFonts w:hint="eastAsia"/>
                      <w:color w:val="auto"/>
                      <w:kern w:val="0"/>
                      <w:sz w:val="21"/>
                      <w:lang w:bidi="ar"/>
                    </w:rPr>
                    <w:t>2025年，大海花园大气国控站点PM2.5浓度不高于24.5微克每立方米。</w:t>
                  </w:r>
                </w:p>
              </w:tc>
              <w:tc>
                <w:tcPr>
                  <w:tcW w:w="1036" w:type="pct"/>
                  <w:vAlign w:val="center"/>
                </w:tcPr>
                <w:p w14:paraId="4CAE66F2">
                  <w:pPr>
                    <w:keepNext w:val="0"/>
                    <w:keepLines w:val="0"/>
                    <w:suppressLineNumbers w:val="0"/>
                    <w:autoSpaceDE w:val="0"/>
                    <w:autoSpaceDN w:val="0"/>
                    <w:adjustRightInd w:val="0"/>
                    <w:snapToGrid w:val="0"/>
                    <w:spacing w:before="0" w:beforeAutospacing="0" w:after="0" w:afterAutospacing="0"/>
                    <w:ind w:left="0" w:right="0"/>
                    <w:rPr>
                      <w:rFonts w:hint="eastAsia"/>
                      <w:color w:val="C00000"/>
                      <w:kern w:val="0"/>
                      <w:szCs w:val="21"/>
                    </w:rPr>
                  </w:pPr>
                  <w:r>
                    <w:rPr>
                      <w:rFonts w:hint="eastAsia"/>
                      <w:color w:val="auto"/>
                      <w:kern w:val="0"/>
                      <w:szCs w:val="21"/>
                    </w:rPr>
                    <w:t>符合。</w:t>
                  </w:r>
                  <w:r>
                    <w:rPr>
                      <w:rFonts w:hint="eastAsia"/>
                      <w:color w:val="auto"/>
                      <w:kern w:val="0"/>
                      <w:szCs w:val="21"/>
                      <w:lang w:val="en-US" w:eastAsia="zh-CN"/>
                    </w:rPr>
                    <w:t>施工期产生的生活污水</w:t>
                  </w:r>
                  <w:r>
                    <w:rPr>
                      <w:rFonts w:hint="eastAsia"/>
                      <w:color w:val="auto"/>
                      <w:kern w:val="0"/>
                      <w:szCs w:val="21"/>
                      <w:lang w:val="en-US" w:eastAsia="zh-CN" w:bidi="ar"/>
                    </w:rPr>
                    <w:t>依托现有的污水收集设施进行收集，然后送污水处理厂处理</w:t>
                  </w:r>
                  <w:r>
                    <w:rPr>
                      <w:rFonts w:hint="eastAsia"/>
                      <w:color w:val="auto"/>
                      <w:kern w:val="0"/>
                      <w:szCs w:val="21"/>
                    </w:rPr>
                    <w:t>，无船舶污水</w:t>
                  </w:r>
                </w:p>
              </w:tc>
            </w:tr>
            <w:tr w14:paraId="2054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59C7378A">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环境风险管控</w:t>
                  </w:r>
                </w:p>
              </w:tc>
              <w:tc>
                <w:tcPr>
                  <w:tcW w:w="3462" w:type="pct"/>
                  <w:vAlign w:val="center"/>
                </w:tcPr>
                <w:p w14:paraId="30B680F8">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1</w:t>
                  </w:r>
                  <w:r>
                    <w:rPr>
                      <w:rFonts w:hint="eastAsia"/>
                      <w:color w:val="auto"/>
                      <w:kern w:val="0"/>
                      <w:sz w:val="21"/>
                      <w:lang w:eastAsia="zh-CN" w:bidi="ar"/>
                    </w:rPr>
                    <w:t>.</w:t>
                  </w:r>
                  <w:r>
                    <w:rPr>
                      <w:rFonts w:hint="eastAsia"/>
                      <w:color w:val="auto"/>
                      <w:kern w:val="0"/>
                      <w:sz w:val="21"/>
                      <w:lang w:bidi="ar"/>
                    </w:rPr>
                    <w:t>土壤污染重点监管单位应当严格控制有毒有害物质排放，并按年度向市生态环境主管部门报告排放情况；建立土壤污染隐患排查制度，保证持续有效防止有毒有害物质渗漏、流失、扬散。</w:t>
                  </w:r>
                </w:p>
                <w:p w14:paraId="4AAA84EB">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2</w:t>
                  </w:r>
                  <w:r>
                    <w:rPr>
                      <w:rFonts w:hint="eastAsia"/>
                      <w:color w:val="auto"/>
                      <w:kern w:val="0"/>
                      <w:sz w:val="21"/>
                      <w:lang w:eastAsia="zh-CN" w:bidi="ar"/>
                    </w:rPr>
                    <w:t>.</w:t>
                  </w:r>
                  <w:r>
                    <w:rPr>
                      <w:rFonts w:hint="eastAsia"/>
                      <w:color w:val="auto"/>
                      <w:kern w:val="0"/>
                      <w:sz w:val="21"/>
                      <w:lang w:bidi="ar"/>
                    </w:rPr>
                    <w:t>对暂不开发利用的超标地块，实施以防止污染扩散为目的的风险管控；对拟开发利用为居住用地和商业、学校、医疗、养老机构等公共设施用地的超标地块，实施以安全利用为目的的风险管控。</w:t>
                  </w:r>
                </w:p>
              </w:tc>
              <w:tc>
                <w:tcPr>
                  <w:tcW w:w="1036" w:type="pct"/>
                  <w:vAlign w:val="center"/>
                </w:tcPr>
                <w:p w14:paraId="0ABA18C5">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auto"/>
                      <w:kern w:val="0"/>
                      <w:szCs w:val="21"/>
                      <w:lang w:val="en-US" w:eastAsia="zh-CN"/>
                    </w:rPr>
                  </w:pPr>
                  <w:r>
                    <w:rPr>
                      <w:rFonts w:hint="eastAsia"/>
                      <w:color w:val="auto"/>
                      <w:kern w:val="0"/>
                      <w:szCs w:val="21"/>
                    </w:rPr>
                    <w:t>符合。项目</w:t>
                  </w:r>
                  <w:r>
                    <w:rPr>
                      <w:rFonts w:hint="eastAsia"/>
                      <w:color w:val="auto"/>
                      <w:kern w:val="0"/>
                      <w:szCs w:val="21"/>
                      <w:lang w:val="en-US" w:eastAsia="zh-CN"/>
                    </w:rPr>
                    <w:t>运营期不涉及有毒有害物质。</w:t>
                  </w:r>
                </w:p>
              </w:tc>
            </w:tr>
            <w:tr w14:paraId="785F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76CF77BB">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资源开发利用效率要求</w:t>
                  </w:r>
                </w:p>
              </w:tc>
              <w:tc>
                <w:tcPr>
                  <w:tcW w:w="3462" w:type="pct"/>
                  <w:vAlign w:val="center"/>
                </w:tcPr>
                <w:p w14:paraId="10314A95">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防城港市人民政府关于划定防城港市高污染燃料禁燃区的通告》划定的II类禁燃区内禁止燃用燃料种类包括：除单台出力大于等于20蒸吨/小时锅炉以外燃用的煤炭及其制品、石油焦、油页岩、原油、重油、渣油、煤焦油。禁燃区内，新建、扩建的燃烧设施禁止燃用相应类别的高污染燃料，各单位和个人禁止销售相应类别的高污染燃料，现有的燃用高污染燃料的锅炉、工业窑炉、炉灶等燃烧设施，应当按照辖区人民政府规定的期限，逐步拆除或改用清洁能源。</w:t>
                  </w:r>
                </w:p>
              </w:tc>
              <w:tc>
                <w:tcPr>
                  <w:tcW w:w="1036" w:type="pct"/>
                  <w:vAlign w:val="center"/>
                </w:tcPr>
                <w:p w14:paraId="4E06DD2B">
                  <w:pPr>
                    <w:keepNext w:val="0"/>
                    <w:keepLines w:val="0"/>
                    <w:suppressLineNumbers w:val="0"/>
                    <w:autoSpaceDE w:val="0"/>
                    <w:autoSpaceDN w:val="0"/>
                    <w:adjustRightInd w:val="0"/>
                    <w:snapToGrid w:val="0"/>
                    <w:spacing w:before="0" w:beforeAutospacing="0" w:after="0" w:afterAutospacing="0"/>
                    <w:ind w:left="0" w:right="0"/>
                    <w:rPr>
                      <w:rFonts w:hint="eastAsia"/>
                      <w:color w:val="C00000"/>
                      <w:kern w:val="0"/>
                      <w:szCs w:val="21"/>
                    </w:rPr>
                  </w:pPr>
                  <w:r>
                    <w:rPr>
                      <w:rFonts w:hint="eastAsia"/>
                      <w:color w:val="auto"/>
                      <w:kern w:val="0"/>
                      <w:szCs w:val="21"/>
                    </w:rPr>
                    <w:t>符合。项目运营过程中不涉及燃料的使用。</w:t>
                  </w:r>
                </w:p>
              </w:tc>
            </w:tr>
            <w:tr w14:paraId="6E15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3"/>
                  <w:vAlign w:val="center"/>
                </w:tcPr>
                <w:p w14:paraId="03B5BCBA">
                  <w:pPr>
                    <w:keepNext w:val="0"/>
                    <w:keepLines w:val="0"/>
                    <w:suppressLineNumbers w:val="0"/>
                    <w:autoSpaceDE w:val="0"/>
                    <w:autoSpaceDN w:val="0"/>
                    <w:adjustRightInd w:val="0"/>
                    <w:snapToGrid w:val="0"/>
                    <w:spacing w:before="0" w:beforeAutospacing="0" w:after="0" w:afterAutospacing="0"/>
                    <w:ind w:left="0" w:right="0"/>
                    <w:jc w:val="center"/>
                    <w:rPr>
                      <w:rFonts w:hint="eastAsia"/>
                      <w:b/>
                      <w:color w:val="C00000"/>
                      <w:kern w:val="0"/>
                      <w:szCs w:val="21"/>
                    </w:rPr>
                  </w:pPr>
                  <w:r>
                    <w:rPr>
                      <w:rFonts w:hint="eastAsia"/>
                      <w:b/>
                      <w:color w:val="auto"/>
                      <w:kern w:val="0"/>
                      <w:szCs w:val="21"/>
                    </w:rPr>
                    <w:t>防城港市东湾保留区（防城港市东湾海洋预留区）</w:t>
                  </w:r>
                </w:p>
              </w:tc>
            </w:tr>
            <w:tr w14:paraId="5423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588D9BDB">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空间布局约束</w:t>
                  </w:r>
                </w:p>
              </w:tc>
              <w:tc>
                <w:tcPr>
                  <w:tcW w:w="3462" w:type="pct"/>
                  <w:vAlign w:val="center"/>
                </w:tcPr>
                <w:p w14:paraId="0B2430D0">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1</w:t>
                  </w:r>
                  <w:r>
                    <w:rPr>
                      <w:rFonts w:hint="eastAsia"/>
                      <w:color w:val="auto"/>
                      <w:kern w:val="0"/>
                      <w:sz w:val="21"/>
                      <w:lang w:eastAsia="zh-CN" w:bidi="ar"/>
                    </w:rPr>
                    <w:t>.</w:t>
                  </w:r>
                  <w:r>
                    <w:rPr>
                      <w:rFonts w:hint="eastAsia"/>
                      <w:color w:val="auto"/>
                      <w:kern w:val="0"/>
                      <w:sz w:val="21"/>
                      <w:lang w:bidi="ar"/>
                    </w:rPr>
                    <w:t>建设污水海洋处置工程，应当符合国家有关规定。</w:t>
                  </w:r>
                </w:p>
                <w:p w14:paraId="7DB23EAF">
                  <w:pPr>
                    <w:pStyle w:val="54"/>
                    <w:keepNext w:val="0"/>
                    <w:keepLines w:val="0"/>
                    <w:suppressLineNumbers w:val="0"/>
                    <w:spacing w:before="0" w:beforeAutospacing="0" w:after="0" w:afterAutospacing="0"/>
                    <w:ind w:left="0" w:right="0"/>
                    <w:jc w:val="left"/>
                    <w:rPr>
                      <w:rFonts w:hint="eastAsia"/>
                      <w:color w:val="C00000"/>
                      <w:kern w:val="0"/>
                      <w:sz w:val="21"/>
                      <w:lang w:bidi="ar"/>
                    </w:rPr>
                  </w:pPr>
                  <w:r>
                    <w:rPr>
                      <w:rFonts w:hint="eastAsia"/>
                      <w:color w:val="auto"/>
                      <w:kern w:val="0"/>
                      <w:sz w:val="21"/>
                      <w:lang w:bidi="ar"/>
                    </w:rPr>
                    <w:t>2</w:t>
                  </w:r>
                  <w:r>
                    <w:rPr>
                      <w:rFonts w:hint="eastAsia"/>
                      <w:color w:val="auto"/>
                      <w:kern w:val="0"/>
                      <w:sz w:val="21"/>
                      <w:lang w:eastAsia="zh-CN" w:bidi="ar"/>
                    </w:rPr>
                    <w:t>.</w:t>
                  </w:r>
                  <w:r>
                    <w:rPr>
                      <w:rFonts w:hint="eastAsia"/>
                      <w:color w:val="auto"/>
                      <w:kern w:val="0"/>
                      <w:sz w:val="21"/>
                      <w:lang w:bidi="ar"/>
                    </w:rPr>
                    <w:t>严禁新增围填海造地，除国家重大战略项目外，全面停止新增围填海项目审批。限制破坏海岸地形、岸滩形态的活动。</w:t>
                  </w:r>
                </w:p>
              </w:tc>
              <w:tc>
                <w:tcPr>
                  <w:tcW w:w="1036" w:type="pct"/>
                  <w:vAlign w:val="center"/>
                </w:tcPr>
                <w:p w14:paraId="3A1BB609">
                  <w:pPr>
                    <w:keepNext w:val="0"/>
                    <w:keepLines w:val="0"/>
                    <w:suppressLineNumbers w:val="0"/>
                    <w:autoSpaceDE w:val="0"/>
                    <w:autoSpaceDN w:val="0"/>
                    <w:adjustRightInd w:val="0"/>
                    <w:snapToGrid w:val="0"/>
                    <w:spacing w:before="0" w:beforeAutospacing="0" w:after="0" w:afterAutospacing="0"/>
                    <w:ind w:left="0" w:right="0"/>
                    <w:rPr>
                      <w:rFonts w:hint="eastAsia"/>
                      <w:color w:val="C00000"/>
                      <w:kern w:val="0"/>
                      <w:szCs w:val="21"/>
                    </w:rPr>
                  </w:pPr>
                  <w:r>
                    <w:rPr>
                      <w:rFonts w:hint="eastAsia"/>
                      <w:color w:val="auto"/>
                      <w:kern w:val="0"/>
                      <w:szCs w:val="21"/>
                    </w:rPr>
                    <w:t>符合。项目</w:t>
                  </w:r>
                  <w:r>
                    <w:rPr>
                      <w:rFonts w:hint="eastAsia"/>
                      <w:color w:val="auto"/>
                      <w:kern w:val="0"/>
                      <w:szCs w:val="21"/>
                      <w:lang w:val="en-US" w:eastAsia="zh-CN"/>
                    </w:rPr>
                    <w:t>对原有护岸进行抛石加固，用海方式为非透水构筑物，不涉及围填海。项目建成后将有效减少岸线侵蚀，能够美化岸线。</w:t>
                  </w:r>
                </w:p>
              </w:tc>
            </w:tr>
            <w:tr w14:paraId="50E0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 w:type="pct"/>
                  <w:vAlign w:val="center"/>
                </w:tcPr>
                <w:p w14:paraId="6AEE2534">
                  <w:pPr>
                    <w:keepNext w:val="0"/>
                    <w:keepLines w:val="0"/>
                    <w:suppressLineNumbers w:val="0"/>
                    <w:autoSpaceDE w:val="0"/>
                    <w:autoSpaceDN w:val="0"/>
                    <w:adjustRightInd w:val="0"/>
                    <w:snapToGrid w:val="0"/>
                    <w:spacing w:before="0" w:beforeAutospacing="0" w:after="0" w:afterAutospacing="0"/>
                    <w:ind w:left="0" w:right="0"/>
                    <w:rPr>
                      <w:rFonts w:hint="eastAsia"/>
                      <w:color w:val="auto"/>
                      <w:kern w:val="0"/>
                      <w:szCs w:val="21"/>
                    </w:rPr>
                  </w:pPr>
                  <w:r>
                    <w:rPr>
                      <w:rFonts w:hint="eastAsia"/>
                      <w:color w:val="auto"/>
                      <w:kern w:val="0"/>
                      <w:szCs w:val="21"/>
                    </w:rPr>
                    <w:t>污染物排放管控</w:t>
                  </w:r>
                </w:p>
              </w:tc>
              <w:tc>
                <w:tcPr>
                  <w:tcW w:w="3462" w:type="pct"/>
                  <w:vAlign w:val="center"/>
                </w:tcPr>
                <w:p w14:paraId="354E4631">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1．严格实行污水达标排放和生活垃圾科学处置，禁止直接排海，加强定期海域水质监测。</w:t>
                  </w:r>
                </w:p>
                <w:p w14:paraId="6523E378">
                  <w:pPr>
                    <w:pStyle w:val="54"/>
                    <w:keepNext w:val="0"/>
                    <w:keepLines w:val="0"/>
                    <w:suppressLineNumbers w:val="0"/>
                    <w:spacing w:before="0" w:beforeAutospacing="0" w:after="0" w:afterAutospacing="0"/>
                    <w:ind w:left="0" w:right="0"/>
                    <w:jc w:val="left"/>
                    <w:rPr>
                      <w:rFonts w:hint="eastAsia"/>
                      <w:color w:val="auto"/>
                      <w:kern w:val="0"/>
                      <w:sz w:val="21"/>
                      <w:lang w:bidi="ar"/>
                    </w:rPr>
                  </w:pPr>
                  <w:r>
                    <w:rPr>
                      <w:rFonts w:hint="eastAsia"/>
                      <w:color w:val="auto"/>
                      <w:kern w:val="0"/>
                      <w:sz w:val="21"/>
                      <w:lang w:bidi="ar"/>
                    </w:rPr>
                    <w:t>2．严格控制国控监测点海水水质不劣于二类标准。</w:t>
                  </w:r>
                </w:p>
              </w:tc>
              <w:tc>
                <w:tcPr>
                  <w:tcW w:w="1036" w:type="pct"/>
                  <w:vAlign w:val="center"/>
                </w:tcPr>
                <w:p w14:paraId="2CDA61A4">
                  <w:pPr>
                    <w:keepNext w:val="0"/>
                    <w:keepLines w:val="0"/>
                    <w:suppressLineNumbers w:val="0"/>
                    <w:autoSpaceDE w:val="0"/>
                    <w:autoSpaceDN w:val="0"/>
                    <w:adjustRightInd w:val="0"/>
                    <w:snapToGrid w:val="0"/>
                    <w:spacing w:before="0" w:beforeAutospacing="0" w:after="0" w:afterAutospacing="0"/>
                    <w:ind w:left="0" w:right="0"/>
                    <w:rPr>
                      <w:rFonts w:hint="default" w:eastAsia="宋体"/>
                      <w:color w:val="C00000"/>
                      <w:kern w:val="0"/>
                      <w:szCs w:val="21"/>
                      <w:lang w:val="en-US" w:eastAsia="zh-CN"/>
                    </w:rPr>
                  </w:pPr>
                  <w:r>
                    <w:rPr>
                      <w:rFonts w:hint="eastAsia"/>
                      <w:color w:val="auto"/>
                      <w:kern w:val="0"/>
                      <w:szCs w:val="21"/>
                    </w:rPr>
                    <w:t>符合。施工期的人员均利用岸上的厕所及化粪池处理，</w:t>
                  </w:r>
                  <w:r>
                    <w:rPr>
                      <w:rFonts w:hint="eastAsia"/>
                      <w:color w:val="auto"/>
                      <w:kern w:val="0"/>
                      <w:szCs w:val="21"/>
                      <w:lang w:val="en-US" w:eastAsia="zh-CN"/>
                    </w:rPr>
                    <w:t>运营期不产生污染。</w:t>
                  </w:r>
                </w:p>
              </w:tc>
            </w:tr>
          </w:tbl>
          <w:p w14:paraId="5150921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综上，项目选址不涉及生态保护红线规划，不占用永久基本农田，不属于产业准入负面清单内淘汰的产业，符合生态环境分区管控相关要求。</w:t>
            </w:r>
          </w:p>
          <w:p w14:paraId="1B011B27">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1.3</w:t>
            </w:r>
            <w:r>
              <w:rPr>
                <w:rFonts w:hint="eastAsia"/>
                <w:b/>
                <w:color w:val="auto"/>
                <w:kern w:val="0"/>
                <w:sz w:val="24"/>
              </w:rPr>
              <w:t>与《广西壮族自治区国土空间规划（2021—2035年）》的相符性分析</w:t>
            </w:r>
          </w:p>
          <w:p w14:paraId="147B73BF">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广西壮族自治区人民政府关于印发《广西壮族自治区国土空间规划（2021—2035年）》的通知（桂政发〔2024〕4号），第三章以“三区三线”为基础，优化总体格局：坚守耕地和永久基本永田保护红线，保障国家粮食安全。科学划定和验收生态保护红线，筑牢我国南方重要生态屏障。合理划定城镇开发边界，控制城镇“摊大饼”式扩张。科学划定灾害风险防空线，确保国土空间安全韧性。</w:t>
            </w:r>
          </w:p>
          <w:p w14:paraId="7CC3E7A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将项目</w:t>
            </w:r>
            <w:r>
              <w:rPr>
                <w:rFonts w:hint="eastAsia"/>
                <w:color w:val="auto"/>
                <w:kern w:val="0"/>
                <w:sz w:val="24"/>
                <w:lang w:val="en-US" w:eastAsia="zh-CN"/>
              </w:rPr>
              <w:t>范围</w:t>
            </w:r>
            <w:r>
              <w:rPr>
                <w:rFonts w:hint="eastAsia"/>
                <w:color w:val="auto"/>
                <w:kern w:val="0"/>
                <w:sz w:val="24"/>
              </w:rPr>
              <w:t>与《广西壮族自治区国土空间规划（2021-2035年）》海洋“两空间内部一红线”分布图进行叠置分析，结果见</w:t>
            </w:r>
            <w:r>
              <w:rPr>
                <w:rFonts w:hint="eastAsia"/>
                <w:color w:val="auto"/>
                <w:kern w:val="0"/>
                <w:sz w:val="24"/>
                <w:lang w:val="en-US" w:eastAsia="zh-CN"/>
              </w:rPr>
              <w:t>附图2</w:t>
            </w:r>
            <w:r>
              <w:rPr>
                <w:rFonts w:hint="eastAsia"/>
                <w:color w:val="auto"/>
                <w:kern w:val="0"/>
                <w:sz w:val="24"/>
              </w:rPr>
              <w:t>。项目用海位于海洋开发利用空间，不占用海洋生态红线区和海洋生态控制区。</w:t>
            </w:r>
          </w:p>
          <w:p w14:paraId="4BA6E87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海洋开发利用空间管控要求为：在市县国土空间规划中，根据自然禀赋条件，进一步将海洋开发利用空间划分为渔业用海区、交通运输用海区、工矿通信用海区、游憩用海区、特殊用海区、海洋预留区六大类，并明确各类功能分区的管控要求。控制水深0至6米范围内的开发强度，重点开发水深6至15米范围内的海域，鼓励开发水深20米以上海域，发展生态牧场。围填海严控增量、盘活存量，切实提高海洋资源节约集约利用程度。在工矿通信用海区内，严格控制近岸海域海砂开采的数量、规模和范围。禁止新增产能严重过剩以及高污染、高耗能、高排放等用海项目，支持海上风电等可再生能源适当发展。协调用海矛盾冲突。合理配置海域资源，统筹协调各行业用海。各类用海发生矛盾时，应优先考虑保障近期重点建设项目，尤其是保障基础设施和重大民生工程。有序推进深远海海上风电项目开发，推动海上风电与海洋牧场、海洋油气等多产业融合发展。建立不同用海活动立体分层使用海域的搭配清单，制定广西北部湾海域立体分层使用指引；积极探索具备立体分层用海条件的海上风电、跨海大桥、海水养殖、海底光缆等特定用海区域进行立体分层用海规划设计。</w:t>
            </w:r>
          </w:p>
          <w:p w14:paraId="1B892924">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eastAsia"/>
                <w:color w:val="auto"/>
                <w:kern w:val="0"/>
                <w:sz w:val="24"/>
                <w:lang w:val="en-US" w:eastAsia="zh-CN"/>
              </w:rPr>
              <w:t>项目选址</w:t>
            </w:r>
            <w:r>
              <w:rPr>
                <w:rFonts w:hint="eastAsia"/>
                <w:color w:val="auto"/>
                <w:kern w:val="0"/>
                <w:sz w:val="24"/>
              </w:rPr>
              <w:t>不涉及生态保护红线、永久基本农田</w:t>
            </w:r>
            <w:r>
              <w:rPr>
                <w:rFonts w:hint="eastAsia"/>
                <w:color w:val="auto"/>
                <w:kern w:val="0"/>
                <w:sz w:val="24"/>
                <w:lang w:val="en-US" w:eastAsia="zh-CN"/>
              </w:rPr>
              <w:t>和</w:t>
            </w:r>
            <w:r>
              <w:rPr>
                <w:rFonts w:hint="eastAsia"/>
                <w:color w:val="auto"/>
                <w:kern w:val="0"/>
                <w:sz w:val="24"/>
              </w:rPr>
              <w:t>城镇开发边界</w:t>
            </w:r>
            <w:r>
              <w:rPr>
                <w:rFonts w:hint="eastAsia"/>
                <w:color w:val="auto"/>
                <w:kern w:val="0"/>
                <w:sz w:val="24"/>
                <w:lang w:eastAsia="zh-CN"/>
              </w:rPr>
              <w:t>。</w:t>
            </w:r>
            <w:r>
              <w:rPr>
                <w:rFonts w:hint="eastAsia"/>
                <w:color w:val="auto"/>
                <w:kern w:val="0"/>
                <w:sz w:val="24"/>
                <w:lang w:val="en-US" w:eastAsia="zh-CN"/>
              </w:rPr>
              <w:t>本项目位于划定的海洋开发利用空间内，拟建设地点位于广西盛隆冶金有限公司厂区四轧东海岸现有海堤外侧。项目属于生态修复项目，对现有的受侵蚀的堤坝进行加固修复，工程完成后将占用人工岸线297.95米，未影响到周边的海洋生态红线区和海洋生态控制区。项目建设可加强区域防潮排涝，保障沿海人民和产业的防潮安全，推进系统、安全的防洪减灾体系建设。</w:t>
            </w:r>
          </w:p>
          <w:p w14:paraId="5E42DCBF">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1.4</w:t>
            </w:r>
            <w:r>
              <w:rPr>
                <w:rFonts w:hint="eastAsia"/>
                <w:b/>
                <w:color w:val="auto"/>
                <w:kern w:val="0"/>
                <w:sz w:val="24"/>
              </w:rPr>
              <w:t>与《防城港市国土空间总体规划（2021-2035年）》的相符性分析</w:t>
            </w:r>
          </w:p>
          <w:p w14:paraId="461B870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《防城港市国土空间总体规划（2021-2035年）》于2024年1月24日获得广西壮族自治区人民政府批复（桂政函〔2024〕16号），规划明确了防城港市国土空间开发保护总体格局。</w:t>
            </w:r>
          </w:p>
          <w:p w14:paraId="3560DEF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将项目与《防城港市国土空间总体规划（2021-2035年）》市域国土空间规划分区图进行叠置分析，结果见</w:t>
            </w:r>
            <w:r>
              <w:rPr>
                <w:rFonts w:hint="eastAsia"/>
                <w:color w:val="auto"/>
                <w:kern w:val="0"/>
                <w:sz w:val="24"/>
                <w:lang w:val="en-US" w:eastAsia="zh-CN"/>
              </w:rPr>
              <w:t>附图3</w:t>
            </w:r>
            <w:r>
              <w:rPr>
                <w:rFonts w:hint="eastAsia"/>
                <w:color w:val="auto"/>
                <w:kern w:val="0"/>
                <w:sz w:val="24"/>
              </w:rPr>
              <w:t>。本项目为海堤修复加固工程，用海位于《防城港市国土空间总体规划（2021-2035年）》划定的渔业用海区，不占用海洋生态红线区和海洋生态控制区。</w:t>
            </w:r>
          </w:p>
          <w:p w14:paraId="278F4A6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渔业用海区发展指引和管控要求为：海洋发展空间渔业用海区优化开发岸线两侧分布有围海养殖的，合理布局沿岸水产养殖空间，推进健康养殖，可开展养殖围塘规模化改造，优化近岸养殖布局和空间利用，保障渔民生产生活和现代渔业发展用海需求。控制水深0至6米范围内的开发强度，重点开发水深6至15米范围内的海域，鼓励开发20 米水深以外海域，发展生态牧场。围填海严控增量、盘活存量，切实提高海洋资源节约集约化程度。严格控制近岸海域海砂开采的数量、范围和规模。合理增设特殊用海区，保障排污倾废及海底工程建设。禁止新增产能严重过剩以及高污染、高耗能、高排放等项目用海，适当发展海上风电等可再生能源。</w:t>
            </w:r>
          </w:p>
          <w:p w14:paraId="413E51D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eastAsia"/>
                <w:color w:val="auto"/>
                <w:kern w:val="0"/>
                <w:sz w:val="24"/>
                <w:lang w:val="en-US" w:eastAsia="zh-CN"/>
              </w:rPr>
              <w:t>项目选址不涉及</w:t>
            </w:r>
            <w:r>
              <w:rPr>
                <w:rFonts w:hint="eastAsia"/>
                <w:color w:val="auto"/>
                <w:kern w:val="0"/>
                <w:sz w:val="24"/>
              </w:rPr>
              <w:t>定的生态保护红线、永久基本农田和城镇开发边界。</w:t>
            </w:r>
            <w:r>
              <w:rPr>
                <w:rFonts w:hint="eastAsia"/>
                <w:color w:val="auto"/>
                <w:kern w:val="0"/>
                <w:sz w:val="24"/>
                <w:lang w:val="en-US" w:eastAsia="zh-CN"/>
              </w:rPr>
              <w:t>本项目位于划定的渔业用海区内。项目北侧分布有东湾生态保护区，西侧为陆域空间工业发展区，东侧零散分布有东湾生态保护区，南侧分布有海洋预留区。项目主要对现有护岸进行修复，对于巩固海堤安全，提升海堤防潮挡浪减灾能力具有重要作用。项目位于潮间带滩涂上，低潮时潮间带露出水面形成干滩，在此期间于现有砌石海堤基础外增加片石抛填护坡作业，基本不产生悬浮泥沙，对邻近的东湾生态保护区、海洋预留区不会产生不利影响，不会影响这些功能区基本功能的发挥，符合其海洋环境保护和海域使用管理要求。</w:t>
            </w:r>
          </w:p>
          <w:p w14:paraId="761C1698">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1.5《广西红树林资源保护规划》（2020-2030 年）</w:t>
            </w:r>
            <w:r>
              <w:rPr>
                <w:rFonts w:hint="eastAsia"/>
                <w:b/>
                <w:color w:val="auto"/>
                <w:kern w:val="0"/>
                <w:sz w:val="24"/>
              </w:rPr>
              <w:t>的相符性分析</w:t>
            </w:r>
          </w:p>
          <w:p w14:paraId="5FD3739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default" w:eastAsia="宋体"/>
                <w:color w:val="auto"/>
                <w:kern w:val="0"/>
                <w:sz w:val="24"/>
                <w:lang w:val="en-US" w:eastAsia="zh-CN"/>
              </w:rPr>
              <w:t>根据《广西红树林资源保护规划》（2020-2030 年），广西分布有真红树植物12 种（含2 种外来种），占全国种数的44%，另有半红树植物8 种。分布面积较大的树种是白骨壤（3312.36hm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，占35.50%）、秋茄（2664.94hm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，占28.56%）和桐花树（2135.30hm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，占22.89%），占红树林总面积的86.95%。</w:t>
            </w:r>
          </w:p>
          <w:p w14:paraId="5CC6C15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default" w:eastAsia="宋体"/>
                <w:color w:val="auto"/>
                <w:kern w:val="0"/>
                <w:sz w:val="24"/>
                <w:lang w:val="en-US" w:eastAsia="zh-CN"/>
              </w:rPr>
              <w:t>防城港市现有红树林2058.83hm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，占全区的22.07%。其中，1049.96hm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（51.00%）位于自然保护地内，1008.87hm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（49.00%）位于自然保护地外。按土地类型分：乔木林地111.68hm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，占5.42%；灌木林地1947.15hm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，占94.58%。按行政区域分：港口区696.89hm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，占33.85%；防城区479.13hm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，占23.27%；东兴市882.81hm</w:t>
            </w:r>
            <w:r>
              <w:rPr>
                <w:rFonts w:hint="default" w:eastAsia="宋体"/>
                <w:color w:val="auto"/>
                <w:kern w:val="0"/>
                <w:sz w:val="24"/>
                <w:vertAlign w:val="superscript"/>
                <w:lang w:val="en-US" w:eastAsia="zh-CN"/>
              </w:rPr>
              <w:t>2</w:t>
            </w:r>
            <w:r>
              <w:rPr>
                <w:rFonts w:hint="default" w:eastAsia="宋体"/>
                <w:color w:val="auto"/>
                <w:kern w:val="0"/>
                <w:sz w:val="24"/>
                <w:lang w:val="en-US" w:eastAsia="zh-CN"/>
              </w:rPr>
              <w:t>，占42.88%。</w:t>
            </w:r>
          </w:p>
          <w:p w14:paraId="2030595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default" w:eastAsia="宋体"/>
                <w:color w:val="auto"/>
                <w:kern w:val="0"/>
                <w:sz w:val="24"/>
                <w:lang w:val="en-US" w:eastAsia="zh-CN"/>
              </w:rPr>
              <w:t>项目北侧有红树林分布。距离项目约</w:t>
            </w:r>
            <w:r>
              <w:rPr>
                <w:rFonts w:hint="eastAsia"/>
                <w:color w:val="auto"/>
                <w:kern w:val="0"/>
                <w:sz w:val="24"/>
                <w:lang w:val="en-US" w:eastAsia="zh-CN"/>
              </w:rPr>
              <w:t>150</w:t>
            </w:r>
            <w:r>
              <w:rPr>
                <w:rFonts w:hint="default" w:eastAsia="宋体"/>
                <w:color w:val="auto"/>
                <w:kern w:val="0"/>
                <w:sz w:val="24"/>
                <w:lang w:val="en-US" w:eastAsia="zh-CN"/>
              </w:rPr>
              <w:t>米，根据《广西红树林资源保护规划》（2020-2030 年），属于限制开发建设的红树林区域。</w:t>
            </w:r>
          </w:p>
          <w:p w14:paraId="2BEDE15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default" w:eastAsia="宋体"/>
                <w:color w:val="auto"/>
                <w:kern w:val="0"/>
                <w:sz w:val="24"/>
                <w:lang w:val="en-US" w:eastAsia="zh-CN"/>
              </w:rPr>
              <w:t>（1）限制开发建设的红树林区域严禁开展大规模的工业化和城镇化建设，包括采矿、采石、采砂、工业开发、能源项目、开发区、房地产等破坏地貌景观和红树林的活动；严禁从事污染环境、破坏自然资源或自然景观的活动。</w:t>
            </w:r>
          </w:p>
          <w:p w14:paraId="58C6CB3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default" w:eastAsia="宋体"/>
                <w:color w:val="auto"/>
                <w:kern w:val="0"/>
                <w:sz w:val="24"/>
                <w:lang w:val="en-US" w:eastAsia="zh-CN"/>
              </w:rPr>
              <w:t>（2）除国家或者自治区重点工程建设项目外，禁止占用本区域红树林地。国家或者自治区重点工程建设项目确实无法避让，需要占用或者征收红树林地的，应当开展不可避让性论证，编制红树林专项影响评价和生态恢复方案，依法办理用地、用海、用林审批手续。建设项目涉及自然保护地的，应当依照国家和自治区自然保护地管理的有关规定办理。</w:t>
            </w:r>
          </w:p>
          <w:p w14:paraId="68E30CB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default" w:eastAsia="宋体"/>
                <w:color w:val="auto"/>
                <w:kern w:val="0"/>
                <w:sz w:val="24"/>
                <w:lang w:val="en-US" w:eastAsia="zh-CN"/>
              </w:rPr>
              <w:t>（3）限制开发建设的红树林区域允许开展下列活动：禁止开发建设的红树林区域允许开展的活动；标本采集、考古调查发掘和文物保护活动；宣传教育、参观、旅游活动以及必要的配套设施建设；法律、行政法规规定的其他活动。</w:t>
            </w:r>
          </w:p>
          <w:p w14:paraId="6B19835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default" w:eastAsia="宋体"/>
                <w:color w:val="auto"/>
                <w:kern w:val="0"/>
                <w:sz w:val="24"/>
                <w:lang w:val="en-US" w:eastAsia="zh-CN"/>
              </w:rPr>
              <w:t>（4）利用、占用自治区重要湿地范围内的红树林地，应当符合《广西壮族自治区湿地保护条例》的有关规定。</w:t>
            </w:r>
          </w:p>
          <w:p w14:paraId="2FEB01D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default" w:eastAsia="宋体"/>
                <w:color w:val="auto"/>
                <w:kern w:val="0"/>
                <w:sz w:val="24"/>
                <w:lang w:val="en-US" w:eastAsia="zh-CN"/>
              </w:rPr>
              <w:t>项目建设</w:t>
            </w:r>
            <w:r>
              <w:rPr>
                <w:rFonts w:hint="eastAsia"/>
                <w:color w:val="auto"/>
                <w:kern w:val="0"/>
                <w:sz w:val="24"/>
                <w:lang w:val="en-US" w:eastAsia="zh-CN"/>
              </w:rPr>
              <w:t>不</w:t>
            </w:r>
            <w:r>
              <w:rPr>
                <w:rFonts w:hint="default" w:eastAsia="宋体"/>
                <w:color w:val="auto"/>
                <w:kern w:val="0"/>
                <w:sz w:val="24"/>
                <w:lang w:val="en-US" w:eastAsia="zh-CN"/>
              </w:rPr>
              <w:t>占用红树林，</w:t>
            </w:r>
            <w:r>
              <w:rPr>
                <w:rFonts w:hint="eastAsia"/>
                <w:color w:val="auto"/>
                <w:kern w:val="0"/>
                <w:sz w:val="24"/>
                <w:lang w:val="en-US" w:eastAsia="zh-CN"/>
              </w:rPr>
              <w:t>主要施工内容为抛填片石，施工时选择低潮时作业，施工时间短，且</w:t>
            </w:r>
            <w:r>
              <w:rPr>
                <w:rFonts w:hint="default"/>
                <w:color w:val="auto"/>
                <w:kern w:val="0"/>
                <w:sz w:val="24"/>
                <w:lang w:val="en-US" w:eastAsia="zh-CN"/>
              </w:rPr>
              <w:t>施工结束后悬浮泥沙浓度会迅速恢复至本底水平，</w:t>
            </w:r>
            <w:r>
              <w:rPr>
                <w:rFonts w:hint="eastAsia"/>
                <w:color w:val="auto"/>
                <w:kern w:val="0"/>
                <w:sz w:val="24"/>
                <w:lang w:val="en-US" w:eastAsia="zh-CN"/>
              </w:rPr>
              <w:t>对海水水质影响较小。项目建设与生态红线管控要求不冲突。施工期</w:t>
            </w:r>
            <w:r>
              <w:rPr>
                <w:rFonts w:hint="default"/>
                <w:color w:val="auto"/>
                <w:kern w:val="0"/>
                <w:sz w:val="24"/>
                <w:lang w:val="en-US" w:eastAsia="zh-CN"/>
              </w:rPr>
              <w:t>污水、固废等均有合理处置措施，不直接排放，</w:t>
            </w:r>
            <w:r>
              <w:rPr>
                <w:rFonts w:hint="eastAsia"/>
                <w:color w:val="auto"/>
                <w:kern w:val="0"/>
                <w:sz w:val="24"/>
                <w:lang w:val="en-US" w:eastAsia="zh-CN"/>
              </w:rPr>
              <w:t>项目施工期运营期不会对附近红树林造成破坏</w:t>
            </w:r>
            <w:r>
              <w:rPr>
                <w:rFonts w:hint="default"/>
                <w:color w:val="auto"/>
                <w:kern w:val="0"/>
                <w:sz w:val="24"/>
                <w:lang w:val="en-US" w:eastAsia="zh-CN"/>
              </w:rPr>
              <w:t>。</w:t>
            </w:r>
            <w:r>
              <w:rPr>
                <w:rFonts w:hint="eastAsia"/>
                <w:color w:val="auto"/>
                <w:kern w:val="0"/>
                <w:sz w:val="24"/>
                <w:lang w:val="en-US" w:eastAsia="zh-CN"/>
              </w:rPr>
              <w:t>符合</w:t>
            </w:r>
            <w:r>
              <w:rPr>
                <w:rFonts w:hint="default" w:eastAsia="宋体"/>
                <w:color w:val="auto"/>
                <w:kern w:val="0"/>
                <w:sz w:val="24"/>
                <w:lang w:val="en-US" w:eastAsia="zh-CN"/>
              </w:rPr>
              <w:t>《广西红树林资源保护规划》（2020-2030 年）</w:t>
            </w:r>
          </w:p>
          <w:p w14:paraId="0781A364">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color w:val="auto"/>
                <w:sz w:val="24"/>
                <w:lang w:bidi="ar"/>
              </w:rPr>
            </w:pPr>
            <w:r>
              <w:rPr>
                <w:rFonts w:hint="eastAsia"/>
                <w:b/>
                <w:color w:val="auto"/>
                <w:sz w:val="24"/>
                <w:lang w:val="en-US" w:eastAsia="zh-CN" w:bidi="ar"/>
              </w:rPr>
              <w:t>1.6</w:t>
            </w:r>
            <w:r>
              <w:rPr>
                <w:rFonts w:hint="eastAsia"/>
                <w:b/>
                <w:color w:val="auto"/>
                <w:sz w:val="24"/>
                <w:lang w:bidi="ar"/>
              </w:rPr>
              <w:t>与《防城港市港口区养殖水域滩涂规划(2024-2030年)》符合性分析</w:t>
            </w:r>
          </w:p>
          <w:p w14:paraId="61A27EB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lang w:bidi="ar"/>
              </w:rPr>
            </w:pPr>
            <w:r>
              <w:rPr>
                <w:rFonts w:hint="eastAsia"/>
                <w:color w:val="auto"/>
                <w:sz w:val="24"/>
                <w:lang w:bidi="ar"/>
              </w:rPr>
              <w:t>《防城港市港口区养殖水域滩涂规划(2024-2030年)》规划明确了港口区养殖水域滩涂的区域边界、管理规则与责任要求，按要求划定了禁止养殖区、限制养殖区和养殖区，设定了发展底线，对于保障渔民合法权益，合理布局水产养殖生产，稳定基本养殖面积，保护水域滩涂生态环境，促进产业持续健康绿色发展具有重要的意义，从而确保水产品有效供给安全、生态环境安全和产品质量安全，实现提质增效、减量增收、绿色发展、富裕渔民的发展目标。划定海水禁止养殖区8处，总面积26080.0hm</w:t>
            </w:r>
            <w:r>
              <w:rPr>
                <w:rFonts w:hint="eastAsia"/>
                <w:color w:val="auto"/>
                <w:sz w:val="24"/>
                <w:vertAlign w:val="superscript"/>
                <w:lang w:bidi="ar"/>
              </w:rPr>
              <w:t>2</w:t>
            </w:r>
            <w:r>
              <w:rPr>
                <w:rFonts w:hint="eastAsia"/>
                <w:color w:val="auto"/>
                <w:sz w:val="24"/>
                <w:lang w:bidi="ar"/>
              </w:rPr>
              <w:t>，占海水规划总面积的37.92%，包括:港口东湾红树林保护禁止养殖区、广西近海南部海洋特别保护禁止养殖区、北部湾二长棘鲷长毛对虾国家级水产种质资源保护禁止养殖区、西湾港口航道禁止养殖区、东湾港口航道禁止养殖区、企沙港口航道禁止养殖区、钦州湾航道禁止养殖区、港口西湾风景旅游区禁止养殖区。</w:t>
            </w:r>
          </w:p>
          <w:p w14:paraId="35832D0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lang w:bidi="ar"/>
              </w:rPr>
            </w:pPr>
            <w:r>
              <w:rPr>
                <w:rFonts w:hint="eastAsia"/>
                <w:color w:val="auto"/>
                <w:sz w:val="24"/>
                <w:lang w:bidi="ar"/>
              </w:rPr>
              <w:t>主要管控措施:禁止在此范围水域滩涂内从事养殖、繁殖等相关的活动，严禁建设养殖设施等的其他永久性设施;不得在此范围进行可能危及城市建设港口用海安全等活动。禁止养殖区内的水产养殖，由本级人民政府及相关部门负责限期搬迁或关停。禁止养殖区内重点生态功能区和公共设施安全区域划定前已有的水产养殖，搬迁或关停造成养殖业主经济损失的应依法给予补偿和妥善安置。</w:t>
            </w:r>
          </w:p>
          <w:p w14:paraId="3A8195E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C00000"/>
                <w:sz w:val="24"/>
                <w:lang w:bidi="ar"/>
              </w:rPr>
            </w:pPr>
            <w:r>
              <w:rPr>
                <w:rFonts w:hint="eastAsia"/>
                <w:color w:val="auto"/>
                <w:kern w:val="0"/>
                <w:sz w:val="24"/>
                <w:lang w:val="en-US" w:eastAsia="zh-CN"/>
              </w:rPr>
              <w:t>项目位于潮间带滩涂上，低潮时潮间带露出水面形成干滩，在此期间于现有砌石海堤基础外增加片石抛填护坡作业，基本不产生悬浮泥沙，不会影响周边的养殖区，符合《防城港市港口区养殖水域滩涂规划(2024-2030年)》的要求。</w:t>
            </w:r>
          </w:p>
          <w:p w14:paraId="71A57EBA">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1.7</w:t>
            </w:r>
            <w:r>
              <w:rPr>
                <w:rFonts w:hint="eastAsia"/>
                <w:b/>
                <w:color w:val="auto"/>
                <w:kern w:val="0"/>
                <w:sz w:val="24"/>
              </w:rPr>
              <w:t>与《广西壮族自治区国民经济和社会发展第十四个五年规划和2035年远景目标纲要》的符合性分析</w:t>
            </w:r>
          </w:p>
          <w:p w14:paraId="765E102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十四五”时期，是我国全面建成小康社会、实现第一个百年奋斗目标之后，乘势而上开启全面建设社会主义现代化国家新征程、向第二个百年奋斗目标进军的第一个五年，是建设壮美广西、共圆复兴梦想的关键时期。《广西壮族自治区国民经济和社会发展第十四个五年规划和2035年远景目标纲要》提出“十四五”时期经济社会发展主要目标为：高质量发展迈出新步伐、改革开放取得新突破、生态文明建设达到新高度、人民生活品质迈上新台阶、社会文明建设取得新进步、社会治理效能实现新提升。</w:t>
            </w:r>
          </w:p>
          <w:p w14:paraId="5D05520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规划在“加强水利基础设施建设”章节中提出，全面实施防汛抗旱水利提升工程，加快推进防洪控制性枢纽工程建设，继续实施病险水库（闸）除险加固、主要支流治理、中小河流治理、山洪灾害防治等工程，强化流域防洪调度，提升洪涝灾害防御能力和超标准洪水应对能力。加强水文地质调查。加强生态海堤建设，完善沿海地区防潮减灾体系。加强中越跨界 河流整治，进一步稳固界河岸线。</w:t>
            </w:r>
          </w:p>
          <w:p w14:paraId="458134C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项目实施后将显著提升海堤结构稳定性与防潮防洪标准，直接增强区域抵御风暴潮与洪涝灾害的能力。通过加固堤防、提升防灾标准，完全契合规划中关于强化防洪减灾能力、保障沿海地区安全的政策导向。因此，该项目建设有利于提升防城港整体防灾减灾水平，与区域发展规划目标高度一致。</w:t>
            </w:r>
          </w:p>
          <w:p w14:paraId="08D34C48">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1.8与</w:t>
            </w:r>
            <w:r>
              <w:rPr>
                <w:rFonts w:hint="eastAsia"/>
                <w:b/>
                <w:color w:val="auto"/>
                <w:kern w:val="0"/>
                <w:sz w:val="24"/>
              </w:rPr>
              <w:t>《北部湾城市群建设“十四五”实施方案》的符合性分析</w:t>
            </w:r>
          </w:p>
          <w:p w14:paraId="5BBA8D3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 xml:space="preserve">2022年3月，国家发展改革委依据《中华人民共和国国民经济和社会发展第十四个五年规划和2035年远景目标纲要》《中共中央、国务 院关于新时代推进西部大开发形成新格局的指导意见》等文件，编制发布了《北部湾城市群建设“十四五”实施方案》。  </w:t>
            </w:r>
          </w:p>
          <w:p w14:paraId="00D99BB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C00000"/>
                <w:sz w:val="24"/>
                <w:lang w:bidi="ar"/>
              </w:rPr>
            </w:pPr>
            <w:r>
              <w:rPr>
                <w:rFonts w:hint="eastAsia"/>
                <w:color w:val="auto"/>
                <w:kern w:val="0"/>
                <w:sz w:val="24"/>
              </w:rPr>
              <w:t>《北部湾城市群建设“十四五”实施方案》在“强化城市群风险防控体系”中指出，健全防汛防台风应急预案体系，全面加强城市防洪防潮排涝体系建设，推进江河堤防、海堤、水库、水闸等设施加固和中小河流治理，完善城市排水防涝工程，确保老城区雨停后及时排干积水、新城区不再出现“城市看海”现象。综上，项目用海符合《北部湾城市群建设“十四五”实施方案》的内容导向。</w:t>
            </w:r>
          </w:p>
          <w:p w14:paraId="37371B56">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b/>
                <w:color w:val="C00000"/>
                <w:kern w:val="0"/>
                <w:sz w:val="24"/>
              </w:rPr>
            </w:pPr>
          </w:p>
        </w:tc>
      </w:tr>
    </w:tbl>
    <w:p w14:paraId="741AF9B8">
      <w:pPr>
        <w:spacing w:line="360" w:lineRule="auto"/>
        <w:outlineLvl w:val="0"/>
        <w:rPr>
          <w:color w:val="C00000"/>
          <w:sz w:val="30"/>
        </w:rPr>
        <w:sectPr>
          <w:footerReference r:id="rId5" w:type="default"/>
          <w:pgSz w:w="11906" w:h="16838"/>
          <w:pgMar w:top="1304" w:right="1304" w:bottom="1304" w:left="1304" w:header="851" w:footer="851" w:gutter="0"/>
          <w:pgBorders>
            <w:top w:val="none" w:sz="0" w:space="0"/>
            <w:left w:val="none" w:sz="0" w:space="0"/>
            <w:bottom w:val="none" w:sz="0" w:space="0"/>
            <w:right w:val="none" w:sz="0" w:space="0"/>
          </w:pgBorders>
          <w:pgNumType w:start="1"/>
          <w:cols w:space="720" w:num="1"/>
          <w:docGrid w:linePitch="312" w:charSpace="0"/>
        </w:sectPr>
      </w:pPr>
    </w:p>
    <w:p w14:paraId="49EAF850">
      <w:pPr>
        <w:pStyle w:val="21"/>
        <w:spacing w:before="0" w:beforeAutospacing="0" w:after="120" w:afterLines="50" w:afterAutospacing="0"/>
        <w:jc w:val="center"/>
        <w:outlineLvl w:val="0"/>
        <w:rPr>
          <w:rFonts w:ascii="Times New Roman" w:hAnsi="Times New Roman"/>
          <w:b/>
          <w:snapToGrid w:val="0"/>
          <w:color w:val="auto"/>
          <w:sz w:val="30"/>
          <w:szCs w:val="30"/>
        </w:rPr>
      </w:pPr>
      <w:bookmarkStart w:id="4" w:name="_Toc103157932"/>
      <w:r>
        <w:rPr>
          <w:rFonts w:ascii="Times New Roman" w:hAnsi="Times New Roman"/>
          <w:b/>
          <w:snapToGrid w:val="0"/>
          <w:color w:val="auto"/>
          <w:sz w:val="30"/>
          <w:szCs w:val="30"/>
        </w:rPr>
        <w:t>二、建设内容</w:t>
      </w:r>
      <w:bookmarkEnd w:id="4"/>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412"/>
      </w:tblGrid>
      <w:tr w14:paraId="519E6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674" w:type="dxa"/>
            <w:vAlign w:val="center"/>
          </w:tcPr>
          <w:p w14:paraId="5644E143">
            <w:pPr>
              <w:keepNext w:val="0"/>
              <w:keepLines w:val="0"/>
              <w:suppressLineNumbers w:val="0"/>
              <w:adjustRightInd w:val="0"/>
              <w:snapToGrid w:val="0"/>
              <w:spacing w:before="0" w:beforeAutospacing="0" w:after="0" w:afterAutospacing="0"/>
              <w:ind w:left="0" w:right="0"/>
              <w:jc w:val="center"/>
              <w:rPr>
                <w:rFonts w:hint="eastAsia"/>
                <w:color w:val="C00000"/>
                <w:kern w:val="0"/>
                <w:sz w:val="24"/>
                <w:szCs w:val="21"/>
              </w:rPr>
            </w:pPr>
            <w:r>
              <w:rPr>
                <w:rFonts w:hint="eastAsia"/>
                <w:color w:val="auto"/>
                <w:kern w:val="0"/>
                <w:sz w:val="24"/>
                <w:szCs w:val="21"/>
              </w:rPr>
              <w:t>地理位置</w:t>
            </w:r>
          </w:p>
        </w:tc>
        <w:tc>
          <w:tcPr>
            <w:tcW w:w="8412" w:type="dxa"/>
            <w:vAlign w:val="center"/>
          </w:tcPr>
          <w:p w14:paraId="2B82BD2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C00000"/>
                <w:kern w:val="0"/>
                <w:sz w:val="24"/>
              </w:rPr>
            </w:pPr>
            <w:r>
              <w:rPr>
                <w:rFonts w:hint="eastAsia"/>
                <w:color w:val="auto"/>
                <w:kern w:val="0"/>
                <w:sz w:val="24"/>
              </w:rPr>
              <w:t>项目位于防城港市近岸海域，在榕木江湾顶，地理位置坐标为：坐标为108.4187°E，21.6745°N。详见附图1项目地理位置图。</w:t>
            </w:r>
          </w:p>
        </w:tc>
      </w:tr>
      <w:tr w14:paraId="3868A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74" w:type="dxa"/>
            <w:vAlign w:val="center"/>
          </w:tcPr>
          <w:p w14:paraId="444E5935">
            <w:pPr>
              <w:keepNext w:val="0"/>
              <w:keepLines w:val="0"/>
              <w:suppressLineNumbers w:val="0"/>
              <w:adjustRightInd w:val="0"/>
              <w:snapToGrid w:val="0"/>
              <w:spacing w:before="0" w:beforeAutospacing="0" w:after="0" w:afterAutospacing="0"/>
              <w:ind w:left="0" w:right="0"/>
              <w:jc w:val="center"/>
              <w:rPr>
                <w:rFonts w:hint="eastAsia"/>
                <w:color w:val="C00000"/>
                <w:kern w:val="0"/>
                <w:sz w:val="24"/>
                <w:szCs w:val="21"/>
              </w:rPr>
            </w:pPr>
            <w:r>
              <w:rPr>
                <w:rFonts w:hint="eastAsia"/>
                <w:color w:val="auto"/>
                <w:kern w:val="0"/>
                <w:sz w:val="24"/>
                <w:szCs w:val="21"/>
              </w:rPr>
              <w:t>项目组成及规模</w:t>
            </w:r>
          </w:p>
        </w:tc>
        <w:tc>
          <w:tcPr>
            <w:tcW w:w="8412" w:type="dxa"/>
            <w:vAlign w:val="center"/>
          </w:tcPr>
          <w:p w14:paraId="0CC12D22">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C00000"/>
                <w:kern w:val="0"/>
                <w:sz w:val="24"/>
              </w:rPr>
            </w:pPr>
            <w:r>
              <w:rPr>
                <w:rFonts w:hint="eastAsia"/>
                <w:b/>
                <w:color w:val="auto"/>
                <w:kern w:val="0"/>
                <w:sz w:val="24"/>
                <w:lang w:val="en-US" w:eastAsia="zh-CN"/>
              </w:rPr>
              <w:t>2.1</w:t>
            </w:r>
            <w:r>
              <w:rPr>
                <w:rFonts w:hint="eastAsia"/>
                <w:b/>
                <w:color w:val="auto"/>
                <w:kern w:val="0"/>
                <w:sz w:val="24"/>
              </w:rPr>
              <w:t>项目由来和基本情况</w:t>
            </w:r>
          </w:p>
          <w:p w14:paraId="35F58E2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广西防城港市东湾榕木江西侧生态护岸工程位于广西盛隆</w:t>
            </w:r>
            <w:r>
              <w:rPr>
                <w:rFonts w:hint="eastAsia"/>
                <w:color w:val="auto"/>
                <w:kern w:val="0"/>
                <w:sz w:val="24"/>
                <w:lang w:val="en-US" w:eastAsia="zh-CN"/>
              </w:rPr>
              <w:t>冶金</w:t>
            </w:r>
            <w:r>
              <w:rPr>
                <w:rFonts w:hint="eastAsia"/>
                <w:color w:val="auto"/>
                <w:kern w:val="0"/>
                <w:sz w:val="24"/>
              </w:rPr>
              <w:t>有限公司厂区四轧东海岸现有海堤外侧，该区域在榕木江入海口附近，陆域紧邻盛隆冶金有限公司的工业园区。项目区域四轧海岸线原有海堤因海浪、风暴潮等原因，已出现部分坍塌和倾斜问题，为保障生产安全、人民生命财产安全，亟需实施修复，为工业区防灾减灾和生态保护修复提供保障。</w:t>
            </w:r>
          </w:p>
          <w:p w14:paraId="77FF999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工程原有海岸线结构形式主要为浆砌筑毛石海堤，顶部为砖砌挡墙和绿化带。海堤总长为300m。毛石海堤采用毛石和砂浆砌筑而成，梯形结构，底部宽度4m，顶部宽度2m,高度为7.07m；顶部砖砌挡墙位于毛石海堤外侧，宽度为24cm，采用页岩砖砌筑，内外抹灰，高度为0.7m。挡墙顶部为高度16cm高压顶，宽度24cm钢筋混凝土结构，内设2根12通长钢筋；海堤顶部内侧为绿化带花池，宽度为176cm。</w:t>
            </w:r>
          </w:p>
          <w:p w14:paraId="218E64D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项目拟建的防城港市东湾榕木江西侧生态护岸工程，抛填片石护堤总长度300m，南北走向，底部宽度距离现有海堤7.2m，高度为5.2m，顶部宽度2m，护堤采用片石抛填形成，放坡比例为1:1。项目建设以非透水构筑物形式，采用毛石堆坡+绿化植被结合的方式建设生态护坡，为海洋防灾减灾和生态保护修复提供支撑，为防城港市生态恢复岸线认定提供储备空间。</w:t>
            </w:r>
          </w:p>
          <w:p w14:paraId="7BE29A86">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kern w:val="0"/>
                <w:sz w:val="24"/>
              </w:rPr>
            </w:pPr>
            <w:r>
              <w:rPr>
                <w:rFonts w:hint="eastAsia"/>
                <w:b/>
                <w:bCs/>
                <w:color w:val="auto"/>
                <w:kern w:val="0"/>
                <w:sz w:val="24"/>
                <w:lang w:val="en-US" w:eastAsia="zh-CN"/>
              </w:rPr>
              <w:t>2.2</w:t>
            </w:r>
            <w:r>
              <w:rPr>
                <w:rFonts w:hint="eastAsia"/>
                <w:b/>
                <w:bCs/>
                <w:color w:val="auto"/>
                <w:kern w:val="0"/>
                <w:sz w:val="24"/>
              </w:rPr>
              <w:t>项目建设内容</w:t>
            </w:r>
          </w:p>
          <w:p w14:paraId="6A63B1BE">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宋体"/>
                <w:b/>
                <w:bCs/>
                <w:color w:val="auto"/>
                <w:kern w:val="0"/>
                <w:sz w:val="24"/>
                <w:lang w:val="en-US" w:eastAsia="zh-CN"/>
              </w:rPr>
            </w:pPr>
            <w:r>
              <w:rPr>
                <w:rFonts w:hint="eastAsia"/>
                <w:b/>
                <w:bCs/>
                <w:color w:val="auto"/>
                <w:kern w:val="0"/>
                <w:sz w:val="24"/>
                <w:lang w:val="en-US" w:eastAsia="zh-CN"/>
              </w:rPr>
              <w:t>2.2.1项目主体工程</w:t>
            </w:r>
          </w:p>
          <w:p w14:paraId="344D1D7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本项目建设包括海岸线的毛石堆坡+绿化植被。其中，毛石挡土墙300米，用海面积0.2308平方米，挡土墙上覆盖绿化植被，长约300米，面积约600平方米。</w:t>
            </w:r>
            <w:r>
              <w:rPr>
                <w:rFonts w:hint="eastAsia"/>
                <w:color w:val="auto"/>
                <w:kern w:val="0"/>
                <w:sz w:val="24"/>
                <w:lang w:val="en-US" w:eastAsia="zh-CN"/>
              </w:rPr>
              <w:t>结构自下而上为：海床→5.2m高片石抛填海堤→100厚C25素混凝士垫层→种植草坪绿化带；</w:t>
            </w:r>
            <w:r>
              <w:rPr>
                <w:rFonts w:hint="eastAsia"/>
                <w:color w:val="auto"/>
                <w:kern w:val="0"/>
                <w:sz w:val="24"/>
              </w:rPr>
              <w:t>本工程计划投资200万元，其中工程费用110万元，内容包括：建筑工程、给排水工程、绿化、环境保护及临时工程等。</w:t>
            </w:r>
          </w:p>
          <w:p w14:paraId="0D144DC9">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kern w:val="0"/>
                <w:sz w:val="24"/>
                <w:lang w:val="en-US" w:eastAsia="zh-CN"/>
              </w:rPr>
            </w:pPr>
            <w:r>
              <w:rPr>
                <w:rFonts w:hint="eastAsia"/>
                <w:b/>
                <w:bCs/>
                <w:color w:val="auto"/>
                <w:kern w:val="0"/>
                <w:sz w:val="24"/>
                <w:lang w:val="en-US" w:eastAsia="zh-CN"/>
              </w:rPr>
              <w:t>2.2.2辅助工程</w:t>
            </w:r>
          </w:p>
          <w:p w14:paraId="585DFF9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本工程施工无辅助工程。</w:t>
            </w:r>
          </w:p>
          <w:p w14:paraId="3407FBC9">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kern w:val="0"/>
                <w:sz w:val="24"/>
                <w:lang w:val="en-US" w:eastAsia="zh-CN"/>
              </w:rPr>
            </w:pPr>
            <w:r>
              <w:rPr>
                <w:rFonts w:hint="eastAsia"/>
                <w:b/>
                <w:bCs/>
                <w:color w:val="auto"/>
                <w:kern w:val="0"/>
                <w:sz w:val="24"/>
                <w:lang w:val="en-US" w:eastAsia="zh-CN"/>
              </w:rPr>
              <w:t>2.2.3环保工程</w:t>
            </w:r>
          </w:p>
          <w:p w14:paraId="3798E7A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eastAsia"/>
                <w:color w:val="auto"/>
                <w:kern w:val="0"/>
                <w:sz w:val="24"/>
                <w:lang w:val="en-US" w:eastAsia="zh-CN"/>
              </w:rPr>
              <w:t>保证施工过程节能环保要求，项目对施工沿线的土石方作业进行围挡搭设防护，围挡搭设在现有海堤内侧道路，起环保、安全、降音、降噪作用。同时，在围挡顶部安装喷淋系统，保证土石方施工过程中扬尘得到抑制。除此之外，项目还将配备专用的噪声监测设备，定期对施工场地及周边敏感点的噪声进行监测，根据监测结果采取合理安排高噪声设备作业时间、设置隔声屏障等措施，确保施工噪声符合国家相关标准要求，减少对周边居民生活的影响。具体见报告第五章。</w:t>
            </w:r>
          </w:p>
          <w:p w14:paraId="5946D9FD">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kern w:val="0"/>
                <w:sz w:val="24"/>
                <w:lang w:val="en-US" w:eastAsia="zh-CN"/>
              </w:rPr>
            </w:pPr>
            <w:r>
              <w:rPr>
                <w:rFonts w:hint="eastAsia"/>
                <w:b/>
                <w:bCs/>
                <w:color w:val="auto"/>
                <w:kern w:val="0"/>
                <w:sz w:val="24"/>
                <w:lang w:val="en-US" w:eastAsia="zh-CN"/>
              </w:rPr>
              <w:t>2.2.4依托工程</w:t>
            </w:r>
          </w:p>
          <w:p w14:paraId="3A21A7D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本工程依托工程为该区域现有海堤。海底结构形式为毛石砌筑海堤，梯形结构，底部宽度为4.8m，顶部宽度为3m，高度为7m。海堤内侧为12m宽沥青混凝土道路。施工依托现有道路进行材料运输、机械准备、人员准备、临时用水用电等作为施工平台，施工平台高程为+5.20m（1985国家高程基准），可满足日均13小时潮间带作业窗口要求；沥青道路结构层自下而上为:30cm级配碎石基层+20cm水泥混凝土稳定层+10cm沥青层。工程依托现有毛石砌筑海堤作为靠背，在其外侧抛填片石，形成新的海堤结构。</w:t>
            </w:r>
          </w:p>
          <w:p w14:paraId="15A8CE91">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kern w:val="0"/>
                <w:sz w:val="24"/>
                <w:lang w:val="en-US" w:eastAsia="zh-CN"/>
              </w:rPr>
            </w:pPr>
            <w:r>
              <w:rPr>
                <w:rFonts w:hint="eastAsia"/>
                <w:b/>
                <w:bCs/>
                <w:color w:val="auto"/>
                <w:kern w:val="0"/>
                <w:sz w:val="24"/>
                <w:lang w:val="en-US" w:eastAsia="zh-CN"/>
              </w:rPr>
              <w:t>2.2.5临时工程</w:t>
            </w:r>
          </w:p>
          <w:p w14:paraId="05132012">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kern w:val="0"/>
                <w:sz w:val="24"/>
                <w:lang w:val="en-US" w:eastAsia="zh-CN"/>
              </w:rPr>
            </w:pPr>
            <w:r>
              <w:rPr>
                <w:rFonts w:hint="default"/>
                <w:bCs/>
                <w:color w:val="auto"/>
                <w:kern w:val="0"/>
                <w:sz w:val="24"/>
                <w:lang w:val="en-US" w:eastAsia="zh-CN"/>
              </w:rPr>
              <w:t>本工程临时工程为现场施工围挡，施工前进行搭设，施工完毕后拆除恢复原状。现场施工围挡搭设在现有海堤内侧道路，起环保、安全、降音、降噪作用。围挡采用临时彩钢金属围挡，外挂安全警示标牌和反光贴。围挡施工沿线南端和北端各留一个出入口，以便石料和机械出入。</w:t>
            </w:r>
          </w:p>
          <w:p w14:paraId="1D9216E5">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C00000"/>
                <w:kern w:val="0"/>
                <w:sz w:val="24"/>
              </w:rPr>
            </w:pPr>
            <w:r>
              <w:rPr>
                <w:rFonts w:hint="eastAsia"/>
                <w:b/>
                <w:bCs/>
                <w:color w:val="auto"/>
                <w:kern w:val="0"/>
                <w:sz w:val="24"/>
                <w:lang w:val="en-US" w:eastAsia="zh-CN"/>
              </w:rPr>
              <w:t>2.</w:t>
            </w:r>
            <w:r>
              <w:rPr>
                <w:rFonts w:hint="eastAsia"/>
                <w:b/>
                <w:bCs/>
                <w:color w:val="auto"/>
                <w:kern w:val="0"/>
                <w:sz w:val="24"/>
              </w:rPr>
              <w:t>3项目用海情况</w:t>
            </w:r>
          </w:p>
          <w:p w14:paraId="2D72A520">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按《国土空间调查、规划、用途管制用地用海分类指南》（自然资发 〔2023〕234号）规定，本项目用海类型为“特殊用海”（一级类）中的“海洋保护修复及海岸防护工程用海”（二级类）。</w:t>
            </w:r>
          </w:p>
          <w:p w14:paraId="548EA0E5">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按《海域使用分类》（HY/T123-2009）规定，本项目用海方式为“构筑物”（一级方式）中的“非透水构筑物”（二级方式）；按《财政部国家海洋局印发&lt;关于调整海域无居民海岛使用金征收标准&gt;的通知》（财综〔2018〕15号）规定，本项目用海方式为“构筑物用海”中的“非透水构筑物用海”。</w:t>
            </w:r>
          </w:p>
          <w:p w14:paraId="08E66EF5">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项目申请用海面积为0.2308hm</w:t>
            </w:r>
            <w:r>
              <w:rPr>
                <w:rFonts w:hint="eastAsia"/>
                <w:bCs/>
                <w:color w:val="auto"/>
                <w:kern w:val="0"/>
                <w:sz w:val="24"/>
                <w:vertAlign w:val="superscript"/>
              </w:rPr>
              <w:t>2</w:t>
            </w:r>
            <w:r>
              <w:rPr>
                <w:rFonts w:hint="eastAsia"/>
                <w:bCs/>
                <w:color w:val="auto"/>
                <w:kern w:val="0"/>
                <w:sz w:val="24"/>
              </w:rPr>
              <w:t>，均为非透水构筑物用海，共1个宗海单元，坐标范围在21°40′23.721″N~21°40′23.839″N，108°25′06.709″E~108°25′06.750″E内。项目申请用海期限为40年。</w:t>
            </w:r>
          </w:p>
          <w:p w14:paraId="18729E37">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kern w:val="0"/>
                <w:sz w:val="24"/>
                <w:lang w:val="en-US" w:eastAsia="zh-CN"/>
              </w:rPr>
            </w:pPr>
            <w:r>
              <w:rPr>
                <w:rFonts w:hint="eastAsia"/>
                <w:b/>
                <w:color w:val="auto"/>
                <w:kern w:val="0"/>
                <w:sz w:val="24"/>
                <w:lang w:val="en-US" w:eastAsia="zh-CN"/>
              </w:rPr>
              <w:t>2.4项目建设必要性</w:t>
            </w:r>
          </w:p>
          <w:p w14:paraId="4F06B22C">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lang w:val="en-US" w:eastAsia="zh-CN"/>
              </w:rPr>
              <w:t>（1）</w:t>
            </w:r>
            <w:r>
              <w:rPr>
                <w:rFonts w:hint="eastAsia"/>
                <w:bCs/>
                <w:color w:val="auto"/>
                <w:kern w:val="0"/>
                <w:sz w:val="24"/>
              </w:rPr>
              <w:t>项目建设是保障沿海地区经济社会发展和人民群众生命财产安全的需要。《中华人民共和国国民经济和社会发展第十三个五年规划纲要》提出，“支持沿海地区全面参与全球经济合作和竞争，发挥环渤海、长三角、珠三角地区的对外开放门户作用，率先对接国际高标准投资和贸易规则体系，培育具有全球竞争力的经济区”。经济社会快速发展对沿海地区防潮减灾提出了新的更高的要求，但近年来，台风风暴潮灾害呈多发、频发、连发态势，灾害损失日趋加重，防城港市东湾榕木江西侧四轧海岸线海堤出现部分区域坍塌与倾斜等受损问题，因此，海堤作为防御台风风暴潮灾害的第一道防线，加强该受损人工海堤修复和生态护坡建设，提升抗御台风风暴潮冲刷和破坏的能力，对于保障沿海地区经济社会发展和人民群众生命财产安全具有重要作用。</w:t>
            </w:r>
          </w:p>
          <w:p w14:paraId="231DD7C1">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lang w:eastAsia="zh-CN"/>
              </w:rPr>
              <w:t>（</w:t>
            </w:r>
            <w:r>
              <w:rPr>
                <w:rFonts w:hint="eastAsia"/>
                <w:bCs/>
                <w:color w:val="auto"/>
                <w:kern w:val="0"/>
                <w:sz w:val="24"/>
                <w:lang w:val="en-US" w:eastAsia="zh-CN"/>
              </w:rPr>
              <w:t>2</w:t>
            </w:r>
            <w:r>
              <w:rPr>
                <w:rFonts w:hint="eastAsia"/>
                <w:bCs/>
                <w:color w:val="auto"/>
                <w:kern w:val="0"/>
                <w:sz w:val="24"/>
                <w:lang w:eastAsia="zh-CN"/>
              </w:rPr>
              <w:t>）</w:t>
            </w:r>
            <w:r>
              <w:rPr>
                <w:rFonts w:hint="eastAsia"/>
                <w:bCs/>
                <w:color w:val="auto"/>
                <w:kern w:val="0"/>
                <w:sz w:val="24"/>
              </w:rPr>
              <w:t>项目建设是保护防城港市港口区地区社会稳定、经济持续发展的需要。防城港市榕木江区域是重要的工业园区及仓储基地，海堤因地方财政薄弱，年久失修，越容易受到潮汐和潮流侵蚀，尤其是近些年来台风和风暴潮叠加效应加剧，受损更加严重。加快推动海堤达标加固建设，是事关人民群众切身利益，保障地方经济社会稳定和科学发展的大事。本项目实施后，可保护海堤沿线工业园区、相邻村镇的安全，有效减轻区域内台风风暴潮灾害带来的经济损失，区域内基础设施、固定资产、工农业生产、群众生命及财产都将得到有效保护，社会效益显著，为防城港市港口区社会稳定、经济持续发展创造了良好的基础条件。</w:t>
            </w:r>
          </w:p>
          <w:p w14:paraId="24C99F8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C00000"/>
                <w:kern w:val="0"/>
                <w:sz w:val="24"/>
              </w:rPr>
            </w:pPr>
            <w:r>
              <w:rPr>
                <w:rFonts w:hint="eastAsia"/>
                <w:bCs/>
                <w:color w:val="auto"/>
                <w:kern w:val="0"/>
                <w:sz w:val="24"/>
                <w:lang w:eastAsia="zh-CN"/>
              </w:rPr>
              <w:t>（</w:t>
            </w:r>
            <w:r>
              <w:rPr>
                <w:rFonts w:hint="eastAsia"/>
                <w:bCs/>
                <w:color w:val="auto"/>
                <w:kern w:val="0"/>
                <w:sz w:val="24"/>
                <w:lang w:val="en-US" w:eastAsia="zh-CN"/>
              </w:rPr>
              <w:t>3</w:t>
            </w:r>
            <w:r>
              <w:rPr>
                <w:rFonts w:hint="eastAsia"/>
                <w:bCs/>
                <w:color w:val="auto"/>
                <w:kern w:val="0"/>
                <w:sz w:val="24"/>
                <w:lang w:eastAsia="zh-CN"/>
              </w:rPr>
              <w:t>）</w:t>
            </w:r>
            <w:r>
              <w:rPr>
                <w:rFonts w:hint="eastAsia"/>
                <w:bCs/>
                <w:color w:val="auto"/>
                <w:kern w:val="0"/>
                <w:sz w:val="24"/>
              </w:rPr>
              <w:t>项目建设是改善海堤沿线生态环境的需要。以生态护坡形式开展海堤修复工程，可减轻防城港经济区水土流失，提高海岸抗冲刷能力，有效遏制海岸侵蚀现象，为经济区安全生产、社会安定、人民安居乐业创造了良好的生存环境。同时，以生态护坡形式开展海堤修复工程还可保护沿海土地、植被等自然资源，为动植物的生长和繁衍创造有利条件，对促进区域生态环境改善具有积极作用。本海堤工程还有利于保护海岸滩涂，可通过加强造林绿化，扩大植被覆盖面积，提升海堤生态减灾功能。</w:t>
            </w:r>
          </w:p>
        </w:tc>
      </w:tr>
      <w:tr w14:paraId="1A8CB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Align w:val="center"/>
          </w:tcPr>
          <w:p w14:paraId="21D12D2D">
            <w:pPr>
              <w:keepNext w:val="0"/>
              <w:keepLines w:val="0"/>
              <w:suppressLineNumbers w:val="0"/>
              <w:adjustRightInd w:val="0"/>
              <w:snapToGrid w:val="0"/>
              <w:spacing w:before="0" w:beforeAutospacing="0" w:after="0" w:afterAutospacing="0"/>
              <w:ind w:left="0" w:right="0"/>
              <w:jc w:val="center"/>
              <w:rPr>
                <w:rFonts w:hint="eastAsia"/>
                <w:color w:val="C00000"/>
                <w:kern w:val="0"/>
                <w:sz w:val="24"/>
                <w:szCs w:val="21"/>
              </w:rPr>
            </w:pPr>
            <w:r>
              <w:rPr>
                <w:rFonts w:hint="eastAsia"/>
                <w:color w:val="auto"/>
                <w:kern w:val="0"/>
                <w:sz w:val="24"/>
                <w:szCs w:val="21"/>
              </w:rPr>
              <w:t>总平面及现场布置</w:t>
            </w:r>
          </w:p>
        </w:tc>
        <w:tc>
          <w:tcPr>
            <w:tcW w:w="8412" w:type="dxa"/>
            <w:tcBorders>
              <w:bottom w:val="single" w:color="auto" w:sz="4" w:space="0"/>
            </w:tcBorders>
            <w:vAlign w:val="center"/>
          </w:tcPr>
          <w:p w14:paraId="40764ED6">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r>
              <w:rPr>
                <w:rFonts w:hint="eastAsia"/>
                <w:b/>
                <w:color w:val="auto"/>
                <w:kern w:val="0"/>
                <w:sz w:val="24"/>
                <w:lang w:val="en-US" w:eastAsia="zh-CN"/>
              </w:rPr>
              <w:t>2.5平面布置和主要结构、尺度</w:t>
            </w:r>
          </w:p>
          <w:p w14:paraId="3EA4A061">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bookmarkStart w:id="5" w:name="_Toc224051772"/>
            <w:bookmarkStart w:id="6" w:name="_Toc224308006"/>
            <w:r>
              <w:rPr>
                <w:rFonts w:hint="eastAsia"/>
                <w:b/>
                <w:color w:val="auto"/>
                <w:kern w:val="0"/>
                <w:sz w:val="24"/>
                <w:lang w:val="en-US" w:eastAsia="zh-CN"/>
              </w:rPr>
              <w:t>2.5.1工程原有护岸结构</w:t>
            </w:r>
          </w:p>
          <w:p w14:paraId="23D667F5">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lang w:val="en-US" w:eastAsia="zh-CN"/>
              </w:rPr>
            </w:pPr>
            <w:r>
              <w:rPr>
                <w:rFonts w:hint="default"/>
                <w:bCs/>
                <w:color w:val="auto"/>
                <w:kern w:val="0"/>
                <w:sz w:val="24"/>
                <w:lang w:val="en-US" w:eastAsia="zh-CN"/>
              </w:rPr>
              <w:t>本工程原有海岸线结构形式主要为浆砌筑毛石海堤，顶部为砖砌挡墙和绿化带。海堤总长为300m。毛石海堤采用毛石和砂浆砌筑而成，梯形结构，底部宽度4m，顶部宽度2m,高度为7.07m；顶部砖砌挡墙位于毛石海堤外侧，宽度为24cm，采用页岩砖砌筑，内外抹灰，高度为0.7m。挡墙顶部为高度16cm高压顶，宽度24cm钢筋混凝土结构，内设2根12通长钢筋；海堤顶部内侧为绿化带花池，宽度为176cm。</w:t>
            </w:r>
            <w:r>
              <w:rPr>
                <w:rFonts w:hint="eastAsia"/>
                <w:bCs/>
                <w:color w:val="auto"/>
                <w:kern w:val="0"/>
                <w:sz w:val="24"/>
                <w:lang w:val="en-US" w:eastAsia="zh-CN"/>
              </w:rPr>
              <w:t>项目所在地现状见图2.5-1。</w:t>
            </w:r>
          </w:p>
          <w:p w14:paraId="21D13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rPr>
            </w:pPr>
            <w:r>
              <w:rPr>
                <w:rFonts w:hint="eastAsia"/>
              </w:rPr>
              <w:drawing>
                <wp:inline distT="0" distB="0" distL="114300" distR="114300">
                  <wp:extent cx="2458085" cy="1838960"/>
                  <wp:effectExtent l="0" t="0" r="8890" b="8890"/>
                  <wp:docPr id="1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8"/>
                          <pic:cNvPicPr>
                            <a:picLocks noChangeAspect="1"/>
                          </pic:cNvPicPr>
                        </pic:nvPicPr>
                        <pic:blipFill>
                          <a:blip r:embed="rId7"/>
                          <a:stretch>
                            <a:fillRect/>
                          </a:stretch>
                        </pic:blipFill>
                        <pic:spPr>
                          <a:xfrm>
                            <a:off x="0" y="0"/>
                            <a:ext cx="2458085" cy="1838960"/>
                          </a:xfrm>
                          <a:prstGeom prst="rect">
                            <a:avLst/>
                          </a:prstGeom>
                          <a:noFill/>
                          <a:ln>
                            <a:noFill/>
                          </a:ln>
                        </pic:spPr>
                      </pic:pic>
                    </a:graphicData>
                  </a:graphic>
                </wp:inline>
              </w:drawing>
            </w:r>
            <w:r>
              <w:rPr>
                <w:rFonts w:hint="eastAsia"/>
              </w:rPr>
              <w:drawing>
                <wp:inline distT="0" distB="0" distL="114300" distR="114300">
                  <wp:extent cx="2409190" cy="1803400"/>
                  <wp:effectExtent l="0" t="0" r="635" b="6350"/>
                  <wp:docPr id="15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9"/>
                          <pic:cNvPicPr>
                            <a:picLocks noChangeAspect="1"/>
                          </pic:cNvPicPr>
                        </pic:nvPicPr>
                        <pic:blipFill>
                          <a:blip r:embed="rId8"/>
                          <a:stretch>
                            <a:fillRect/>
                          </a:stretch>
                        </pic:blipFill>
                        <pic:spPr>
                          <a:xfrm>
                            <a:off x="0" y="0"/>
                            <a:ext cx="2409190" cy="1803400"/>
                          </a:xfrm>
                          <a:prstGeom prst="rect">
                            <a:avLst/>
                          </a:prstGeom>
                          <a:noFill/>
                          <a:ln>
                            <a:noFill/>
                          </a:ln>
                        </pic:spPr>
                      </pic:pic>
                    </a:graphicData>
                  </a:graphic>
                </wp:inline>
              </w:drawing>
            </w:r>
          </w:p>
          <w:p w14:paraId="268450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图2.5-1   工程所在区现状</w:t>
            </w:r>
          </w:p>
          <w:p w14:paraId="04B2D4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lang w:val="en-US" w:eastAsia="zh-CN"/>
              </w:rPr>
            </w:pPr>
          </w:p>
          <w:p w14:paraId="6436B7E3">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r>
              <w:rPr>
                <w:rFonts w:hint="eastAsia"/>
                <w:b/>
                <w:color w:val="auto"/>
                <w:kern w:val="0"/>
                <w:sz w:val="24"/>
                <w:lang w:val="en-US" w:eastAsia="zh-CN"/>
              </w:rPr>
              <w:t>2.5.2工程设计平面布置</w:t>
            </w:r>
            <w:bookmarkEnd w:id="5"/>
            <w:bookmarkEnd w:id="6"/>
          </w:p>
          <w:p w14:paraId="3195A06D">
            <w:pPr>
              <w:keepNext w:val="0"/>
              <w:keepLines w:val="0"/>
              <w:suppressLineNumbers w:val="0"/>
              <w:adjustRightInd w:val="0"/>
              <w:snapToGrid w:val="0"/>
              <w:spacing w:before="0" w:beforeAutospacing="0" w:after="0" w:afterAutospacing="0" w:line="360" w:lineRule="auto"/>
              <w:ind w:left="0" w:right="0" w:firstLine="480" w:firstLineChars="200"/>
              <w:rPr>
                <w:rFonts w:hint="eastAsia"/>
              </w:rPr>
            </w:pPr>
            <w:r>
              <w:rPr>
                <w:rFonts w:hint="eastAsia"/>
                <w:bCs/>
                <w:color w:val="auto"/>
                <w:kern w:val="0"/>
                <w:sz w:val="24"/>
              </w:rPr>
              <w:t>抛填片石护堤总长度300m，位于广西盛隆</w:t>
            </w:r>
            <w:r>
              <w:rPr>
                <w:rFonts w:hint="eastAsia"/>
                <w:color w:val="auto"/>
                <w:kern w:val="0"/>
                <w:sz w:val="24"/>
                <w:lang w:val="en-US" w:eastAsia="zh-CN"/>
              </w:rPr>
              <w:t>冶金</w:t>
            </w:r>
            <w:r>
              <w:rPr>
                <w:rFonts w:hint="eastAsia"/>
                <w:bCs/>
                <w:color w:val="auto"/>
                <w:kern w:val="0"/>
                <w:sz w:val="24"/>
              </w:rPr>
              <w:t>有限公司厂区四轧东海岸现有海堤外侧，南北走向，底部宽度距离现有海堤7.2m，高度为5.2m，顶部宽度2m。护堤采用片石抛填形成，放坡比例为1:1。项目规划总平面图、施工平面、立面、剖面图见</w:t>
            </w:r>
            <w:r>
              <w:rPr>
                <w:rFonts w:hint="eastAsia"/>
                <w:bCs/>
                <w:color w:val="auto"/>
                <w:kern w:val="0"/>
                <w:sz w:val="24"/>
                <w:lang w:val="en-US" w:eastAsia="zh-CN"/>
              </w:rPr>
              <w:t>附图4</w:t>
            </w:r>
            <w:r>
              <w:rPr>
                <w:rFonts w:hint="eastAsia"/>
                <w:bCs/>
                <w:color w:val="auto"/>
                <w:kern w:val="0"/>
                <w:sz w:val="24"/>
              </w:rPr>
              <w:t>。</w:t>
            </w:r>
          </w:p>
          <w:p w14:paraId="0AB5B79A">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bookmarkStart w:id="7" w:name="_Toc224308007"/>
            <w:bookmarkStart w:id="8" w:name="_Toc224051773"/>
            <w:r>
              <w:rPr>
                <w:rFonts w:hint="eastAsia"/>
                <w:b/>
                <w:color w:val="auto"/>
                <w:kern w:val="0"/>
                <w:sz w:val="24"/>
                <w:lang w:val="en-US" w:eastAsia="zh-CN"/>
              </w:rPr>
              <w:t>2.5.3平面尺度</w:t>
            </w:r>
            <w:bookmarkEnd w:id="7"/>
            <w:bookmarkEnd w:id="8"/>
          </w:p>
          <w:p w14:paraId="6806F304">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auto"/>
                <w:kern w:val="0"/>
                <w:sz w:val="24"/>
                <w:lang w:val="en-US" w:eastAsia="zh-CN"/>
              </w:rPr>
            </w:pPr>
            <w:r>
              <w:rPr>
                <w:rFonts w:hint="eastAsia"/>
                <w:bCs/>
                <w:color w:val="auto"/>
                <w:kern w:val="0"/>
                <w:sz w:val="24"/>
              </w:rPr>
              <w:t>抛填片石护堤总长度300m，底部宽度海堤7.2m。</w:t>
            </w:r>
            <w:r>
              <w:rPr>
                <w:rFonts w:hint="eastAsia"/>
                <w:bCs/>
                <w:color w:val="auto"/>
                <w:kern w:val="0"/>
                <w:sz w:val="24"/>
                <w:lang w:val="en-US" w:eastAsia="zh-CN"/>
              </w:rPr>
              <w:t>项目平面尺度见图2.5-2。</w:t>
            </w:r>
          </w:p>
          <w:p w14:paraId="7802B7D2">
            <w:pPr>
              <w:keepNext w:val="0"/>
              <w:keepLines w:val="0"/>
              <w:suppressLineNumbers w:val="0"/>
              <w:spacing w:before="0" w:beforeAutospacing="0" w:after="0" w:afterAutospacing="0" w:line="240" w:lineRule="auto"/>
              <w:ind w:left="0" w:right="0" w:firstLine="0" w:firstLineChars="0"/>
              <w:jc w:val="center"/>
              <w:rPr>
                <w:rFonts w:hint="eastAsia"/>
                <w:b/>
                <w:bCs/>
              </w:rPr>
            </w:pPr>
            <w:r>
              <w:rPr>
                <w:rFonts w:hint="eastAsia"/>
              </w:rPr>
              <w:drawing>
                <wp:inline distT="0" distB="0" distL="0" distR="0">
                  <wp:extent cx="5272405" cy="1844040"/>
                  <wp:effectExtent l="0" t="0" r="4445" b="3810"/>
                  <wp:docPr id="157" name="图片 17" descr="用海平面尺度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7" descr="用海平面尺度示意图"/>
                          <pic:cNvPicPr>
                            <a:picLocks noChangeAspect="1" noChangeArrowheads="1"/>
                          </pic:cNvPicPr>
                        </pic:nvPicPr>
                        <pic:blipFill>
                          <a:blip r:embed="rId9" cstate="print">
                            <a:extLst>
                              <a:ext uri="{28A0092B-C50C-407E-A947-70E740481C1C}">
                                <a14:useLocalDpi xmlns:a14="http://schemas.microsoft.com/office/drawing/2010/main" val="0"/>
                              </a:ext>
                            </a:extLst>
                          </a:blip>
                          <a:srcRect t="14638"/>
                          <a:stretch>
                            <a:fillRect/>
                          </a:stretch>
                        </pic:blipFill>
                        <pic:spPr>
                          <a:xfrm>
                            <a:off x="0" y="0"/>
                            <a:ext cx="5272405" cy="1844040"/>
                          </a:xfrm>
                          <a:prstGeom prst="rect">
                            <a:avLst/>
                          </a:prstGeom>
                          <a:noFill/>
                          <a:ln>
                            <a:noFill/>
                          </a:ln>
                        </pic:spPr>
                      </pic:pic>
                    </a:graphicData>
                  </a:graphic>
                </wp:inline>
              </w:drawing>
            </w:r>
          </w:p>
          <w:p w14:paraId="48659F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图2.5-</w:t>
            </w:r>
            <w:r>
              <w:rPr>
                <w:rFonts w:hint="eastAsia" w:cs="Times New Roman"/>
                <w:b/>
                <w:bCs/>
                <w:color w:val="auto"/>
                <w:kern w:val="0"/>
                <w:sz w:val="21"/>
                <w:szCs w:val="21"/>
                <w:lang w:val="en-US" w:eastAsia="zh-CN"/>
              </w:rPr>
              <w:t>2</w:t>
            </w:r>
            <w:r>
              <w:rPr>
                <w:rFonts w:hint="eastAsia" w:ascii="Times New Roman" w:hAnsi="Times New Roman" w:cs="Times New Roman"/>
                <w:b/>
                <w:bCs/>
                <w:color w:val="auto"/>
                <w:kern w:val="0"/>
                <w:sz w:val="21"/>
                <w:szCs w:val="21"/>
                <w:lang w:val="en-US" w:eastAsia="zh-CN"/>
              </w:rPr>
              <w:t xml:space="preserve">  项目平面尺度示意图</w:t>
            </w:r>
          </w:p>
          <w:p w14:paraId="6C43B61A">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eastAsia"/>
                <w:b/>
                <w:color w:val="C00000"/>
                <w:kern w:val="0"/>
                <w:sz w:val="24"/>
              </w:rPr>
            </w:pPr>
          </w:p>
        </w:tc>
      </w:tr>
      <w:tr w14:paraId="38BFA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9" w:hRule="atLeast"/>
          <w:jc w:val="center"/>
        </w:trPr>
        <w:tc>
          <w:tcPr>
            <w:tcW w:w="674" w:type="dxa"/>
            <w:vAlign w:val="center"/>
          </w:tcPr>
          <w:p w14:paraId="218EF1FE">
            <w:pPr>
              <w:keepNext w:val="0"/>
              <w:keepLines w:val="0"/>
              <w:suppressLineNumbers w:val="0"/>
              <w:adjustRightInd w:val="0"/>
              <w:snapToGrid w:val="0"/>
              <w:spacing w:before="0" w:beforeAutospacing="0" w:after="0" w:afterAutospacing="0"/>
              <w:ind w:left="0" w:right="0"/>
              <w:jc w:val="center"/>
              <w:rPr>
                <w:rFonts w:hint="eastAsia"/>
                <w:color w:val="C00000"/>
                <w:kern w:val="0"/>
                <w:sz w:val="24"/>
                <w:szCs w:val="21"/>
              </w:rPr>
            </w:pPr>
            <w:r>
              <w:rPr>
                <w:rFonts w:hint="eastAsia"/>
                <w:color w:val="auto"/>
                <w:kern w:val="0"/>
                <w:sz w:val="24"/>
                <w:szCs w:val="21"/>
              </w:rPr>
              <w:t>施工方案</w:t>
            </w:r>
          </w:p>
        </w:tc>
        <w:tc>
          <w:tcPr>
            <w:tcW w:w="8412" w:type="dxa"/>
            <w:tcBorders>
              <w:bottom w:val="single" w:color="auto" w:sz="4" w:space="0"/>
            </w:tcBorders>
            <w:vAlign w:val="center"/>
          </w:tcPr>
          <w:p w14:paraId="4F1A7310">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r>
              <w:rPr>
                <w:rFonts w:hint="eastAsia"/>
                <w:b/>
                <w:color w:val="auto"/>
                <w:kern w:val="0"/>
                <w:sz w:val="24"/>
                <w:lang w:val="en-US" w:eastAsia="zh-CN"/>
              </w:rPr>
              <w:t>2.6项目主要施工工艺和方法</w:t>
            </w:r>
          </w:p>
          <w:p w14:paraId="07666662">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bookmarkStart w:id="9" w:name="_Toc224308009"/>
            <w:bookmarkStart w:id="10" w:name="_Toc224051775"/>
            <w:r>
              <w:rPr>
                <w:rFonts w:hint="eastAsia"/>
                <w:b/>
                <w:color w:val="auto"/>
                <w:kern w:val="0"/>
                <w:sz w:val="24"/>
                <w:lang w:val="en-US" w:eastAsia="zh-CN"/>
              </w:rPr>
              <w:t>2.6.1施工进度安排</w:t>
            </w:r>
            <w:bookmarkEnd w:id="9"/>
            <w:bookmarkEnd w:id="10"/>
          </w:p>
          <w:p w14:paraId="081DBFDC">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根据本工程施工总进度计划安排，细化各分项工程的施工节点，具体如下：</w:t>
            </w:r>
          </w:p>
          <w:p w14:paraId="6C2ACFEC">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lang w:val="en-US" w:eastAsia="zh-CN"/>
              </w:rPr>
              <w:t>1）</w:t>
            </w:r>
            <w:r>
              <w:rPr>
                <w:rFonts w:hint="eastAsia"/>
                <w:bCs/>
                <w:color w:val="auto"/>
                <w:kern w:val="0"/>
                <w:sz w:val="24"/>
              </w:rPr>
              <w:t>施工围挡搭设：4天</w:t>
            </w:r>
          </w:p>
          <w:p w14:paraId="1EB0E285">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lang w:val="en-US" w:eastAsia="zh-CN"/>
              </w:rPr>
              <w:t>2）</w:t>
            </w:r>
            <w:r>
              <w:rPr>
                <w:rFonts w:hint="eastAsia"/>
                <w:bCs/>
                <w:color w:val="auto"/>
                <w:kern w:val="0"/>
                <w:sz w:val="24"/>
              </w:rPr>
              <w:t>抛填片石：20天</w:t>
            </w:r>
          </w:p>
          <w:p w14:paraId="319DCD75">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lang w:val="en-US" w:eastAsia="zh-CN"/>
              </w:rPr>
              <w:t>3）</w:t>
            </w:r>
            <w:r>
              <w:rPr>
                <w:rFonts w:hint="eastAsia"/>
                <w:bCs/>
                <w:color w:val="auto"/>
                <w:kern w:val="0"/>
                <w:sz w:val="24"/>
              </w:rPr>
              <w:t>堤顶硬化：10天</w:t>
            </w:r>
          </w:p>
          <w:p w14:paraId="5CEC6927">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lang w:val="en-US" w:eastAsia="zh-CN"/>
              </w:rPr>
              <w:t>4）</w:t>
            </w:r>
            <w:r>
              <w:rPr>
                <w:rFonts w:hint="eastAsia"/>
                <w:bCs/>
                <w:color w:val="auto"/>
                <w:kern w:val="0"/>
                <w:sz w:val="24"/>
              </w:rPr>
              <w:t>绿化施工：</w:t>
            </w:r>
            <w:r>
              <w:rPr>
                <w:rFonts w:hint="eastAsia"/>
                <w:bCs/>
                <w:color w:val="auto"/>
                <w:kern w:val="0"/>
                <w:sz w:val="24"/>
                <w:lang w:val="en-US" w:eastAsia="zh-CN"/>
              </w:rPr>
              <w:t>6</w:t>
            </w:r>
            <w:r>
              <w:rPr>
                <w:rFonts w:hint="eastAsia"/>
                <w:bCs/>
                <w:color w:val="auto"/>
                <w:kern w:val="0"/>
                <w:sz w:val="24"/>
              </w:rPr>
              <w:t>天</w:t>
            </w:r>
          </w:p>
          <w:p w14:paraId="495E8A36">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bookmarkStart w:id="11" w:name="_Toc224051776"/>
            <w:bookmarkStart w:id="12" w:name="_Toc224308010"/>
            <w:r>
              <w:rPr>
                <w:rFonts w:hint="eastAsia"/>
                <w:b/>
                <w:color w:val="auto"/>
                <w:kern w:val="0"/>
                <w:sz w:val="24"/>
                <w:lang w:val="en-US" w:eastAsia="zh-CN"/>
              </w:rPr>
              <w:t>2.6.2施工方案简述</w:t>
            </w:r>
            <w:bookmarkEnd w:id="11"/>
            <w:bookmarkEnd w:id="12"/>
          </w:p>
          <w:p w14:paraId="06E651D4">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本工程主要为在现有砌石海堤基础外增加片石抛填护坡，起加固海堤防护，减小海水侵蚀作用。</w:t>
            </w:r>
          </w:p>
          <w:p w14:paraId="778427BD">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工程所在施工区域海域为潮间带滩涂，每天低潮干滩时间为13小时，抛填片石工程根据潮水情况施工。具体施工工艺顺序如下:</w:t>
            </w:r>
          </w:p>
          <w:p w14:paraId="132A44ED">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施工工艺顺序：施工材料及机具准备→施工围挡搭设→抛填片石→护坡顶部硬化→护坡顶部植草绿化施工</w:t>
            </w:r>
          </w:p>
          <w:p w14:paraId="00F9D25E">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（1）施工围挡搭设</w:t>
            </w:r>
          </w:p>
          <w:p w14:paraId="1B388F4D">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为保证施工过程对厂区造成影响，施工区域施工前需进行围挡搭设，围挡采用临时彩钢金属围挡，外挂安全警示标牌和反光贴。围挡施工沿线南端和北端各留一个出入口，以便石料和机械出入。</w:t>
            </w:r>
          </w:p>
          <w:p w14:paraId="3C09E2D7">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（2）抛填片石</w:t>
            </w:r>
          </w:p>
          <w:p w14:paraId="7865C861">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工程片石抛填施工采用从南端向北抛填片石的施工顺序。片石抛填采用大型反铲式挖掘机进行，石料堆放在现有混凝土路面，通过挖掘机将片石抛填至护坡边缘。片石石料抛填完毕后使用挖掘机在片石堆上方平整坡顶及边坡石块，平整高度为低于现有海堤2.3m。</w:t>
            </w:r>
          </w:p>
          <w:p w14:paraId="7C621AAF">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（3）堤顶硬化</w:t>
            </w:r>
          </w:p>
          <w:p w14:paraId="400F0530">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为保证抛石护坡牢固和美观，坡顶进行硬化处理。硬化前采用粗砂和碎石填充顶部片石缝隙，使用平板夯实机夯实平整，以便后续浇筑混凝土坡顶。坡顶采用100mm厚C25素混凝土做为垫层，每6米设一条沉降缝，外侧做宽100mm，高200mm的素混凝土翻边。混凝土施工采用泵送混凝土。</w:t>
            </w:r>
          </w:p>
          <w:p w14:paraId="1184D376">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（4）绿化施工</w:t>
            </w:r>
          </w:p>
          <w:p w14:paraId="1A82860C">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kern w:val="0"/>
                <w:sz w:val="24"/>
              </w:rPr>
            </w:pPr>
            <w:r>
              <w:rPr>
                <w:rFonts w:hint="eastAsia"/>
                <w:bCs/>
                <w:color w:val="auto"/>
                <w:kern w:val="0"/>
                <w:sz w:val="24"/>
              </w:rPr>
              <w:t>护坡坡顶硬化完成后，待混凝土强度达到80%后进行坡顶绿化施工。首先使用挖掘机将种植土从海堤路面转至填石护坡顶部，随后采用人工平整种植土的方式对绿化基层平整，平整完毕后铺草皮浇水养护。主要施工机械设备见表2.</w:t>
            </w:r>
            <w:r>
              <w:rPr>
                <w:rFonts w:hint="eastAsia"/>
                <w:bCs/>
                <w:color w:val="auto"/>
                <w:kern w:val="0"/>
                <w:sz w:val="24"/>
                <w:lang w:val="en-US" w:eastAsia="zh-CN"/>
              </w:rPr>
              <w:t>6</w:t>
            </w:r>
            <w:r>
              <w:rPr>
                <w:rFonts w:hint="eastAsia"/>
                <w:bCs/>
                <w:color w:val="auto"/>
                <w:kern w:val="0"/>
                <w:sz w:val="24"/>
              </w:rPr>
              <w:t>-1，主要工程量见表2.</w:t>
            </w:r>
            <w:r>
              <w:rPr>
                <w:rFonts w:hint="eastAsia"/>
                <w:bCs/>
                <w:color w:val="auto"/>
                <w:kern w:val="0"/>
                <w:sz w:val="24"/>
                <w:lang w:val="en-US" w:eastAsia="zh-CN"/>
              </w:rPr>
              <w:t>6</w:t>
            </w:r>
            <w:r>
              <w:rPr>
                <w:rFonts w:hint="eastAsia"/>
                <w:bCs/>
                <w:color w:val="auto"/>
                <w:kern w:val="0"/>
                <w:sz w:val="24"/>
              </w:rPr>
              <w:t>-2。</w:t>
            </w:r>
          </w:p>
          <w:p w14:paraId="13A17D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表2.6-1  项目施工机械设备表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270"/>
              <w:gridCol w:w="2422"/>
              <w:gridCol w:w="1638"/>
            </w:tblGrid>
            <w:tr w14:paraId="3625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tcPr>
                <w:p w14:paraId="6D20DF2E">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序号</w:t>
                  </w:r>
                </w:p>
              </w:tc>
              <w:tc>
                <w:tcPr>
                  <w:tcW w:w="2270" w:type="dxa"/>
                </w:tcPr>
                <w:p w14:paraId="7DFB5559">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名称</w:t>
                  </w:r>
                </w:p>
              </w:tc>
              <w:tc>
                <w:tcPr>
                  <w:tcW w:w="2422" w:type="dxa"/>
                </w:tcPr>
                <w:p w14:paraId="69ECDACD">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规格、型号</w:t>
                  </w:r>
                </w:p>
              </w:tc>
              <w:tc>
                <w:tcPr>
                  <w:tcW w:w="1638" w:type="dxa"/>
                </w:tcPr>
                <w:p w14:paraId="32E33BDF">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数量</w:t>
                  </w:r>
                </w:p>
              </w:tc>
            </w:tr>
            <w:tr w14:paraId="24E9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tcPr>
                <w:p w14:paraId="7850D34E">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1</w:t>
                  </w:r>
                </w:p>
              </w:tc>
              <w:tc>
                <w:tcPr>
                  <w:tcW w:w="2270" w:type="dxa"/>
                </w:tcPr>
                <w:p w14:paraId="4613559D">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反铲式挖掘机</w:t>
                  </w:r>
                </w:p>
              </w:tc>
              <w:tc>
                <w:tcPr>
                  <w:tcW w:w="2422" w:type="dxa"/>
                </w:tcPr>
                <w:p w14:paraId="1B65D8B8">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320</w:t>
                  </w:r>
                </w:p>
              </w:tc>
              <w:tc>
                <w:tcPr>
                  <w:tcW w:w="1638" w:type="dxa"/>
                </w:tcPr>
                <w:p w14:paraId="01903688">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1台</w:t>
                  </w:r>
                </w:p>
              </w:tc>
            </w:tr>
            <w:tr w14:paraId="6400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tcPr>
                <w:p w14:paraId="51F2332C">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2</w:t>
                  </w:r>
                </w:p>
              </w:tc>
              <w:tc>
                <w:tcPr>
                  <w:tcW w:w="2270" w:type="dxa"/>
                </w:tcPr>
                <w:p w14:paraId="40D3D48B">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反铲式挖掘机</w:t>
                  </w:r>
                </w:p>
              </w:tc>
              <w:tc>
                <w:tcPr>
                  <w:tcW w:w="2422" w:type="dxa"/>
                </w:tcPr>
                <w:p w14:paraId="3DEE545E">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230</w:t>
                  </w:r>
                </w:p>
              </w:tc>
              <w:tc>
                <w:tcPr>
                  <w:tcW w:w="1638" w:type="dxa"/>
                </w:tcPr>
                <w:p w14:paraId="0D20C666">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1台</w:t>
                  </w:r>
                </w:p>
              </w:tc>
            </w:tr>
            <w:tr w14:paraId="03D2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2" w:type="dxa"/>
                </w:tcPr>
                <w:p w14:paraId="7D839A0C">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3</w:t>
                  </w:r>
                </w:p>
              </w:tc>
              <w:tc>
                <w:tcPr>
                  <w:tcW w:w="2270" w:type="dxa"/>
                </w:tcPr>
                <w:p w14:paraId="435B2139">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自卸汽车</w:t>
                  </w:r>
                </w:p>
              </w:tc>
              <w:tc>
                <w:tcPr>
                  <w:tcW w:w="2422" w:type="dxa"/>
                </w:tcPr>
                <w:p w14:paraId="45204458">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15m³</w:t>
                  </w:r>
                </w:p>
              </w:tc>
              <w:tc>
                <w:tcPr>
                  <w:tcW w:w="1638" w:type="dxa"/>
                </w:tcPr>
                <w:p w14:paraId="78F37BA2">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5台</w:t>
                  </w:r>
                </w:p>
              </w:tc>
            </w:tr>
            <w:tr w14:paraId="2441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tcPr>
                <w:p w14:paraId="2408DB57">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4</w:t>
                  </w:r>
                </w:p>
              </w:tc>
              <w:tc>
                <w:tcPr>
                  <w:tcW w:w="2270" w:type="dxa"/>
                </w:tcPr>
                <w:p w14:paraId="6E45E70E">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平板震动夯</w:t>
                  </w:r>
                </w:p>
              </w:tc>
              <w:tc>
                <w:tcPr>
                  <w:tcW w:w="2422" w:type="dxa"/>
                </w:tcPr>
                <w:p w14:paraId="6587059B">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HRZ100</w:t>
                  </w:r>
                </w:p>
              </w:tc>
              <w:tc>
                <w:tcPr>
                  <w:tcW w:w="1638" w:type="dxa"/>
                </w:tcPr>
                <w:p w14:paraId="4A1AFF6A">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1台</w:t>
                  </w:r>
                </w:p>
              </w:tc>
            </w:tr>
            <w:tr w14:paraId="0884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tcPr>
                <w:p w14:paraId="44908F9B">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5</w:t>
                  </w:r>
                </w:p>
              </w:tc>
              <w:tc>
                <w:tcPr>
                  <w:tcW w:w="2270" w:type="dxa"/>
                </w:tcPr>
                <w:p w14:paraId="5B1BD5E3">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震动棒</w:t>
                  </w:r>
                </w:p>
              </w:tc>
              <w:tc>
                <w:tcPr>
                  <w:tcW w:w="2422" w:type="dxa"/>
                </w:tcPr>
                <w:p w14:paraId="56F713DF">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30mm</w:t>
                  </w:r>
                </w:p>
              </w:tc>
              <w:tc>
                <w:tcPr>
                  <w:tcW w:w="1638" w:type="dxa"/>
                </w:tcPr>
                <w:p w14:paraId="2923F2AD">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2把</w:t>
                  </w:r>
                </w:p>
              </w:tc>
            </w:tr>
            <w:tr w14:paraId="0CB9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tcPr>
                <w:p w14:paraId="75187342">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6</w:t>
                  </w:r>
                </w:p>
              </w:tc>
              <w:tc>
                <w:tcPr>
                  <w:tcW w:w="2270" w:type="dxa"/>
                </w:tcPr>
                <w:p w14:paraId="40CB3DBE">
                  <w:pPr>
                    <w:keepNext w:val="0"/>
                    <w:keepLines w:val="0"/>
                    <w:suppressLineNumbers w:val="0"/>
                    <w:spacing w:before="0" w:beforeAutospacing="0" w:after="0" w:afterAutospacing="0" w:line="240" w:lineRule="auto"/>
                    <w:ind w:left="0" w:right="0" w:firstLine="0" w:firstLineChars="0"/>
                    <w:jc w:val="center"/>
                    <w:rPr>
                      <w:rFonts w:hint="eastAsia" w:eastAsia="仿宋"/>
                      <w:sz w:val="21"/>
                      <w:szCs w:val="21"/>
                    </w:rPr>
                  </w:pPr>
                  <w:r>
                    <w:rPr>
                      <w:rFonts w:hint="eastAsia"/>
                      <w:sz w:val="21"/>
                      <w:szCs w:val="21"/>
                    </w:rPr>
                    <w:t>冲击钻机</w:t>
                  </w:r>
                </w:p>
              </w:tc>
              <w:tc>
                <w:tcPr>
                  <w:tcW w:w="2422" w:type="dxa"/>
                </w:tcPr>
                <w:p w14:paraId="33355BF3">
                  <w:pPr>
                    <w:keepNext w:val="0"/>
                    <w:keepLines w:val="0"/>
                    <w:suppressLineNumbers w:val="0"/>
                    <w:spacing w:before="0" w:beforeAutospacing="0" w:after="0" w:afterAutospacing="0" w:line="240" w:lineRule="auto"/>
                    <w:ind w:left="0" w:right="0" w:firstLine="0" w:firstLineChars="0"/>
                    <w:jc w:val="center"/>
                    <w:rPr>
                      <w:rFonts w:hint="eastAsia" w:eastAsia="仿宋"/>
                      <w:sz w:val="21"/>
                      <w:szCs w:val="21"/>
                    </w:rPr>
                  </w:pPr>
                  <w:r>
                    <w:rPr>
                      <w:rFonts w:hint="eastAsia"/>
                      <w:sz w:val="21"/>
                      <w:szCs w:val="21"/>
                    </w:rPr>
                    <w:t>GSB 120-L</w:t>
                  </w:r>
                </w:p>
              </w:tc>
              <w:tc>
                <w:tcPr>
                  <w:tcW w:w="1638" w:type="dxa"/>
                </w:tcPr>
                <w:p w14:paraId="68DFEA5B">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1把</w:t>
                  </w:r>
                </w:p>
              </w:tc>
            </w:tr>
            <w:tr w14:paraId="2F89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tcPr>
                <w:p w14:paraId="18DD7A77">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7</w:t>
                  </w:r>
                </w:p>
              </w:tc>
              <w:tc>
                <w:tcPr>
                  <w:tcW w:w="2270" w:type="dxa"/>
                </w:tcPr>
                <w:p w14:paraId="5F16CB2C">
                  <w:pPr>
                    <w:keepNext w:val="0"/>
                    <w:keepLines w:val="0"/>
                    <w:suppressLineNumbers w:val="0"/>
                    <w:spacing w:before="0" w:beforeAutospacing="0" w:after="0" w:afterAutospacing="0" w:line="240" w:lineRule="auto"/>
                    <w:ind w:left="0" w:right="0" w:firstLine="0" w:firstLineChars="0"/>
                    <w:jc w:val="center"/>
                    <w:rPr>
                      <w:rFonts w:hint="eastAsia" w:eastAsia="仿宋"/>
                      <w:sz w:val="21"/>
                      <w:szCs w:val="21"/>
                    </w:rPr>
                  </w:pPr>
                  <w:r>
                    <w:rPr>
                      <w:rFonts w:hint="eastAsia"/>
                      <w:sz w:val="21"/>
                      <w:szCs w:val="21"/>
                    </w:rPr>
                    <w:t>手动钻</w:t>
                  </w:r>
                </w:p>
              </w:tc>
              <w:tc>
                <w:tcPr>
                  <w:tcW w:w="2422" w:type="dxa"/>
                </w:tcPr>
                <w:p w14:paraId="4353EC9B">
                  <w:pPr>
                    <w:keepNext w:val="0"/>
                    <w:keepLines w:val="0"/>
                    <w:suppressLineNumbers w:val="0"/>
                    <w:spacing w:before="0" w:beforeAutospacing="0" w:after="0" w:afterAutospacing="0" w:line="240" w:lineRule="auto"/>
                    <w:ind w:left="0" w:right="0" w:firstLine="0" w:firstLineChars="0"/>
                    <w:jc w:val="center"/>
                    <w:rPr>
                      <w:rFonts w:hint="eastAsia" w:eastAsia="仿宋"/>
                      <w:sz w:val="21"/>
                      <w:szCs w:val="21"/>
                    </w:rPr>
                  </w:pPr>
                  <w:r>
                    <w:rPr>
                      <w:rFonts w:hint="eastAsia"/>
                      <w:sz w:val="21"/>
                      <w:szCs w:val="21"/>
                    </w:rPr>
                    <w:t>GBM10RE</w:t>
                  </w:r>
                </w:p>
              </w:tc>
              <w:tc>
                <w:tcPr>
                  <w:tcW w:w="1638" w:type="dxa"/>
                </w:tcPr>
                <w:p w14:paraId="684AB43A">
                  <w:pPr>
                    <w:keepNext w:val="0"/>
                    <w:keepLines w:val="0"/>
                    <w:suppressLineNumbers w:val="0"/>
                    <w:spacing w:before="0" w:beforeAutospacing="0" w:after="0" w:afterAutospacing="0" w:line="240" w:lineRule="auto"/>
                    <w:ind w:left="0" w:right="0" w:firstLine="0" w:firstLineChars="0"/>
                    <w:jc w:val="center"/>
                    <w:rPr>
                      <w:rFonts w:hint="eastAsia"/>
                      <w:sz w:val="21"/>
                      <w:szCs w:val="21"/>
                    </w:rPr>
                  </w:pPr>
                  <w:r>
                    <w:rPr>
                      <w:rFonts w:hint="eastAsia"/>
                      <w:sz w:val="21"/>
                      <w:szCs w:val="21"/>
                    </w:rPr>
                    <w:t>2把</w:t>
                  </w:r>
                </w:p>
              </w:tc>
            </w:tr>
          </w:tbl>
          <w:p w14:paraId="434D71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表2.</w:t>
            </w:r>
            <w:r>
              <w:rPr>
                <w:rFonts w:hint="eastAsia" w:cs="Times New Roman"/>
                <w:b/>
                <w:bCs/>
                <w:color w:val="auto"/>
                <w:kern w:val="0"/>
                <w:sz w:val="21"/>
                <w:szCs w:val="21"/>
                <w:lang w:val="en-US" w:eastAsia="zh-CN"/>
              </w:rPr>
              <w:t>6</w:t>
            </w:r>
            <w:r>
              <w:rPr>
                <w:rFonts w:hint="eastAsia" w:ascii="Times New Roman" w:hAnsi="Times New Roman" w:cs="Times New Roman"/>
                <w:b/>
                <w:bCs/>
                <w:color w:val="auto"/>
                <w:kern w:val="0"/>
                <w:sz w:val="21"/>
                <w:szCs w:val="21"/>
                <w:lang w:val="en-US" w:eastAsia="zh-CN"/>
              </w:rPr>
              <w:t>-2 项目主要工程量汇总表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3289"/>
              <w:gridCol w:w="2896"/>
            </w:tblGrid>
            <w:tr w14:paraId="6769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14:paraId="2B4E68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3289" w:type="dxa"/>
                </w:tcPr>
                <w:p w14:paraId="06220D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工程项</w:t>
                  </w:r>
                </w:p>
              </w:tc>
              <w:tc>
                <w:tcPr>
                  <w:tcW w:w="2896" w:type="dxa"/>
                </w:tcPr>
                <w:p w14:paraId="1C630F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工程量</w:t>
                  </w:r>
                </w:p>
              </w:tc>
            </w:tr>
            <w:tr w14:paraId="565C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14:paraId="186DE8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289" w:type="dxa"/>
                </w:tcPr>
                <w:p w14:paraId="42C853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施工围挡搭设</w:t>
                  </w:r>
                </w:p>
              </w:tc>
              <w:tc>
                <w:tcPr>
                  <w:tcW w:w="2896" w:type="dxa"/>
                </w:tcPr>
                <w:p w14:paraId="7AF9C8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600m³</w:t>
                  </w:r>
                </w:p>
              </w:tc>
            </w:tr>
            <w:tr w14:paraId="5AD2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14:paraId="6951C4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289" w:type="dxa"/>
                </w:tcPr>
                <w:p w14:paraId="6F0A3F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抛填片石</w:t>
                  </w:r>
                </w:p>
              </w:tc>
              <w:tc>
                <w:tcPr>
                  <w:tcW w:w="2896" w:type="dxa"/>
                </w:tcPr>
                <w:p w14:paraId="0C47E4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6486m³</w:t>
                  </w:r>
                </w:p>
              </w:tc>
            </w:tr>
            <w:tr w14:paraId="1491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14:paraId="3A60CE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289" w:type="dxa"/>
                </w:tcPr>
                <w:p w14:paraId="42B64B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碎石砂填缝</w:t>
                  </w:r>
                </w:p>
              </w:tc>
              <w:tc>
                <w:tcPr>
                  <w:tcW w:w="2896" w:type="dxa"/>
                </w:tcPr>
                <w:p w14:paraId="312ED4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100m³</w:t>
                  </w:r>
                </w:p>
              </w:tc>
            </w:tr>
            <w:tr w14:paraId="7120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14:paraId="1CE52A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289" w:type="dxa"/>
                </w:tcPr>
                <w:p w14:paraId="63CD8D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C25坡顶混凝土浇筑</w:t>
                  </w:r>
                </w:p>
              </w:tc>
              <w:tc>
                <w:tcPr>
                  <w:tcW w:w="2896" w:type="dxa"/>
                </w:tcPr>
                <w:p w14:paraId="22C30C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66m³</w:t>
                  </w:r>
                </w:p>
              </w:tc>
            </w:tr>
            <w:tr w14:paraId="0492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14:paraId="74C199F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3289" w:type="dxa"/>
                </w:tcPr>
                <w:p w14:paraId="2896DF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种植草坪</w:t>
                  </w:r>
                </w:p>
              </w:tc>
              <w:tc>
                <w:tcPr>
                  <w:tcW w:w="2896" w:type="dxa"/>
                </w:tcPr>
                <w:p w14:paraId="778EDC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w:t>
                  </w:r>
                </w:p>
              </w:tc>
            </w:tr>
          </w:tbl>
          <w:p w14:paraId="5B94F78A">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C00000"/>
                <w:kern w:val="0"/>
                <w:sz w:val="24"/>
              </w:rPr>
            </w:pPr>
            <w:r>
              <w:rPr>
                <w:rFonts w:hint="eastAsia"/>
                <w:b/>
                <w:color w:val="auto"/>
                <w:kern w:val="0"/>
                <w:sz w:val="24"/>
                <w:lang w:val="en-US" w:eastAsia="zh-CN"/>
              </w:rPr>
              <w:t>2.7</w:t>
            </w:r>
            <w:r>
              <w:rPr>
                <w:rFonts w:hint="eastAsia"/>
                <w:b/>
                <w:color w:val="auto"/>
                <w:kern w:val="0"/>
                <w:sz w:val="24"/>
              </w:rPr>
              <w:t>土石方平衡</w:t>
            </w:r>
          </w:p>
          <w:p w14:paraId="26884134">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0"/>
                <w:sz w:val="24"/>
                <w:lang w:eastAsia="zh-CN"/>
              </w:rPr>
            </w:pPr>
            <w:r>
              <w:rPr>
                <w:rFonts w:hint="eastAsia"/>
                <w:color w:val="auto"/>
                <w:kern w:val="0"/>
                <w:sz w:val="24"/>
              </w:rPr>
              <w:t>根据主要工程量核算，项目建设共需土石方</w:t>
            </w:r>
            <w:r>
              <w:rPr>
                <w:rFonts w:hint="eastAsia"/>
                <w:color w:val="auto"/>
                <w:kern w:val="0"/>
                <w:sz w:val="24"/>
                <w:lang w:val="en-US" w:eastAsia="zh-CN"/>
              </w:rPr>
              <w:t>6652</w:t>
            </w:r>
            <w:r>
              <w:rPr>
                <w:rFonts w:hint="eastAsia"/>
                <w:color w:val="auto"/>
                <w:kern w:val="0"/>
                <w:sz w:val="24"/>
              </w:rPr>
              <w:t>方，全部从外购，</w:t>
            </w:r>
            <w:r>
              <w:rPr>
                <w:rFonts w:hint="eastAsia"/>
                <w:color w:val="auto"/>
                <w:kern w:val="0"/>
                <w:sz w:val="24"/>
                <w:lang w:val="en-US" w:eastAsia="zh-CN"/>
              </w:rPr>
              <w:t>由自卸汽车运输至施工区域</w:t>
            </w:r>
            <w:r>
              <w:rPr>
                <w:rFonts w:hint="eastAsia"/>
                <w:color w:val="auto"/>
                <w:kern w:val="0"/>
                <w:sz w:val="24"/>
              </w:rPr>
              <w:t>，购买的土石方应符合《围填海工程填充物成分限值》（GB30736-2014）的要求</w:t>
            </w:r>
            <w:r>
              <w:rPr>
                <w:rFonts w:hint="eastAsia"/>
                <w:color w:val="auto"/>
                <w:kern w:val="0"/>
                <w:sz w:val="24"/>
                <w:lang w:eastAsia="zh-CN"/>
              </w:rPr>
              <w:t>。</w:t>
            </w:r>
          </w:p>
          <w:p w14:paraId="24CAE394">
            <w:pPr>
              <w:pStyle w:val="100"/>
              <w:keepNext w:val="0"/>
              <w:keepLines w:val="0"/>
              <w:suppressLineNumbers w:val="0"/>
              <w:spacing w:before="0" w:beforeAutospacing="0" w:after="0" w:afterAutospacing="0"/>
              <w:ind w:left="0" w:right="0"/>
              <w:rPr>
                <w:rFonts w:hint="eastAsia"/>
              </w:rPr>
            </w:pPr>
            <w:r>
              <w:rPr>
                <w:rFonts w:hint="eastAsia"/>
              </w:rPr>
              <w:drawing>
                <wp:inline distT="0" distB="0" distL="114300" distR="114300">
                  <wp:extent cx="3082290" cy="647065"/>
                  <wp:effectExtent l="0" t="0" r="3810" b="635"/>
                  <wp:docPr id="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9"/>
                          <pic:cNvPicPr>
                            <a:picLocks noChangeAspect="1"/>
                          </pic:cNvPicPr>
                        </pic:nvPicPr>
                        <pic:blipFill>
                          <a:blip r:embed="rId10"/>
                          <a:stretch>
                            <a:fillRect/>
                          </a:stretch>
                        </pic:blipFill>
                        <pic:spPr>
                          <a:xfrm>
                            <a:off x="0" y="0"/>
                            <a:ext cx="3082290" cy="647065"/>
                          </a:xfrm>
                          <a:prstGeom prst="rect">
                            <a:avLst/>
                          </a:prstGeom>
                          <a:noFill/>
                          <a:ln>
                            <a:noFill/>
                          </a:ln>
                        </pic:spPr>
                      </pic:pic>
                    </a:graphicData>
                  </a:graphic>
                </wp:inline>
              </w:drawing>
            </w:r>
          </w:p>
          <w:p w14:paraId="32409E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图2.7-1  土石方平衡图</w:t>
            </w:r>
          </w:p>
          <w:p w14:paraId="03E6650F">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C00000"/>
                <w:kern w:val="0"/>
                <w:sz w:val="24"/>
              </w:rPr>
            </w:pPr>
          </w:p>
        </w:tc>
      </w:tr>
      <w:tr w14:paraId="12EDC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74" w:type="dxa"/>
            <w:vAlign w:val="center"/>
          </w:tcPr>
          <w:p w14:paraId="5A597DB4">
            <w:pPr>
              <w:keepNext w:val="0"/>
              <w:keepLines w:val="0"/>
              <w:suppressLineNumbers w:val="0"/>
              <w:adjustRightInd w:val="0"/>
              <w:snapToGrid w:val="0"/>
              <w:spacing w:before="0" w:beforeAutospacing="0" w:after="0" w:afterAutospacing="0"/>
              <w:ind w:left="0" w:right="0"/>
              <w:jc w:val="center"/>
              <w:rPr>
                <w:rFonts w:hint="eastAsia"/>
                <w:color w:val="auto"/>
                <w:kern w:val="0"/>
                <w:sz w:val="24"/>
                <w:szCs w:val="21"/>
              </w:rPr>
            </w:pPr>
            <w:r>
              <w:rPr>
                <w:rFonts w:hint="eastAsia"/>
                <w:color w:val="auto"/>
                <w:kern w:val="0"/>
                <w:sz w:val="24"/>
                <w:szCs w:val="21"/>
              </w:rPr>
              <w:t>其他</w:t>
            </w:r>
          </w:p>
        </w:tc>
        <w:tc>
          <w:tcPr>
            <w:tcW w:w="8412" w:type="dxa"/>
            <w:vAlign w:val="center"/>
          </w:tcPr>
          <w:p w14:paraId="2831A0AC">
            <w:pPr>
              <w:keepNext w:val="0"/>
              <w:keepLines w:val="0"/>
              <w:suppressLineNumbers w:val="0"/>
              <w:spacing w:before="0" w:beforeAutospacing="0" w:after="0" w:afterAutospacing="0" w:line="360" w:lineRule="auto"/>
              <w:ind w:left="0" w:right="0" w:firstLine="480" w:firstLineChars="200"/>
              <w:outlineLvl w:val="3"/>
              <w:rPr>
                <w:rFonts w:hint="eastAsia"/>
                <w:color w:val="auto"/>
                <w:sz w:val="24"/>
              </w:rPr>
            </w:pPr>
          </w:p>
        </w:tc>
      </w:tr>
    </w:tbl>
    <w:p w14:paraId="460F00CA">
      <w:pPr>
        <w:pStyle w:val="21"/>
        <w:jc w:val="center"/>
        <w:outlineLvl w:val="0"/>
        <w:rPr>
          <w:rFonts w:ascii="Times New Roman" w:hAnsi="Times New Roman"/>
          <w:b/>
          <w:bCs/>
          <w:color w:val="C00000"/>
        </w:rPr>
        <w:sectPr>
          <w:pgSz w:w="11907" w:h="16840"/>
          <w:pgMar w:top="1247" w:right="1304" w:bottom="1247" w:left="1304" w:header="851" w:footer="851" w:gutter="0"/>
          <w:pgBorders>
            <w:top w:val="none" w:sz="0" w:space="0"/>
            <w:left w:val="none" w:sz="0" w:space="0"/>
            <w:bottom w:val="none" w:sz="0" w:space="0"/>
            <w:right w:val="none" w:sz="0" w:space="0"/>
          </w:pgBorders>
          <w:cols w:space="720" w:num="1"/>
          <w:docGrid w:linePitch="312" w:charSpace="0"/>
        </w:sectPr>
      </w:pPr>
    </w:p>
    <w:p w14:paraId="489E242B">
      <w:pPr>
        <w:pStyle w:val="21"/>
        <w:jc w:val="center"/>
        <w:outlineLvl w:val="0"/>
        <w:rPr>
          <w:rFonts w:ascii="Times New Roman" w:hAnsi="Times New Roman"/>
          <w:b/>
          <w:snapToGrid w:val="0"/>
          <w:color w:val="C00000"/>
          <w:sz w:val="30"/>
          <w:szCs w:val="30"/>
        </w:rPr>
      </w:pPr>
      <w:bookmarkStart w:id="13" w:name="_Toc103157933"/>
      <w:r>
        <w:rPr>
          <w:rFonts w:ascii="Times New Roman" w:hAnsi="Times New Roman"/>
          <w:b/>
          <w:snapToGrid w:val="0"/>
          <w:color w:val="auto"/>
          <w:sz w:val="30"/>
          <w:szCs w:val="30"/>
        </w:rPr>
        <w:t>三、生态环境现状、保护目标及评价标准</w:t>
      </w:r>
      <w:bookmarkEnd w:id="13"/>
    </w:p>
    <w:tbl>
      <w:tblPr>
        <w:tblStyle w:val="28"/>
        <w:tblW w:w="973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890"/>
      </w:tblGrid>
      <w:tr w14:paraId="12C9E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1" w:type="dxa"/>
            <w:vAlign w:val="center"/>
          </w:tcPr>
          <w:p w14:paraId="75DE56D7">
            <w:pPr>
              <w:keepNext w:val="0"/>
              <w:keepLines w:val="0"/>
              <w:suppressLineNumbers w:val="0"/>
              <w:adjustRightInd w:val="0"/>
              <w:snapToGrid w:val="0"/>
              <w:spacing w:before="0" w:beforeAutospacing="0" w:after="0" w:afterAutospacing="0"/>
              <w:ind w:left="0" w:right="0"/>
              <w:jc w:val="center"/>
              <w:rPr>
                <w:rFonts w:hint="eastAsia"/>
                <w:color w:val="C00000"/>
                <w:kern w:val="0"/>
                <w:szCs w:val="21"/>
              </w:rPr>
            </w:pPr>
            <w:r>
              <w:rPr>
                <w:rFonts w:hint="eastAsia"/>
                <w:color w:val="auto"/>
                <w:kern w:val="0"/>
                <w:sz w:val="24"/>
                <w:szCs w:val="21"/>
              </w:rPr>
              <w:t>生态环境现状</w:t>
            </w:r>
          </w:p>
        </w:tc>
        <w:tc>
          <w:tcPr>
            <w:tcW w:w="8890" w:type="dxa"/>
            <w:vAlign w:val="center"/>
          </w:tcPr>
          <w:p w14:paraId="6DB67269">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3.1</w:t>
            </w:r>
            <w:r>
              <w:rPr>
                <w:rFonts w:hint="eastAsia"/>
                <w:b/>
                <w:color w:val="auto"/>
                <w:kern w:val="0"/>
                <w:sz w:val="24"/>
              </w:rPr>
              <w:t>功能区划</w:t>
            </w:r>
          </w:p>
          <w:p w14:paraId="35C3DF1C">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w:t>
            </w:r>
            <w:r>
              <w:rPr>
                <w:rFonts w:hint="eastAsia"/>
                <w:color w:val="auto"/>
                <w:kern w:val="0"/>
                <w:sz w:val="24"/>
              </w:rPr>
              <w:t>近岸海域环境功能区划</w:t>
            </w:r>
          </w:p>
          <w:p w14:paraId="0B500D2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广西壮族自治区近岸海域环境功能区划调整方案》（桂环发〔2023〕9号），项目所在的海域为防城港市东湾交通用海区（GX083CⅢ），主导功能为交通运输用海，属三类环境功能区，水质保护目标为海水水质标准第三类。项目与广西壮族自治区近岸海域环境功能区划调整方案的位置关系详见附图</w:t>
            </w:r>
            <w:r>
              <w:rPr>
                <w:rFonts w:hint="eastAsia"/>
                <w:color w:val="auto"/>
                <w:kern w:val="0"/>
                <w:sz w:val="24"/>
                <w:lang w:val="en-US" w:eastAsia="zh-CN"/>
              </w:rPr>
              <w:t>5</w:t>
            </w:r>
            <w:r>
              <w:rPr>
                <w:rFonts w:hint="eastAsia"/>
                <w:color w:val="auto"/>
                <w:kern w:val="0"/>
                <w:sz w:val="24"/>
              </w:rPr>
              <w:t>。</w:t>
            </w:r>
          </w:p>
          <w:p w14:paraId="49FA27CF">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eastAsia="zh-CN"/>
              </w:rPr>
              <w:t>（</w:t>
            </w:r>
            <w:r>
              <w:rPr>
                <w:rFonts w:hint="eastAsia"/>
                <w:color w:val="auto"/>
                <w:kern w:val="0"/>
                <w:sz w:val="24"/>
                <w:lang w:val="en-US" w:eastAsia="zh-CN"/>
              </w:rPr>
              <w:t>2</w:t>
            </w:r>
            <w:r>
              <w:rPr>
                <w:rFonts w:hint="eastAsia"/>
                <w:color w:val="auto"/>
                <w:kern w:val="0"/>
                <w:sz w:val="24"/>
                <w:lang w:eastAsia="zh-CN"/>
              </w:rPr>
              <w:t>）</w:t>
            </w:r>
            <w:r>
              <w:rPr>
                <w:rFonts w:hint="eastAsia"/>
                <w:color w:val="auto"/>
                <w:kern w:val="0"/>
                <w:sz w:val="24"/>
              </w:rPr>
              <w:t>生态功能区划</w:t>
            </w:r>
          </w:p>
          <w:p w14:paraId="5E031FA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根据《广西壮族自治区人民政府办公厅关于印发广西壮族自治区生态功能区划的通知》（桂政办发〔2008〕8号），项目位于“2-1-22防城港-钦州-北海沿海台地农林产品提供功能区”。</w:t>
            </w:r>
          </w:p>
          <w:p w14:paraId="60DB01B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全区有农林产品提供生态功能三级区26个，面积8.26万平方公里，占全区土地面积的34.91%。主要分布在桂东北、桂中、桂东南、桂南和桂西南的平原、台地和低丘。这些区域的生态服务功能主要是提供农林产品，兼顾生态调节功能保护。</w:t>
            </w:r>
          </w:p>
          <w:p w14:paraId="59921F8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主要生态问题：耕地面积减少，土壤肥力下降；农业面源污染及城镇生活污水污染比较突出；部分农业区干旱；林种结构单一，森林质量下降；矿产开采造成的植被破坏、水土流失问题比较突出。</w:t>
            </w:r>
          </w:p>
          <w:p w14:paraId="3EA4B4F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生态保护主要方向与措施：调整农业产业和农村经济结构，合理组织农业生产和农村经济活动；坚持保护基本农田；加强农田基本建设，增强抗自然灾害的能力；推行农业标准化和生态化生产，发展无公害农产品、绿色食品和有机食品；加快农村沼气建设，推广“养殖-沼气-种果”生态农业模式；协调木材生产与生态功能保护的关系，科学布局和种植速生丰产林区，合理采伐，实现采育平衡；加快城镇环保基础设施建设，加强城乡环境综合整治。</w:t>
            </w:r>
          </w:p>
          <w:p w14:paraId="14C6B17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本工程为海堤修复项目，属于非透水构筑物用海，施工期间主要环境影响来自悬浮泥沙扩散</w:t>
            </w:r>
            <w:r>
              <w:rPr>
                <w:rFonts w:hint="eastAsia"/>
                <w:color w:val="auto"/>
                <w:kern w:val="0"/>
                <w:sz w:val="24"/>
                <w:lang w:eastAsia="zh-CN"/>
              </w:rPr>
              <w:t>，</w:t>
            </w:r>
            <w:r>
              <w:rPr>
                <w:rFonts w:hint="eastAsia"/>
                <w:color w:val="auto"/>
                <w:kern w:val="0"/>
                <w:sz w:val="24"/>
                <w:lang w:val="en-US" w:eastAsia="zh-CN"/>
              </w:rPr>
              <w:t>但本项目在低潮时进行施工，基本不产生悬浮泥沙。</w:t>
            </w:r>
            <w:r>
              <w:rPr>
                <w:rFonts w:hint="eastAsia"/>
                <w:color w:val="auto"/>
                <w:kern w:val="0"/>
                <w:sz w:val="24"/>
              </w:rPr>
              <w:t>施工活动不会改变所在海域的pH、溶解氧、化学需氧量、无机氮、活性磷酸盐等主要水质指标的本质属性，项目选址不涉及基本农田等保护区域。因此，项目符合广西生态功能区规划的要求。</w:t>
            </w:r>
          </w:p>
          <w:p w14:paraId="19162189">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3.2</w:t>
            </w:r>
            <w:r>
              <w:rPr>
                <w:rFonts w:hint="eastAsia"/>
                <w:b/>
                <w:color w:val="auto"/>
                <w:kern w:val="0"/>
                <w:sz w:val="24"/>
              </w:rPr>
              <w:t>水文动力</w:t>
            </w:r>
          </w:p>
          <w:p w14:paraId="0111425D">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3.2.1</w:t>
            </w:r>
            <w:r>
              <w:rPr>
                <w:rFonts w:hint="eastAsia"/>
                <w:b/>
                <w:color w:val="auto"/>
                <w:kern w:val="0"/>
                <w:sz w:val="24"/>
              </w:rPr>
              <w:t>潮汐</w:t>
            </w:r>
          </w:p>
          <w:p w14:paraId="0E2BA91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防城港湾以不正规全日潮为主，其特点是：当全日分潮显著时，潮差大，涨潮历时大于落潮历时，憩流时间短；当半日分潮显著时，潮差小，涨、落潮历时大致相等，憩流时间长。</w:t>
            </w:r>
          </w:p>
          <w:p w14:paraId="3C03109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根据国家海洋局防城港海洋环境监测站1996～2014 年实测潮位资料统计，其潮位特征值如下（以理论深度基准面起算，下同）：</w:t>
            </w:r>
          </w:p>
          <w:p w14:paraId="5C9FE3B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最高潮位：5.34 m（2013年）</w:t>
            </w:r>
          </w:p>
          <w:p w14:paraId="7CEF622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最低潮位：-0.33 m（2005年）</w:t>
            </w:r>
          </w:p>
          <w:p w14:paraId="069481D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平均潮位：2.35 m</w:t>
            </w:r>
          </w:p>
          <w:p w14:paraId="0A46576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平均高潮：3.64 m</w:t>
            </w:r>
          </w:p>
          <w:p w14:paraId="4793974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平均低潮：1.24 m</w:t>
            </w:r>
          </w:p>
          <w:p w14:paraId="04206E7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最大潮差：5.40 m</w:t>
            </w:r>
          </w:p>
          <w:p w14:paraId="6B3AB0F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平均潮差：2.40 m</w:t>
            </w:r>
          </w:p>
          <w:p w14:paraId="45A480A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理论深度基准面及其它高程基准的关系如图3</w:t>
            </w:r>
            <w:r>
              <w:rPr>
                <w:rFonts w:hint="eastAsia"/>
                <w:color w:val="auto"/>
                <w:kern w:val="0"/>
                <w:sz w:val="24"/>
                <w:lang w:val="en-US" w:eastAsia="zh-CN"/>
              </w:rPr>
              <w:t>.2</w:t>
            </w:r>
            <w:r>
              <w:rPr>
                <w:rFonts w:hint="eastAsia"/>
                <w:color w:val="auto"/>
                <w:kern w:val="0"/>
                <w:sz w:val="24"/>
              </w:rPr>
              <w:t>-1。</w:t>
            </w:r>
          </w:p>
          <w:p w14:paraId="52E836B2">
            <w:pPr>
              <w:keepNext w:val="0"/>
              <w:keepLines w:val="0"/>
              <w:suppressLineNumbers w:val="0"/>
              <w:adjustRightInd w:val="0"/>
              <w:snapToGrid w:val="0"/>
              <w:spacing w:before="0" w:beforeAutospacing="0" w:after="0" w:afterAutospacing="0" w:line="360" w:lineRule="auto"/>
              <w:ind w:left="0" w:right="0"/>
              <w:jc w:val="center"/>
              <w:rPr>
                <w:rFonts w:hint="eastAsia"/>
                <w:color w:val="C00000"/>
                <w:kern w:val="0"/>
                <w:sz w:val="24"/>
              </w:rPr>
            </w:pPr>
            <w:r>
              <w:rPr>
                <w:rFonts w:hint="eastAsia"/>
                <w:sz w:val="24"/>
              </w:rPr>
              <w:t>*</w:t>
            </w:r>
            <w:r>
              <w:rPr>
                <w:sz w:val="24"/>
              </w:rPr>
              <w:t>**</w:t>
            </w:r>
          </w:p>
          <w:p w14:paraId="318735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图3.2-1 防城港湾潮汐特征值与理论深度基准面起算的高程关系</w:t>
            </w:r>
          </w:p>
          <w:p w14:paraId="2B0B7DF5">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3.2.2</w:t>
            </w:r>
            <w:r>
              <w:rPr>
                <w:rFonts w:hint="eastAsia"/>
                <w:b/>
                <w:color w:val="auto"/>
                <w:kern w:val="0"/>
                <w:sz w:val="24"/>
              </w:rPr>
              <w:t>实时潮位、海流</w:t>
            </w:r>
          </w:p>
          <w:p w14:paraId="5D89F6EE">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eastAsia="zh-CN"/>
              </w:rPr>
              <w:t>（</w:t>
            </w:r>
            <w:r>
              <w:rPr>
                <w:rFonts w:hint="eastAsia"/>
                <w:b/>
                <w:color w:val="auto"/>
                <w:kern w:val="0"/>
                <w:sz w:val="24"/>
                <w:lang w:val="en-US" w:eastAsia="zh-CN"/>
              </w:rPr>
              <w:t>1</w:t>
            </w:r>
            <w:r>
              <w:rPr>
                <w:rFonts w:hint="eastAsia"/>
                <w:b/>
                <w:color w:val="auto"/>
                <w:kern w:val="0"/>
                <w:sz w:val="24"/>
                <w:lang w:eastAsia="zh-CN"/>
              </w:rPr>
              <w:t>）</w:t>
            </w:r>
            <w:r>
              <w:rPr>
                <w:rFonts w:hint="eastAsia"/>
                <w:b/>
                <w:color w:val="auto"/>
                <w:kern w:val="0"/>
                <w:sz w:val="24"/>
              </w:rPr>
              <w:t>潮汐特征</w:t>
            </w:r>
          </w:p>
          <w:p w14:paraId="0468FB6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本节主要通过收集防城、钦州海洋站的2014年</w:t>
            </w:r>
            <w:r>
              <w:rPr>
                <w:rFonts w:hint="eastAsia"/>
                <w:color w:val="auto"/>
                <w:kern w:val="0"/>
                <w:sz w:val="24"/>
                <w:lang w:val="en-US" w:eastAsia="zh-CN"/>
              </w:rPr>
              <w:t>-</w:t>
            </w:r>
            <w:r>
              <w:rPr>
                <w:rFonts w:hint="eastAsia"/>
                <w:color w:val="auto"/>
                <w:kern w:val="0"/>
                <w:sz w:val="24"/>
              </w:rPr>
              <w:t>2022年共9年的逐时潮位资料，进行调和分析和统计计算，根据其结果分析工程海域的潮汐特征。</w:t>
            </w:r>
          </w:p>
          <w:p w14:paraId="144E49D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1）潮汐性质</w:t>
            </w:r>
          </w:p>
          <w:p w14:paraId="7AAE3AE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取主要日分潮振幅与主要半日分潮振幅的比值F=(HK</w:t>
            </w:r>
            <w:r>
              <w:rPr>
                <w:rFonts w:hint="eastAsia"/>
                <w:color w:val="auto"/>
                <w:kern w:val="0"/>
                <w:sz w:val="24"/>
                <w:vertAlign w:val="subscript"/>
              </w:rPr>
              <w:t>1</w:t>
            </w:r>
            <w:r>
              <w:rPr>
                <w:rFonts w:hint="eastAsia"/>
                <w:color w:val="auto"/>
                <w:kern w:val="0"/>
                <w:sz w:val="24"/>
              </w:rPr>
              <w:t>+HO</w:t>
            </w:r>
            <w:r>
              <w:rPr>
                <w:rFonts w:hint="eastAsia"/>
                <w:color w:val="auto"/>
                <w:kern w:val="0"/>
                <w:sz w:val="24"/>
                <w:vertAlign w:val="subscript"/>
              </w:rPr>
              <w:t>1</w:t>
            </w:r>
            <w:r>
              <w:rPr>
                <w:rFonts w:hint="eastAsia"/>
                <w:color w:val="auto"/>
                <w:kern w:val="0"/>
                <w:sz w:val="24"/>
              </w:rPr>
              <w:t>)/HM</w:t>
            </w:r>
            <w:r>
              <w:rPr>
                <w:rFonts w:hint="eastAsia"/>
                <w:color w:val="auto"/>
                <w:kern w:val="0"/>
                <w:sz w:val="24"/>
                <w:vertAlign w:val="subscript"/>
              </w:rPr>
              <w:t>2</w:t>
            </w:r>
            <w:r>
              <w:rPr>
                <w:rFonts w:hint="eastAsia"/>
                <w:color w:val="auto"/>
                <w:kern w:val="0"/>
                <w:sz w:val="24"/>
              </w:rPr>
              <w:t>，作为划分潮汐性质的判据。当F&lt;0.5为规则半日潮0.5≤F&lt;2.0为不规则半日潮2.0≤F&lt;4.0为不规则全日潮F≥4.0为规则全日潮。对潮位资料进行调和分析，再根据调和分析结果计算各站潮汐性质系数，见表</w:t>
            </w:r>
            <w:r>
              <w:rPr>
                <w:rFonts w:hint="eastAsia"/>
                <w:color w:val="auto"/>
                <w:kern w:val="0"/>
                <w:sz w:val="24"/>
                <w:lang w:val="en-US" w:eastAsia="zh-CN"/>
              </w:rPr>
              <w:t>3.2-1</w:t>
            </w:r>
            <w:r>
              <w:rPr>
                <w:rFonts w:hint="eastAsia"/>
                <w:color w:val="auto"/>
                <w:kern w:val="0"/>
                <w:sz w:val="24"/>
              </w:rPr>
              <w:t>，由表可知，防城港站和钦州站的潮汐性质系数F值分别为4.94和4.59，说明工程海域的潮汐类型为规则全日潮，各分潮中全日分潮占主导地位。</w:t>
            </w:r>
          </w:p>
          <w:p w14:paraId="484DC04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2）潮汐特征值</w:t>
            </w:r>
          </w:p>
          <w:p w14:paraId="07401EA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根据潮位资料统计和潮汐调和分析，计算各潮位站的潮汐特征值见表</w:t>
            </w:r>
            <w:r>
              <w:rPr>
                <w:rFonts w:hint="eastAsia"/>
                <w:color w:val="auto"/>
                <w:kern w:val="0"/>
                <w:sz w:val="24"/>
                <w:lang w:val="en-US" w:eastAsia="zh-CN"/>
              </w:rPr>
              <w:t>3.2-1</w:t>
            </w:r>
            <w:r>
              <w:rPr>
                <w:rFonts w:hint="eastAsia"/>
                <w:color w:val="auto"/>
                <w:kern w:val="0"/>
                <w:sz w:val="24"/>
              </w:rPr>
              <w:t>。</w:t>
            </w:r>
          </w:p>
          <w:p w14:paraId="3FB4A2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p>
          <w:p w14:paraId="086504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p>
          <w:p w14:paraId="091A0A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p>
          <w:p w14:paraId="67835E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表3.2-1  监测海域潮汐特征值的统计表</w:t>
            </w:r>
          </w:p>
          <w:p w14:paraId="0D936BAC">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color w:val="auto"/>
                <w:kern w:val="0"/>
                <w:sz w:val="24"/>
              </w:rPr>
            </w:pPr>
            <w:r>
              <w:rPr>
                <w:rFonts w:hint="eastAsia"/>
                <w:sz w:val="24"/>
              </w:rPr>
              <w:t>*</w:t>
            </w:r>
            <w:r>
              <w:rPr>
                <w:sz w:val="24"/>
              </w:rPr>
              <w:t>**</w:t>
            </w:r>
          </w:p>
          <w:p w14:paraId="3FCDBD9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从表</w:t>
            </w:r>
            <w:r>
              <w:rPr>
                <w:rFonts w:hint="eastAsia" w:ascii="Times New Roman" w:hAnsi="Times New Roman" w:eastAsia="宋体" w:cs="Times New Roman"/>
                <w:color w:val="auto"/>
                <w:kern w:val="0"/>
                <w:sz w:val="24"/>
                <w:lang w:val="en-US" w:eastAsia="zh-CN"/>
              </w:rPr>
              <w:t>3-1</w:t>
            </w:r>
            <w:r>
              <w:rPr>
                <w:rFonts w:hint="eastAsia" w:ascii="Times New Roman" w:hAnsi="Times New Roman" w:eastAsia="宋体" w:cs="Times New Roman"/>
                <w:color w:val="auto"/>
                <w:kern w:val="0"/>
                <w:sz w:val="24"/>
                <w:lang w:eastAsia="ja-JP"/>
              </w:rPr>
              <w:t>可以看出，多年（2014年–2022年）平均海面，防城港站为64cm（85基面，下同）、钦州站为66cm；平均潮差，防城港站为2.39m，钦州站为2.46m；最大潮差，防城港站为5.24m，钦州站为5.40m；平均大潮差，防城港站为3.74m，钦州站为3.86m。监测海域的多年平均大潮差在2.0m~4.0m之间，按潮差分类，工程海域为中等强度潮汐海区。</w:t>
            </w:r>
          </w:p>
          <w:p w14:paraId="5F8F45F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3）小结</w:t>
            </w:r>
          </w:p>
          <w:p w14:paraId="0615CB5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工程海域潮汐为规则的全日潮，多年（2014年–2022年）平均海面，防城港站为64cm（85基面，下同）、钦州站为66cm；平均潮差，防城港站为2.39m，钦州站为2.46m；最大潮差，防城港站为5.24m，钦州站为5.40m；平均大潮差，防城港站为3.74m，钦州站为3.86m。监测海域的多年平均大潮差在2.0m~4.0m之间，按潮差分类，监测海域为中等强度潮汐海区。</w:t>
            </w:r>
          </w:p>
          <w:p w14:paraId="41E3B4DE">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ascii="宋体" w:hAnsi="宋体" w:cs="宋体"/>
                <w:b/>
                <w:color w:val="auto"/>
                <w:kern w:val="0"/>
                <w:sz w:val="24"/>
                <w:lang w:eastAsia="zh-CN"/>
              </w:rPr>
              <w:t>（</w:t>
            </w:r>
            <w:r>
              <w:rPr>
                <w:rFonts w:hint="eastAsia" w:ascii="宋体" w:hAnsi="宋体" w:cs="宋体"/>
                <w:b/>
                <w:color w:val="auto"/>
                <w:kern w:val="0"/>
                <w:sz w:val="24"/>
                <w:lang w:val="en-US" w:eastAsia="zh-CN"/>
              </w:rPr>
              <w:t>2</w:t>
            </w:r>
            <w:r>
              <w:rPr>
                <w:rFonts w:hint="eastAsia" w:ascii="宋体" w:hAnsi="宋体" w:cs="宋体"/>
                <w:b/>
                <w:color w:val="auto"/>
                <w:kern w:val="0"/>
                <w:sz w:val="24"/>
                <w:lang w:eastAsia="zh-CN"/>
              </w:rPr>
              <w:t>）</w:t>
            </w:r>
            <w:r>
              <w:rPr>
                <w:rFonts w:hint="eastAsia"/>
                <w:b/>
                <w:color w:val="auto"/>
                <w:kern w:val="0"/>
                <w:sz w:val="24"/>
              </w:rPr>
              <w:t>实时海流分析</w:t>
            </w:r>
          </w:p>
          <w:p w14:paraId="10A29C6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1）调查时间与站位布设</w:t>
            </w:r>
          </w:p>
          <w:p w14:paraId="4D0D32A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调查时间：2022年9月20日11时~2022年9月21日12时（大潮）。</w:t>
            </w:r>
          </w:p>
          <w:p w14:paraId="25D62A8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调查单位：国家海洋局南海调查技术中心</w:t>
            </w:r>
          </w:p>
          <w:p w14:paraId="48B4516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站位布设：共16个站，各站位布设及站位坐标详见表</w:t>
            </w:r>
            <w:r>
              <w:rPr>
                <w:rFonts w:hint="eastAsia" w:ascii="Times New Roman" w:hAnsi="Times New Roman" w:eastAsia="宋体" w:cs="Times New Roman"/>
                <w:color w:val="auto"/>
                <w:kern w:val="0"/>
                <w:sz w:val="24"/>
                <w:lang w:val="en-US" w:eastAsia="zh-CN"/>
              </w:rPr>
              <w:t>3.2-2</w:t>
            </w:r>
            <w:r>
              <w:rPr>
                <w:rFonts w:hint="eastAsia" w:ascii="Times New Roman" w:hAnsi="Times New Roman" w:eastAsia="宋体" w:cs="Times New Roman"/>
                <w:color w:val="auto"/>
                <w:kern w:val="0"/>
                <w:sz w:val="24"/>
                <w:lang w:eastAsia="ja-JP"/>
              </w:rPr>
              <w:t>和图</w:t>
            </w:r>
            <w:r>
              <w:rPr>
                <w:rFonts w:hint="eastAsia" w:ascii="Times New Roman" w:hAnsi="Times New Roman" w:eastAsia="宋体" w:cs="Times New Roman"/>
                <w:color w:val="auto"/>
                <w:kern w:val="0"/>
                <w:sz w:val="24"/>
                <w:lang w:val="en-US" w:eastAsia="zh-CN"/>
              </w:rPr>
              <w:t>3.2-2</w:t>
            </w:r>
            <w:r>
              <w:rPr>
                <w:rFonts w:hint="eastAsia" w:ascii="Times New Roman" w:hAnsi="Times New Roman" w:eastAsia="宋体" w:cs="Times New Roman"/>
                <w:color w:val="auto"/>
                <w:kern w:val="0"/>
                <w:sz w:val="24"/>
                <w:lang w:eastAsia="ja-JP"/>
              </w:rPr>
              <w:t>。</w:t>
            </w:r>
          </w:p>
          <w:p w14:paraId="0933C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b/>
                <w:color w:val="C00000"/>
                <w:kern w:val="0"/>
                <w:sz w:val="24"/>
              </w:rPr>
            </w:pPr>
            <w:r>
              <w:rPr>
                <w:rFonts w:hint="eastAsia"/>
                <w:sz w:val="24"/>
              </w:rPr>
              <w:t>*</w:t>
            </w:r>
            <w:r>
              <w:rPr>
                <w:sz w:val="24"/>
              </w:rPr>
              <w:t>**</w:t>
            </w:r>
          </w:p>
          <w:p w14:paraId="31AFA0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图3.2-1  海洋水文动力环境调查监测站位</w:t>
            </w:r>
          </w:p>
          <w:p w14:paraId="5CBEE6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表3.2-2  海洋水文动力环境调查监测站位表</w:t>
            </w:r>
          </w:p>
          <w:tbl>
            <w:tblPr>
              <w:tblStyle w:val="28"/>
              <w:tblW w:w="3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490"/>
              <w:gridCol w:w="2159"/>
              <w:gridCol w:w="2199"/>
            </w:tblGrid>
            <w:tr w14:paraId="5253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759" w:type="pct"/>
                  <w:shd w:val="clear" w:color="auto" w:fill="auto"/>
                  <w:vAlign w:val="center"/>
                </w:tcPr>
                <w:p w14:paraId="0E2735BE">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站位</w:t>
                  </w:r>
                </w:p>
              </w:tc>
              <w:tc>
                <w:tcPr>
                  <w:tcW w:w="1080" w:type="pct"/>
                  <w:shd w:val="clear" w:color="auto" w:fill="auto"/>
                  <w:vAlign w:val="center"/>
                </w:tcPr>
                <w:p w14:paraId="11455FDE">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海图水深</w:t>
                  </w:r>
                </w:p>
              </w:tc>
              <w:tc>
                <w:tcPr>
                  <w:tcW w:w="1565" w:type="pct"/>
                  <w:shd w:val="clear" w:color="auto" w:fill="auto"/>
                  <w:vAlign w:val="center"/>
                </w:tcPr>
                <w:p w14:paraId="2D7B70B6">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纬度</w:t>
                  </w:r>
                </w:p>
              </w:tc>
              <w:tc>
                <w:tcPr>
                  <w:tcW w:w="1594" w:type="pct"/>
                  <w:shd w:val="clear" w:color="auto" w:fill="auto"/>
                  <w:vAlign w:val="center"/>
                </w:tcPr>
                <w:p w14:paraId="739FBE45">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经度</w:t>
                  </w:r>
                </w:p>
              </w:tc>
            </w:tr>
            <w:tr w14:paraId="2BCE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62B8173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w:t>
                  </w:r>
                </w:p>
              </w:tc>
              <w:tc>
                <w:tcPr>
                  <w:tcW w:w="1080" w:type="pct"/>
                  <w:shd w:val="clear" w:color="auto" w:fill="auto"/>
                  <w:vAlign w:val="center"/>
                </w:tcPr>
                <w:p w14:paraId="4B5E8346">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sz w:val="24"/>
                    </w:rPr>
                    <w:t>*</w:t>
                  </w:r>
                  <w:r>
                    <w:rPr>
                      <w:sz w:val="24"/>
                    </w:rPr>
                    <w:t>**</w:t>
                  </w:r>
                </w:p>
              </w:tc>
              <w:tc>
                <w:tcPr>
                  <w:tcW w:w="1565" w:type="pct"/>
                  <w:shd w:val="clear" w:color="auto" w:fill="auto"/>
                  <w:vAlign w:val="center"/>
                </w:tcPr>
                <w:p w14:paraId="03DEF16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1AE0594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76D3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3D11F37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C2</w:t>
                  </w:r>
                </w:p>
              </w:tc>
              <w:tc>
                <w:tcPr>
                  <w:tcW w:w="1080" w:type="pct"/>
                  <w:shd w:val="clear" w:color="auto" w:fill="auto"/>
                  <w:vAlign w:val="center"/>
                </w:tcPr>
                <w:p w14:paraId="74B5ED86">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026630F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2570E37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2FDF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2683A05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C3</w:t>
                  </w:r>
                </w:p>
              </w:tc>
              <w:tc>
                <w:tcPr>
                  <w:tcW w:w="1080" w:type="pct"/>
                  <w:shd w:val="clear" w:color="auto" w:fill="auto"/>
                  <w:vAlign w:val="center"/>
                </w:tcPr>
                <w:p w14:paraId="22AAA8A2">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08141AD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065617E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2F52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3219598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C4</w:t>
                  </w:r>
                </w:p>
              </w:tc>
              <w:tc>
                <w:tcPr>
                  <w:tcW w:w="1080" w:type="pct"/>
                  <w:shd w:val="clear" w:color="auto" w:fill="auto"/>
                  <w:vAlign w:val="center"/>
                </w:tcPr>
                <w:p w14:paraId="118D1AF1">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6D4F432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14D0F4F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6E05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7E74A32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C5</w:t>
                  </w:r>
                </w:p>
              </w:tc>
              <w:tc>
                <w:tcPr>
                  <w:tcW w:w="1080" w:type="pct"/>
                  <w:shd w:val="clear" w:color="auto" w:fill="auto"/>
                  <w:vAlign w:val="center"/>
                </w:tcPr>
                <w:p w14:paraId="5BA38726">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2B84AC6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1BD5A41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2427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67E6EF9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C6</w:t>
                  </w:r>
                </w:p>
              </w:tc>
              <w:tc>
                <w:tcPr>
                  <w:tcW w:w="1080" w:type="pct"/>
                  <w:shd w:val="clear" w:color="auto" w:fill="auto"/>
                  <w:vAlign w:val="center"/>
                </w:tcPr>
                <w:p w14:paraId="2183A791">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52C0225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2FF34EE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4E7D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2C63BA4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C7</w:t>
                  </w:r>
                </w:p>
              </w:tc>
              <w:tc>
                <w:tcPr>
                  <w:tcW w:w="1080" w:type="pct"/>
                  <w:shd w:val="clear" w:color="auto" w:fill="auto"/>
                  <w:vAlign w:val="center"/>
                </w:tcPr>
                <w:p w14:paraId="08EF02EE">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5450079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1D40800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788C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3A44E71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C8</w:t>
                  </w:r>
                </w:p>
              </w:tc>
              <w:tc>
                <w:tcPr>
                  <w:tcW w:w="1080" w:type="pct"/>
                  <w:shd w:val="clear" w:color="auto" w:fill="auto"/>
                  <w:vAlign w:val="center"/>
                </w:tcPr>
                <w:p w14:paraId="00620333">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4B21649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5B1CBD0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0CEB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2E18899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C9</w:t>
                  </w:r>
                </w:p>
              </w:tc>
              <w:tc>
                <w:tcPr>
                  <w:tcW w:w="1080" w:type="pct"/>
                  <w:shd w:val="clear" w:color="auto" w:fill="auto"/>
                  <w:vAlign w:val="center"/>
                </w:tcPr>
                <w:p w14:paraId="7E63D04D">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563B27B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36704A9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0772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35D39B2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C10</w:t>
                  </w:r>
                </w:p>
              </w:tc>
              <w:tc>
                <w:tcPr>
                  <w:tcW w:w="1080" w:type="pct"/>
                  <w:shd w:val="clear" w:color="auto" w:fill="auto"/>
                  <w:vAlign w:val="center"/>
                </w:tcPr>
                <w:p w14:paraId="11F50E3A">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012F8AB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17EA029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5174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4D9FB7A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C11</w:t>
                  </w:r>
                </w:p>
              </w:tc>
              <w:tc>
                <w:tcPr>
                  <w:tcW w:w="1080" w:type="pct"/>
                  <w:shd w:val="clear" w:color="auto" w:fill="auto"/>
                  <w:vAlign w:val="center"/>
                </w:tcPr>
                <w:p w14:paraId="0354A2DA">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60F82AA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2B89685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47F8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07C4995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C12</w:t>
                  </w:r>
                </w:p>
              </w:tc>
              <w:tc>
                <w:tcPr>
                  <w:tcW w:w="1080" w:type="pct"/>
                  <w:shd w:val="clear" w:color="auto" w:fill="auto"/>
                  <w:vAlign w:val="center"/>
                </w:tcPr>
                <w:p w14:paraId="1C3B718E">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2F800AF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5E323A7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4953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2FCA1BD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C13</w:t>
                  </w:r>
                </w:p>
              </w:tc>
              <w:tc>
                <w:tcPr>
                  <w:tcW w:w="1080" w:type="pct"/>
                  <w:shd w:val="clear" w:color="auto" w:fill="auto"/>
                  <w:vAlign w:val="center"/>
                </w:tcPr>
                <w:p w14:paraId="779A2326">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6F435D2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065A17E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0AAD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365DA25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C14</w:t>
                  </w:r>
                </w:p>
              </w:tc>
              <w:tc>
                <w:tcPr>
                  <w:tcW w:w="1080" w:type="pct"/>
                  <w:shd w:val="clear" w:color="auto" w:fill="auto"/>
                  <w:vAlign w:val="center"/>
                </w:tcPr>
                <w:p w14:paraId="412AA51F">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1C0D803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4CFC6B5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0DCC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448A17B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C15</w:t>
                  </w:r>
                </w:p>
              </w:tc>
              <w:tc>
                <w:tcPr>
                  <w:tcW w:w="1080" w:type="pct"/>
                  <w:shd w:val="clear" w:color="auto" w:fill="auto"/>
                  <w:vAlign w:val="center"/>
                </w:tcPr>
                <w:p w14:paraId="00BC2A43">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4DAE05F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28277BF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7957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9" w:type="pct"/>
                  <w:shd w:val="clear" w:color="auto" w:fill="auto"/>
                  <w:vAlign w:val="center"/>
                </w:tcPr>
                <w:p w14:paraId="7FDAFF8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C16</w:t>
                  </w:r>
                </w:p>
              </w:tc>
              <w:tc>
                <w:tcPr>
                  <w:tcW w:w="1080" w:type="pct"/>
                  <w:shd w:val="clear" w:color="auto" w:fill="auto"/>
                  <w:vAlign w:val="center"/>
                </w:tcPr>
                <w:p w14:paraId="0F8984DC">
                  <w:pPr>
                    <w:keepNext w:val="0"/>
                    <w:keepLines w:val="0"/>
                    <w:suppressLineNumbers w:val="0"/>
                    <w:tabs>
                      <w:tab w:val="left" w:pos="6463"/>
                    </w:tabs>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65" w:type="pct"/>
                  <w:shd w:val="clear" w:color="auto" w:fill="auto"/>
                  <w:vAlign w:val="center"/>
                </w:tcPr>
                <w:p w14:paraId="29BAA2F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594" w:type="pct"/>
                  <w:shd w:val="clear" w:color="auto" w:fill="auto"/>
                  <w:vAlign w:val="center"/>
                </w:tcPr>
                <w:p w14:paraId="780BD78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bl>
          <w:p w14:paraId="1C64E56D">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4"/>
              </w:rPr>
            </w:pPr>
          </w:p>
          <w:p w14:paraId="3ABB126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val="en-US" w:eastAsia="zh-CN"/>
              </w:rPr>
              <w:t>2</w:t>
            </w:r>
            <w:r>
              <w:rPr>
                <w:rFonts w:hint="eastAsia" w:ascii="Times New Roman" w:hAnsi="Times New Roman" w:eastAsia="宋体" w:cs="Times New Roman"/>
                <w:color w:val="auto"/>
                <w:kern w:val="0"/>
                <w:sz w:val="24"/>
                <w:lang w:eastAsia="ja-JP"/>
              </w:rPr>
              <w:t>）实测海流分析</w:t>
            </w:r>
          </w:p>
          <w:p w14:paraId="35BDBCA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海流时间序列矢量图中各时刻的垂线平均流速按如下公式进行计算：V</w:t>
            </w:r>
            <w:r>
              <w:rPr>
                <w:rFonts w:hint="eastAsia" w:ascii="Times New Roman" w:hAnsi="Times New Roman" w:eastAsia="宋体" w:cs="Times New Roman"/>
                <w:color w:val="auto"/>
                <w:kern w:val="0"/>
                <w:sz w:val="24"/>
                <w:vertAlign w:val="subscript"/>
                <w:lang w:eastAsia="ja-JP"/>
              </w:rPr>
              <w:t>垂线</w:t>
            </w:r>
            <w:r>
              <w:rPr>
                <w:rFonts w:hint="eastAsia" w:ascii="Times New Roman" w:hAnsi="Times New Roman" w:eastAsia="宋体" w:cs="Times New Roman"/>
                <w:color w:val="auto"/>
                <w:kern w:val="0"/>
                <w:sz w:val="24"/>
                <w:lang w:eastAsia="ja-JP"/>
              </w:rPr>
              <w:t>=0.3*V</w:t>
            </w:r>
            <w:r>
              <w:rPr>
                <w:rFonts w:hint="eastAsia" w:ascii="Times New Roman" w:hAnsi="Times New Roman" w:eastAsia="宋体" w:cs="Times New Roman"/>
                <w:color w:val="auto"/>
                <w:kern w:val="0"/>
                <w:sz w:val="24"/>
                <w:vertAlign w:val="subscript"/>
                <w:lang w:eastAsia="ja-JP"/>
              </w:rPr>
              <w:t>表</w:t>
            </w:r>
            <w:r>
              <w:rPr>
                <w:rFonts w:hint="eastAsia" w:ascii="Times New Roman" w:hAnsi="Times New Roman" w:eastAsia="宋体" w:cs="Times New Roman"/>
                <w:color w:val="auto"/>
                <w:kern w:val="0"/>
                <w:sz w:val="24"/>
                <w:lang w:eastAsia="ja-JP"/>
              </w:rPr>
              <w:t>+0.5*V</w:t>
            </w:r>
            <w:r>
              <w:rPr>
                <w:rFonts w:hint="eastAsia" w:ascii="Times New Roman" w:hAnsi="Times New Roman" w:eastAsia="宋体" w:cs="Times New Roman"/>
                <w:color w:val="auto"/>
                <w:kern w:val="0"/>
                <w:sz w:val="24"/>
                <w:vertAlign w:val="subscript"/>
                <w:lang w:eastAsia="ja-JP"/>
              </w:rPr>
              <w:t>0.6H</w:t>
            </w:r>
            <w:r>
              <w:rPr>
                <w:rFonts w:hint="eastAsia" w:ascii="Times New Roman" w:hAnsi="Times New Roman" w:eastAsia="宋体" w:cs="Times New Roman"/>
                <w:color w:val="auto"/>
                <w:kern w:val="0"/>
                <w:sz w:val="24"/>
                <w:lang w:eastAsia="ja-JP"/>
              </w:rPr>
              <w:t>+0.2*V</w:t>
            </w:r>
            <w:r>
              <w:rPr>
                <w:rFonts w:hint="eastAsia" w:ascii="Times New Roman" w:hAnsi="Times New Roman" w:eastAsia="宋体" w:cs="Times New Roman"/>
                <w:color w:val="auto"/>
                <w:kern w:val="0"/>
                <w:sz w:val="24"/>
                <w:vertAlign w:val="subscript"/>
                <w:lang w:eastAsia="ja-JP"/>
              </w:rPr>
              <w:t>底</w:t>
            </w:r>
            <w:r>
              <w:rPr>
                <w:rFonts w:hint="eastAsia" w:ascii="Times New Roman" w:hAnsi="Times New Roman" w:eastAsia="宋体" w:cs="Times New Roman"/>
                <w:color w:val="auto"/>
                <w:kern w:val="0"/>
                <w:sz w:val="24"/>
                <w:lang w:eastAsia="ja-JP"/>
              </w:rPr>
              <w:t>，海流过程线中的潮位采用海流观测同期的防城海洋站潮位资料，潮期平均流速计算先对各时次的流速按矢量分解成东分量和北分量，再对东分量和北分量取绝对值后再合成求取算术平均，这种方法主要区别于余流算法。图</w:t>
            </w:r>
            <w:r>
              <w:rPr>
                <w:rFonts w:hint="eastAsia" w:ascii="Times New Roman" w:hAnsi="Times New Roman" w:eastAsia="宋体" w:cs="Times New Roman"/>
                <w:color w:val="auto"/>
                <w:kern w:val="0"/>
                <w:sz w:val="24"/>
                <w:lang w:val="en-US" w:eastAsia="zh-CN"/>
              </w:rPr>
              <w:t>3-2</w:t>
            </w:r>
            <w:r>
              <w:rPr>
                <w:rFonts w:hint="eastAsia" w:ascii="Times New Roman" w:hAnsi="Times New Roman" w:eastAsia="宋体" w:cs="Times New Roman"/>
                <w:color w:val="auto"/>
                <w:kern w:val="0"/>
                <w:sz w:val="24"/>
                <w:lang w:eastAsia="ja-JP"/>
              </w:rPr>
              <w:t>为大潮期各站、层（表层、0.6H和底层，H为瞬时水深）海流矢量图，表</w:t>
            </w:r>
            <w:r>
              <w:rPr>
                <w:rFonts w:hint="eastAsia" w:ascii="Times New Roman" w:hAnsi="Times New Roman" w:eastAsia="宋体" w:cs="Times New Roman"/>
                <w:color w:val="auto"/>
                <w:kern w:val="0"/>
                <w:sz w:val="24"/>
                <w:lang w:val="en-US" w:eastAsia="zh-CN"/>
              </w:rPr>
              <w:t>3.2-3</w:t>
            </w:r>
            <w:r>
              <w:rPr>
                <w:rFonts w:hint="eastAsia" w:ascii="Times New Roman" w:hAnsi="Times New Roman" w:eastAsia="宋体" w:cs="Times New Roman"/>
                <w:color w:val="auto"/>
                <w:kern w:val="0"/>
                <w:sz w:val="24"/>
                <w:lang w:eastAsia="ja-JP"/>
              </w:rPr>
              <w:t>为大潮期各站、层最大流速统计表，表</w:t>
            </w:r>
            <w:r>
              <w:rPr>
                <w:rFonts w:hint="eastAsia" w:ascii="Times New Roman" w:hAnsi="Times New Roman" w:eastAsia="宋体" w:cs="Times New Roman"/>
                <w:color w:val="auto"/>
                <w:kern w:val="0"/>
                <w:sz w:val="24"/>
                <w:lang w:val="en-US" w:eastAsia="zh-CN"/>
              </w:rPr>
              <w:t>3-4</w:t>
            </w:r>
            <w:r>
              <w:rPr>
                <w:rFonts w:hint="eastAsia" w:ascii="Times New Roman" w:hAnsi="Times New Roman" w:eastAsia="宋体" w:cs="Times New Roman"/>
                <w:color w:val="auto"/>
                <w:kern w:val="0"/>
                <w:sz w:val="24"/>
                <w:lang w:eastAsia="ja-JP"/>
              </w:rPr>
              <w:t>为大潮期各站、层平均流速计算表。</w:t>
            </w:r>
          </w:p>
          <w:p w14:paraId="4AFA43B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由各图表可以看出监测海域大潮期海流具有如下特征：</w:t>
            </w:r>
          </w:p>
          <w:p w14:paraId="7E043AB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监测海域海流主要为潮流，东西向的10m等深线将监测海域分成近岸和外海两部分，外海（10m以深区域，C1站、C11站、C12站、C13站）的海流主要为放射状的旋转流，没有固定的涨、落潮流路。近岸区域（10m以浅区域）的海流主要为近似直线状的往复流，涨潮时，海流主要为偏北向流（北、东北和西北），落潮时，海流主要为偏南向流（南、东南和西南），涨落潮流向与当地等深线或海岸的总体走向基本一致。</w:t>
            </w:r>
          </w:p>
          <w:p w14:paraId="034D4EA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监测海域各站表层平均流速在9.1cm/s</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eastAsia="ja-JP"/>
              </w:rPr>
              <w:t>44.1cm/s之间；0.6H层平均流速在8.7cm/s~37.2cm/s之间；底层平均流速在5.3cm/s~25.1cm/s之间；垂线平均流速的平均值在5.9cm/s~36.3cm/s之间。由表层至底层，流速总体呈现减小的趋势。实测表层最大海流流速为98.8cm/s；0.6H层最大流速为86.2cm/s；底层最大流速为51.4cm/s。最大流速均位于C15站。</w:t>
            </w:r>
          </w:p>
          <w:p w14:paraId="1F7CE5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sz w:val="24"/>
              </w:rPr>
              <w:t>*</w:t>
            </w:r>
            <w:r>
              <w:rPr>
                <w:sz w:val="24"/>
              </w:rPr>
              <w:t>**</w:t>
            </w:r>
          </w:p>
          <w:p w14:paraId="4DBF40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cs="Times New Roman"/>
                <w:b/>
                <w:bCs/>
                <w:color w:val="auto"/>
                <w:kern w:val="0"/>
                <w:sz w:val="21"/>
                <w:szCs w:val="21"/>
                <w:lang w:val="en-US" w:eastAsia="zh-CN"/>
              </w:rPr>
              <w:t>图</w:t>
            </w:r>
            <w:r>
              <w:rPr>
                <w:rFonts w:hint="eastAsia" w:ascii="Times New Roman" w:hAnsi="Times New Roman" w:cs="Times New Roman"/>
                <w:b/>
                <w:bCs/>
                <w:color w:val="auto"/>
                <w:kern w:val="0"/>
                <w:sz w:val="21"/>
                <w:szCs w:val="21"/>
                <w:lang w:val="en-US" w:eastAsia="zh-CN"/>
              </w:rPr>
              <w:t xml:space="preserve">3.2-2 </w:t>
            </w:r>
            <w:r>
              <w:rPr>
                <w:rFonts w:hint="eastAsia" w:ascii="Times New Roman" w:hAnsi="Times New Roman" w:cs="Times New Roman"/>
                <w:b/>
                <w:bCs/>
                <w:color w:val="auto"/>
                <w:kern w:val="0"/>
                <w:sz w:val="21"/>
                <w:szCs w:val="21"/>
                <w:lang w:val="en-US" w:eastAsia="ja-JP"/>
              </w:rPr>
              <w:t>大潮期各站、层（表层、0.6H和底层，H为瞬时水深）海流矢量图</w:t>
            </w:r>
          </w:p>
          <w:p w14:paraId="3D144C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zh-CN"/>
              </w:rPr>
              <w:t xml:space="preserve">表3.2-3 </w:t>
            </w:r>
            <w:r>
              <w:rPr>
                <w:rFonts w:hint="eastAsia" w:ascii="Times New Roman" w:hAnsi="Times New Roman" w:cs="Times New Roman"/>
                <w:b/>
                <w:bCs/>
                <w:color w:val="auto"/>
                <w:kern w:val="0"/>
                <w:sz w:val="21"/>
                <w:szCs w:val="21"/>
                <w:lang w:val="en-US" w:eastAsia="ja-JP"/>
              </w:rPr>
              <w:t>大潮期最大流速</w:t>
            </w:r>
          </w:p>
          <w:tbl>
            <w:tblPr>
              <w:tblStyle w:val="28"/>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214"/>
              <w:gridCol w:w="1214"/>
              <w:gridCol w:w="1214"/>
              <w:gridCol w:w="1214"/>
              <w:gridCol w:w="1215"/>
              <w:gridCol w:w="1215"/>
            </w:tblGrid>
            <w:tr w14:paraId="2D6E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4" w:type="dxa"/>
                  <w:vMerge w:val="restart"/>
                  <w:tcBorders>
                    <w:tl2br w:val="single" w:color="auto" w:sz="4" w:space="0"/>
                  </w:tcBorders>
                  <w:shd w:val="clear" w:color="auto" w:fill="auto"/>
                  <w:vAlign w:val="center"/>
                </w:tcPr>
                <w:p w14:paraId="4EC4F75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eastAsia="ja-JP"/>
                      <w14:textFill>
                        <w14:solidFill>
                          <w14:schemeClr w14:val="tx1"/>
                        </w14:solidFill>
                      </w14:textFill>
                    </w:rPr>
                    <w:t xml:space="preserve">层次 </w:t>
                  </w:r>
                </w:p>
                <w:p w14:paraId="7551CD92">
                  <w:pPr>
                    <w:keepNext w:val="0"/>
                    <w:keepLines w:val="0"/>
                    <w:suppressLineNumbers w:val="0"/>
                    <w:spacing w:before="0" w:beforeAutospacing="0" w:after="0" w:afterAutospacing="0" w:line="0" w:lineRule="atLeast"/>
                    <w:ind w:left="0" w:right="0"/>
                    <w:jc w:val="both"/>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站号</w:t>
                  </w:r>
                </w:p>
              </w:tc>
              <w:tc>
                <w:tcPr>
                  <w:tcW w:w="2428" w:type="dxa"/>
                  <w:gridSpan w:val="2"/>
                  <w:shd w:val="clear" w:color="auto" w:fill="auto"/>
                  <w:vAlign w:val="center"/>
                </w:tcPr>
                <w:p w14:paraId="5E485BB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表</w:t>
                  </w:r>
                </w:p>
              </w:tc>
              <w:tc>
                <w:tcPr>
                  <w:tcW w:w="2428" w:type="dxa"/>
                  <w:gridSpan w:val="2"/>
                  <w:shd w:val="clear" w:color="auto" w:fill="auto"/>
                  <w:vAlign w:val="center"/>
                </w:tcPr>
                <w:p w14:paraId="18F44BB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0.6H</w:t>
                  </w:r>
                </w:p>
              </w:tc>
              <w:tc>
                <w:tcPr>
                  <w:tcW w:w="2430" w:type="dxa"/>
                  <w:gridSpan w:val="2"/>
                  <w:shd w:val="clear" w:color="auto" w:fill="auto"/>
                  <w:vAlign w:val="center"/>
                </w:tcPr>
                <w:p w14:paraId="6F08533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底</w:t>
                  </w:r>
                </w:p>
              </w:tc>
            </w:tr>
            <w:tr w14:paraId="1FAC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4" w:type="dxa"/>
                  <w:vMerge w:val="continue"/>
                  <w:shd w:val="clear" w:color="auto" w:fill="auto"/>
                  <w:vAlign w:val="center"/>
                </w:tcPr>
                <w:p w14:paraId="745210F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0B61F9C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流速（cm/s）</w:t>
                  </w:r>
                </w:p>
              </w:tc>
              <w:tc>
                <w:tcPr>
                  <w:tcW w:w="1214" w:type="dxa"/>
                  <w:shd w:val="clear" w:color="auto" w:fill="auto"/>
                  <w:vAlign w:val="center"/>
                </w:tcPr>
                <w:p w14:paraId="48B7E83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流向（°）</w:t>
                  </w:r>
                </w:p>
              </w:tc>
              <w:tc>
                <w:tcPr>
                  <w:tcW w:w="1214" w:type="dxa"/>
                  <w:shd w:val="clear" w:color="auto" w:fill="auto"/>
                  <w:vAlign w:val="center"/>
                </w:tcPr>
                <w:p w14:paraId="5253494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流速（cm/s）</w:t>
                  </w:r>
                </w:p>
              </w:tc>
              <w:tc>
                <w:tcPr>
                  <w:tcW w:w="1214" w:type="dxa"/>
                  <w:shd w:val="clear" w:color="auto" w:fill="auto"/>
                  <w:vAlign w:val="center"/>
                </w:tcPr>
                <w:p w14:paraId="60304DA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流向（°）</w:t>
                  </w:r>
                </w:p>
              </w:tc>
              <w:tc>
                <w:tcPr>
                  <w:tcW w:w="1215" w:type="dxa"/>
                  <w:shd w:val="clear" w:color="auto" w:fill="auto"/>
                  <w:vAlign w:val="center"/>
                </w:tcPr>
                <w:p w14:paraId="3820572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流速（cm/s）</w:t>
                  </w:r>
                </w:p>
              </w:tc>
              <w:tc>
                <w:tcPr>
                  <w:tcW w:w="1215" w:type="dxa"/>
                  <w:shd w:val="clear" w:color="auto" w:fill="auto"/>
                  <w:vAlign w:val="center"/>
                </w:tcPr>
                <w:p w14:paraId="4BBCA90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流向（°）</w:t>
                  </w:r>
                </w:p>
              </w:tc>
            </w:tr>
            <w:tr w14:paraId="7BB7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49C96F2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w:t>
                  </w:r>
                </w:p>
              </w:tc>
              <w:tc>
                <w:tcPr>
                  <w:tcW w:w="1214" w:type="dxa"/>
                  <w:shd w:val="clear" w:color="auto" w:fill="auto"/>
                  <w:vAlign w:val="center"/>
                </w:tcPr>
                <w:p w14:paraId="4FBB05A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sz w:val="24"/>
                    </w:rPr>
                    <w:t>*</w:t>
                  </w:r>
                  <w:r>
                    <w:rPr>
                      <w:sz w:val="24"/>
                    </w:rPr>
                    <w:t>**</w:t>
                  </w:r>
                </w:p>
              </w:tc>
              <w:tc>
                <w:tcPr>
                  <w:tcW w:w="1214" w:type="dxa"/>
                  <w:shd w:val="clear" w:color="auto" w:fill="auto"/>
                  <w:vAlign w:val="center"/>
                </w:tcPr>
                <w:p w14:paraId="54D4147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6721A8F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115BEB1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0E579A2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51C1326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10A8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5B76BA3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C2</w:t>
                  </w:r>
                </w:p>
              </w:tc>
              <w:tc>
                <w:tcPr>
                  <w:tcW w:w="1214" w:type="dxa"/>
                  <w:shd w:val="clear" w:color="auto" w:fill="auto"/>
                  <w:vAlign w:val="center"/>
                </w:tcPr>
                <w:p w14:paraId="74D20C5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392F7EC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6E20769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6E72127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293C0FA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0031C6E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2FD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1EC9179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C3</w:t>
                  </w:r>
                </w:p>
              </w:tc>
              <w:tc>
                <w:tcPr>
                  <w:tcW w:w="1214" w:type="dxa"/>
                  <w:shd w:val="clear" w:color="auto" w:fill="auto"/>
                  <w:vAlign w:val="center"/>
                </w:tcPr>
                <w:p w14:paraId="2399F3C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64298D4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291EC0C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1BD66B2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0BD9C7B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3CCF2CF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0349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0EF954A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C4</w:t>
                  </w:r>
                </w:p>
              </w:tc>
              <w:tc>
                <w:tcPr>
                  <w:tcW w:w="1214" w:type="dxa"/>
                  <w:shd w:val="clear" w:color="auto" w:fill="auto"/>
                  <w:vAlign w:val="center"/>
                </w:tcPr>
                <w:p w14:paraId="0E31A2D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2141354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DA695F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AD46AD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22139DD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659AEB8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4AE5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47F38A1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C5</w:t>
                  </w:r>
                </w:p>
              </w:tc>
              <w:tc>
                <w:tcPr>
                  <w:tcW w:w="1214" w:type="dxa"/>
                  <w:shd w:val="clear" w:color="auto" w:fill="auto"/>
                  <w:vAlign w:val="center"/>
                </w:tcPr>
                <w:p w14:paraId="650581F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1F583AB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16D0A79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DB9248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22BBAB2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14A2F6E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898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6D70689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C6</w:t>
                  </w:r>
                </w:p>
              </w:tc>
              <w:tc>
                <w:tcPr>
                  <w:tcW w:w="1214" w:type="dxa"/>
                  <w:shd w:val="clear" w:color="auto" w:fill="auto"/>
                  <w:vAlign w:val="center"/>
                </w:tcPr>
                <w:p w14:paraId="0C6A9BE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70EB44A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0CB6B2A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7F0C32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4A7B8D2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00E1FC4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6523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07ABB3C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C7</w:t>
                  </w:r>
                </w:p>
              </w:tc>
              <w:tc>
                <w:tcPr>
                  <w:tcW w:w="1214" w:type="dxa"/>
                  <w:shd w:val="clear" w:color="auto" w:fill="auto"/>
                  <w:vAlign w:val="center"/>
                </w:tcPr>
                <w:p w14:paraId="611D483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3B692FA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4D566EF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07ECBEC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205F63C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0682DB4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466B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2B6C922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C8</w:t>
                  </w:r>
                </w:p>
              </w:tc>
              <w:tc>
                <w:tcPr>
                  <w:tcW w:w="1214" w:type="dxa"/>
                  <w:shd w:val="clear" w:color="auto" w:fill="auto"/>
                  <w:vAlign w:val="center"/>
                </w:tcPr>
                <w:p w14:paraId="7F306E7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000B765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2C7EC0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AB5BAA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08C598E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1F882E7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116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1AFB3B4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C9</w:t>
                  </w:r>
                </w:p>
              </w:tc>
              <w:tc>
                <w:tcPr>
                  <w:tcW w:w="1214" w:type="dxa"/>
                  <w:shd w:val="clear" w:color="auto" w:fill="auto"/>
                  <w:vAlign w:val="center"/>
                </w:tcPr>
                <w:p w14:paraId="331F014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4780770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2664166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68BC176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12D9B34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44BFE98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625D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107C74C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C10</w:t>
                  </w:r>
                </w:p>
              </w:tc>
              <w:tc>
                <w:tcPr>
                  <w:tcW w:w="1214" w:type="dxa"/>
                  <w:shd w:val="clear" w:color="auto" w:fill="auto"/>
                  <w:vAlign w:val="center"/>
                </w:tcPr>
                <w:p w14:paraId="119963E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4499FAF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623EC1F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1CA3AC1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4E0EEC1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2D84FFF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2677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2B73CA8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C11</w:t>
                  </w:r>
                </w:p>
              </w:tc>
              <w:tc>
                <w:tcPr>
                  <w:tcW w:w="1214" w:type="dxa"/>
                  <w:shd w:val="clear" w:color="auto" w:fill="auto"/>
                  <w:vAlign w:val="center"/>
                </w:tcPr>
                <w:p w14:paraId="142E832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7693EC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7B9A8EE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7368B3E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12CB183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146CA15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7D7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49D74E8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C12</w:t>
                  </w:r>
                </w:p>
              </w:tc>
              <w:tc>
                <w:tcPr>
                  <w:tcW w:w="1214" w:type="dxa"/>
                  <w:shd w:val="clear" w:color="auto" w:fill="auto"/>
                  <w:vAlign w:val="center"/>
                </w:tcPr>
                <w:p w14:paraId="63ED1CF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1A7DDE5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69C8886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4D2693F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5C083B4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42D81CD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50F9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18DD4E2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C13</w:t>
                  </w:r>
                </w:p>
              </w:tc>
              <w:tc>
                <w:tcPr>
                  <w:tcW w:w="1214" w:type="dxa"/>
                  <w:shd w:val="clear" w:color="auto" w:fill="auto"/>
                  <w:vAlign w:val="center"/>
                </w:tcPr>
                <w:p w14:paraId="7D0C621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F1B2AF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304B810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BA1875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5ED2DFD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5AE2FC6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806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14FF612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C14</w:t>
                  </w:r>
                </w:p>
              </w:tc>
              <w:tc>
                <w:tcPr>
                  <w:tcW w:w="1214" w:type="dxa"/>
                  <w:shd w:val="clear" w:color="auto" w:fill="auto"/>
                  <w:vAlign w:val="center"/>
                </w:tcPr>
                <w:p w14:paraId="243E76A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0B5B811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074630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1C08510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061822B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66F8F61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4FFA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2D84941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C15</w:t>
                  </w:r>
                </w:p>
              </w:tc>
              <w:tc>
                <w:tcPr>
                  <w:tcW w:w="1214" w:type="dxa"/>
                  <w:shd w:val="clear" w:color="auto" w:fill="auto"/>
                  <w:vAlign w:val="center"/>
                </w:tcPr>
                <w:p w14:paraId="5231258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427934E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3EEEAC9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655F618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172CBDD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2A7B1C5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0810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4" w:type="dxa"/>
                  <w:shd w:val="clear" w:color="auto" w:fill="auto"/>
                  <w:vAlign w:val="center"/>
                </w:tcPr>
                <w:p w14:paraId="5243545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C16</w:t>
                  </w:r>
                </w:p>
              </w:tc>
              <w:tc>
                <w:tcPr>
                  <w:tcW w:w="1214" w:type="dxa"/>
                  <w:shd w:val="clear" w:color="auto" w:fill="auto"/>
                  <w:vAlign w:val="center"/>
                </w:tcPr>
                <w:p w14:paraId="7C07B51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4EBA4C1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5C06764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4" w:type="dxa"/>
                  <w:shd w:val="clear" w:color="auto" w:fill="auto"/>
                  <w:vAlign w:val="center"/>
                </w:tcPr>
                <w:p w14:paraId="7EF3A2A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63B306D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15" w:type="dxa"/>
                  <w:shd w:val="clear" w:color="auto" w:fill="auto"/>
                  <w:vAlign w:val="center"/>
                </w:tcPr>
                <w:p w14:paraId="6619D51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bl>
          <w:p w14:paraId="0CFA93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zh-CN"/>
              </w:rPr>
              <w:t xml:space="preserve">表3.2-4  </w:t>
            </w:r>
            <w:r>
              <w:rPr>
                <w:rFonts w:hint="eastAsia" w:ascii="Times New Roman" w:hAnsi="Times New Roman" w:cs="Times New Roman"/>
                <w:b/>
                <w:bCs/>
                <w:color w:val="auto"/>
                <w:kern w:val="0"/>
                <w:sz w:val="21"/>
                <w:szCs w:val="21"/>
                <w:lang w:val="en-US" w:eastAsia="ja-JP"/>
              </w:rPr>
              <w:t>大潮期平均流速（单位：cm/s）</w:t>
            </w:r>
          </w:p>
          <w:tbl>
            <w:tblPr>
              <w:tblStyle w:val="28"/>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722"/>
              <w:gridCol w:w="10"/>
              <w:gridCol w:w="1733"/>
              <w:gridCol w:w="1724"/>
              <w:gridCol w:w="9"/>
              <w:gridCol w:w="1619"/>
            </w:tblGrid>
            <w:tr w14:paraId="7779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tcBorders>
                    <w:tl2br w:val="single" w:color="auto" w:sz="4" w:space="0"/>
                  </w:tcBorders>
                  <w:shd w:val="clear" w:color="auto" w:fill="auto"/>
                  <w:vAlign w:val="center"/>
                </w:tcPr>
                <w:p w14:paraId="0404CA3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eastAsia="ja-JP"/>
                      <w14:textFill>
                        <w14:solidFill>
                          <w14:schemeClr w14:val="tx1"/>
                        </w14:solidFill>
                      </w14:textFill>
                    </w:rPr>
                    <w:t xml:space="preserve">层次 </w:t>
                  </w:r>
                </w:p>
                <w:p w14:paraId="46CD3515">
                  <w:pPr>
                    <w:keepNext w:val="0"/>
                    <w:keepLines w:val="0"/>
                    <w:suppressLineNumbers w:val="0"/>
                    <w:spacing w:before="0" w:beforeAutospacing="0" w:after="0" w:afterAutospacing="0" w:line="0" w:lineRule="atLeast"/>
                    <w:ind w:left="0" w:right="0"/>
                    <w:jc w:val="both"/>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站号</w:t>
                  </w:r>
                </w:p>
              </w:tc>
              <w:tc>
                <w:tcPr>
                  <w:tcW w:w="1007" w:type="pct"/>
                  <w:shd w:val="clear" w:color="auto" w:fill="auto"/>
                  <w:vAlign w:val="center"/>
                </w:tcPr>
                <w:p w14:paraId="497A2F7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表</w:t>
                  </w:r>
                </w:p>
              </w:tc>
              <w:tc>
                <w:tcPr>
                  <w:tcW w:w="1019" w:type="pct"/>
                  <w:gridSpan w:val="2"/>
                  <w:shd w:val="clear" w:color="auto" w:fill="auto"/>
                  <w:vAlign w:val="center"/>
                </w:tcPr>
                <w:p w14:paraId="6F7B8A9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0.6H</w:t>
                  </w:r>
                </w:p>
              </w:tc>
              <w:tc>
                <w:tcPr>
                  <w:tcW w:w="1008" w:type="pct"/>
                  <w:shd w:val="clear" w:color="auto" w:fill="auto"/>
                  <w:vAlign w:val="center"/>
                </w:tcPr>
                <w:p w14:paraId="7181DDE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底</w:t>
                  </w:r>
                </w:p>
              </w:tc>
              <w:tc>
                <w:tcPr>
                  <w:tcW w:w="952" w:type="pct"/>
                  <w:gridSpan w:val="2"/>
                  <w:shd w:val="clear" w:color="auto" w:fill="auto"/>
                  <w:vAlign w:val="center"/>
                </w:tcPr>
                <w:p w14:paraId="1E2B201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垂线平均</w:t>
                  </w:r>
                </w:p>
              </w:tc>
            </w:tr>
            <w:tr w14:paraId="7627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1E5423F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w:t>
                  </w:r>
                </w:p>
              </w:tc>
              <w:tc>
                <w:tcPr>
                  <w:tcW w:w="1012" w:type="pct"/>
                  <w:gridSpan w:val="2"/>
                  <w:shd w:val="clear" w:color="auto" w:fill="auto"/>
                  <w:vAlign w:val="center"/>
                </w:tcPr>
                <w:p w14:paraId="1CF57B5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sz w:val="24"/>
                    </w:rPr>
                    <w:t>*</w:t>
                  </w:r>
                  <w:r>
                    <w:rPr>
                      <w:sz w:val="24"/>
                    </w:rPr>
                    <w:t>**</w:t>
                  </w:r>
                </w:p>
              </w:tc>
              <w:tc>
                <w:tcPr>
                  <w:tcW w:w="1013" w:type="pct"/>
                  <w:shd w:val="clear" w:color="auto" w:fill="auto"/>
                  <w:vAlign w:val="center"/>
                </w:tcPr>
                <w:p w14:paraId="1089E86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15A4FCC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758122F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6B78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6475B01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C2</w:t>
                  </w:r>
                </w:p>
              </w:tc>
              <w:tc>
                <w:tcPr>
                  <w:tcW w:w="1012" w:type="pct"/>
                  <w:gridSpan w:val="2"/>
                  <w:shd w:val="clear" w:color="auto" w:fill="auto"/>
                  <w:vAlign w:val="center"/>
                </w:tcPr>
                <w:p w14:paraId="11F0E62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61BB304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6538DFA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51E8CFC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366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134D5EB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C3</w:t>
                  </w:r>
                </w:p>
              </w:tc>
              <w:tc>
                <w:tcPr>
                  <w:tcW w:w="1012" w:type="pct"/>
                  <w:gridSpan w:val="2"/>
                  <w:shd w:val="clear" w:color="auto" w:fill="auto"/>
                  <w:vAlign w:val="center"/>
                </w:tcPr>
                <w:p w14:paraId="1A36D7F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4507D78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58E423B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433C17B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608A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5105FA2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C4</w:t>
                  </w:r>
                </w:p>
              </w:tc>
              <w:tc>
                <w:tcPr>
                  <w:tcW w:w="1012" w:type="pct"/>
                  <w:gridSpan w:val="2"/>
                  <w:shd w:val="clear" w:color="auto" w:fill="auto"/>
                  <w:vAlign w:val="center"/>
                </w:tcPr>
                <w:p w14:paraId="6D5B0A9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58B1AA2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32D8903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3921CB8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2637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427BA73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C5</w:t>
                  </w:r>
                </w:p>
              </w:tc>
              <w:tc>
                <w:tcPr>
                  <w:tcW w:w="1012" w:type="pct"/>
                  <w:gridSpan w:val="2"/>
                  <w:shd w:val="clear" w:color="auto" w:fill="auto"/>
                  <w:vAlign w:val="center"/>
                </w:tcPr>
                <w:p w14:paraId="1CCB509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3EDF4F4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17F126E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196DD95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24E8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3CA7046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C6</w:t>
                  </w:r>
                </w:p>
              </w:tc>
              <w:tc>
                <w:tcPr>
                  <w:tcW w:w="1012" w:type="pct"/>
                  <w:gridSpan w:val="2"/>
                  <w:shd w:val="clear" w:color="auto" w:fill="auto"/>
                  <w:vAlign w:val="center"/>
                </w:tcPr>
                <w:p w14:paraId="6E60D2F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138AF92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5584D3F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63C558B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536C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009B6DF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C7</w:t>
                  </w:r>
                </w:p>
              </w:tc>
              <w:tc>
                <w:tcPr>
                  <w:tcW w:w="1012" w:type="pct"/>
                  <w:gridSpan w:val="2"/>
                  <w:shd w:val="clear" w:color="auto" w:fill="auto"/>
                  <w:vAlign w:val="center"/>
                </w:tcPr>
                <w:p w14:paraId="65D6D07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7D08F58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5BBFD7C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69C55C2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1D9D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01B954B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C8</w:t>
                  </w:r>
                </w:p>
              </w:tc>
              <w:tc>
                <w:tcPr>
                  <w:tcW w:w="1012" w:type="pct"/>
                  <w:gridSpan w:val="2"/>
                  <w:shd w:val="clear" w:color="auto" w:fill="auto"/>
                  <w:vAlign w:val="center"/>
                </w:tcPr>
                <w:p w14:paraId="3DF34DB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39F9348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2861281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324BB64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E35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3A9607C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C9</w:t>
                  </w:r>
                </w:p>
              </w:tc>
              <w:tc>
                <w:tcPr>
                  <w:tcW w:w="1012" w:type="pct"/>
                  <w:gridSpan w:val="2"/>
                  <w:shd w:val="clear" w:color="auto" w:fill="auto"/>
                  <w:vAlign w:val="center"/>
                </w:tcPr>
                <w:p w14:paraId="28B46FA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2D2CFD4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31FDD7A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7245E37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4B93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655D3E9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C10</w:t>
                  </w:r>
                </w:p>
              </w:tc>
              <w:tc>
                <w:tcPr>
                  <w:tcW w:w="1012" w:type="pct"/>
                  <w:gridSpan w:val="2"/>
                  <w:shd w:val="clear" w:color="auto" w:fill="auto"/>
                  <w:vAlign w:val="center"/>
                </w:tcPr>
                <w:p w14:paraId="4537CF5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091A59A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52EE511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1BA95E4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408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7E7B21C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C11</w:t>
                  </w:r>
                </w:p>
              </w:tc>
              <w:tc>
                <w:tcPr>
                  <w:tcW w:w="1012" w:type="pct"/>
                  <w:gridSpan w:val="2"/>
                  <w:shd w:val="clear" w:color="auto" w:fill="auto"/>
                  <w:vAlign w:val="center"/>
                </w:tcPr>
                <w:p w14:paraId="54CAE39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068B240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22F0FAA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11CCACA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35AB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0EE06B7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C12</w:t>
                  </w:r>
                </w:p>
              </w:tc>
              <w:tc>
                <w:tcPr>
                  <w:tcW w:w="1012" w:type="pct"/>
                  <w:gridSpan w:val="2"/>
                  <w:shd w:val="clear" w:color="auto" w:fill="auto"/>
                  <w:vAlign w:val="center"/>
                </w:tcPr>
                <w:p w14:paraId="5287D86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408599E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606EB68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125DDB1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353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7FAEF6D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C13</w:t>
                  </w:r>
                </w:p>
              </w:tc>
              <w:tc>
                <w:tcPr>
                  <w:tcW w:w="1012" w:type="pct"/>
                  <w:gridSpan w:val="2"/>
                  <w:shd w:val="clear" w:color="auto" w:fill="auto"/>
                  <w:vAlign w:val="center"/>
                </w:tcPr>
                <w:p w14:paraId="7641213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3BA476A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2F69A52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02F104D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F50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5CC0D44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C14</w:t>
                  </w:r>
                </w:p>
              </w:tc>
              <w:tc>
                <w:tcPr>
                  <w:tcW w:w="1012" w:type="pct"/>
                  <w:gridSpan w:val="2"/>
                  <w:shd w:val="clear" w:color="auto" w:fill="auto"/>
                  <w:vAlign w:val="center"/>
                </w:tcPr>
                <w:p w14:paraId="6C9BB5A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2C95958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019704B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199B8BD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5ABA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483B942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C15</w:t>
                  </w:r>
                </w:p>
              </w:tc>
              <w:tc>
                <w:tcPr>
                  <w:tcW w:w="1012" w:type="pct"/>
                  <w:gridSpan w:val="2"/>
                  <w:shd w:val="clear" w:color="auto" w:fill="auto"/>
                  <w:vAlign w:val="center"/>
                </w:tcPr>
                <w:p w14:paraId="30AF68D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5455132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5ECCE1B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74FAF5F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35E7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3" w:type="pct"/>
                  <w:shd w:val="clear" w:color="auto" w:fill="auto"/>
                  <w:vAlign w:val="center"/>
                </w:tcPr>
                <w:p w14:paraId="3B83AD6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C16</w:t>
                  </w:r>
                </w:p>
              </w:tc>
              <w:tc>
                <w:tcPr>
                  <w:tcW w:w="1012" w:type="pct"/>
                  <w:gridSpan w:val="2"/>
                  <w:shd w:val="clear" w:color="auto" w:fill="auto"/>
                  <w:vAlign w:val="center"/>
                </w:tcPr>
                <w:p w14:paraId="459FF32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shd w:val="clear" w:color="auto" w:fill="auto"/>
                  <w:vAlign w:val="center"/>
                </w:tcPr>
                <w:p w14:paraId="243F00F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013" w:type="pct"/>
                  <w:gridSpan w:val="2"/>
                  <w:shd w:val="clear" w:color="auto" w:fill="auto"/>
                  <w:vAlign w:val="center"/>
                </w:tcPr>
                <w:p w14:paraId="2015FF7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946" w:type="pct"/>
                  <w:shd w:val="clear" w:color="auto" w:fill="auto"/>
                  <w:vAlign w:val="center"/>
                </w:tcPr>
                <w:p w14:paraId="06F6675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bl>
          <w:p w14:paraId="135DBFF5">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b/>
                <w:bCs/>
                <w:color w:val="auto"/>
                <w:kern w:val="0"/>
                <w:sz w:val="24"/>
                <w:lang w:eastAsia="zh-CN"/>
              </w:rPr>
              <w:t>（</w:t>
            </w:r>
            <w:r>
              <w:rPr>
                <w:rFonts w:hint="eastAsia" w:ascii="Times New Roman" w:hAnsi="Times New Roman" w:eastAsia="宋体" w:cs="Times New Roman"/>
                <w:b/>
                <w:bCs/>
                <w:color w:val="auto"/>
                <w:kern w:val="0"/>
                <w:sz w:val="24"/>
                <w:lang w:eastAsia="ja-JP"/>
              </w:rPr>
              <w:t>3）潮流分析</w:t>
            </w:r>
          </w:p>
          <w:p w14:paraId="0E99DF8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val="en-US" w:eastAsia="zh-CN"/>
              </w:rPr>
              <w:t>1）</w:t>
            </w:r>
            <w:r>
              <w:rPr>
                <w:rFonts w:hint="eastAsia" w:ascii="Times New Roman" w:hAnsi="Times New Roman" w:eastAsia="宋体" w:cs="Times New Roman"/>
                <w:color w:val="auto"/>
                <w:kern w:val="0"/>
                <w:sz w:val="24"/>
                <w:lang w:eastAsia="ja-JP"/>
              </w:rPr>
              <w:t>潮流类型</w:t>
            </w:r>
          </w:p>
          <w:p w14:paraId="40217A3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根据《港口与航道水文规范》（JTS145—2015），潮流按以下潮流性质系数F=(W</w:t>
            </w:r>
            <w:r>
              <w:rPr>
                <w:rFonts w:hint="eastAsia" w:ascii="Times New Roman" w:hAnsi="Times New Roman" w:eastAsia="宋体" w:cs="Times New Roman"/>
                <w:color w:val="auto"/>
                <w:kern w:val="0"/>
                <w:sz w:val="24"/>
                <w:vertAlign w:val="subscript"/>
                <w:lang w:eastAsia="ja-JP"/>
              </w:rPr>
              <w:t>O1</w:t>
            </w:r>
            <w:r>
              <w:rPr>
                <w:rFonts w:hint="eastAsia" w:ascii="Times New Roman" w:hAnsi="Times New Roman" w:eastAsia="宋体" w:cs="Times New Roman"/>
                <w:color w:val="auto"/>
                <w:kern w:val="0"/>
                <w:sz w:val="24"/>
                <w:lang w:eastAsia="ja-JP"/>
              </w:rPr>
              <w:t>+W</w:t>
            </w:r>
            <w:r>
              <w:rPr>
                <w:rFonts w:hint="eastAsia" w:ascii="Times New Roman" w:hAnsi="Times New Roman" w:eastAsia="宋体" w:cs="Times New Roman"/>
                <w:color w:val="auto"/>
                <w:kern w:val="0"/>
                <w:sz w:val="24"/>
                <w:vertAlign w:val="subscript"/>
                <w:lang w:eastAsia="ja-JP"/>
              </w:rPr>
              <w:t>K1</w:t>
            </w:r>
            <w:r>
              <w:rPr>
                <w:rFonts w:hint="eastAsia" w:ascii="Times New Roman" w:hAnsi="Times New Roman" w:eastAsia="宋体" w:cs="Times New Roman"/>
                <w:color w:val="auto"/>
                <w:kern w:val="0"/>
                <w:sz w:val="24"/>
                <w:lang w:eastAsia="ja-JP"/>
              </w:rPr>
              <w:t>)/W</w:t>
            </w:r>
            <w:r>
              <w:rPr>
                <w:rFonts w:hint="eastAsia" w:ascii="Times New Roman" w:hAnsi="Times New Roman" w:eastAsia="宋体" w:cs="Times New Roman"/>
                <w:color w:val="auto"/>
                <w:kern w:val="0"/>
                <w:sz w:val="24"/>
                <w:vertAlign w:val="subscript"/>
                <w:lang w:eastAsia="ja-JP"/>
              </w:rPr>
              <w:t>M2</w:t>
            </w:r>
            <w:r>
              <w:rPr>
                <w:rFonts w:hint="eastAsia" w:ascii="Times New Roman" w:hAnsi="Times New Roman" w:eastAsia="宋体" w:cs="Times New Roman"/>
                <w:color w:val="auto"/>
                <w:kern w:val="0"/>
                <w:sz w:val="24"/>
                <w:lang w:eastAsia="ja-JP"/>
              </w:rPr>
              <w:t>判别标准可分为规则的半日潮流、不规则的半日潮流、不规则的全日潮流和规则的全日潮流四种类型：</w:t>
            </w:r>
          </w:p>
          <w:p w14:paraId="5F59611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F≤0.5规则半日潮流</w:t>
            </w:r>
          </w:p>
          <w:p w14:paraId="02EED7E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0.5&lt;F≤2.0不规则半日潮流</w:t>
            </w:r>
          </w:p>
          <w:p w14:paraId="1FDC4D0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2.0&lt;F≤4.0不规则全日潮流</w:t>
            </w:r>
          </w:p>
          <w:p w14:paraId="6184805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F&gt;4.0规则全日潮流</w:t>
            </w:r>
          </w:p>
          <w:p w14:paraId="333C057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其中W</w:t>
            </w:r>
            <w:r>
              <w:rPr>
                <w:rFonts w:hint="eastAsia" w:ascii="Times New Roman" w:hAnsi="Times New Roman" w:eastAsia="宋体" w:cs="Times New Roman"/>
                <w:color w:val="auto"/>
                <w:kern w:val="0"/>
                <w:sz w:val="24"/>
                <w:vertAlign w:val="subscript"/>
                <w:lang w:eastAsia="ja-JP"/>
              </w:rPr>
              <w:t>O1</w:t>
            </w:r>
            <w:r>
              <w:rPr>
                <w:rFonts w:hint="eastAsia" w:ascii="Times New Roman" w:hAnsi="Times New Roman" w:eastAsia="宋体" w:cs="Times New Roman"/>
                <w:color w:val="auto"/>
                <w:kern w:val="0"/>
                <w:sz w:val="24"/>
                <w:lang w:eastAsia="ja-JP"/>
              </w:rPr>
              <w:t>为主要太阴日分潮流的椭圆长半轴长度（单位cm/s，下同），W</w:t>
            </w:r>
            <w:r>
              <w:rPr>
                <w:rFonts w:hint="eastAsia" w:ascii="Times New Roman" w:hAnsi="Times New Roman" w:eastAsia="宋体" w:cs="Times New Roman"/>
                <w:color w:val="auto"/>
                <w:kern w:val="0"/>
                <w:sz w:val="24"/>
                <w:vertAlign w:val="subscript"/>
                <w:lang w:eastAsia="ja-JP"/>
              </w:rPr>
              <w:t>K1</w:t>
            </w:r>
            <w:r>
              <w:rPr>
                <w:rFonts w:hint="eastAsia" w:ascii="Times New Roman" w:hAnsi="Times New Roman" w:eastAsia="宋体" w:cs="Times New Roman"/>
                <w:color w:val="auto"/>
                <w:kern w:val="0"/>
                <w:sz w:val="24"/>
                <w:lang w:eastAsia="ja-JP"/>
              </w:rPr>
              <w:t>为主要太阴太阳合成日分潮流的椭圆长半轴长度，W</w:t>
            </w:r>
            <w:r>
              <w:rPr>
                <w:rFonts w:hint="eastAsia" w:ascii="Times New Roman" w:hAnsi="Times New Roman" w:eastAsia="宋体" w:cs="Times New Roman"/>
                <w:color w:val="auto"/>
                <w:kern w:val="0"/>
                <w:sz w:val="24"/>
                <w:vertAlign w:val="subscript"/>
                <w:lang w:eastAsia="ja-JP"/>
              </w:rPr>
              <w:t>M2</w:t>
            </w:r>
            <w:r>
              <w:rPr>
                <w:rFonts w:hint="eastAsia" w:ascii="Times New Roman" w:hAnsi="Times New Roman" w:eastAsia="宋体" w:cs="Times New Roman"/>
                <w:color w:val="auto"/>
                <w:kern w:val="0"/>
                <w:sz w:val="24"/>
                <w:lang w:eastAsia="ja-JP"/>
              </w:rPr>
              <w:t>为主要太阴半日分潮流的椭圆长半轴长度。</w:t>
            </w:r>
          </w:p>
          <w:p w14:paraId="20AB404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根据《港口与航道水文规范》，对海流观测资料进行准调和分析，分析时选用“引入差比关系的准调和分析方法”，差比数采用2019年</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eastAsia="ja-JP"/>
              </w:rPr>
              <w:t>2021年防城海洋站的潮位资料调和分析计算求得，得出各站层的O1（主要太阴全日分潮流）、K1（太阴太阳合成全日分潮流）、M2（主要太阴半日分潮流）、S2（主要太阳半日分潮流）、M4（浅水分潮流）和MS4（浅水四分之一分潮流）等6个主要分潮流的调和常数以及椭圆要素等潮流特征值，并计算各站、层的潮流性质系数F，见表3</w:t>
            </w:r>
            <w:r>
              <w:rPr>
                <w:rFonts w:hint="eastAsia" w:ascii="Times New Roman" w:hAnsi="Times New Roman" w:eastAsia="宋体" w:cs="Times New Roman"/>
                <w:color w:val="auto"/>
                <w:kern w:val="0"/>
                <w:sz w:val="24"/>
                <w:lang w:val="en-US" w:eastAsia="zh-CN"/>
              </w:rPr>
              <w:t>-5</w:t>
            </w:r>
            <w:r>
              <w:rPr>
                <w:rFonts w:hint="eastAsia" w:ascii="Times New Roman" w:hAnsi="Times New Roman" w:eastAsia="宋体" w:cs="Times New Roman"/>
                <w:color w:val="auto"/>
                <w:kern w:val="0"/>
                <w:sz w:val="24"/>
                <w:lang w:eastAsia="ja-JP"/>
              </w:rPr>
              <w:t>。由表可知，工程海域的潮流类型较复杂，潮流性质系数F在0.70~12.99之间，潮流类型有不规则的半日潮流、不规则的全日潮流、规则的全日潮流三种，西湾海域潮流类型主要为不规则的全日潮流；山新村海域潮流类型主要为不规则的半日潮流，万尾海域潮流类型主要为不规则的半日潮流。</w:t>
            </w:r>
          </w:p>
          <w:p w14:paraId="64CD18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zh-CN"/>
              </w:rPr>
              <w:t xml:space="preserve">表3.2-5  </w:t>
            </w:r>
            <w:r>
              <w:rPr>
                <w:rFonts w:hint="eastAsia" w:ascii="Times New Roman" w:hAnsi="Times New Roman" w:cs="Times New Roman"/>
                <w:b/>
                <w:bCs/>
                <w:color w:val="auto"/>
                <w:kern w:val="0"/>
                <w:sz w:val="21"/>
                <w:szCs w:val="21"/>
                <w:lang w:val="en-US" w:eastAsia="ja-JP"/>
              </w:rPr>
              <w:t>潮流性质系数F</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2156"/>
              <w:gridCol w:w="10"/>
              <w:gridCol w:w="2166"/>
              <w:gridCol w:w="2156"/>
              <w:gridCol w:w="10"/>
            </w:tblGrid>
            <w:tr w14:paraId="2481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83" w:hRule="atLeast"/>
                <w:jc w:val="center"/>
              </w:trPr>
              <w:tc>
                <w:tcPr>
                  <w:tcW w:w="1250" w:type="pct"/>
                  <w:tcBorders>
                    <w:tl2br w:val="single" w:color="auto" w:sz="4" w:space="0"/>
                  </w:tcBorders>
                  <w:shd w:val="clear" w:color="auto" w:fill="auto"/>
                  <w:vAlign w:val="center"/>
                </w:tcPr>
                <w:p w14:paraId="2B315E8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eastAsia="ja-JP"/>
                      <w14:textFill>
                        <w14:solidFill>
                          <w14:schemeClr w14:val="tx1"/>
                        </w14:solidFill>
                      </w14:textFill>
                    </w:rPr>
                    <w:t>层次</w:t>
                  </w:r>
                </w:p>
                <w:p w14:paraId="2005640D">
                  <w:pPr>
                    <w:keepNext w:val="0"/>
                    <w:keepLines w:val="0"/>
                    <w:suppressLineNumbers w:val="0"/>
                    <w:spacing w:before="0" w:beforeAutospacing="0" w:after="0" w:afterAutospacing="0" w:line="0" w:lineRule="atLeast"/>
                    <w:ind w:left="0" w:right="0"/>
                    <w:jc w:val="both"/>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站号</w:t>
                  </w:r>
                </w:p>
              </w:tc>
              <w:tc>
                <w:tcPr>
                  <w:tcW w:w="1244" w:type="pct"/>
                  <w:shd w:val="clear" w:color="auto" w:fill="auto"/>
                  <w:vAlign w:val="center"/>
                </w:tcPr>
                <w:p w14:paraId="09DC00D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表层</w:t>
                  </w:r>
                </w:p>
              </w:tc>
              <w:tc>
                <w:tcPr>
                  <w:tcW w:w="1256" w:type="pct"/>
                  <w:gridSpan w:val="2"/>
                  <w:shd w:val="clear" w:color="auto" w:fill="auto"/>
                  <w:vAlign w:val="center"/>
                </w:tcPr>
                <w:p w14:paraId="581A1CB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0.6H</w:t>
                  </w:r>
                </w:p>
              </w:tc>
              <w:tc>
                <w:tcPr>
                  <w:tcW w:w="1244" w:type="pct"/>
                  <w:shd w:val="clear" w:color="auto" w:fill="auto"/>
                  <w:vAlign w:val="center"/>
                </w:tcPr>
                <w:p w14:paraId="7CCB762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底层</w:t>
                  </w:r>
                </w:p>
              </w:tc>
            </w:tr>
            <w:tr w14:paraId="6425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50" w:type="pct"/>
                  <w:shd w:val="clear" w:color="auto" w:fill="auto"/>
                  <w:vAlign w:val="center"/>
                </w:tcPr>
                <w:p w14:paraId="2460F74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w:t>
                  </w:r>
                </w:p>
              </w:tc>
              <w:tc>
                <w:tcPr>
                  <w:tcW w:w="1250" w:type="pct"/>
                  <w:gridSpan w:val="2"/>
                  <w:shd w:val="clear" w:color="auto" w:fill="auto"/>
                  <w:vAlign w:val="center"/>
                </w:tcPr>
                <w:p w14:paraId="36FA2CC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sz w:val="24"/>
                    </w:rPr>
                    <w:t>*</w:t>
                  </w:r>
                  <w:r>
                    <w:rPr>
                      <w:sz w:val="24"/>
                    </w:rPr>
                    <w:t>**</w:t>
                  </w:r>
                </w:p>
              </w:tc>
              <w:tc>
                <w:tcPr>
                  <w:tcW w:w="1250" w:type="pct"/>
                  <w:shd w:val="clear" w:color="auto" w:fill="auto"/>
                  <w:vAlign w:val="center"/>
                </w:tcPr>
                <w:p w14:paraId="36941ED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6B70DEF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1577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1C5720E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C2</w:t>
                  </w:r>
                </w:p>
              </w:tc>
              <w:tc>
                <w:tcPr>
                  <w:tcW w:w="1250" w:type="pct"/>
                  <w:gridSpan w:val="2"/>
                  <w:shd w:val="clear" w:color="auto" w:fill="auto"/>
                  <w:vAlign w:val="center"/>
                </w:tcPr>
                <w:p w14:paraId="5594E45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4C0831C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716A48C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33A7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30D0F72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C3</w:t>
                  </w:r>
                </w:p>
              </w:tc>
              <w:tc>
                <w:tcPr>
                  <w:tcW w:w="1250" w:type="pct"/>
                  <w:gridSpan w:val="2"/>
                  <w:shd w:val="clear" w:color="auto" w:fill="auto"/>
                  <w:vAlign w:val="center"/>
                </w:tcPr>
                <w:p w14:paraId="5BA6F65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2F45AA5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1EA4CF0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1290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2FF52EB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C4</w:t>
                  </w:r>
                </w:p>
              </w:tc>
              <w:tc>
                <w:tcPr>
                  <w:tcW w:w="1250" w:type="pct"/>
                  <w:gridSpan w:val="2"/>
                  <w:shd w:val="clear" w:color="auto" w:fill="auto"/>
                  <w:vAlign w:val="center"/>
                </w:tcPr>
                <w:p w14:paraId="6C0D675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5943288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0077E4C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1E1D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3F08A5D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C5</w:t>
                  </w:r>
                </w:p>
              </w:tc>
              <w:tc>
                <w:tcPr>
                  <w:tcW w:w="1250" w:type="pct"/>
                  <w:gridSpan w:val="2"/>
                  <w:shd w:val="clear" w:color="auto" w:fill="auto"/>
                  <w:vAlign w:val="center"/>
                </w:tcPr>
                <w:p w14:paraId="49CFDED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46A4040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1D3BE71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13BE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6CD3AC7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C6</w:t>
                  </w:r>
                </w:p>
              </w:tc>
              <w:tc>
                <w:tcPr>
                  <w:tcW w:w="1250" w:type="pct"/>
                  <w:gridSpan w:val="2"/>
                  <w:shd w:val="clear" w:color="auto" w:fill="auto"/>
                  <w:vAlign w:val="center"/>
                </w:tcPr>
                <w:p w14:paraId="0F8CEC5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2C5275D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727F2BC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2D6D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1F4A038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C7</w:t>
                  </w:r>
                </w:p>
              </w:tc>
              <w:tc>
                <w:tcPr>
                  <w:tcW w:w="1250" w:type="pct"/>
                  <w:gridSpan w:val="2"/>
                  <w:shd w:val="clear" w:color="auto" w:fill="auto"/>
                  <w:vAlign w:val="center"/>
                </w:tcPr>
                <w:p w14:paraId="7575A2F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3CFA9B0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751B252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4B52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4F1B731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C8</w:t>
                  </w:r>
                </w:p>
              </w:tc>
              <w:tc>
                <w:tcPr>
                  <w:tcW w:w="1250" w:type="pct"/>
                  <w:gridSpan w:val="2"/>
                  <w:shd w:val="clear" w:color="auto" w:fill="auto"/>
                  <w:vAlign w:val="center"/>
                </w:tcPr>
                <w:p w14:paraId="6B1B1F1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0A85424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354C4DD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96D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3194461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C9</w:t>
                  </w:r>
                </w:p>
              </w:tc>
              <w:tc>
                <w:tcPr>
                  <w:tcW w:w="1250" w:type="pct"/>
                  <w:gridSpan w:val="2"/>
                  <w:shd w:val="clear" w:color="auto" w:fill="auto"/>
                  <w:vAlign w:val="center"/>
                </w:tcPr>
                <w:p w14:paraId="2051509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6A8EB80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0037D83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5022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78F6109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C10</w:t>
                  </w:r>
                </w:p>
              </w:tc>
              <w:tc>
                <w:tcPr>
                  <w:tcW w:w="1250" w:type="pct"/>
                  <w:gridSpan w:val="2"/>
                  <w:shd w:val="clear" w:color="auto" w:fill="auto"/>
                  <w:vAlign w:val="center"/>
                </w:tcPr>
                <w:p w14:paraId="12E7DC8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640324B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67A56BB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BA3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63675C4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C11</w:t>
                  </w:r>
                </w:p>
              </w:tc>
              <w:tc>
                <w:tcPr>
                  <w:tcW w:w="1250" w:type="pct"/>
                  <w:gridSpan w:val="2"/>
                  <w:shd w:val="clear" w:color="auto" w:fill="auto"/>
                  <w:vAlign w:val="center"/>
                </w:tcPr>
                <w:p w14:paraId="0F4C431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7BB6E31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3233788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6182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47BD986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C12</w:t>
                  </w:r>
                </w:p>
              </w:tc>
              <w:tc>
                <w:tcPr>
                  <w:tcW w:w="1250" w:type="pct"/>
                  <w:gridSpan w:val="2"/>
                  <w:shd w:val="clear" w:color="auto" w:fill="auto"/>
                  <w:vAlign w:val="center"/>
                </w:tcPr>
                <w:p w14:paraId="4F8CB05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6354C16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458D870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344D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55DBB74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C13</w:t>
                  </w:r>
                </w:p>
              </w:tc>
              <w:tc>
                <w:tcPr>
                  <w:tcW w:w="1250" w:type="pct"/>
                  <w:gridSpan w:val="2"/>
                  <w:shd w:val="clear" w:color="auto" w:fill="auto"/>
                  <w:vAlign w:val="center"/>
                </w:tcPr>
                <w:p w14:paraId="6914385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47C2A8B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11CE598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277E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1B003C7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C14</w:t>
                  </w:r>
                </w:p>
              </w:tc>
              <w:tc>
                <w:tcPr>
                  <w:tcW w:w="1250" w:type="pct"/>
                  <w:gridSpan w:val="2"/>
                  <w:shd w:val="clear" w:color="auto" w:fill="auto"/>
                  <w:vAlign w:val="center"/>
                </w:tcPr>
                <w:p w14:paraId="731C4CC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1FB9C32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347FD79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01CA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2B111C5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C15</w:t>
                  </w:r>
                </w:p>
              </w:tc>
              <w:tc>
                <w:tcPr>
                  <w:tcW w:w="1250" w:type="pct"/>
                  <w:gridSpan w:val="2"/>
                  <w:shd w:val="clear" w:color="auto" w:fill="auto"/>
                  <w:vAlign w:val="center"/>
                </w:tcPr>
                <w:p w14:paraId="4A79987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35DBCD8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4C69616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6401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shd w:val="clear" w:color="auto" w:fill="auto"/>
                  <w:vAlign w:val="center"/>
                </w:tcPr>
                <w:p w14:paraId="54C37EA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C16</w:t>
                  </w:r>
                </w:p>
              </w:tc>
              <w:tc>
                <w:tcPr>
                  <w:tcW w:w="1250" w:type="pct"/>
                  <w:gridSpan w:val="2"/>
                  <w:shd w:val="clear" w:color="auto" w:fill="auto"/>
                  <w:vAlign w:val="center"/>
                </w:tcPr>
                <w:p w14:paraId="6ADEFD6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shd w:val="clear" w:color="auto" w:fill="auto"/>
                  <w:vAlign w:val="center"/>
                </w:tcPr>
                <w:p w14:paraId="07AD1BE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250" w:type="pct"/>
                  <w:gridSpan w:val="2"/>
                  <w:shd w:val="clear" w:color="auto" w:fill="auto"/>
                  <w:vAlign w:val="center"/>
                </w:tcPr>
                <w:p w14:paraId="17138C7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bl>
          <w:p w14:paraId="21F3090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val="en-US" w:eastAsia="zh-CN"/>
              </w:rPr>
              <w:t>2）</w:t>
            </w:r>
            <w:r>
              <w:rPr>
                <w:rFonts w:hint="eastAsia" w:ascii="Times New Roman" w:hAnsi="Times New Roman" w:eastAsia="宋体" w:cs="Times New Roman"/>
                <w:color w:val="auto"/>
                <w:kern w:val="0"/>
                <w:sz w:val="24"/>
                <w:lang w:eastAsia="ja-JP"/>
              </w:rPr>
              <w:t>潮流运动形式和潮流椭圆要素</w:t>
            </w:r>
          </w:p>
          <w:p w14:paraId="03AD555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潮流运动可粗略分为往复流和旋转流，它可由潮流的椭圆率k值来描述，k值为潮流椭圆的短半轴与长半轴之比，其值介于-1</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eastAsia="ja-JP"/>
              </w:rPr>
              <w:t>1之间。k的绝对值越小越接近往复流，越大越接近于旋转流。k值的正、负号表示潮流旋转的方向，正号表示逆时针方向旋转，负号表示顺时针方向旋转。</w:t>
            </w:r>
          </w:p>
          <w:p w14:paraId="0593913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根据潮流准调和分析结果，监测海域各主要分潮流长半轴主要以O1为最大，M2和K1次之，M4和MS4最小。分潮流椭圆长轴方向主要为东北—西南向和西北—东南向，与当地等深线的总体走向基本一致。受海底摩擦影响，各分潮流椭圆长半轴的最大值主要出现在表层和0.6H层。各分潮流长半轴的最大值出现在C2站表层的O1，为31.2cm/s。</w:t>
            </w:r>
          </w:p>
          <w:p w14:paraId="09369A7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监测海域主要分潮流椭圆率k在-0.73~0.63之间，10m等深线以浅的近岸站多在-0.30</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eastAsia="ja-JP"/>
              </w:rPr>
              <w:t>0.30之间，潮流以往复流运动为主，10m等深线以深的外海站多</w:t>
            </w:r>
            <w:r>
              <w:rPr>
                <w:rFonts w:hint="eastAsia" w:ascii="Times New Roman" w:hAnsi="Times New Roman" w:eastAsia="宋体" w:cs="Times New Roman"/>
                <w:color w:val="auto"/>
                <w:kern w:val="0"/>
                <w:sz w:val="24"/>
                <w:lang w:val="en-US" w:eastAsia="zh-CN"/>
              </w:rPr>
              <w:t>＜</w:t>
            </w:r>
            <w:r>
              <w:rPr>
                <w:rFonts w:hint="eastAsia" w:ascii="Times New Roman" w:hAnsi="Times New Roman" w:eastAsia="宋体" w:cs="Times New Roman"/>
                <w:color w:val="auto"/>
                <w:kern w:val="0"/>
                <w:sz w:val="24"/>
                <w:lang w:eastAsia="ja-JP"/>
              </w:rPr>
              <w:t>-0.30或&gt;0.30，潮流以旋转流运动为主。</w:t>
            </w:r>
          </w:p>
          <w:p w14:paraId="0ED16709">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kern w:val="0"/>
                <w:sz w:val="24"/>
                <w:lang w:eastAsia="ja-JP"/>
              </w:rPr>
            </w:pPr>
            <w:r>
              <w:rPr>
                <w:rFonts w:hint="eastAsia" w:ascii="Times New Roman" w:hAnsi="Times New Roman" w:eastAsia="宋体" w:cs="Times New Roman"/>
                <w:b/>
                <w:bCs/>
                <w:color w:val="auto"/>
                <w:kern w:val="0"/>
                <w:sz w:val="24"/>
                <w:lang w:eastAsia="zh-CN"/>
              </w:rPr>
              <w:t>（</w:t>
            </w:r>
            <w:r>
              <w:rPr>
                <w:rFonts w:hint="eastAsia" w:ascii="Times New Roman" w:hAnsi="Times New Roman" w:eastAsia="宋体" w:cs="Times New Roman"/>
                <w:b/>
                <w:bCs/>
                <w:color w:val="auto"/>
                <w:kern w:val="0"/>
                <w:sz w:val="24"/>
                <w:lang w:val="en-US" w:eastAsia="zh-CN"/>
              </w:rPr>
              <w:t>4</w:t>
            </w:r>
            <w:r>
              <w:rPr>
                <w:rFonts w:hint="eastAsia" w:ascii="Times New Roman" w:hAnsi="Times New Roman" w:eastAsia="宋体" w:cs="Times New Roman"/>
                <w:b/>
                <w:bCs/>
                <w:color w:val="auto"/>
                <w:kern w:val="0"/>
                <w:sz w:val="24"/>
                <w:lang w:eastAsia="zh-CN"/>
              </w:rPr>
              <w:t>）</w:t>
            </w:r>
            <w:r>
              <w:rPr>
                <w:rFonts w:hint="eastAsia" w:ascii="Times New Roman" w:hAnsi="Times New Roman" w:eastAsia="宋体" w:cs="Times New Roman"/>
                <w:b/>
                <w:bCs/>
                <w:color w:val="auto"/>
                <w:kern w:val="0"/>
                <w:sz w:val="24"/>
                <w:lang w:eastAsia="ja-JP"/>
              </w:rPr>
              <w:t>余流分析</w:t>
            </w:r>
          </w:p>
          <w:p w14:paraId="126A6B8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余流通常指实测海流资料中除去周期性流动(天文潮)之外，剩余的部分流动．其中包括潮汐余流、风海流和密度流等非周期性流动。监测海域大潮期的余流见表3</w:t>
            </w:r>
            <w:r>
              <w:rPr>
                <w:rFonts w:hint="eastAsia" w:ascii="Times New Roman" w:hAnsi="Times New Roman" w:eastAsia="宋体" w:cs="Times New Roman"/>
                <w:color w:val="auto"/>
                <w:kern w:val="0"/>
                <w:sz w:val="24"/>
                <w:lang w:val="en-US" w:eastAsia="zh-CN"/>
              </w:rPr>
              <w:t>.2-6</w:t>
            </w:r>
            <w:r>
              <w:rPr>
                <w:rFonts w:hint="eastAsia" w:ascii="Times New Roman" w:hAnsi="Times New Roman" w:eastAsia="宋体" w:cs="Times New Roman"/>
                <w:color w:val="auto"/>
                <w:kern w:val="0"/>
                <w:sz w:val="24"/>
                <w:lang w:eastAsia="ja-JP"/>
              </w:rPr>
              <w:t>。工程海域余流呈现以下特点：</w:t>
            </w:r>
          </w:p>
          <w:p w14:paraId="17AC212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①监测海域大部分站的表层余流受东北季风影响明显，流向主要为西南向，与盛行风向一致，0.6H、底层海流受风影响不明显，流向较杂乱，规律性不明显。</w:t>
            </w:r>
          </w:p>
          <w:p w14:paraId="418028A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②大潮期余流在0.3cm/s~16.9cm/s之间。最大余流为16.9cm/s，流向为149°，出现在C5站的表层。</w:t>
            </w:r>
          </w:p>
          <w:p w14:paraId="6CA4B94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③余流具有表层大于0.6H层，0.6H层大于底层的一般特点。空间上，C5站余流受防城江径流影响比其他站都要略大，但总体的余流均较小，工程海域海流以潮流为主。</w:t>
            </w:r>
          </w:p>
          <w:p w14:paraId="0664C9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zh-CN"/>
              </w:rPr>
              <w:t xml:space="preserve">表3.2-6  </w:t>
            </w:r>
            <w:r>
              <w:rPr>
                <w:rFonts w:hint="eastAsia" w:ascii="Times New Roman" w:hAnsi="Times New Roman" w:cs="Times New Roman"/>
                <w:b/>
                <w:bCs/>
                <w:color w:val="auto"/>
                <w:kern w:val="0"/>
                <w:sz w:val="21"/>
                <w:szCs w:val="21"/>
                <w:lang w:val="en-US" w:eastAsia="ja-JP"/>
              </w:rPr>
              <w:t>大潮期的余流</w:t>
            </w:r>
          </w:p>
          <w:tbl>
            <w:tblPr>
              <w:tblStyle w:val="28"/>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80"/>
              <w:gridCol w:w="1179"/>
              <w:gridCol w:w="1179"/>
              <w:gridCol w:w="1181"/>
              <w:gridCol w:w="1181"/>
              <w:gridCol w:w="1180"/>
            </w:tblGrid>
            <w:tr w14:paraId="26AF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vMerge w:val="restart"/>
                  <w:tcBorders>
                    <w:tl2br w:val="single" w:color="auto" w:sz="4" w:space="0"/>
                  </w:tcBorders>
                  <w:shd w:val="clear" w:color="auto" w:fill="auto"/>
                  <w:vAlign w:val="center"/>
                </w:tcPr>
                <w:p w14:paraId="63927B1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eastAsia="ja-JP"/>
                      <w14:textFill>
                        <w14:solidFill>
                          <w14:schemeClr w14:val="tx1"/>
                        </w14:solidFill>
                      </w14:textFill>
                    </w:rPr>
                    <w:t>层次</w:t>
                  </w:r>
                </w:p>
                <w:p w14:paraId="058890BA">
                  <w:pPr>
                    <w:keepNext w:val="0"/>
                    <w:keepLines w:val="0"/>
                    <w:suppressLineNumbers w:val="0"/>
                    <w:spacing w:before="0" w:beforeAutospacing="0" w:after="0" w:afterAutospacing="0" w:line="0" w:lineRule="atLeast"/>
                    <w:ind w:left="0" w:right="0"/>
                    <w:jc w:val="both"/>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站号</w:t>
                  </w:r>
                </w:p>
              </w:tc>
              <w:tc>
                <w:tcPr>
                  <w:tcW w:w="2359" w:type="dxa"/>
                  <w:gridSpan w:val="2"/>
                  <w:shd w:val="clear" w:color="auto" w:fill="auto"/>
                  <w:vAlign w:val="center"/>
                </w:tcPr>
                <w:p w14:paraId="6324D69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表</w:t>
                  </w:r>
                </w:p>
              </w:tc>
              <w:tc>
                <w:tcPr>
                  <w:tcW w:w="2360" w:type="dxa"/>
                  <w:gridSpan w:val="2"/>
                  <w:shd w:val="clear" w:color="auto" w:fill="auto"/>
                  <w:vAlign w:val="center"/>
                </w:tcPr>
                <w:p w14:paraId="1749EA8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0.6H</w:t>
                  </w:r>
                </w:p>
              </w:tc>
              <w:tc>
                <w:tcPr>
                  <w:tcW w:w="2361" w:type="dxa"/>
                  <w:gridSpan w:val="2"/>
                  <w:shd w:val="clear" w:color="auto" w:fill="auto"/>
                  <w:vAlign w:val="center"/>
                </w:tcPr>
                <w:p w14:paraId="09B6037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底</w:t>
                  </w:r>
                </w:p>
              </w:tc>
            </w:tr>
            <w:tr w14:paraId="3124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vMerge w:val="continue"/>
                  <w:shd w:val="clear" w:color="auto" w:fill="auto"/>
                  <w:vAlign w:val="center"/>
                </w:tcPr>
                <w:p w14:paraId="23FFD83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291794A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流速（cm/s）</w:t>
                  </w:r>
                </w:p>
              </w:tc>
              <w:tc>
                <w:tcPr>
                  <w:tcW w:w="1179" w:type="dxa"/>
                  <w:shd w:val="clear" w:color="auto" w:fill="auto"/>
                  <w:vAlign w:val="center"/>
                </w:tcPr>
                <w:p w14:paraId="08AE5AC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流向（°）</w:t>
                  </w:r>
                </w:p>
              </w:tc>
              <w:tc>
                <w:tcPr>
                  <w:tcW w:w="1179" w:type="dxa"/>
                  <w:shd w:val="clear" w:color="auto" w:fill="auto"/>
                  <w:vAlign w:val="center"/>
                </w:tcPr>
                <w:p w14:paraId="23DD602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流速（cm/s）</w:t>
                  </w:r>
                </w:p>
              </w:tc>
              <w:tc>
                <w:tcPr>
                  <w:tcW w:w="1181" w:type="dxa"/>
                  <w:shd w:val="clear" w:color="auto" w:fill="auto"/>
                  <w:vAlign w:val="center"/>
                </w:tcPr>
                <w:p w14:paraId="7EBEAC8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流向（°）</w:t>
                  </w:r>
                </w:p>
              </w:tc>
              <w:tc>
                <w:tcPr>
                  <w:tcW w:w="1181" w:type="dxa"/>
                  <w:shd w:val="clear" w:color="auto" w:fill="auto"/>
                  <w:vAlign w:val="center"/>
                </w:tcPr>
                <w:p w14:paraId="73EDBA9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流速（cm/s）</w:t>
                  </w:r>
                </w:p>
              </w:tc>
              <w:tc>
                <w:tcPr>
                  <w:tcW w:w="1180" w:type="dxa"/>
                  <w:shd w:val="clear" w:color="auto" w:fill="auto"/>
                  <w:vAlign w:val="center"/>
                </w:tcPr>
                <w:p w14:paraId="021D17B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流向（°）</w:t>
                  </w:r>
                </w:p>
              </w:tc>
            </w:tr>
            <w:tr w14:paraId="5DEF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625500D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w:t>
                  </w:r>
                </w:p>
              </w:tc>
              <w:tc>
                <w:tcPr>
                  <w:tcW w:w="1180" w:type="dxa"/>
                  <w:shd w:val="clear" w:color="auto" w:fill="auto"/>
                  <w:vAlign w:val="center"/>
                </w:tcPr>
                <w:p w14:paraId="720D9EA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sz w:val="24"/>
                    </w:rPr>
                    <w:t>*</w:t>
                  </w:r>
                  <w:r>
                    <w:rPr>
                      <w:sz w:val="24"/>
                    </w:rPr>
                    <w:t>**</w:t>
                  </w:r>
                </w:p>
              </w:tc>
              <w:tc>
                <w:tcPr>
                  <w:tcW w:w="1179" w:type="dxa"/>
                  <w:shd w:val="clear" w:color="auto" w:fill="auto"/>
                  <w:vAlign w:val="center"/>
                </w:tcPr>
                <w:p w14:paraId="0F8B699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725FB83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5D2B5D2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63A1006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329A20F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4AF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5763A6E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C2</w:t>
                  </w:r>
                </w:p>
              </w:tc>
              <w:tc>
                <w:tcPr>
                  <w:tcW w:w="1180" w:type="dxa"/>
                  <w:shd w:val="clear" w:color="auto" w:fill="auto"/>
                  <w:vAlign w:val="center"/>
                </w:tcPr>
                <w:p w14:paraId="250731A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2008BAE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09F7AEC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7DF7CC5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2668437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08EFDAF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4947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13F85F7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C3</w:t>
                  </w:r>
                </w:p>
              </w:tc>
              <w:tc>
                <w:tcPr>
                  <w:tcW w:w="1180" w:type="dxa"/>
                  <w:shd w:val="clear" w:color="auto" w:fill="auto"/>
                  <w:vAlign w:val="center"/>
                </w:tcPr>
                <w:p w14:paraId="3A73C09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05AFF83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4AD2E30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175D279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6BC58D3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14C79FB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030B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4B4D9AA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C4</w:t>
                  </w:r>
                </w:p>
              </w:tc>
              <w:tc>
                <w:tcPr>
                  <w:tcW w:w="1180" w:type="dxa"/>
                  <w:shd w:val="clear" w:color="auto" w:fill="auto"/>
                  <w:vAlign w:val="center"/>
                </w:tcPr>
                <w:p w14:paraId="7B31C53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3F67A7B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069933E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3E68EF6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5AB4E4A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68B5019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2A55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6CFFE26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C5</w:t>
                  </w:r>
                </w:p>
              </w:tc>
              <w:tc>
                <w:tcPr>
                  <w:tcW w:w="1180" w:type="dxa"/>
                  <w:shd w:val="clear" w:color="auto" w:fill="auto"/>
                  <w:vAlign w:val="center"/>
                </w:tcPr>
                <w:p w14:paraId="2F9EB2C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763DC08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3A0FF06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1085A47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720319E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7C06C23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3BA2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29D47B9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C6</w:t>
                  </w:r>
                </w:p>
              </w:tc>
              <w:tc>
                <w:tcPr>
                  <w:tcW w:w="1180" w:type="dxa"/>
                  <w:shd w:val="clear" w:color="auto" w:fill="auto"/>
                  <w:vAlign w:val="center"/>
                </w:tcPr>
                <w:p w14:paraId="5795BA9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2623832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3B6A47C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77507F5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663356C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5A95B08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7859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6750CA0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C7</w:t>
                  </w:r>
                </w:p>
              </w:tc>
              <w:tc>
                <w:tcPr>
                  <w:tcW w:w="1180" w:type="dxa"/>
                  <w:shd w:val="clear" w:color="auto" w:fill="auto"/>
                  <w:vAlign w:val="center"/>
                </w:tcPr>
                <w:p w14:paraId="2163F73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130EDB8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3C09BEB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5CE71E9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298C8C9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0FF9AC7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415D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2B46410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C8</w:t>
                  </w:r>
                </w:p>
              </w:tc>
              <w:tc>
                <w:tcPr>
                  <w:tcW w:w="1180" w:type="dxa"/>
                  <w:shd w:val="clear" w:color="auto" w:fill="auto"/>
                  <w:vAlign w:val="center"/>
                </w:tcPr>
                <w:p w14:paraId="413A307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70622D8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01798E4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2F5310F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20BF3DF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63B8BE0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1623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4B7EE45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C9</w:t>
                  </w:r>
                </w:p>
              </w:tc>
              <w:tc>
                <w:tcPr>
                  <w:tcW w:w="1180" w:type="dxa"/>
                  <w:shd w:val="clear" w:color="auto" w:fill="auto"/>
                  <w:vAlign w:val="center"/>
                </w:tcPr>
                <w:p w14:paraId="5E0B902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7CA56C1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712FFB2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58C3EB4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6F26CFD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3F00A0B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3EDB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59700CF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C10</w:t>
                  </w:r>
                </w:p>
              </w:tc>
              <w:tc>
                <w:tcPr>
                  <w:tcW w:w="1180" w:type="dxa"/>
                  <w:shd w:val="clear" w:color="auto" w:fill="auto"/>
                  <w:vAlign w:val="center"/>
                </w:tcPr>
                <w:p w14:paraId="3AAD6CB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2A30894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230FA97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2AE3E11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033EFA1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220BEEF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5030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7796479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C11</w:t>
                  </w:r>
                </w:p>
              </w:tc>
              <w:tc>
                <w:tcPr>
                  <w:tcW w:w="1180" w:type="dxa"/>
                  <w:shd w:val="clear" w:color="auto" w:fill="auto"/>
                  <w:vAlign w:val="center"/>
                </w:tcPr>
                <w:p w14:paraId="5B46764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393461A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29921D2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6576305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0228A5F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6C74997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5BA5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7609BE7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C12</w:t>
                  </w:r>
                </w:p>
              </w:tc>
              <w:tc>
                <w:tcPr>
                  <w:tcW w:w="1180" w:type="dxa"/>
                  <w:shd w:val="clear" w:color="auto" w:fill="auto"/>
                  <w:vAlign w:val="center"/>
                </w:tcPr>
                <w:p w14:paraId="6EDE11B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585A4B7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1B0DA75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75D9744B">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324F4A3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26DF329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2674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7B8245E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C13</w:t>
                  </w:r>
                </w:p>
              </w:tc>
              <w:tc>
                <w:tcPr>
                  <w:tcW w:w="1180" w:type="dxa"/>
                  <w:shd w:val="clear" w:color="auto" w:fill="auto"/>
                  <w:vAlign w:val="center"/>
                </w:tcPr>
                <w:p w14:paraId="4FBFA66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065F72F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16CB4F3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10ABD69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2B551DC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7B632AF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33A4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701D231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C14</w:t>
                  </w:r>
                </w:p>
              </w:tc>
              <w:tc>
                <w:tcPr>
                  <w:tcW w:w="1180" w:type="dxa"/>
                  <w:shd w:val="clear" w:color="auto" w:fill="auto"/>
                  <w:vAlign w:val="center"/>
                </w:tcPr>
                <w:p w14:paraId="28D7C4C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78A4F2B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6B0029F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0056369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06799E5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02BD4FA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30CA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42820E0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C15</w:t>
                  </w:r>
                </w:p>
              </w:tc>
              <w:tc>
                <w:tcPr>
                  <w:tcW w:w="1180" w:type="dxa"/>
                  <w:shd w:val="clear" w:color="auto" w:fill="auto"/>
                  <w:vAlign w:val="center"/>
                </w:tcPr>
                <w:p w14:paraId="12603E7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1148351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1A2A7EF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6B56878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7199204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1A790BE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r w14:paraId="047F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0" w:type="dxa"/>
                  <w:shd w:val="clear" w:color="auto" w:fill="auto"/>
                  <w:vAlign w:val="center"/>
                </w:tcPr>
                <w:p w14:paraId="6490A73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r>
                    <w:rPr>
                      <w:rFonts w:hint="eastAsia" w:ascii="Times New Roman" w:hAnsi="Times New Roman" w:eastAsia="宋体" w:cs="Times New Roman"/>
                      <w:color w:val="000000" w:themeColor="text1"/>
                      <w:sz w:val="21"/>
                      <w:szCs w:val="21"/>
                      <w:lang w:eastAsia="ja-JP"/>
                      <w14:textFill>
                        <w14:solidFill>
                          <w14:schemeClr w14:val="tx1"/>
                        </w14:solidFill>
                      </w14:textFill>
                    </w:rPr>
                    <w:t>C16</w:t>
                  </w:r>
                </w:p>
              </w:tc>
              <w:tc>
                <w:tcPr>
                  <w:tcW w:w="1180" w:type="dxa"/>
                  <w:shd w:val="clear" w:color="auto" w:fill="auto"/>
                  <w:vAlign w:val="center"/>
                </w:tcPr>
                <w:p w14:paraId="1C6D0E7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1ED0479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79" w:type="dxa"/>
                  <w:shd w:val="clear" w:color="auto" w:fill="auto"/>
                  <w:vAlign w:val="center"/>
                </w:tcPr>
                <w:p w14:paraId="37564DD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04F4BB2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1" w:type="dxa"/>
                  <w:shd w:val="clear" w:color="auto" w:fill="auto"/>
                  <w:vAlign w:val="center"/>
                </w:tcPr>
                <w:p w14:paraId="3BBC615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c>
                <w:tcPr>
                  <w:tcW w:w="1180" w:type="dxa"/>
                  <w:shd w:val="clear" w:color="auto" w:fill="auto"/>
                  <w:vAlign w:val="center"/>
                </w:tcPr>
                <w:p w14:paraId="44EE495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lang w:eastAsia="ja-JP"/>
                      <w14:textFill>
                        <w14:solidFill>
                          <w14:schemeClr w14:val="tx1"/>
                        </w14:solidFill>
                      </w14:textFill>
                    </w:rPr>
                  </w:pPr>
                </w:p>
              </w:tc>
            </w:tr>
          </w:tbl>
          <w:p w14:paraId="37E9A44A">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kern w:val="0"/>
                <w:sz w:val="24"/>
                <w:lang w:eastAsia="ja-JP"/>
              </w:rPr>
            </w:pPr>
            <w:r>
              <w:rPr>
                <w:rFonts w:hint="eastAsia" w:ascii="Times New Roman" w:hAnsi="Times New Roman" w:eastAsia="宋体" w:cs="Times New Roman"/>
                <w:b/>
                <w:bCs/>
                <w:color w:val="auto"/>
                <w:kern w:val="0"/>
                <w:sz w:val="24"/>
                <w:lang w:val="en-US" w:eastAsia="zh-CN"/>
              </w:rPr>
              <w:t>（5）</w:t>
            </w:r>
            <w:r>
              <w:rPr>
                <w:rFonts w:hint="eastAsia" w:ascii="Times New Roman" w:hAnsi="Times New Roman" w:eastAsia="宋体" w:cs="Times New Roman"/>
                <w:b/>
                <w:bCs/>
                <w:color w:val="auto"/>
                <w:kern w:val="0"/>
                <w:sz w:val="24"/>
                <w:lang w:eastAsia="ja-JP"/>
              </w:rPr>
              <w:t>小结</w:t>
            </w:r>
          </w:p>
          <w:p w14:paraId="195077B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1）工程海域外海（10m以深区域）的海流主要为放射状的旋转流，没有固定的涨、落潮流路。近岸（10m以浅区域）的海流主要为直线状的往复流，涨潮时，海流主要为偏北向流，落潮时，海流主要为偏南向流，涨落潮流向与当地等深线的走向基本一致。</w:t>
            </w:r>
          </w:p>
          <w:p w14:paraId="3F0C556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2）工程海域垂线平均流速的平均值在5.9cm/s~36.3cm/s之间。由表层至底层，流速总体呈现减小的趋势。实测最大海流流速为98.8cm/s。近岸流速一般比外海流速大。</w:t>
            </w:r>
          </w:p>
          <w:p w14:paraId="57345E2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3）流速的最大值往往在中潮位附近出现，最小值往往在高、低潮位附近出现，受地形影响，工程海域的潮波主要表现为驻波的性质。</w:t>
            </w:r>
          </w:p>
          <w:p w14:paraId="0F0CD7E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4）工程海域的潮流类型复杂，有不规则的半日潮流、不规则的全日潮流、规则的全日潮流三种，但以不规则的半日潮流为主。潮流运动形式近岸以往复流运动为主，外海以旋转流运动为主。监测海域各主要分潮流以O1为最大，M2和K1次之。分潮流椭圆长轴方向主要与当地等深线的方向一致。</w:t>
            </w:r>
          </w:p>
          <w:p w14:paraId="7AC4B68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5）工程海域潮流的可能最大流速在16.6cm/s</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eastAsia="ja-JP"/>
              </w:rPr>
              <w:t>163.3cm/s之间，对应流向多为东北—西南、南—北向或西北—东南向，与当地等深线走向基本一致。最大值出现在C2站的表层，大小为163.3cm/s，方向为47°。</w:t>
            </w:r>
          </w:p>
          <w:p w14:paraId="679B368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6）工程海域表层余流受东北季风影响明显，流向主要为西南向，与盛行风向一致，0.6H、底层海流受风影响不明显，流向较杂乱，规律性不明显。大潮期余流在1.6cm/s~16.0cm/s之间。最大余流为16.9cm/s，流向为149°，出现在C5站的表层。余流具有表层大于0.6H层，0.6H层大于底层的一般特点。</w:t>
            </w:r>
          </w:p>
          <w:p w14:paraId="1176A803">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3.2.3</w:t>
            </w:r>
            <w:r>
              <w:rPr>
                <w:rFonts w:hint="eastAsia"/>
                <w:b/>
                <w:color w:val="auto"/>
                <w:kern w:val="0"/>
                <w:sz w:val="24"/>
              </w:rPr>
              <w:t>波浪</w:t>
            </w:r>
          </w:p>
          <w:p w14:paraId="083B107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本节引用《北部湾港防城港港域企沙港区榕木江作业区西7号至9号泊位工程环境影响报告书》（报批稿）中数据。波浪数据主要收集了工程海域内防城港海洋站2014年–2022年共9周年的波浪观测资料对监测海域的波浪特征进行分析，需要说明的是，防城港海洋站的波浪观测，2016年6月1日以前观测方式为目测波浪，2016年6月1日2时开始采用LPB1-2型声学测波仪观测波浪。</w:t>
            </w:r>
          </w:p>
          <w:p w14:paraId="5CF441E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（1）波浪类型</w:t>
            </w:r>
          </w:p>
          <w:p w14:paraId="219056F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14:textFill>
                  <w14:solidFill>
                    <w14:schemeClr w14:val="tx1"/>
                  </w14:solidFill>
                </w14:textFill>
              </w:rPr>
            </w:pPr>
            <w:r>
              <w:rPr>
                <w:rFonts w:hint="eastAsia" w:ascii="Times New Roman" w:hAnsi="Times New Roman" w:eastAsia="宋体" w:cs="Times New Roman"/>
                <w:color w:val="auto"/>
                <w:kern w:val="0"/>
                <w:sz w:val="24"/>
                <w:lang w:eastAsia="ja-JP"/>
              </w:rPr>
              <w:t>工程海域的波浪类型以风浪（F）为主，出现频率为55.6%，其次为涌浪（U），出现频率为44.3%，其他波浪类型（F/U、U/F、U）出现频率极低，三者频率之和不超过0.1%（见下图）。因此，监测海域的波浪类型主要为风浪（F）。</w:t>
            </w:r>
          </w:p>
          <w:p w14:paraId="39650FB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eastAsia"/>
                <w:b/>
                <w:bCs/>
                <w:color w:val="000000" w:themeColor="text1"/>
                <w:sz w:val="24"/>
                <w:szCs w:val="24"/>
                <w14:textFill>
                  <w14:solidFill>
                    <w14:schemeClr w14:val="tx1"/>
                  </w14:solidFill>
                </w14:textFill>
              </w:rPr>
            </w:pPr>
          </w:p>
          <w:p w14:paraId="751956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ja-JP"/>
              </w:rPr>
              <w:t>图</w:t>
            </w:r>
            <w:r>
              <w:rPr>
                <w:rFonts w:hint="eastAsia" w:ascii="Times New Roman" w:hAnsi="Times New Roman" w:cs="Times New Roman"/>
                <w:b/>
                <w:bCs/>
                <w:color w:val="auto"/>
                <w:kern w:val="0"/>
                <w:sz w:val="21"/>
                <w:szCs w:val="21"/>
                <w:lang w:val="en-US" w:eastAsia="zh-CN"/>
              </w:rPr>
              <w:t>3.2-3</w:t>
            </w:r>
            <w:r>
              <w:rPr>
                <w:rFonts w:hint="eastAsia" w:ascii="Times New Roman" w:hAnsi="Times New Roman" w:cs="Times New Roman"/>
                <w:b/>
                <w:bCs/>
                <w:color w:val="auto"/>
                <w:kern w:val="0"/>
                <w:sz w:val="21"/>
                <w:szCs w:val="21"/>
                <w:lang w:val="en-US" w:eastAsia="ja-JP"/>
              </w:rPr>
              <w:t xml:space="preserve"> 防城港站波浪类型出现频率图</w:t>
            </w:r>
          </w:p>
          <w:p w14:paraId="680AA1C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（2）多年各月各向波浪出现频率</w:t>
            </w:r>
          </w:p>
          <w:p w14:paraId="7AED557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受季风影响，监测海域的波向季节变化明显，春、秋、冬季盛行波向为NNE向，夏季盛行波向为SW向，全年波向主要集中在NNE、SW、SSW、NE向，这四个方向分布频率均超过10%(见表</w:t>
            </w:r>
            <w:r>
              <w:rPr>
                <w:rFonts w:hint="eastAsia" w:cs="Times New Roman"/>
                <w:color w:val="auto"/>
                <w:kern w:val="0"/>
                <w:sz w:val="24"/>
                <w:lang w:val="en-US" w:eastAsia="zh-CN"/>
              </w:rPr>
              <w:t>3.2-7</w:t>
            </w:r>
            <w:r>
              <w:rPr>
                <w:rFonts w:hint="eastAsia" w:ascii="Times New Roman" w:hAnsi="Times New Roman" w:eastAsia="宋体" w:cs="Times New Roman"/>
                <w:color w:val="auto"/>
                <w:kern w:val="0"/>
                <w:sz w:val="24"/>
                <w:lang w:eastAsia="ja-JP"/>
              </w:rPr>
              <w:t>)。防城港海洋站常波向为NNE向（见图</w:t>
            </w:r>
            <w:r>
              <w:rPr>
                <w:rFonts w:hint="eastAsia" w:cs="Times New Roman"/>
                <w:color w:val="auto"/>
                <w:kern w:val="0"/>
                <w:sz w:val="24"/>
                <w:lang w:val="en-US" w:eastAsia="zh-CN"/>
              </w:rPr>
              <w:t>3.2-4</w:t>
            </w:r>
            <w:r>
              <w:rPr>
                <w:rFonts w:hint="eastAsia" w:ascii="Times New Roman" w:hAnsi="Times New Roman" w:eastAsia="宋体" w:cs="Times New Roman"/>
                <w:color w:val="auto"/>
                <w:kern w:val="0"/>
                <w:sz w:val="24"/>
                <w:lang w:eastAsia="ja-JP"/>
              </w:rPr>
              <w:t>）。</w:t>
            </w:r>
          </w:p>
          <w:p w14:paraId="7698E7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4"/>
                <w:lang w:val="en-US" w:eastAsia="ja-JP"/>
              </w:rPr>
            </w:pPr>
          </w:p>
          <w:p w14:paraId="12F077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4"/>
                <w:lang w:val="en-US" w:eastAsia="ja-JP"/>
              </w:rPr>
            </w:pPr>
            <w:r>
              <w:rPr>
                <w:rFonts w:hint="eastAsia"/>
                <w:sz w:val="24"/>
              </w:rPr>
              <w:t>*</w:t>
            </w:r>
            <w:r>
              <w:rPr>
                <w:sz w:val="24"/>
              </w:rPr>
              <w:t>**</w:t>
            </w:r>
          </w:p>
          <w:p w14:paraId="7DF582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cs="Times New Roman"/>
                <w:b/>
                <w:bCs/>
                <w:color w:val="auto"/>
                <w:kern w:val="0"/>
                <w:sz w:val="21"/>
                <w:szCs w:val="21"/>
                <w:lang w:val="en-US" w:eastAsia="zh-CN"/>
              </w:rPr>
              <w:t>图</w:t>
            </w:r>
            <w:r>
              <w:rPr>
                <w:rFonts w:hint="eastAsia" w:ascii="Times New Roman" w:hAnsi="Times New Roman" w:cs="Times New Roman"/>
                <w:b/>
                <w:bCs/>
                <w:color w:val="auto"/>
                <w:kern w:val="0"/>
                <w:sz w:val="21"/>
                <w:szCs w:val="21"/>
                <w:lang w:val="en-US" w:eastAsia="zh-CN"/>
              </w:rPr>
              <w:t>3.2-7</w:t>
            </w:r>
            <w:r>
              <w:rPr>
                <w:rFonts w:hint="eastAsia" w:ascii="Times New Roman" w:hAnsi="Times New Roman" w:cs="Times New Roman"/>
                <w:b/>
                <w:bCs/>
                <w:color w:val="auto"/>
                <w:kern w:val="0"/>
                <w:sz w:val="21"/>
                <w:szCs w:val="21"/>
                <w:lang w:val="en-US" w:eastAsia="ja-JP"/>
              </w:rPr>
              <w:t xml:space="preserve"> 防城港站多年（2014年–2022年）各月各向波浪出现频率（%）</w:t>
            </w:r>
          </w:p>
          <w:p w14:paraId="4E9AD1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4"/>
                <w:lang w:val="en-US" w:eastAsia="ja-JP"/>
              </w:rPr>
            </w:pPr>
            <w:r>
              <w:rPr>
                <w:rFonts w:hint="eastAsia"/>
                <w:sz w:val="24"/>
              </w:rPr>
              <w:t>*</w:t>
            </w:r>
            <w:r>
              <w:rPr>
                <w:sz w:val="24"/>
              </w:rPr>
              <w:t>**</w:t>
            </w:r>
          </w:p>
          <w:p w14:paraId="2476D1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4"/>
                <w:lang w:val="en-US" w:eastAsia="ja-JP"/>
              </w:rPr>
            </w:pPr>
            <w:r>
              <w:rPr>
                <w:rFonts w:hint="eastAsia"/>
                <w:sz w:val="24"/>
              </w:rPr>
              <w:t>*</w:t>
            </w:r>
            <w:r>
              <w:rPr>
                <w:sz w:val="24"/>
              </w:rPr>
              <w:t>**</w:t>
            </w:r>
          </w:p>
          <w:p w14:paraId="7D414F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4"/>
                <w:lang w:val="en-US" w:eastAsia="ja-JP"/>
              </w:rPr>
            </w:pPr>
            <w:r>
              <w:rPr>
                <w:rFonts w:hint="eastAsia" w:ascii="Times New Roman" w:hAnsi="Times New Roman" w:cs="Times New Roman"/>
                <w:b/>
                <w:bCs/>
                <w:color w:val="auto"/>
                <w:kern w:val="0"/>
                <w:sz w:val="21"/>
                <w:szCs w:val="21"/>
                <w:lang w:val="en-US" w:eastAsia="ja-JP"/>
              </w:rPr>
              <w:t>图</w:t>
            </w:r>
            <w:r>
              <w:rPr>
                <w:rFonts w:hint="eastAsia" w:ascii="Times New Roman" w:hAnsi="Times New Roman" w:cs="Times New Roman"/>
                <w:b/>
                <w:bCs/>
                <w:color w:val="auto"/>
                <w:kern w:val="0"/>
                <w:sz w:val="21"/>
                <w:szCs w:val="21"/>
                <w:lang w:val="en-US" w:eastAsia="zh-CN"/>
              </w:rPr>
              <w:t>3.2-4</w:t>
            </w:r>
            <w:r>
              <w:rPr>
                <w:rFonts w:hint="eastAsia" w:ascii="Times New Roman" w:hAnsi="Times New Roman" w:cs="Times New Roman"/>
                <w:b/>
                <w:bCs/>
                <w:color w:val="auto"/>
                <w:kern w:val="0"/>
                <w:sz w:val="21"/>
                <w:szCs w:val="21"/>
                <w:lang w:val="en-US" w:eastAsia="ja-JP"/>
              </w:rPr>
              <w:t xml:space="preserve"> 防城港海洋站全年波浪玫瑰图</w:t>
            </w:r>
          </w:p>
          <w:p w14:paraId="4D95C46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（3）多年各月最大波高、平均波高及相应周期</w:t>
            </w:r>
          </w:p>
          <w:p w14:paraId="059C070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eastAsia="ja-JP"/>
              </w:rPr>
            </w:pPr>
            <w:r>
              <w:rPr>
                <w:rFonts w:hint="eastAsia" w:ascii="Times New Roman" w:hAnsi="Times New Roman" w:eastAsia="宋体" w:cs="Times New Roman"/>
                <w:color w:val="auto"/>
                <w:kern w:val="0"/>
                <w:sz w:val="24"/>
                <w:lang w:eastAsia="ja-JP"/>
              </w:rPr>
              <w:t>工程海域波浪为轻浪区，防城港站多年平均十分之一大波波高为0.6m，对应周期为3.9s，实测最大波高为4.4m。平均波高(H1/10)各月变化，12月和1月平均波高(H1/10)最大，为3.8m，2月–4月和9月平均波高(H1/10)最小，均为0.5m。监测海域全年各月平均波高(H1/10)均大于等于0.5m，属于轻浪区。防城港站各月平均周期（T1/10），以6月最大，为4.6s，12月最小，为3.5s（见表</w:t>
            </w:r>
            <w:r>
              <w:rPr>
                <w:rFonts w:hint="eastAsia" w:cs="Times New Roman"/>
                <w:color w:val="auto"/>
                <w:kern w:val="0"/>
                <w:sz w:val="24"/>
                <w:lang w:val="en-US" w:eastAsia="zh-CN"/>
              </w:rPr>
              <w:t>3.2-8</w:t>
            </w:r>
            <w:r>
              <w:rPr>
                <w:rFonts w:hint="eastAsia" w:ascii="Times New Roman" w:hAnsi="Times New Roman" w:eastAsia="宋体" w:cs="Times New Roman"/>
                <w:color w:val="auto"/>
                <w:kern w:val="0"/>
                <w:sz w:val="24"/>
                <w:lang w:eastAsia="ja-JP"/>
              </w:rPr>
              <w:t>）。防城港站由于受岛屿和半岛阻挡，监测海域外海波浪可能比防城港站大。</w:t>
            </w:r>
          </w:p>
          <w:p w14:paraId="4DC62A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rPr>
            </w:pPr>
            <w:r>
              <w:rPr>
                <w:rFonts w:hint="eastAsia" w:ascii="Times New Roman" w:hAnsi="Times New Roman" w:cs="Times New Roman"/>
                <w:b/>
                <w:bCs/>
                <w:color w:val="auto"/>
                <w:kern w:val="0"/>
                <w:sz w:val="21"/>
                <w:szCs w:val="21"/>
                <w:lang w:val="en-US" w:eastAsia="ja-JP"/>
              </w:rPr>
              <w:t>表3.2</w:t>
            </w:r>
            <w:r>
              <w:rPr>
                <w:rFonts w:hint="eastAsia" w:ascii="Times New Roman" w:hAnsi="Times New Roman" w:cs="Times New Roman"/>
                <w:b/>
                <w:bCs/>
                <w:color w:val="auto"/>
                <w:kern w:val="0"/>
                <w:sz w:val="21"/>
                <w:szCs w:val="21"/>
                <w:lang w:val="en-US" w:eastAsia="zh-CN"/>
              </w:rPr>
              <w:t>-8</w:t>
            </w:r>
            <w:r>
              <w:rPr>
                <w:rFonts w:hint="eastAsia" w:ascii="Times New Roman" w:hAnsi="Times New Roman" w:cs="Times New Roman"/>
                <w:b/>
                <w:bCs/>
                <w:color w:val="auto"/>
                <w:kern w:val="0"/>
                <w:sz w:val="21"/>
                <w:szCs w:val="21"/>
                <w:lang w:val="en-US" w:eastAsia="ja-JP"/>
              </w:rPr>
              <w:t xml:space="preserve"> 防城港站多年各月最大波高、平均1/10波高及平均1/10周期</w:t>
            </w:r>
          </w:p>
          <w:p w14:paraId="5E03D3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0"/>
                <w:sz w:val="24"/>
              </w:rPr>
            </w:pPr>
            <w:r>
              <w:rPr>
                <w:rFonts w:hint="eastAsia"/>
                <w:sz w:val="24"/>
              </w:rPr>
              <w:t>*</w:t>
            </w:r>
            <w:r>
              <w:rPr>
                <w:sz w:val="24"/>
              </w:rPr>
              <w:t>**</w:t>
            </w:r>
          </w:p>
          <w:p w14:paraId="7D01901E">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rPr>
              <w:t>3</w:t>
            </w:r>
            <w:r>
              <w:rPr>
                <w:rFonts w:hint="eastAsia"/>
                <w:b/>
                <w:color w:val="auto"/>
                <w:kern w:val="0"/>
                <w:sz w:val="24"/>
                <w:lang w:val="en-US" w:eastAsia="zh-CN"/>
              </w:rPr>
              <w:t>.3</w:t>
            </w:r>
            <w:r>
              <w:rPr>
                <w:rFonts w:hint="eastAsia"/>
                <w:b/>
                <w:color w:val="auto"/>
                <w:kern w:val="0"/>
                <w:sz w:val="24"/>
              </w:rPr>
              <w:t>海底地形地貌与冲於状况</w:t>
            </w:r>
          </w:p>
          <w:p w14:paraId="2F82D2BF">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r>
              <w:rPr>
                <w:rFonts w:hint="eastAsia"/>
                <w:b/>
                <w:color w:val="auto"/>
                <w:kern w:val="0"/>
                <w:sz w:val="24"/>
                <w:lang w:val="en-US" w:eastAsia="zh-CN"/>
              </w:rPr>
              <w:t>3.3.1地形地貌</w:t>
            </w:r>
          </w:p>
          <w:p w14:paraId="5A78C21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防城港所在的防城湾，三面丘陵环抱，湾口朝南，口门宽约10.4km，由于受地质构造影响及海水长期浸蚀，陆域两翼突出，东为企沙半岛，西为白龙尾半岛，湾内有东北－西南走向的渔漫岛将防城湾分成外湾、内湾两部分，水域呈“丫”型。白龙尾半岛与渔漫岛之间形成内湾，水域面积约40km</w:t>
            </w:r>
            <w:r>
              <w:rPr>
                <w:rFonts w:hint="eastAsia"/>
                <w:color w:val="auto"/>
                <w:kern w:val="0"/>
                <w:sz w:val="24"/>
                <w:vertAlign w:val="superscript"/>
              </w:rPr>
              <w:t>2</w:t>
            </w:r>
            <w:r>
              <w:rPr>
                <w:rFonts w:hint="eastAsia"/>
                <w:color w:val="auto"/>
                <w:kern w:val="0"/>
                <w:sz w:val="24"/>
              </w:rPr>
              <w:t>，渔漫岛与企沙半岛之间形成外湾，水域面积约120km</w:t>
            </w:r>
            <w:r>
              <w:rPr>
                <w:rFonts w:hint="eastAsia"/>
                <w:color w:val="auto"/>
                <w:kern w:val="0"/>
                <w:sz w:val="24"/>
                <w:vertAlign w:val="superscript"/>
              </w:rPr>
              <w:t>2</w:t>
            </w:r>
            <w:r>
              <w:rPr>
                <w:rFonts w:hint="eastAsia"/>
                <w:color w:val="auto"/>
                <w:kern w:val="0"/>
                <w:sz w:val="24"/>
              </w:rPr>
              <w:t>。</w:t>
            </w:r>
          </w:p>
          <w:p w14:paraId="3BD6F4A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防城湾位于钦州背斜东南翼，为一单斜构造，构造线呈NNE－SSW走向，褶皱和断裂不发育。暗埠江以东为志留系黄褐色砂岩，灰绿色千枚状页岩，微变质页岩夹砂岩薄层。暗埠江以西为侏罗系地层，下部为砾岩，上部为紫红色砂岩、页岩。在低洼地、海滩为第四系淤泥、粘土、砂和卵石覆盖。</w:t>
            </w:r>
          </w:p>
          <w:p w14:paraId="51F49A5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企沙半岛南部和白龙半岛东侧为砂质基岩海岸，有新老海蚀崖，岬角多为磨石岩滩，有的向海成为礁石。海滩上部和潮上带发育有数目和规模不等的新老沙堤。海滩宽度自湾口向湾内增大，坡度减小，泥质含量增多。防城河现代河口三角洲主要包括针鱼岭北端至将军岭附近地区，其特点是汊河较多，浅滩、沙洲发育，现代沉积物主要是粗、中砂。局部水体稳定的地区沉积着粉砂和淤泥质粉砂，其上有红树林生长。</w:t>
            </w:r>
          </w:p>
          <w:p w14:paraId="35AB876C">
            <w:pPr>
              <w:keepNext w:val="0"/>
              <w:keepLines w:val="0"/>
              <w:suppressLineNumbers w:val="0"/>
              <w:adjustRightInd w:val="0"/>
              <w:snapToGrid w:val="0"/>
              <w:spacing w:before="0" w:beforeAutospacing="0" w:after="0" w:afterAutospacing="0" w:line="360" w:lineRule="auto"/>
              <w:ind w:left="0" w:right="0" w:firstLine="482" w:firstLineChars="200"/>
              <w:rPr>
                <w:rFonts w:hint="eastAsia" w:cs="Times New Roman"/>
                <w:b/>
                <w:color w:val="auto"/>
                <w:kern w:val="0"/>
                <w:sz w:val="24"/>
                <w:lang w:val="en-US" w:eastAsia="zh-CN"/>
              </w:rPr>
            </w:pPr>
            <w:r>
              <w:rPr>
                <w:rFonts w:hint="eastAsia" w:cs="Times New Roman"/>
                <w:b/>
                <w:color w:val="auto"/>
                <w:kern w:val="0"/>
                <w:sz w:val="24"/>
                <w:lang w:val="en-US" w:eastAsia="zh-CN"/>
              </w:rPr>
              <w:t>3.3.2工程泥沙</w:t>
            </w:r>
          </w:p>
          <w:p w14:paraId="02143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sz w:val="24"/>
                <w:szCs w:val="24"/>
              </w:rPr>
              <w:t>防城港东、西湾与山地相连，无大河流进，只在西湾顶部有防城河流入。防城河全长约100km，流域面积810km</w:t>
            </w:r>
            <w:r>
              <w:rPr>
                <w:rFonts w:hint="eastAsia"/>
                <w:sz w:val="24"/>
                <w:szCs w:val="24"/>
                <w:vertAlign w:val="superscript"/>
              </w:rPr>
              <w:t>2</w:t>
            </w:r>
            <w:r>
              <w:rPr>
                <w:rFonts w:hint="eastAsia"/>
                <w:sz w:val="24"/>
                <w:szCs w:val="24"/>
              </w:rPr>
              <w:t>。据统计分析，防城河多年平均流量56.6m</w:t>
            </w:r>
            <w:r>
              <w:rPr>
                <w:rFonts w:hint="eastAsia"/>
                <w:sz w:val="24"/>
                <w:szCs w:val="24"/>
                <w:vertAlign w:val="superscript"/>
              </w:rPr>
              <w:t>3</w:t>
            </w:r>
            <w:r>
              <w:rPr>
                <w:rFonts w:hint="eastAsia"/>
                <w:sz w:val="24"/>
                <w:szCs w:val="24"/>
              </w:rPr>
              <w:t>/s，年径流总量17.86亿m</w:t>
            </w:r>
            <w:r>
              <w:rPr>
                <w:rFonts w:hint="eastAsia"/>
                <w:sz w:val="24"/>
                <w:szCs w:val="24"/>
                <w:vertAlign w:val="superscript"/>
              </w:rPr>
              <w:t>3</w:t>
            </w:r>
            <w:r>
              <w:rPr>
                <w:rFonts w:hint="eastAsia"/>
                <w:sz w:val="24"/>
                <w:szCs w:val="24"/>
              </w:rPr>
              <w:t>，年平均输沙总量23.7万吨，集中于暴雨季节。按径流总量和输沙总量计算，年平均含沙量仅0.133kg/m</w:t>
            </w:r>
            <w:r>
              <w:rPr>
                <w:rFonts w:hint="eastAsia"/>
                <w:sz w:val="24"/>
                <w:szCs w:val="24"/>
                <w:vertAlign w:val="superscript"/>
              </w:rPr>
              <w:t>3</w:t>
            </w:r>
            <w:r>
              <w:rPr>
                <w:rFonts w:hint="eastAsia"/>
                <w:sz w:val="24"/>
                <w:szCs w:val="24"/>
              </w:rPr>
              <w:t>，属多水少沙河流。</w:t>
            </w:r>
          </w:p>
          <w:p w14:paraId="5B8BB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sz w:val="24"/>
                <w:szCs w:val="24"/>
              </w:rPr>
              <w:t>2007年5月份现场水文测验表明，湾口及外海域无论大、中潮整个涨、落潮过程中水体含沙量均小0.005kg/m</w:t>
            </w:r>
            <w:r>
              <w:rPr>
                <w:rFonts w:hint="eastAsia"/>
                <w:sz w:val="24"/>
                <w:szCs w:val="24"/>
                <w:vertAlign w:val="superscript"/>
              </w:rPr>
              <w:t>3</w:t>
            </w:r>
            <w:r>
              <w:rPr>
                <w:rFonts w:hint="eastAsia"/>
                <w:sz w:val="24"/>
                <w:szCs w:val="24"/>
              </w:rPr>
              <w:t>，说明湾口及外海几乎为清水。东湾潮汐通道大潮期涨潮含沙量小于0.005kg/m</w:t>
            </w:r>
            <w:r>
              <w:rPr>
                <w:rFonts w:hint="eastAsia"/>
                <w:sz w:val="24"/>
                <w:szCs w:val="24"/>
                <w:vertAlign w:val="superscript"/>
              </w:rPr>
              <w:t>3</w:t>
            </w:r>
            <w:r>
              <w:rPr>
                <w:rFonts w:hint="eastAsia"/>
                <w:sz w:val="24"/>
                <w:szCs w:val="24"/>
              </w:rPr>
              <w:t>，而落潮期有0.0187kg/m</w:t>
            </w:r>
            <w:r>
              <w:rPr>
                <w:rFonts w:hint="eastAsia"/>
                <w:sz w:val="24"/>
                <w:szCs w:val="24"/>
                <w:vertAlign w:val="superscript"/>
              </w:rPr>
              <w:t>3</w:t>
            </w:r>
            <w:r>
              <w:rPr>
                <w:rFonts w:hint="eastAsia"/>
                <w:sz w:val="24"/>
                <w:szCs w:val="24"/>
              </w:rPr>
              <w:t>含沙量出现，底层达0.032kg/m</w:t>
            </w:r>
            <w:r>
              <w:rPr>
                <w:rFonts w:hint="eastAsia"/>
                <w:sz w:val="24"/>
                <w:szCs w:val="24"/>
                <w:vertAlign w:val="superscript"/>
              </w:rPr>
              <w:t>3</w:t>
            </w:r>
            <w:r>
              <w:rPr>
                <w:rFonts w:hint="eastAsia"/>
                <w:sz w:val="24"/>
                <w:szCs w:val="24"/>
              </w:rPr>
              <w:t>，有明显的落潮输沙现象；中潮期流速小于大潮期，涨、落潮含沙量均小于0.005kg/m</w:t>
            </w:r>
            <w:r>
              <w:rPr>
                <w:rFonts w:hint="eastAsia"/>
                <w:sz w:val="24"/>
                <w:szCs w:val="24"/>
                <w:vertAlign w:val="superscript"/>
              </w:rPr>
              <w:t>3</w:t>
            </w:r>
            <w:r>
              <w:rPr>
                <w:rFonts w:hint="eastAsia"/>
                <w:sz w:val="24"/>
                <w:szCs w:val="24"/>
              </w:rPr>
              <w:t>。西湾潮汐通道落潮含沙量明显大于涨潮含沙量。东湾内，中潮期含沙量明显小于大潮期，大潮期瞬时最大含沙量为0.0228kg/m</w:t>
            </w:r>
            <w:r>
              <w:rPr>
                <w:rFonts w:hint="eastAsia"/>
                <w:sz w:val="24"/>
                <w:szCs w:val="24"/>
                <w:vertAlign w:val="superscript"/>
              </w:rPr>
              <w:t>3</w:t>
            </w:r>
            <w:r>
              <w:rPr>
                <w:rFonts w:hint="eastAsia"/>
                <w:sz w:val="24"/>
                <w:szCs w:val="24"/>
              </w:rPr>
              <w:t>。西湾内，同样中潮期含沙量小于大潮期，西湾含沙量略高于东湾，大潮时瞬时含沙量值达0.0648kg/m</w:t>
            </w:r>
            <w:r>
              <w:rPr>
                <w:rFonts w:hint="eastAsia"/>
                <w:sz w:val="24"/>
                <w:szCs w:val="24"/>
                <w:vertAlign w:val="superscript"/>
              </w:rPr>
              <w:t>3</w:t>
            </w:r>
            <w:r>
              <w:rPr>
                <w:rFonts w:hint="eastAsia"/>
                <w:sz w:val="24"/>
                <w:szCs w:val="24"/>
              </w:rPr>
              <w:t>。</w:t>
            </w:r>
          </w:p>
          <w:p w14:paraId="1A92C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sz w:val="24"/>
                <w:szCs w:val="24"/>
              </w:rPr>
              <w:t>现场观测资料表明，防城港内湾含沙量高于外海，西湾含沙量一般高于东湾，落潮期含沙量明显大于涨潮期，有明显向外海输沙现象。海域总体含沙量很小，这是防城港可以开挖深水航道，建设深水良港的优越条件。</w:t>
            </w:r>
          </w:p>
          <w:p w14:paraId="1B64722C">
            <w:pPr>
              <w:keepNext w:val="0"/>
              <w:keepLines w:val="0"/>
              <w:suppressLineNumbers w:val="0"/>
              <w:adjustRightInd w:val="0"/>
              <w:snapToGrid w:val="0"/>
              <w:spacing w:before="0" w:beforeAutospacing="0" w:after="0" w:afterAutospacing="0" w:line="360" w:lineRule="auto"/>
              <w:ind w:left="0" w:right="0" w:firstLine="482" w:firstLineChars="200"/>
              <w:rPr>
                <w:rFonts w:hint="eastAsia" w:cs="Times New Roman"/>
                <w:b/>
                <w:color w:val="auto"/>
                <w:kern w:val="0"/>
                <w:sz w:val="24"/>
                <w:lang w:val="en-US" w:eastAsia="zh-CN"/>
              </w:rPr>
            </w:pPr>
            <w:r>
              <w:rPr>
                <w:rFonts w:hint="eastAsia" w:cs="Times New Roman"/>
                <w:b/>
                <w:color w:val="auto"/>
                <w:kern w:val="0"/>
                <w:sz w:val="24"/>
                <w:lang w:val="en-US" w:eastAsia="zh-CN"/>
              </w:rPr>
              <w:t>3.3.3泥沙回淤</w:t>
            </w:r>
          </w:p>
          <w:p w14:paraId="79BAE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sz w:val="24"/>
                <w:szCs w:val="24"/>
              </w:rPr>
              <w:t>根据南京水利科学研究院对防城港的泥沙淤积分析，防城港的泥沙淤积由潮流对底沙的冲淤、波浪对底沙的输送淤积以及航道浚深后悬沙引起的回淤构成。港区的淤积泥沙主要来自于港区周边浅滩泥沙的局部搬运，建港初期由于施工引起周边浅滩的局部不稳定边坡，可能造成初期回淤大于预测值，但随着港区的建成和维护，周边浅滩的供沙能力会逐步下降，港池及航道的年维护量将逐渐减少。</w:t>
            </w:r>
          </w:p>
          <w:p w14:paraId="12BCF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sz w:val="24"/>
                <w:szCs w:val="24"/>
              </w:rPr>
              <w:t>根据南京水利科学研究院2010年对防城港泥沙淤积分析的研究成果，防城港各港区按规划实施后，防城港电厂处港池的年回淤强度为0.30～0.41m，云约江处港池年回淤强度为0.21～0.26m；拦门沙航道（万吨码头以南）的年回淤强度为0.15～0.30m，东湾内电厂航道的年回淤强度为0.22～0.24m，云约江以北航道的年回淤强度为0.17～0.25m；50年重现期台风条件下，拦门沙航道平均淤厚为0.42m。总体来说，防城港海域泥沙回淤量不大，完全可以靠疏浚方法维持水深，保持整个港湾的冲淤基本平衡。</w:t>
            </w:r>
          </w:p>
          <w:p w14:paraId="52A245EF">
            <w:pPr>
              <w:keepNext w:val="0"/>
              <w:keepLines w:val="0"/>
              <w:suppressLineNumbers w:val="0"/>
              <w:adjustRightInd w:val="0"/>
              <w:snapToGrid w:val="0"/>
              <w:spacing w:before="0" w:beforeAutospacing="0" w:after="0" w:afterAutospacing="0" w:line="360" w:lineRule="auto"/>
              <w:ind w:left="0" w:right="0" w:firstLine="482" w:firstLineChars="200"/>
              <w:rPr>
                <w:rFonts w:hint="eastAsia"/>
                <w:color w:val="auto"/>
                <w:kern w:val="0"/>
                <w:sz w:val="24"/>
                <w:lang w:val="en-US" w:eastAsia="zh-CN"/>
              </w:rPr>
            </w:pPr>
            <w:r>
              <w:rPr>
                <w:rFonts w:hint="eastAsia" w:cs="Times New Roman"/>
                <w:b/>
                <w:color w:val="auto"/>
                <w:kern w:val="0"/>
                <w:sz w:val="24"/>
                <w:lang w:val="en-US" w:eastAsia="zh-CN"/>
              </w:rPr>
              <w:t>3.4</w:t>
            </w:r>
            <w:r>
              <w:rPr>
                <w:rFonts w:hint="eastAsia" w:ascii="Times New Roman" w:hAnsi="Times New Roman" w:eastAsia="宋体" w:cs="Times New Roman"/>
                <w:b/>
                <w:color w:val="auto"/>
                <w:kern w:val="0"/>
                <w:sz w:val="24"/>
                <w:lang w:val="en-US" w:eastAsia="zh-CN"/>
              </w:rPr>
              <w:t>工程地质概况</w:t>
            </w:r>
          </w:p>
          <w:p w14:paraId="3E0C6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sz w:val="24"/>
                <w:szCs w:val="24"/>
              </w:rPr>
              <w:t>勘察场地位于防城湾东湾湾顶的风流岭江口北岸和榕木江口西岸附近海域，场地码头水工、回旋水域为滨海-浅海带，属浅海地貌，场地地面大部分地段较平坦，地面高程为-1.00～2.21m。涨潮时地面均被海水淹没，退潮时码头水工区大部出露。据区域地质资料、地质调查及钻探揭示，场地未见区域性断裂构造和软弱的构造破碎带存在，场地环境历史沿革无重大变化，已建成的码头泊位运行良好，区域地质构造相对较稳定。</w:t>
            </w:r>
          </w:p>
          <w:p w14:paraId="7D73A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据本项目工程区钻探揭示，场地岩土层主要由第四系人工堆积层（Q</w:t>
            </w:r>
            <w:r>
              <w:rPr>
                <w:rFonts w:hint="default" w:ascii="Times New Roman" w:hAnsi="Times New Roman" w:cs="Times New Roman"/>
                <w:sz w:val="24"/>
                <w:szCs w:val="24"/>
                <w:vertAlign w:val="superscript"/>
              </w:rPr>
              <w:t>ml</w:t>
            </w:r>
            <w:r>
              <w:rPr>
                <w:rFonts w:hint="default" w:ascii="Times New Roman" w:hAnsi="Times New Roman" w:cs="Times New Roman"/>
                <w:sz w:val="24"/>
                <w:szCs w:val="24"/>
              </w:rPr>
              <w:t>）、第四系海陆交互相沉积层（Q</w:t>
            </w:r>
            <w:r>
              <w:rPr>
                <w:rFonts w:hint="default" w:ascii="Times New Roman" w:hAnsi="Times New Roman" w:cs="Times New Roman"/>
                <w:sz w:val="24"/>
                <w:szCs w:val="24"/>
                <w:vertAlign w:val="superscript"/>
              </w:rPr>
              <w:t>mc</w:t>
            </w:r>
            <w:r>
              <w:rPr>
                <w:rFonts w:hint="default" w:ascii="Times New Roman" w:hAnsi="Times New Roman" w:cs="Times New Roman"/>
                <w:sz w:val="24"/>
                <w:szCs w:val="24"/>
              </w:rPr>
              <w:t>）、第四系残积层（Q</w:t>
            </w:r>
            <w:r>
              <w:rPr>
                <w:rFonts w:hint="default" w:ascii="Times New Roman" w:hAnsi="Times New Roman" w:cs="Times New Roman"/>
                <w:sz w:val="24"/>
                <w:szCs w:val="24"/>
                <w:vertAlign w:val="superscript"/>
              </w:rPr>
              <w:t>el</w:t>
            </w:r>
            <w:r>
              <w:rPr>
                <w:rFonts w:hint="default" w:ascii="Times New Roman" w:hAnsi="Times New Roman" w:cs="Times New Roman"/>
                <w:sz w:val="24"/>
                <w:szCs w:val="24"/>
              </w:rPr>
              <w:t>）、志留系基岩（S）组成。现将地层描述如下：</w:t>
            </w:r>
          </w:p>
          <w:p w14:paraId="59168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（1）第四系人工堆积层（Q</w:t>
            </w:r>
            <w:r>
              <w:rPr>
                <w:rFonts w:hint="default" w:ascii="Times New Roman" w:hAnsi="Times New Roman" w:cs="Times New Roman"/>
                <w:sz w:val="24"/>
                <w:szCs w:val="24"/>
                <w:vertAlign w:val="superscript"/>
              </w:rPr>
              <w:t>ml</w:t>
            </w:r>
            <w:r>
              <w:rPr>
                <w:rFonts w:hint="default" w:ascii="Times New Roman" w:hAnsi="Times New Roman" w:cs="Times New Roman"/>
                <w:sz w:val="24"/>
                <w:szCs w:val="24"/>
              </w:rPr>
              <w:t>）</w:t>
            </w:r>
          </w:p>
          <w:p w14:paraId="50BF0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素填土①：杂色，成分杂乱，其主要成分由中风化砂岩、泥质粉砂岩碎石、角砾或石英圆砾、卵石混淤泥、砂土、黏性土组成，状态为松散～稍密。该层主要分布于码头水工区北西侧岸坡，本次钻探未揭示。</w:t>
            </w:r>
          </w:p>
          <w:p w14:paraId="4B414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（2）第四系海陆交互相沉积层（Q</w:t>
            </w:r>
            <w:r>
              <w:rPr>
                <w:rFonts w:hint="default" w:ascii="Times New Roman" w:hAnsi="Times New Roman" w:cs="Times New Roman"/>
                <w:sz w:val="24"/>
                <w:szCs w:val="24"/>
                <w:vertAlign w:val="superscript"/>
              </w:rPr>
              <w:t>mc</w:t>
            </w:r>
            <w:r>
              <w:rPr>
                <w:rFonts w:hint="default" w:ascii="Times New Roman" w:hAnsi="Times New Roman" w:cs="Times New Roman"/>
                <w:sz w:val="24"/>
                <w:szCs w:val="24"/>
              </w:rPr>
              <w:t>）</w:t>
            </w:r>
          </w:p>
          <w:p w14:paraId="23357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为第四系以来形成的松散层，具有成分复杂、多相变、状态松软、上部富含有机质等特点。土层主要有淤泥、淤泥质粉质黏土、淤泥混砂、砂、砂混淤泥等，具有较明显的层理。由于在沉积过程中环境变化，不同土层常以互层、夹层或透镜体形式交错分布，且分布不均匀，层面呈现不对称波痕。该层分布广，大多数钻孔有揭示，根据土类可分为五层。</w:t>
            </w:r>
          </w:p>
          <w:p w14:paraId="55EDB5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1）淤泥②</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：灰、深灰、灰黑色，流塑，含有机质、具腥臭味，土质不均匀，局部混少量细砂，局部为淤泥质粉质黏土，抽取进尺快。勘察区该层大部分钻孔有揭示，层厚 0.20～5.60m，平均厚度 2.54m。</w:t>
            </w:r>
          </w:p>
          <w:p w14:paraId="1B577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2）淤泥质粉质黏土②</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：深灰色，软塑，含有机质、具腥臭味，土质不均匀，局部混少量细砂抽取进尺快。该层仅 SK3、SK12、SK35、SK43、SK67 钻孔有揭示，层厚 1.35～4.70m，平均厚度 2.73m。</w:t>
            </w:r>
          </w:p>
          <w:p w14:paraId="04B83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3）细砂③</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：灰、深灰、灰黄、灰白色，松散状，饱和，砂粒成分以石英为主，颗粒不均，局部混淤泥。该层仅 GK18、SK55、SK60、SK61、SK63 钻孔有揭示，层厚 1.60～5.00m，平均厚度 2.93m。</w:t>
            </w:r>
          </w:p>
          <w:p w14:paraId="2940C2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4）粗砂③</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：灰、深灰色，松散状，饱和，砂粒成分以石英为主，颗粒不均，局部混圆砾。该层仅 SK62 钻孔有揭示，层厚 0.55m。</w:t>
            </w:r>
          </w:p>
          <w:p w14:paraId="346E0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5）砾砂④：灰、灰黑色，松散状，成分为石英，粒径 2mm 为主，亚圆状，隙间充填细砂，局部混少量淤泥。该层仅 SK46 钻孔有揭示，层厚 1.50m。</w:t>
            </w:r>
          </w:p>
          <w:p w14:paraId="7B223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（3）第四系残积层（Q</w:t>
            </w:r>
            <w:r>
              <w:rPr>
                <w:rFonts w:hint="default" w:ascii="Times New Roman" w:hAnsi="Times New Roman" w:cs="Times New Roman"/>
                <w:sz w:val="24"/>
                <w:szCs w:val="24"/>
                <w:vertAlign w:val="superscript"/>
              </w:rPr>
              <w:t>el</w:t>
            </w:r>
            <w:r>
              <w:rPr>
                <w:rFonts w:hint="default" w:ascii="Times New Roman" w:hAnsi="Times New Roman" w:cs="Times New Roman"/>
                <w:sz w:val="24"/>
                <w:szCs w:val="24"/>
              </w:rPr>
              <w:t>）</w:t>
            </w:r>
          </w:p>
          <w:p w14:paraId="6B6E3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1）粉质黏土⑤1：灰白、黄色，可塑状态为主，土质不均匀，韧性及干强度中等。勘察区该层部分钻孔有揭示，层厚 0.30～2.50m，平均厚度 1.41m。</w:t>
            </w:r>
          </w:p>
          <w:p w14:paraId="7DB79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2）粉质黏土⑤2：褐红、褐黄色，硬塑状态为主，土质不均匀，韧性及干强度高。勘察区该层部分钻孔有揭示，层厚 0.40～3.20m，平均厚度 1.61m。</w:t>
            </w:r>
          </w:p>
          <w:p w14:paraId="082FE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（4）志留系地层（S）</w:t>
            </w:r>
          </w:p>
          <w:p w14:paraId="301EA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岩性主要为泥质粉砂岩、粉砂质泥岩、砂岩，以泥质粉砂岩为主，粉砂质泥岩次之，砂岩仅少数钻孔有分布。泥质粉砂岩为泥质粉砂结构，粉砂质泥岩为粉砂泥质结构，砂岩为砂质结构，薄～中厚层状构造。</w:t>
            </w:r>
          </w:p>
          <w:p w14:paraId="241DD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根据风化程度不同分为全风化层⑥、强风化层⑦和中风化层⑧，其特征描述如下。</w:t>
            </w:r>
          </w:p>
          <w:p w14:paraId="273619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1）全风化砂岩⑥</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：灰白、灰黄色，除石英外，矿物已全部风化变质密实砂土状，可辨原岩结构，送水钻进很快。勘察区该层仅 GK17、SK52 钻孔有揭示，层厚 2.00～2.30m，平均厚度 2.15m。</w:t>
            </w:r>
          </w:p>
          <w:p w14:paraId="61718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2）全风化泥质粉砂岩⑥</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：褐黄、褐红色，矿物已全部风化变质成坚硬黏性土状，可辨原岩结构，送水钻进很快。勘察区该层仅部分钻孔有揭示，层厚0.30～6.25m，平均厚度 2.59m。</w:t>
            </w:r>
          </w:p>
          <w:p w14:paraId="5B9FC0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3）全风化粉砂质泥岩⑥</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：褐黄、褐红色，矿物已全部风化成坚硬状黏性土，可辨原岩结构，送水钻进很快。勘察区该层大部分钻孔有揭示，层厚0.60～6.10m，平均厚度 2.19m。</w:t>
            </w:r>
          </w:p>
          <w:p w14:paraId="1AB42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4）强风化砂岩⑦</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：灰白色、灰褐色，结构大部分破坏，风化裂隙很发育，岩质极软，岩芯一般呈碎块、砾砂状，送水钻进稍快，一般用手可折断或锤击易碎。勘察区该层仅 SK54、SK56、SK59、SK68 钻孔有揭示，层厚 1.10～4.30m，平均厚度 3.05m。</w:t>
            </w:r>
          </w:p>
          <w:p w14:paraId="0C910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5）强风化泥质粉砂岩⑦</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紫、紫红色，结构大部分破坏，风化裂隙很发育，岩质极软，岩芯一般呈碎块、土柱，送水钻进稍快，一般用手可折断或锤击易碎，局部风化程度不均，夹薄层全风化或中风化。勘察区该层仅部分钻孔有揭示，层厚 1.00～8.20m，平均厚度 4.04m。</w:t>
            </w:r>
          </w:p>
          <w:p w14:paraId="31C38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6）强风化粉砂质泥岩⑦</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紫、紫红色，结构大部分破坏，风化裂隙很发育，岩质极软，岩芯一般呈碎块状、短柱状。送水钻进快，一般用手可折断或锤击易碎，局部风化程度不均，夹薄层全风化或中风化。勘察区该层大部分钻孔有揭示，层厚 0.50～6.60m，平均厚度 3.06m。</w:t>
            </w:r>
          </w:p>
          <w:p w14:paraId="34181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7）中风化砂岩⑧</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褐色、灰褐色、紫红色，岩石坚硬程度属较硬岩，砂质结构，薄～中厚层状构造，裂隙较发育～发育，钻进较慢～慢，岩芯呈短柱状、碎块状、砾砂状，岩体破碎～较破碎，局部夹泥质粉砂岩。勘察区该层仅GK11、GK17、SK26、SK52、SK55、SK56、SK59、SK60、SK68 钻孔有揭示，本次钻探未揭穿该层。</w:t>
            </w:r>
          </w:p>
          <w:p w14:paraId="1B387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8）中风化泥质粉砂岩⑧</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褐红色、紫色、紫红色，岩石坚硬程度属软岩，泥质粉砂结构，薄～中厚层状构造，岩芯锤击声哑，可锤击碎，裂隙较发育～发育，钻进较慢、较平稳，岩芯呈碎块状、短柱状、中柱状，岩体较破碎～较完整，局部夹粉砂质泥岩。勘察区该层大部分钻孔有揭示，本次钻探未揭穿该层。</w:t>
            </w:r>
          </w:p>
          <w:p w14:paraId="60386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9）中风化粉砂质泥岩⑧</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褐红色、紫色、紫红色，岩石坚硬程度属极软岩，粉砂泥质结构，薄～中厚层状构造，风干易开裂，锤击声哑，无回弹，有凹痕，易击碎，岩芯多呈短柱状、中柱状，少量碎块状，局部夹泥质粉砂岩。勘察区该层大部分钻孔有揭示，本次钻探未揭穿该层。</w:t>
            </w:r>
          </w:p>
          <w:p w14:paraId="0345137F">
            <w:pPr>
              <w:keepNext w:val="0"/>
              <w:keepLines w:val="0"/>
              <w:suppressLineNumbers w:val="0"/>
              <w:spacing w:before="0" w:beforeAutospacing="0" w:after="0" w:afterAutospacing="0" w:line="240" w:lineRule="auto"/>
              <w:ind w:left="0" w:right="0" w:firstLine="0" w:firstLineChars="0"/>
              <w:jc w:val="center"/>
              <w:rPr>
                <w:rFonts w:hint="eastAsia" w:eastAsia="宋体"/>
                <w:sz w:val="24"/>
              </w:rPr>
            </w:pPr>
            <w:r>
              <w:rPr>
                <w:rFonts w:hint="eastAsia"/>
                <w:sz w:val="24"/>
              </w:rPr>
              <w:t>*</w:t>
            </w:r>
            <w:r>
              <w:rPr>
                <w:sz w:val="24"/>
              </w:rPr>
              <w:t>**</w:t>
            </w:r>
          </w:p>
          <w:p w14:paraId="14B999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ja-JP"/>
              </w:rPr>
              <w:t>图</w:t>
            </w:r>
            <w:r>
              <w:rPr>
                <w:rFonts w:hint="eastAsia" w:ascii="Times New Roman" w:hAnsi="Times New Roman" w:cs="Times New Roman"/>
                <w:b/>
                <w:bCs/>
                <w:color w:val="auto"/>
                <w:kern w:val="0"/>
                <w:sz w:val="21"/>
                <w:szCs w:val="21"/>
                <w:lang w:val="en-US" w:eastAsia="zh-CN"/>
              </w:rPr>
              <w:t>3.4-1a</w:t>
            </w:r>
            <w:r>
              <w:rPr>
                <w:rFonts w:hint="eastAsia" w:ascii="Times New Roman" w:hAnsi="Times New Roman" w:cs="Times New Roman"/>
                <w:b/>
                <w:bCs/>
                <w:color w:val="auto"/>
                <w:kern w:val="0"/>
                <w:sz w:val="21"/>
                <w:szCs w:val="21"/>
                <w:lang w:val="en-US" w:eastAsia="ja-JP"/>
              </w:rPr>
              <w:t xml:space="preserve">  工程区典型钻孔柱状剖面图1</w:t>
            </w:r>
          </w:p>
          <w:p w14:paraId="3AB033A2">
            <w:pPr>
              <w:keepNext w:val="0"/>
              <w:keepLines w:val="0"/>
              <w:suppressLineNumbers w:val="0"/>
              <w:spacing w:before="0" w:beforeAutospacing="0" w:after="0" w:afterAutospacing="0" w:line="240" w:lineRule="auto"/>
              <w:ind w:left="0" w:right="0" w:firstLine="0" w:firstLineChars="0"/>
              <w:jc w:val="center"/>
              <w:rPr>
                <w:rFonts w:hint="eastAsia" w:eastAsia="宋体"/>
                <w:sz w:val="24"/>
              </w:rPr>
            </w:pPr>
            <w:r>
              <w:rPr>
                <w:rFonts w:hint="eastAsia"/>
                <w:sz w:val="24"/>
              </w:rPr>
              <w:t>*</w:t>
            </w:r>
            <w:r>
              <w:rPr>
                <w:sz w:val="24"/>
              </w:rPr>
              <w:t>**</w:t>
            </w:r>
          </w:p>
          <w:p w14:paraId="68B032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ja-JP"/>
              </w:rPr>
              <w:t>图</w:t>
            </w:r>
            <w:r>
              <w:rPr>
                <w:rFonts w:hint="eastAsia" w:ascii="Times New Roman" w:hAnsi="Times New Roman" w:cs="Times New Roman"/>
                <w:b/>
                <w:bCs/>
                <w:color w:val="auto"/>
                <w:kern w:val="0"/>
                <w:sz w:val="21"/>
                <w:szCs w:val="21"/>
                <w:lang w:val="en-US" w:eastAsia="zh-CN"/>
              </w:rPr>
              <w:t>3.4-1b</w:t>
            </w:r>
            <w:r>
              <w:rPr>
                <w:rFonts w:hint="eastAsia" w:ascii="Times New Roman" w:hAnsi="Times New Roman" w:cs="Times New Roman"/>
                <w:b/>
                <w:bCs/>
                <w:color w:val="auto"/>
                <w:kern w:val="0"/>
                <w:sz w:val="21"/>
                <w:szCs w:val="21"/>
                <w:lang w:val="en-US" w:eastAsia="ja-JP"/>
              </w:rPr>
              <w:t xml:space="preserve">  工程区典型钻孔柱状剖面2</w:t>
            </w:r>
          </w:p>
          <w:p w14:paraId="494B9485">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3.5</w:t>
            </w:r>
            <w:r>
              <w:rPr>
                <w:rFonts w:hint="eastAsia"/>
                <w:b/>
                <w:color w:val="auto"/>
                <w:kern w:val="0"/>
                <w:sz w:val="24"/>
              </w:rPr>
              <w:t>海洋环境质量现状</w:t>
            </w:r>
          </w:p>
          <w:p w14:paraId="66D03F33">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3.5.1</w:t>
            </w:r>
            <w:r>
              <w:rPr>
                <w:rFonts w:hint="eastAsia"/>
                <w:b/>
                <w:color w:val="auto"/>
                <w:kern w:val="0"/>
                <w:sz w:val="24"/>
              </w:rPr>
              <w:t>海洋生态环境影响评价等级及评价范围</w:t>
            </w:r>
          </w:p>
          <w:p w14:paraId="004D076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本项目用海面积为</w:t>
            </w:r>
            <w:r>
              <w:rPr>
                <w:rFonts w:hint="eastAsia"/>
                <w:color w:val="auto"/>
                <w:kern w:val="0"/>
                <w:sz w:val="24"/>
                <w:lang w:val="en-US" w:eastAsia="zh-CN"/>
              </w:rPr>
              <w:t>0.2310</w:t>
            </w:r>
            <w:r>
              <w:rPr>
                <w:rFonts w:hint="eastAsia"/>
                <w:color w:val="auto"/>
                <w:kern w:val="0"/>
                <w:sz w:val="24"/>
              </w:rPr>
              <w:t>公顷，</w:t>
            </w:r>
            <w:r>
              <w:rPr>
                <w:rFonts w:hint="eastAsia"/>
                <w:color w:val="auto"/>
                <w:kern w:val="0"/>
                <w:sz w:val="24"/>
                <w:lang w:val="en-US" w:eastAsia="zh-CN"/>
              </w:rPr>
              <w:t>用海方式为非透水构筑物</w:t>
            </w:r>
            <w:r>
              <w:rPr>
                <w:rFonts w:hint="eastAsia"/>
                <w:color w:val="auto"/>
                <w:kern w:val="0"/>
                <w:sz w:val="24"/>
              </w:rPr>
              <w:t>，长度</w:t>
            </w:r>
            <w:r>
              <w:rPr>
                <w:rFonts w:hint="eastAsia"/>
                <w:color w:val="auto"/>
                <w:kern w:val="0"/>
                <w:sz w:val="24"/>
                <w:lang w:val="en-US" w:eastAsia="zh-CN"/>
              </w:rPr>
              <w:t>约300</w:t>
            </w:r>
            <w:r>
              <w:rPr>
                <w:rFonts w:hint="eastAsia"/>
                <w:color w:val="auto"/>
                <w:kern w:val="0"/>
                <w:sz w:val="24"/>
              </w:rPr>
              <w:t>m。根据《环境影响评价技术导则 海洋生态影响》(HJ1409-2025)表1评价等级判定，本项目属于“用海面积S—其他用海—S＜100hm</w:t>
            </w:r>
            <w:r>
              <w:rPr>
                <w:rFonts w:hint="eastAsia"/>
                <w:color w:val="auto"/>
                <w:kern w:val="0"/>
                <w:sz w:val="24"/>
                <w:vertAlign w:val="superscript"/>
              </w:rPr>
              <w:t>2</w:t>
            </w:r>
            <w:r>
              <w:rPr>
                <w:rFonts w:hint="eastAsia"/>
                <w:color w:val="auto"/>
                <w:kern w:val="0"/>
                <w:sz w:val="24"/>
              </w:rPr>
              <w:t>”及“线性水工构筑物轴线长度L—</w:t>
            </w:r>
            <w:r>
              <w:rPr>
                <w:rFonts w:hint="eastAsia"/>
                <w:color w:val="auto"/>
                <w:kern w:val="0"/>
                <w:sz w:val="24"/>
                <w:lang w:val="en-US" w:eastAsia="zh-CN"/>
              </w:rPr>
              <w:t>非</w:t>
            </w:r>
            <w:r>
              <w:rPr>
                <w:rFonts w:hint="eastAsia"/>
                <w:color w:val="auto"/>
                <w:kern w:val="0"/>
                <w:sz w:val="24"/>
              </w:rPr>
              <w:t>透水—L＜</w:t>
            </w:r>
            <w:r>
              <w:rPr>
                <w:rFonts w:hint="eastAsia"/>
                <w:color w:val="auto"/>
                <w:kern w:val="0"/>
                <w:sz w:val="24"/>
                <w:lang w:val="en-US" w:eastAsia="zh-CN"/>
              </w:rPr>
              <w:t>0.5</w:t>
            </w:r>
            <w:r>
              <w:rPr>
                <w:rFonts w:hint="eastAsia"/>
                <w:color w:val="auto"/>
                <w:kern w:val="0"/>
                <w:sz w:val="24"/>
              </w:rPr>
              <w:t>km”类别，项目海洋生态环境影响评价等级为三级，评价范围为1km~5km。</w:t>
            </w:r>
          </w:p>
          <w:p w14:paraId="738D7B5E">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3.5.2</w:t>
            </w:r>
            <w:r>
              <w:rPr>
                <w:rFonts w:hint="eastAsia"/>
                <w:b/>
                <w:color w:val="auto"/>
                <w:kern w:val="0"/>
                <w:sz w:val="24"/>
              </w:rPr>
              <w:t>调查站位</w:t>
            </w:r>
          </w:p>
          <w:p w14:paraId="2BA73A9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环境质量现状调查与评价中的海水水质、海洋沉积物、海洋生态、渔业资源及生物体质量数据引用浙江省环境科技有限公司2024年3月编制的《广西防城港市海洋生态保护修复项目环境影响报告书》（报批稿）。</w:t>
            </w:r>
          </w:p>
          <w:p w14:paraId="6CAC78E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val="en-US" w:eastAsia="zh-CN"/>
              </w:rPr>
              <w:t>调查时间为2023年4月，共布置水质监测站20个，生物生态调查站位12个，潮间带调查断面6个（每个断面设置高潮位、中潮位、低潮位3个采样点），沉积物调查站位11个（由于21站采集沉积物为贝壳等生物残骸，因此增加22站采集沉积物样品，总数量为11个）。</w:t>
            </w:r>
            <w:r>
              <w:rPr>
                <w:rFonts w:hint="eastAsia"/>
                <w:color w:val="auto"/>
                <w:kern w:val="0"/>
                <w:sz w:val="24"/>
              </w:rPr>
              <w:t>调查时间未超过3年，资料时效性符合要求。</w:t>
            </w:r>
          </w:p>
          <w:p w14:paraId="62A7EB2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调查站位分布见图</w:t>
            </w:r>
            <w:r>
              <w:rPr>
                <w:rFonts w:hint="eastAsia"/>
                <w:color w:val="auto"/>
                <w:kern w:val="0"/>
                <w:sz w:val="24"/>
                <w:lang w:val="en-US" w:eastAsia="zh-CN"/>
              </w:rPr>
              <w:t>3.5-1</w:t>
            </w:r>
            <w:r>
              <w:rPr>
                <w:rFonts w:hint="eastAsia"/>
                <w:color w:val="auto"/>
                <w:kern w:val="0"/>
                <w:sz w:val="24"/>
              </w:rPr>
              <w:t>，各调查站具体坐标及调查监测内容见表</w:t>
            </w:r>
            <w:r>
              <w:rPr>
                <w:rFonts w:hint="eastAsia"/>
                <w:color w:val="auto"/>
                <w:kern w:val="0"/>
                <w:sz w:val="24"/>
                <w:lang w:val="en-US" w:eastAsia="zh-CN"/>
              </w:rPr>
              <w:t>3.5-1</w:t>
            </w:r>
            <w:r>
              <w:rPr>
                <w:rFonts w:hint="eastAsia"/>
                <w:color w:val="auto"/>
                <w:kern w:val="0"/>
                <w:sz w:val="24"/>
              </w:rPr>
              <w:t>。</w:t>
            </w:r>
          </w:p>
          <w:p w14:paraId="7A191B3B">
            <w:pPr>
              <w:pStyle w:val="83"/>
              <w:keepNext w:val="0"/>
              <w:keepLines w:val="0"/>
              <w:suppressLineNumbers w:val="0"/>
              <w:spacing w:before="0" w:beforeAutospacing="0" w:after="0" w:afterAutospacing="0"/>
              <w:ind w:left="0" w:right="0" w:firstLine="0" w:firstLineChars="0"/>
              <w:jc w:val="center"/>
              <w:rPr>
                <w:rFonts w:hint="eastAsia"/>
                <w:color w:val="000000" w:themeColor="text1"/>
                <w:lang w:bidi="zh-CN"/>
                <w14:textFill>
                  <w14:solidFill>
                    <w14:schemeClr w14:val="tx1"/>
                  </w14:solidFill>
                </w14:textFill>
              </w:rPr>
            </w:pPr>
            <w:r>
              <w:rPr>
                <w:rFonts w:hint="eastAsia"/>
                <w:sz w:val="24"/>
              </w:rPr>
              <w:t>*</w:t>
            </w:r>
            <w:r>
              <w:rPr>
                <w:sz w:val="24"/>
              </w:rPr>
              <w:t>**</w:t>
            </w:r>
          </w:p>
          <w:p w14:paraId="1B5635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zh-CN"/>
              </w:rPr>
              <w:t>图3.5-1</w:t>
            </w:r>
            <w:r>
              <w:rPr>
                <w:rFonts w:hint="eastAsia" w:ascii="Times New Roman" w:hAnsi="Times New Roman" w:cs="Times New Roman"/>
                <w:b/>
                <w:bCs/>
                <w:color w:val="auto"/>
                <w:kern w:val="0"/>
                <w:sz w:val="21"/>
                <w:szCs w:val="21"/>
                <w:lang w:val="en-US" w:eastAsia="ja-JP"/>
              </w:rPr>
              <w:t xml:space="preserve">  区域环境质量现状调查站位图</w:t>
            </w:r>
          </w:p>
          <w:p w14:paraId="55426D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zh-CN"/>
              </w:rPr>
              <w:t xml:space="preserve">表3.5-1  </w:t>
            </w:r>
            <w:r>
              <w:rPr>
                <w:rFonts w:hint="eastAsia" w:ascii="Times New Roman" w:hAnsi="Times New Roman" w:cs="Times New Roman"/>
                <w:b/>
                <w:bCs/>
                <w:color w:val="auto"/>
                <w:kern w:val="0"/>
                <w:sz w:val="21"/>
                <w:szCs w:val="21"/>
                <w:lang w:val="en-US" w:eastAsia="ja-JP"/>
              </w:rPr>
              <w:t>区域环境质量现状调查站位表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405"/>
              <w:gridCol w:w="2116"/>
              <w:gridCol w:w="3304"/>
            </w:tblGrid>
            <w:tr w14:paraId="6DF1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4" w:type="pct"/>
                  <w:vAlign w:val="center"/>
                </w:tcPr>
                <w:p w14:paraId="707BB16E">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站号</w:t>
                  </w:r>
                </w:p>
              </w:tc>
              <w:tc>
                <w:tcPr>
                  <w:tcW w:w="1388" w:type="pct"/>
                  <w:vAlign w:val="center"/>
                </w:tcPr>
                <w:p w14:paraId="5452C63D">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经度（E）</w:t>
                  </w:r>
                </w:p>
              </w:tc>
              <w:tc>
                <w:tcPr>
                  <w:tcW w:w="1221" w:type="pct"/>
                  <w:vAlign w:val="center"/>
                </w:tcPr>
                <w:p w14:paraId="068C06FA">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纬度（N）</w:t>
                  </w:r>
                </w:p>
              </w:tc>
              <w:tc>
                <w:tcPr>
                  <w:tcW w:w="1907" w:type="pct"/>
                  <w:vAlign w:val="center"/>
                </w:tcPr>
                <w:p w14:paraId="44F45F1D">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监测内容</w:t>
                  </w:r>
                </w:p>
              </w:tc>
            </w:tr>
            <w:tr w14:paraId="0D90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84" w:type="pct"/>
                  <w:vAlign w:val="center"/>
                </w:tcPr>
                <w:p w14:paraId="6E99A09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w:t>
                  </w:r>
                </w:p>
              </w:tc>
              <w:tc>
                <w:tcPr>
                  <w:tcW w:w="1388" w:type="pct"/>
                  <w:vAlign w:val="center"/>
                </w:tcPr>
                <w:p w14:paraId="52C9A35F">
                  <w:pPr>
                    <w:pStyle w:val="83"/>
                    <w:keepNext w:val="0"/>
                    <w:keepLines w:val="0"/>
                    <w:suppressLineNumbers w:val="0"/>
                    <w:spacing w:before="0" w:beforeAutospacing="0" w:after="0" w:afterAutospacing="0"/>
                    <w:ind w:left="0" w:right="0" w:firstLine="0" w:firstLineChars="0"/>
                    <w:jc w:val="center"/>
                    <w:rPr>
                      <w:rFonts w:hint="eastAsia"/>
                      <w:color w:val="000000" w:themeColor="text1"/>
                      <w:sz w:val="21"/>
                      <w:szCs w:val="21"/>
                      <w14:textFill>
                        <w14:solidFill>
                          <w14:schemeClr w14:val="tx1"/>
                        </w14:solidFill>
                      </w14:textFill>
                    </w:rPr>
                  </w:pPr>
                  <w:r>
                    <w:rPr>
                      <w:rFonts w:hint="eastAsia"/>
                      <w:sz w:val="24"/>
                    </w:rPr>
                    <w:t>*</w:t>
                  </w:r>
                  <w:r>
                    <w:rPr>
                      <w:sz w:val="24"/>
                    </w:rPr>
                    <w:t>**</w:t>
                  </w:r>
                </w:p>
              </w:tc>
              <w:tc>
                <w:tcPr>
                  <w:tcW w:w="1221" w:type="pct"/>
                  <w:vAlign w:val="center"/>
                </w:tcPr>
                <w:p w14:paraId="6603876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306E2BB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3CC5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6D19A7D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w:t>
                  </w:r>
                </w:p>
              </w:tc>
              <w:tc>
                <w:tcPr>
                  <w:tcW w:w="1388" w:type="pct"/>
                  <w:vAlign w:val="center"/>
                </w:tcPr>
                <w:p w14:paraId="0C48F33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65A6840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4023E99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2567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7529559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w:t>
                  </w:r>
                </w:p>
              </w:tc>
              <w:tc>
                <w:tcPr>
                  <w:tcW w:w="1388" w:type="pct"/>
                  <w:vAlign w:val="center"/>
                </w:tcPr>
                <w:p w14:paraId="4DC6A8A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5941CEA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4CA3079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031E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Align w:val="center"/>
                </w:tcPr>
                <w:p w14:paraId="18FFC50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w:t>
                  </w:r>
                </w:p>
              </w:tc>
              <w:tc>
                <w:tcPr>
                  <w:tcW w:w="1388" w:type="pct"/>
                  <w:vAlign w:val="center"/>
                </w:tcPr>
                <w:p w14:paraId="2736DC6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7EB18DF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7C9F376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41BA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4205210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388" w:type="pct"/>
                  <w:vAlign w:val="center"/>
                </w:tcPr>
                <w:p w14:paraId="59D20A6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69E4F21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0F2962A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45CC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30AEB1B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w:t>
                  </w:r>
                </w:p>
              </w:tc>
              <w:tc>
                <w:tcPr>
                  <w:tcW w:w="1388" w:type="pct"/>
                  <w:vAlign w:val="center"/>
                </w:tcPr>
                <w:p w14:paraId="38E3A7A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10A4393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0732E02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6A57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Align w:val="center"/>
                </w:tcPr>
                <w:p w14:paraId="5F80BB2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27</w:t>
                  </w:r>
                </w:p>
              </w:tc>
              <w:tc>
                <w:tcPr>
                  <w:tcW w:w="1388" w:type="pct"/>
                  <w:vAlign w:val="center"/>
                </w:tcPr>
                <w:p w14:paraId="68989B2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4185657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35932DF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4945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39F5F08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29</w:t>
                  </w:r>
                </w:p>
              </w:tc>
              <w:tc>
                <w:tcPr>
                  <w:tcW w:w="1388" w:type="pct"/>
                  <w:vAlign w:val="center"/>
                </w:tcPr>
                <w:p w14:paraId="2B1A192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2343D56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7C5E509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4E4B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11DBD5A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w:t>
                  </w:r>
                </w:p>
              </w:tc>
              <w:tc>
                <w:tcPr>
                  <w:tcW w:w="1388" w:type="pct"/>
                  <w:vAlign w:val="center"/>
                </w:tcPr>
                <w:p w14:paraId="399FFC0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499541C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7E09854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3588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Align w:val="center"/>
                </w:tcPr>
                <w:p w14:paraId="475938D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1388" w:type="pct"/>
                  <w:vAlign w:val="center"/>
                </w:tcPr>
                <w:p w14:paraId="44E6ABF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605FA8A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50D5CF8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2732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4BD6575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w:t>
                  </w:r>
                </w:p>
              </w:tc>
              <w:tc>
                <w:tcPr>
                  <w:tcW w:w="1388" w:type="pct"/>
                  <w:vAlign w:val="center"/>
                </w:tcPr>
                <w:p w14:paraId="78E2029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118B48F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277AA5A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5076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4A65427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1388" w:type="pct"/>
                  <w:vAlign w:val="center"/>
                </w:tcPr>
                <w:p w14:paraId="29B363E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620CC09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1E44CCE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5D00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6A5F12C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w:t>
                  </w:r>
                </w:p>
              </w:tc>
              <w:tc>
                <w:tcPr>
                  <w:tcW w:w="1388" w:type="pct"/>
                  <w:vAlign w:val="center"/>
                </w:tcPr>
                <w:p w14:paraId="5C61780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22465C7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005521D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75F5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010657A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34</w:t>
                  </w:r>
                </w:p>
              </w:tc>
              <w:tc>
                <w:tcPr>
                  <w:tcW w:w="1388" w:type="pct"/>
                  <w:vAlign w:val="center"/>
                </w:tcPr>
                <w:p w14:paraId="6B5DDEE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0B3E704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7566707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61E6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65F5F1B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1388" w:type="pct"/>
                  <w:vAlign w:val="center"/>
                </w:tcPr>
                <w:p w14:paraId="2745E47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3F59DEC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75C356D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6487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6872CE4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36</w:t>
                  </w:r>
                </w:p>
              </w:tc>
              <w:tc>
                <w:tcPr>
                  <w:tcW w:w="1388" w:type="pct"/>
                  <w:vAlign w:val="center"/>
                </w:tcPr>
                <w:p w14:paraId="17609E3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70A15ED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79C0624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5134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3003D82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37</w:t>
                  </w:r>
                </w:p>
              </w:tc>
              <w:tc>
                <w:tcPr>
                  <w:tcW w:w="1388" w:type="pct"/>
                  <w:vAlign w:val="center"/>
                </w:tcPr>
                <w:p w14:paraId="1E8945C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134616A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02DF726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3890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54F75AB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w:t>
                  </w:r>
                </w:p>
              </w:tc>
              <w:tc>
                <w:tcPr>
                  <w:tcW w:w="1388" w:type="pct"/>
                  <w:vAlign w:val="center"/>
                </w:tcPr>
                <w:p w14:paraId="3060268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73B3C3A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526645C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5F1F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1883DA0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w:t>
                  </w:r>
                </w:p>
              </w:tc>
              <w:tc>
                <w:tcPr>
                  <w:tcW w:w="1388" w:type="pct"/>
                  <w:vAlign w:val="center"/>
                </w:tcPr>
                <w:p w14:paraId="155125F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652AA7F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307A4E6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2BB7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Align w:val="center"/>
                </w:tcPr>
                <w:p w14:paraId="565A965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1388" w:type="pct"/>
                  <w:vAlign w:val="center"/>
                </w:tcPr>
                <w:p w14:paraId="6C46D91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7503B58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2A58CCD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5628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35E78CD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w:t>
                  </w:r>
                </w:p>
              </w:tc>
              <w:tc>
                <w:tcPr>
                  <w:tcW w:w="1388" w:type="pct"/>
                  <w:vAlign w:val="center"/>
                </w:tcPr>
                <w:p w14:paraId="0F11FF3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40790A9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7E99323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1E83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760C99C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C2</w:t>
                  </w:r>
                </w:p>
              </w:tc>
              <w:tc>
                <w:tcPr>
                  <w:tcW w:w="1388" w:type="pct"/>
                  <w:vAlign w:val="center"/>
                </w:tcPr>
                <w:p w14:paraId="5C7509D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11084CB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0673AB6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773C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Align w:val="center"/>
                </w:tcPr>
                <w:p w14:paraId="2A78976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C3</w:t>
                  </w:r>
                </w:p>
              </w:tc>
              <w:tc>
                <w:tcPr>
                  <w:tcW w:w="1388" w:type="pct"/>
                  <w:vAlign w:val="center"/>
                </w:tcPr>
                <w:p w14:paraId="6F55129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2DB6682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49C720A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65F2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Align w:val="center"/>
                </w:tcPr>
                <w:p w14:paraId="5FF3BF4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C8</w:t>
                  </w:r>
                </w:p>
              </w:tc>
              <w:tc>
                <w:tcPr>
                  <w:tcW w:w="1388" w:type="pct"/>
                  <w:vAlign w:val="center"/>
                </w:tcPr>
                <w:p w14:paraId="24FDF0A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3D069CD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41BC0AA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7B37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Align w:val="center"/>
                </w:tcPr>
                <w:p w14:paraId="18ADE9E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C9</w:t>
                  </w:r>
                </w:p>
              </w:tc>
              <w:tc>
                <w:tcPr>
                  <w:tcW w:w="1388" w:type="pct"/>
                  <w:vAlign w:val="center"/>
                </w:tcPr>
                <w:p w14:paraId="62F3D0F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3EA4391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3D30263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2766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27A8218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C10</w:t>
                  </w:r>
                </w:p>
              </w:tc>
              <w:tc>
                <w:tcPr>
                  <w:tcW w:w="1388" w:type="pct"/>
                  <w:vAlign w:val="center"/>
                </w:tcPr>
                <w:p w14:paraId="781A9A9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21" w:type="pct"/>
                  <w:vAlign w:val="center"/>
                </w:tcPr>
                <w:p w14:paraId="2FA9AAA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907" w:type="pct"/>
                  <w:vAlign w:val="center"/>
                </w:tcPr>
                <w:p w14:paraId="1B04EF8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bl>
          <w:p w14:paraId="049E7DB2">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3.5.3</w:t>
            </w:r>
            <w:r>
              <w:rPr>
                <w:rFonts w:hint="eastAsia"/>
                <w:b/>
                <w:color w:val="auto"/>
                <w:kern w:val="0"/>
                <w:sz w:val="24"/>
              </w:rPr>
              <w:t>海水水质现状调查</w:t>
            </w:r>
          </w:p>
          <w:p w14:paraId="4F48D5F4">
            <w:pPr>
              <w:keepNext w:val="0"/>
              <w:keepLines w:val="0"/>
              <w:suppressLineNumbers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①调查分析方法</w:t>
            </w:r>
          </w:p>
          <w:p w14:paraId="70B48808">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根据《海洋监测规范 第3部分：样品采集、贮存与运输》（GB17378.3-2007）、《海洋生态修复技术指南（试行）》（2021），所用调查船只进入预定站位，使用GPS进行定位，测量水深。根据实测水深决定采样层次，即：当水深&lt;3m时，取样1层，即表层；当3m≤水深≤5m时，取样2层，即表层、底层；当水深&gt;5m时，取样3层，即表层、中层、底层。其中，表层在海面下0.1m—1m处采样，中层在0.6倍水深处采样，底层为距海底2m处采样。样品采集后，立即对样品进行分装、预处理、编号记录、保存。</w:t>
            </w:r>
          </w:p>
          <w:p w14:paraId="0C59D88B">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调查项目包括：水深、水温、盐度、pH、化学需氧量、溶解氧、营养盐（亚硝酸盐、硝酸盐、氨氮、活性磷酸盐）、重金属（总汞、砷、铜、铅、镉、总铬、锌）。</w:t>
            </w:r>
          </w:p>
          <w:p w14:paraId="3844C5A3">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采样和分析方法主要按《海洋监测规范》（GB17378-2007）和《海洋调查规范》(GB/T12763-2007)进行，见表3.</w:t>
            </w:r>
            <w:r>
              <w:rPr>
                <w:rFonts w:hint="eastAsia"/>
                <w:color w:val="auto"/>
                <w:sz w:val="24"/>
                <w:lang w:val="en-US" w:eastAsia="zh-CN"/>
              </w:rPr>
              <w:t>5</w:t>
            </w:r>
            <w:r>
              <w:rPr>
                <w:rFonts w:hint="eastAsia"/>
                <w:color w:val="auto"/>
                <w:sz w:val="24"/>
              </w:rPr>
              <w:t>-</w:t>
            </w:r>
            <w:r>
              <w:rPr>
                <w:rFonts w:hint="eastAsia"/>
                <w:color w:val="auto"/>
                <w:sz w:val="24"/>
                <w:lang w:val="en-US" w:eastAsia="zh-CN"/>
              </w:rPr>
              <w:t>2</w:t>
            </w:r>
            <w:r>
              <w:rPr>
                <w:rFonts w:hint="eastAsia"/>
                <w:color w:val="auto"/>
                <w:sz w:val="24"/>
              </w:rPr>
              <w:t>：</w:t>
            </w:r>
          </w:p>
          <w:p w14:paraId="415EC9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ja-JP"/>
              </w:rPr>
              <w:t>表3-5</w:t>
            </w:r>
            <w:r>
              <w:rPr>
                <w:rFonts w:hint="eastAsia" w:ascii="Times New Roman" w:hAnsi="Times New Roman" w:cs="Times New Roman"/>
                <w:b/>
                <w:bCs/>
                <w:color w:val="auto"/>
                <w:kern w:val="0"/>
                <w:sz w:val="21"/>
                <w:szCs w:val="21"/>
                <w:lang w:val="en-US" w:eastAsia="zh-CN"/>
              </w:rPr>
              <w:t>-2</w:t>
            </w:r>
            <w:r>
              <w:rPr>
                <w:rFonts w:hint="eastAsia" w:ascii="Times New Roman" w:hAnsi="Times New Roman" w:cs="Times New Roman"/>
                <w:b/>
                <w:bCs/>
                <w:color w:val="auto"/>
                <w:kern w:val="0"/>
                <w:sz w:val="21"/>
                <w:szCs w:val="21"/>
                <w:lang w:val="en-US" w:eastAsia="ja-JP"/>
              </w:rPr>
              <w:t xml:space="preserve"> 水质监测项目分析方法一览表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89"/>
              <w:gridCol w:w="3038"/>
              <w:gridCol w:w="2578"/>
              <w:gridCol w:w="1111"/>
            </w:tblGrid>
            <w:tr w14:paraId="3502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374" w:type="pct"/>
                  <w:shd w:val="clear" w:color="auto" w:fill="auto"/>
                  <w:vAlign w:val="center"/>
                </w:tcPr>
                <w:p w14:paraId="1F726364">
                  <w:pPr>
                    <w:keepNext w:val="0"/>
                    <w:keepLines w:val="0"/>
                    <w:suppressLineNumbers w:val="0"/>
                    <w:spacing w:before="0" w:beforeAutospacing="0" w:after="0" w:afterAutospacing="0" w:line="0" w:lineRule="atLeast"/>
                    <w:ind w:left="0" w:right="0"/>
                    <w:jc w:val="center"/>
                    <w:rPr>
                      <w:rFonts w:hint="eastAsia"/>
                      <w:b/>
                      <w:color w:val="000000" w:themeColor="text1"/>
                      <w:sz w:val="21"/>
                      <w:szCs w:val="21"/>
                      <w14:textFill>
                        <w14:solidFill>
                          <w14:schemeClr w14:val="tx1"/>
                        </w14:solidFill>
                      </w14:textFill>
                    </w:rPr>
                  </w:pPr>
                  <w:bookmarkStart w:id="14" w:name="_Toc34051836"/>
                  <w:bookmarkStart w:id="15" w:name="_Toc205885255"/>
                  <w:bookmarkStart w:id="16" w:name="_Hlk41028655"/>
                  <w:bookmarkStart w:id="17" w:name="_Toc381298021"/>
                  <w:r>
                    <w:rPr>
                      <w:rFonts w:hint="eastAsia"/>
                      <w:b/>
                      <w:color w:val="000000" w:themeColor="text1"/>
                      <w:sz w:val="21"/>
                      <w:szCs w:val="21"/>
                      <w14:textFill>
                        <w14:solidFill>
                          <w14:schemeClr w14:val="tx1"/>
                        </w14:solidFill>
                      </w14:textFill>
                    </w:rPr>
                    <w:t>序号</w:t>
                  </w:r>
                </w:p>
              </w:tc>
              <w:tc>
                <w:tcPr>
                  <w:tcW w:w="744" w:type="pct"/>
                  <w:shd w:val="clear" w:color="auto" w:fill="auto"/>
                  <w:vAlign w:val="center"/>
                </w:tcPr>
                <w:p w14:paraId="025BC454">
                  <w:pPr>
                    <w:keepNext w:val="0"/>
                    <w:keepLines w:val="0"/>
                    <w:suppressLineNumbers w:val="0"/>
                    <w:spacing w:before="0" w:beforeAutospacing="0" w:after="0" w:afterAutospacing="0" w:line="0" w:lineRule="atLeast"/>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监测项目</w:t>
                  </w:r>
                </w:p>
              </w:tc>
              <w:tc>
                <w:tcPr>
                  <w:tcW w:w="1753" w:type="pct"/>
                  <w:shd w:val="clear" w:color="auto" w:fill="auto"/>
                  <w:vAlign w:val="center"/>
                </w:tcPr>
                <w:p w14:paraId="15878B8E">
                  <w:pPr>
                    <w:keepNext w:val="0"/>
                    <w:keepLines w:val="0"/>
                    <w:suppressLineNumbers w:val="0"/>
                    <w:spacing w:before="0" w:beforeAutospacing="0" w:after="0" w:afterAutospacing="0" w:line="0" w:lineRule="atLeast"/>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样品采集、预处理及保存方法</w:t>
                  </w:r>
                </w:p>
              </w:tc>
              <w:tc>
                <w:tcPr>
                  <w:tcW w:w="1488" w:type="pct"/>
                  <w:shd w:val="clear" w:color="auto" w:fill="auto"/>
                  <w:vAlign w:val="center"/>
                </w:tcPr>
                <w:p w14:paraId="0C01938B">
                  <w:pPr>
                    <w:keepNext w:val="0"/>
                    <w:keepLines w:val="0"/>
                    <w:suppressLineNumbers w:val="0"/>
                    <w:spacing w:before="0" w:beforeAutospacing="0" w:after="0" w:afterAutospacing="0" w:line="0" w:lineRule="atLeast"/>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样品测定方法</w:t>
                  </w:r>
                </w:p>
              </w:tc>
              <w:tc>
                <w:tcPr>
                  <w:tcW w:w="641" w:type="pct"/>
                  <w:shd w:val="clear" w:color="auto" w:fill="auto"/>
                  <w:vAlign w:val="center"/>
                </w:tcPr>
                <w:p w14:paraId="3385F485">
                  <w:pPr>
                    <w:keepNext w:val="0"/>
                    <w:keepLines w:val="0"/>
                    <w:suppressLineNumbers w:val="0"/>
                    <w:spacing w:before="0" w:beforeAutospacing="0" w:after="0" w:afterAutospacing="0" w:line="0" w:lineRule="atLeast"/>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检出限</w:t>
                  </w:r>
                </w:p>
              </w:tc>
            </w:tr>
            <w:tr w14:paraId="78B3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shd w:val="clear" w:color="auto" w:fill="auto"/>
                  <w:vAlign w:val="center"/>
                </w:tcPr>
                <w:p w14:paraId="348C9F4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744" w:type="pct"/>
                  <w:shd w:val="clear" w:color="auto" w:fill="auto"/>
                  <w:vAlign w:val="center"/>
                </w:tcPr>
                <w:p w14:paraId="11C79D7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水深</w:t>
                  </w:r>
                </w:p>
              </w:tc>
              <w:tc>
                <w:tcPr>
                  <w:tcW w:w="1753" w:type="pct"/>
                  <w:shd w:val="clear" w:color="auto" w:fill="auto"/>
                  <w:vAlign w:val="center"/>
                </w:tcPr>
                <w:p w14:paraId="31F0D84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现场测定</w:t>
                  </w:r>
                </w:p>
              </w:tc>
              <w:tc>
                <w:tcPr>
                  <w:tcW w:w="1488" w:type="pct"/>
                  <w:shd w:val="clear" w:color="auto" w:fill="auto"/>
                  <w:vAlign w:val="center"/>
                </w:tcPr>
                <w:p w14:paraId="7FA6649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现场测定GB/T12763.2-2007</w:t>
                  </w:r>
                </w:p>
              </w:tc>
              <w:tc>
                <w:tcPr>
                  <w:tcW w:w="641" w:type="pct"/>
                  <w:shd w:val="clear" w:color="auto" w:fill="auto"/>
                  <w:vAlign w:val="center"/>
                </w:tcPr>
                <w:p w14:paraId="2D6E39F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39C0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 w:type="pct"/>
                  <w:shd w:val="clear" w:color="auto" w:fill="auto"/>
                  <w:vAlign w:val="center"/>
                </w:tcPr>
                <w:p w14:paraId="1D5673E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744" w:type="pct"/>
                  <w:shd w:val="clear" w:color="auto" w:fill="auto"/>
                  <w:vAlign w:val="center"/>
                </w:tcPr>
                <w:p w14:paraId="18AA617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水温</w:t>
                  </w:r>
                </w:p>
              </w:tc>
              <w:tc>
                <w:tcPr>
                  <w:tcW w:w="1753" w:type="pct"/>
                  <w:shd w:val="clear" w:color="auto" w:fill="auto"/>
                  <w:vAlign w:val="center"/>
                </w:tcPr>
                <w:p w14:paraId="5B6A745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现场测定</w:t>
                  </w:r>
                </w:p>
              </w:tc>
              <w:tc>
                <w:tcPr>
                  <w:tcW w:w="1488" w:type="pct"/>
                  <w:shd w:val="clear" w:color="auto" w:fill="auto"/>
                  <w:vAlign w:val="center"/>
                </w:tcPr>
                <w:p w14:paraId="1DFEF4F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表层温度计法GB/T13195</w:t>
                  </w:r>
                </w:p>
              </w:tc>
              <w:tc>
                <w:tcPr>
                  <w:tcW w:w="641" w:type="pct"/>
                  <w:shd w:val="clear" w:color="auto" w:fill="auto"/>
                  <w:vAlign w:val="center"/>
                </w:tcPr>
                <w:p w14:paraId="5908981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340D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74" w:type="pct"/>
                  <w:shd w:val="clear" w:color="auto" w:fill="auto"/>
                  <w:vAlign w:val="center"/>
                </w:tcPr>
                <w:p w14:paraId="33E3939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744" w:type="pct"/>
                  <w:shd w:val="clear" w:color="auto" w:fill="auto"/>
                  <w:vAlign w:val="center"/>
                </w:tcPr>
                <w:p w14:paraId="3CA2207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盐度</w:t>
                  </w:r>
                </w:p>
              </w:tc>
              <w:tc>
                <w:tcPr>
                  <w:tcW w:w="1753" w:type="pct"/>
                  <w:shd w:val="clear" w:color="auto" w:fill="auto"/>
                  <w:vAlign w:val="center"/>
                </w:tcPr>
                <w:p w14:paraId="32C50EF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488" w:type="pct"/>
                  <w:shd w:val="clear" w:color="auto" w:fill="auto"/>
                  <w:vAlign w:val="center"/>
                </w:tcPr>
                <w:p w14:paraId="4CDBCC0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盐度计法GB17378.4-2007</w:t>
                  </w:r>
                </w:p>
              </w:tc>
              <w:tc>
                <w:tcPr>
                  <w:tcW w:w="641" w:type="pct"/>
                  <w:shd w:val="clear" w:color="auto" w:fill="auto"/>
                  <w:vAlign w:val="center"/>
                </w:tcPr>
                <w:p w14:paraId="272E3DF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r>
            <w:tr w14:paraId="7956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shd w:val="clear" w:color="auto" w:fill="auto"/>
                  <w:vAlign w:val="center"/>
                </w:tcPr>
                <w:p w14:paraId="78B3A26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744" w:type="pct"/>
                  <w:shd w:val="clear" w:color="auto" w:fill="auto"/>
                  <w:vAlign w:val="center"/>
                </w:tcPr>
                <w:p w14:paraId="1E69B41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溶解氧</w:t>
                  </w:r>
                </w:p>
              </w:tc>
              <w:tc>
                <w:tcPr>
                  <w:tcW w:w="1753" w:type="pct"/>
                  <w:shd w:val="clear" w:color="auto" w:fill="auto"/>
                  <w:vAlign w:val="center"/>
                </w:tcPr>
                <w:p w14:paraId="582DACA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加1ml MnCl</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和1ml碱性碘化钾</w:t>
                  </w:r>
                </w:p>
              </w:tc>
              <w:tc>
                <w:tcPr>
                  <w:tcW w:w="1488" w:type="pct"/>
                  <w:shd w:val="clear" w:color="auto" w:fill="auto"/>
                  <w:vAlign w:val="center"/>
                </w:tcPr>
                <w:p w14:paraId="6B44FFD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碘量法GB17378.4-2007</w:t>
                  </w:r>
                </w:p>
              </w:tc>
              <w:tc>
                <w:tcPr>
                  <w:tcW w:w="641" w:type="pct"/>
                  <w:shd w:val="clear" w:color="auto" w:fill="auto"/>
                  <w:vAlign w:val="center"/>
                </w:tcPr>
                <w:p w14:paraId="5116F8E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141B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74" w:type="pct"/>
                  <w:shd w:val="clear" w:color="auto" w:fill="auto"/>
                  <w:vAlign w:val="center"/>
                </w:tcPr>
                <w:p w14:paraId="0636EF3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744" w:type="pct"/>
                  <w:shd w:val="clear" w:color="auto" w:fill="auto"/>
                  <w:vAlign w:val="center"/>
                </w:tcPr>
                <w:p w14:paraId="0482E14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w:t>
                  </w:r>
                </w:p>
              </w:tc>
              <w:tc>
                <w:tcPr>
                  <w:tcW w:w="1753" w:type="pct"/>
                  <w:shd w:val="clear" w:color="auto" w:fill="auto"/>
                  <w:vAlign w:val="center"/>
                </w:tcPr>
                <w:p w14:paraId="2C09164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现场测定</w:t>
                  </w:r>
                </w:p>
              </w:tc>
              <w:tc>
                <w:tcPr>
                  <w:tcW w:w="1488" w:type="pct"/>
                  <w:shd w:val="clear" w:color="auto" w:fill="auto"/>
                  <w:vAlign w:val="center"/>
                </w:tcPr>
                <w:p w14:paraId="73A9093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pH计法GB17378.4-2007</w:t>
                  </w:r>
                </w:p>
              </w:tc>
              <w:tc>
                <w:tcPr>
                  <w:tcW w:w="641" w:type="pct"/>
                  <w:shd w:val="clear" w:color="auto" w:fill="auto"/>
                  <w:vAlign w:val="center"/>
                </w:tcPr>
                <w:p w14:paraId="36D4931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08FC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vMerge w:val="restart"/>
                  <w:shd w:val="clear" w:color="auto" w:fill="auto"/>
                  <w:vAlign w:val="center"/>
                </w:tcPr>
                <w:p w14:paraId="10FC54F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744" w:type="pct"/>
                  <w:vMerge w:val="restart"/>
                  <w:shd w:val="clear" w:color="auto" w:fill="auto"/>
                  <w:vAlign w:val="center"/>
                </w:tcPr>
                <w:p w14:paraId="3B55735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氨氮</w:t>
                  </w:r>
                </w:p>
              </w:tc>
              <w:tc>
                <w:tcPr>
                  <w:tcW w:w="1753" w:type="pct"/>
                  <w:vMerge w:val="restart"/>
                  <w:shd w:val="clear" w:color="auto" w:fill="auto"/>
                  <w:vAlign w:val="center"/>
                </w:tcPr>
                <w:p w14:paraId="5837572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现场用0.45μm，φ60mm微孔滤膜过滤、测定或过滤后-20℃冷冻可保存7d</w:t>
                  </w:r>
                </w:p>
              </w:tc>
              <w:tc>
                <w:tcPr>
                  <w:tcW w:w="1488" w:type="pct"/>
                  <w:shd w:val="clear" w:color="auto" w:fill="auto"/>
                  <w:vAlign w:val="center"/>
                </w:tcPr>
                <w:p w14:paraId="5E175EF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靛酚蓝分光光度</w:t>
                  </w:r>
                </w:p>
                <w:p w14:paraId="41A3F85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GB17378.4-2007</w:t>
                  </w:r>
                </w:p>
              </w:tc>
              <w:tc>
                <w:tcPr>
                  <w:tcW w:w="641" w:type="pct"/>
                  <w:shd w:val="clear" w:color="auto" w:fill="auto"/>
                  <w:vAlign w:val="center"/>
                </w:tcPr>
                <w:p w14:paraId="4A7BC33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79A1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vMerge w:val="continue"/>
                  <w:shd w:val="clear" w:color="auto" w:fill="auto"/>
                  <w:vAlign w:val="center"/>
                </w:tcPr>
                <w:p w14:paraId="595FE3E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744" w:type="pct"/>
                  <w:vMerge w:val="continue"/>
                  <w:shd w:val="clear" w:color="auto" w:fill="auto"/>
                  <w:vAlign w:val="center"/>
                </w:tcPr>
                <w:p w14:paraId="4EB6716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753" w:type="pct"/>
                  <w:vMerge w:val="continue"/>
                  <w:shd w:val="clear" w:color="auto" w:fill="auto"/>
                  <w:vAlign w:val="center"/>
                </w:tcPr>
                <w:p w14:paraId="4829528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shd w:val="clear" w:color="auto" w:fill="auto"/>
                  <w:vAlign w:val="center"/>
                </w:tcPr>
                <w:p w14:paraId="744F3A1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流动分析法</w:t>
                  </w:r>
                </w:p>
                <w:p w14:paraId="1E75522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HY/T147.1-2013</w:t>
                  </w:r>
                </w:p>
              </w:tc>
              <w:tc>
                <w:tcPr>
                  <w:tcW w:w="641" w:type="pct"/>
                  <w:shd w:val="clear" w:color="auto" w:fill="auto"/>
                  <w:vAlign w:val="center"/>
                </w:tcPr>
                <w:p w14:paraId="15DDD0D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6CD7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vMerge w:val="restart"/>
                  <w:shd w:val="clear" w:color="auto" w:fill="auto"/>
                  <w:vAlign w:val="center"/>
                </w:tcPr>
                <w:p w14:paraId="3422A0A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744" w:type="pct"/>
                  <w:vMerge w:val="restart"/>
                  <w:shd w:val="clear" w:color="auto" w:fill="auto"/>
                  <w:vAlign w:val="center"/>
                </w:tcPr>
                <w:p w14:paraId="2F7ADD3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亚硝酸盐</w:t>
                  </w:r>
                </w:p>
              </w:tc>
              <w:tc>
                <w:tcPr>
                  <w:tcW w:w="1753" w:type="pct"/>
                  <w:vMerge w:val="continue"/>
                  <w:shd w:val="clear" w:color="auto" w:fill="auto"/>
                  <w:vAlign w:val="center"/>
                </w:tcPr>
                <w:p w14:paraId="17868FE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shd w:val="clear" w:color="auto" w:fill="auto"/>
                  <w:vAlign w:val="center"/>
                </w:tcPr>
                <w:p w14:paraId="204B7ED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流动分析法</w:t>
                  </w:r>
                </w:p>
                <w:p w14:paraId="0B4DC37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HY/T147.1-2013</w:t>
                  </w:r>
                </w:p>
              </w:tc>
              <w:tc>
                <w:tcPr>
                  <w:tcW w:w="641" w:type="pct"/>
                  <w:shd w:val="clear" w:color="auto" w:fill="auto"/>
                  <w:vAlign w:val="center"/>
                </w:tcPr>
                <w:p w14:paraId="415173E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0.35µg/L</w:t>
                  </w:r>
                </w:p>
              </w:tc>
            </w:tr>
            <w:tr w14:paraId="18B2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vMerge w:val="continue"/>
                  <w:shd w:val="clear" w:color="auto" w:fill="auto"/>
                  <w:vAlign w:val="center"/>
                </w:tcPr>
                <w:p w14:paraId="2F7BFBF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744" w:type="pct"/>
                  <w:vMerge w:val="continue"/>
                  <w:shd w:val="clear" w:color="auto" w:fill="auto"/>
                  <w:vAlign w:val="center"/>
                </w:tcPr>
                <w:p w14:paraId="427E4D9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753" w:type="pct"/>
                  <w:vMerge w:val="continue"/>
                  <w:shd w:val="clear" w:color="auto" w:fill="auto"/>
                  <w:vAlign w:val="center"/>
                </w:tcPr>
                <w:p w14:paraId="02741E7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shd w:val="clear" w:color="auto" w:fill="auto"/>
                  <w:vAlign w:val="center"/>
                </w:tcPr>
                <w:p w14:paraId="3BC13E9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萘乙二胺分光光度法</w:t>
                  </w:r>
                </w:p>
                <w:p w14:paraId="7F8B7A7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GB17378.4-2007</w:t>
                  </w:r>
                </w:p>
              </w:tc>
              <w:tc>
                <w:tcPr>
                  <w:tcW w:w="641" w:type="pct"/>
                  <w:shd w:val="clear" w:color="auto" w:fill="auto"/>
                  <w:vAlign w:val="center"/>
                </w:tcPr>
                <w:p w14:paraId="24E5A33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184E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vMerge w:val="restart"/>
                  <w:shd w:val="clear" w:color="auto" w:fill="auto"/>
                  <w:vAlign w:val="center"/>
                </w:tcPr>
                <w:p w14:paraId="050524C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744" w:type="pct"/>
                  <w:vMerge w:val="restart"/>
                  <w:shd w:val="clear" w:color="auto" w:fill="auto"/>
                  <w:vAlign w:val="center"/>
                </w:tcPr>
                <w:p w14:paraId="315F96A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硝酸盐</w:t>
                  </w:r>
                </w:p>
              </w:tc>
              <w:tc>
                <w:tcPr>
                  <w:tcW w:w="1753" w:type="pct"/>
                  <w:vMerge w:val="continue"/>
                  <w:shd w:val="clear" w:color="auto" w:fill="auto"/>
                  <w:vAlign w:val="center"/>
                </w:tcPr>
                <w:p w14:paraId="3B23EB7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shd w:val="clear" w:color="auto" w:fill="auto"/>
                  <w:vAlign w:val="center"/>
                </w:tcPr>
                <w:p w14:paraId="6C0C5FA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流动分析法</w:t>
                  </w:r>
                </w:p>
                <w:p w14:paraId="31BDC74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HY/T147.1-2013</w:t>
                  </w:r>
                </w:p>
              </w:tc>
              <w:tc>
                <w:tcPr>
                  <w:tcW w:w="641" w:type="pct"/>
                  <w:shd w:val="clear" w:color="auto" w:fill="auto"/>
                  <w:vAlign w:val="center"/>
                </w:tcPr>
                <w:p w14:paraId="5892F1B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0.6µg/L</w:t>
                  </w:r>
                </w:p>
              </w:tc>
            </w:tr>
            <w:tr w14:paraId="00D1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vMerge w:val="continue"/>
                  <w:shd w:val="clear" w:color="auto" w:fill="auto"/>
                  <w:vAlign w:val="center"/>
                </w:tcPr>
                <w:p w14:paraId="28CC5A2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744" w:type="pct"/>
                  <w:vMerge w:val="continue"/>
                  <w:shd w:val="clear" w:color="auto" w:fill="auto"/>
                  <w:vAlign w:val="center"/>
                </w:tcPr>
                <w:p w14:paraId="42AB65E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753" w:type="pct"/>
                  <w:vMerge w:val="continue"/>
                  <w:shd w:val="clear" w:color="auto" w:fill="auto"/>
                  <w:vAlign w:val="center"/>
                </w:tcPr>
                <w:p w14:paraId="44704F2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shd w:val="clear" w:color="auto" w:fill="auto"/>
                  <w:vAlign w:val="center"/>
                </w:tcPr>
                <w:p w14:paraId="2399E3B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锌-镉还原法</w:t>
                  </w:r>
                </w:p>
                <w:p w14:paraId="61C194B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GB17378.4-2007</w:t>
                  </w:r>
                </w:p>
              </w:tc>
              <w:tc>
                <w:tcPr>
                  <w:tcW w:w="641" w:type="pct"/>
                  <w:shd w:val="clear" w:color="auto" w:fill="auto"/>
                  <w:vAlign w:val="center"/>
                </w:tcPr>
                <w:p w14:paraId="5A72CA8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2F5E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vMerge w:val="restart"/>
                  <w:shd w:val="clear" w:color="auto" w:fill="auto"/>
                  <w:vAlign w:val="center"/>
                </w:tcPr>
                <w:p w14:paraId="01E2304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744" w:type="pct"/>
                  <w:vMerge w:val="restart"/>
                  <w:shd w:val="clear" w:color="auto" w:fill="auto"/>
                  <w:vAlign w:val="center"/>
                </w:tcPr>
                <w:p w14:paraId="5D63E2A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活性磷酸盐</w:t>
                  </w:r>
                </w:p>
              </w:tc>
              <w:tc>
                <w:tcPr>
                  <w:tcW w:w="1753" w:type="pct"/>
                  <w:vMerge w:val="continue"/>
                  <w:shd w:val="clear" w:color="auto" w:fill="auto"/>
                  <w:vAlign w:val="center"/>
                </w:tcPr>
                <w:p w14:paraId="5BFAD62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shd w:val="clear" w:color="auto" w:fill="auto"/>
                  <w:vAlign w:val="center"/>
                </w:tcPr>
                <w:p w14:paraId="40F576B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流动分析法</w:t>
                  </w:r>
                </w:p>
                <w:p w14:paraId="23D85CA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HY/T147.1-2013</w:t>
                  </w:r>
                </w:p>
              </w:tc>
              <w:tc>
                <w:tcPr>
                  <w:tcW w:w="641" w:type="pct"/>
                  <w:shd w:val="clear" w:color="auto" w:fill="auto"/>
                  <w:vAlign w:val="center"/>
                </w:tcPr>
                <w:p w14:paraId="3E67CE3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0.72µg/L</w:t>
                  </w:r>
                </w:p>
              </w:tc>
            </w:tr>
            <w:tr w14:paraId="572D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vMerge w:val="continue"/>
                  <w:shd w:val="clear" w:color="auto" w:fill="auto"/>
                  <w:vAlign w:val="center"/>
                </w:tcPr>
                <w:p w14:paraId="5D8799A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744" w:type="pct"/>
                  <w:vMerge w:val="continue"/>
                  <w:shd w:val="clear" w:color="auto" w:fill="auto"/>
                  <w:vAlign w:val="center"/>
                </w:tcPr>
                <w:p w14:paraId="361F992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753" w:type="pct"/>
                  <w:vMerge w:val="continue"/>
                  <w:shd w:val="clear" w:color="auto" w:fill="auto"/>
                  <w:vAlign w:val="center"/>
                </w:tcPr>
                <w:p w14:paraId="7542568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shd w:val="clear" w:color="auto" w:fill="auto"/>
                  <w:vAlign w:val="center"/>
                </w:tcPr>
                <w:p w14:paraId="0CFFA86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磷钼蓝分光光度法</w:t>
                  </w:r>
                </w:p>
                <w:p w14:paraId="46EC6C6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GB17378.4-2007</w:t>
                  </w:r>
                </w:p>
              </w:tc>
              <w:tc>
                <w:tcPr>
                  <w:tcW w:w="641" w:type="pct"/>
                  <w:shd w:val="clear" w:color="auto" w:fill="auto"/>
                  <w:vAlign w:val="center"/>
                </w:tcPr>
                <w:p w14:paraId="7706B3D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7447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shd w:val="clear" w:color="auto" w:fill="auto"/>
                  <w:vAlign w:val="center"/>
                </w:tcPr>
                <w:p w14:paraId="1395CB5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744" w:type="pct"/>
                  <w:shd w:val="clear" w:color="auto" w:fill="auto"/>
                  <w:vAlign w:val="center"/>
                </w:tcPr>
                <w:p w14:paraId="74A79F0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化学需氧量（COD</w:t>
                  </w:r>
                  <w:r>
                    <w:rPr>
                      <w:rFonts w:hint="eastAsia"/>
                      <w:color w:val="000000" w:themeColor="text1"/>
                      <w:sz w:val="21"/>
                      <w:szCs w:val="21"/>
                      <w:vertAlign w:val="subscript"/>
                      <w14:textFill>
                        <w14:solidFill>
                          <w14:schemeClr w14:val="tx1"/>
                        </w14:solidFill>
                      </w14:textFill>
                    </w:rPr>
                    <w:t>Mn</w:t>
                  </w:r>
                  <w:r>
                    <w:rPr>
                      <w:rFonts w:hint="eastAsia"/>
                      <w:color w:val="000000" w:themeColor="text1"/>
                      <w:sz w:val="21"/>
                      <w:szCs w:val="21"/>
                      <w14:textFill>
                        <w14:solidFill>
                          <w14:schemeClr w14:val="tx1"/>
                        </w14:solidFill>
                      </w14:textFill>
                    </w:rPr>
                    <w:t>）</w:t>
                  </w:r>
                </w:p>
              </w:tc>
              <w:tc>
                <w:tcPr>
                  <w:tcW w:w="1753" w:type="pct"/>
                  <w:shd w:val="clear" w:color="auto" w:fill="auto"/>
                  <w:vAlign w:val="center"/>
                </w:tcPr>
                <w:p w14:paraId="5D8CAD2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现场测定</w:t>
                  </w:r>
                </w:p>
              </w:tc>
              <w:tc>
                <w:tcPr>
                  <w:tcW w:w="1488" w:type="pct"/>
                  <w:shd w:val="clear" w:color="auto" w:fill="auto"/>
                  <w:vAlign w:val="center"/>
                </w:tcPr>
                <w:p w14:paraId="78DA9FE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碱性高锰酸钾法</w:t>
                  </w:r>
                </w:p>
                <w:p w14:paraId="7634733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GB17378.4-2007</w:t>
                  </w:r>
                </w:p>
              </w:tc>
              <w:tc>
                <w:tcPr>
                  <w:tcW w:w="641" w:type="pct"/>
                  <w:shd w:val="clear" w:color="auto" w:fill="auto"/>
                  <w:vAlign w:val="center"/>
                </w:tcPr>
                <w:p w14:paraId="55352E8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1B78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74" w:type="pct"/>
                  <w:shd w:val="clear" w:color="auto" w:fill="auto"/>
                  <w:vAlign w:val="center"/>
                </w:tcPr>
                <w:p w14:paraId="7231854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744" w:type="pct"/>
                  <w:shd w:val="clear" w:color="auto" w:fill="auto"/>
                  <w:vAlign w:val="center"/>
                </w:tcPr>
                <w:p w14:paraId="70D3677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总汞（Hg）</w:t>
                  </w:r>
                </w:p>
              </w:tc>
              <w:tc>
                <w:tcPr>
                  <w:tcW w:w="1753" w:type="pct"/>
                  <w:shd w:val="clear" w:color="auto" w:fill="auto"/>
                  <w:vAlign w:val="center"/>
                </w:tcPr>
                <w:p w14:paraId="7935E6C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加H</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SO</w:t>
                  </w:r>
                  <w:r>
                    <w:rPr>
                      <w:rFonts w:hint="eastAsia"/>
                      <w:color w:val="000000" w:themeColor="text1"/>
                      <w:sz w:val="21"/>
                      <w:szCs w:val="21"/>
                      <w:vertAlign w:val="subscript"/>
                      <w14:textFill>
                        <w14:solidFill>
                          <w14:schemeClr w14:val="tx1"/>
                        </w14:solidFill>
                      </w14:textFill>
                    </w:rPr>
                    <w:t>4</w:t>
                  </w:r>
                  <w:r>
                    <w:rPr>
                      <w:rFonts w:hint="eastAsia"/>
                      <w:color w:val="000000" w:themeColor="text1"/>
                      <w:sz w:val="21"/>
                      <w:szCs w:val="21"/>
                      <w14:textFill>
                        <w14:solidFill>
                          <w14:schemeClr w14:val="tx1"/>
                        </w14:solidFill>
                      </w14:textFill>
                    </w:rPr>
                    <w:t>至pH&lt;2低温冷藏</w:t>
                  </w:r>
                </w:p>
              </w:tc>
              <w:tc>
                <w:tcPr>
                  <w:tcW w:w="1488" w:type="pct"/>
                  <w:vMerge w:val="restart"/>
                  <w:shd w:val="clear" w:color="auto" w:fill="auto"/>
                  <w:vAlign w:val="center"/>
                </w:tcPr>
                <w:p w14:paraId="23E314F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原子荧光分光光度法</w:t>
                  </w:r>
                </w:p>
                <w:p w14:paraId="59A83C3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GB17378.4-2007</w:t>
                  </w:r>
                </w:p>
              </w:tc>
              <w:tc>
                <w:tcPr>
                  <w:tcW w:w="641" w:type="pct"/>
                  <w:shd w:val="clear" w:color="auto" w:fill="auto"/>
                  <w:vAlign w:val="center"/>
                </w:tcPr>
                <w:p w14:paraId="261C01A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0.007µg/L</w:t>
                  </w:r>
                </w:p>
              </w:tc>
            </w:tr>
            <w:tr w14:paraId="680C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 w:type="pct"/>
                  <w:shd w:val="clear" w:color="auto" w:fill="auto"/>
                  <w:vAlign w:val="center"/>
                </w:tcPr>
                <w:p w14:paraId="0A257BA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w:t>
                  </w:r>
                </w:p>
              </w:tc>
              <w:tc>
                <w:tcPr>
                  <w:tcW w:w="744" w:type="pct"/>
                  <w:shd w:val="clear" w:color="auto" w:fill="auto"/>
                  <w:vAlign w:val="center"/>
                </w:tcPr>
                <w:p w14:paraId="5B04F44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砷（As）</w:t>
                  </w:r>
                </w:p>
              </w:tc>
              <w:tc>
                <w:tcPr>
                  <w:tcW w:w="1753" w:type="pct"/>
                  <w:vMerge w:val="restart"/>
                  <w:shd w:val="clear" w:color="auto" w:fill="auto"/>
                  <w:vAlign w:val="center"/>
                </w:tcPr>
                <w:p w14:paraId="681B4BDC">
                  <w:pPr>
                    <w:keepNext w:val="0"/>
                    <w:keepLines w:val="0"/>
                    <w:suppressLineNumbers w:val="0"/>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用0.45μm，φ47mm微孔滤膜过滤加H</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SO</w:t>
                  </w:r>
                  <w:r>
                    <w:rPr>
                      <w:rFonts w:hint="eastAsia"/>
                      <w:color w:val="000000" w:themeColor="text1"/>
                      <w:sz w:val="21"/>
                      <w:szCs w:val="21"/>
                      <w:vertAlign w:val="subscript"/>
                      <w14:textFill>
                        <w14:solidFill>
                          <w14:schemeClr w14:val="tx1"/>
                        </w14:solidFill>
                      </w14:textFill>
                    </w:rPr>
                    <w:t>4</w:t>
                  </w:r>
                  <w:r>
                    <w:rPr>
                      <w:rFonts w:hint="eastAsia"/>
                      <w:color w:val="000000" w:themeColor="text1"/>
                      <w:sz w:val="21"/>
                      <w:szCs w:val="21"/>
                      <w14:textFill>
                        <w14:solidFill>
                          <w14:schemeClr w14:val="tx1"/>
                        </w14:solidFill>
                      </w14:textFill>
                    </w:rPr>
                    <w:t>至pH&lt;2低温冷藏</w:t>
                  </w:r>
                </w:p>
              </w:tc>
              <w:tc>
                <w:tcPr>
                  <w:tcW w:w="1488" w:type="pct"/>
                  <w:vMerge w:val="continue"/>
                  <w:shd w:val="clear" w:color="auto" w:fill="auto"/>
                  <w:vAlign w:val="center"/>
                </w:tcPr>
                <w:p w14:paraId="7A3A267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641" w:type="pct"/>
                  <w:shd w:val="clear" w:color="auto" w:fill="auto"/>
                  <w:vAlign w:val="center"/>
                </w:tcPr>
                <w:p w14:paraId="23E3750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0.5µg/L</w:t>
                  </w:r>
                </w:p>
              </w:tc>
            </w:tr>
            <w:tr w14:paraId="54BB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 w:type="pct"/>
                  <w:shd w:val="clear" w:color="auto" w:fill="auto"/>
                  <w:vAlign w:val="center"/>
                </w:tcPr>
                <w:p w14:paraId="4793C23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w:t>
                  </w:r>
                </w:p>
              </w:tc>
              <w:tc>
                <w:tcPr>
                  <w:tcW w:w="744" w:type="pct"/>
                  <w:shd w:val="clear" w:color="auto" w:fill="auto"/>
                  <w:vAlign w:val="center"/>
                </w:tcPr>
                <w:p w14:paraId="0A8E6BE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总铬（Cr）</w:t>
                  </w:r>
                </w:p>
              </w:tc>
              <w:tc>
                <w:tcPr>
                  <w:tcW w:w="1753" w:type="pct"/>
                  <w:vMerge w:val="continue"/>
                  <w:shd w:val="clear" w:color="auto" w:fill="auto"/>
                  <w:vAlign w:val="center"/>
                </w:tcPr>
                <w:p w14:paraId="14CE786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vMerge w:val="restart"/>
                  <w:shd w:val="clear" w:color="auto" w:fill="auto"/>
                  <w:vAlign w:val="center"/>
                </w:tcPr>
                <w:p w14:paraId="4FEDC81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无火焰原子吸收分光光度法GB17378.4-2007</w:t>
                  </w:r>
                </w:p>
              </w:tc>
              <w:tc>
                <w:tcPr>
                  <w:tcW w:w="641" w:type="pct"/>
                  <w:shd w:val="clear" w:color="auto" w:fill="auto"/>
                  <w:vAlign w:val="center"/>
                </w:tcPr>
                <w:p w14:paraId="70219E1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0.4µg/L</w:t>
                  </w:r>
                </w:p>
              </w:tc>
            </w:tr>
            <w:tr w14:paraId="051F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 w:type="pct"/>
                  <w:shd w:val="clear" w:color="auto" w:fill="auto"/>
                  <w:vAlign w:val="center"/>
                </w:tcPr>
                <w:p w14:paraId="2B0AEDD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w:t>
                  </w:r>
                </w:p>
              </w:tc>
              <w:tc>
                <w:tcPr>
                  <w:tcW w:w="744" w:type="pct"/>
                  <w:shd w:val="clear" w:color="auto" w:fill="auto"/>
                  <w:vAlign w:val="center"/>
                </w:tcPr>
                <w:p w14:paraId="5D52F77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铜（Cu）</w:t>
                  </w:r>
                </w:p>
              </w:tc>
              <w:tc>
                <w:tcPr>
                  <w:tcW w:w="1753" w:type="pct"/>
                  <w:vMerge w:val="restart"/>
                  <w:shd w:val="clear" w:color="auto" w:fill="auto"/>
                  <w:vAlign w:val="center"/>
                </w:tcPr>
                <w:p w14:paraId="52EC906F">
                  <w:pPr>
                    <w:keepNext w:val="0"/>
                    <w:keepLines w:val="0"/>
                    <w:suppressLineNumbers w:val="0"/>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用0.45μm，φ47mm微孔滤膜过滤加HNO</w:t>
                  </w:r>
                  <w:r>
                    <w:rPr>
                      <w:rFonts w:hint="eastAsia"/>
                      <w:color w:val="000000" w:themeColor="text1"/>
                      <w:sz w:val="21"/>
                      <w:szCs w:val="21"/>
                      <w:vertAlign w:val="subscript"/>
                      <w14:textFill>
                        <w14:solidFill>
                          <w14:schemeClr w14:val="tx1"/>
                        </w14:solidFill>
                      </w14:textFill>
                    </w:rPr>
                    <w:t>3</w:t>
                  </w:r>
                  <w:r>
                    <w:rPr>
                      <w:rFonts w:hint="eastAsia"/>
                      <w:color w:val="000000" w:themeColor="text1"/>
                      <w:sz w:val="21"/>
                      <w:szCs w:val="21"/>
                      <w14:textFill>
                        <w14:solidFill>
                          <w14:schemeClr w14:val="tx1"/>
                        </w14:solidFill>
                      </w14:textFill>
                    </w:rPr>
                    <w:t>至pH&lt;2低温冷藏</w:t>
                  </w:r>
                </w:p>
              </w:tc>
              <w:tc>
                <w:tcPr>
                  <w:tcW w:w="1488" w:type="pct"/>
                  <w:vMerge w:val="continue"/>
                  <w:shd w:val="clear" w:color="auto" w:fill="auto"/>
                  <w:vAlign w:val="center"/>
                </w:tcPr>
                <w:p w14:paraId="586DC3F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641" w:type="pct"/>
                  <w:shd w:val="clear" w:color="auto" w:fill="auto"/>
                  <w:vAlign w:val="center"/>
                </w:tcPr>
                <w:p w14:paraId="0604E70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0.2µg/L</w:t>
                  </w:r>
                </w:p>
              </w:tc>
            </w:tr>
            <w:tr w14:paraId="6067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 w:type="pct"/>
                  <w:shd w:val="clear" w:color="auto" w:fill="auto"/>
                  <w:vAlign w:val="center"/>
                </w:tcPr>
                <w:p w14:paraId="2EF2E25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744" w:type="pct"/>
                  <w:shd w:val="clear" w:color="auto" w:fill="auto"/>
                  <w:vAlign w:val="center"/>
                </w:tcPr>
                <w:p w14:paraId="36E12FC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铅（Pb）</w:t>
                  </w:r>
                </w:p>
              </w:tc>
              <w:tc>
                <w:tcPr>
                  <w:tcW w:w="1753" w:type="pct"/>
                  <w:vMerge w:val="continue"/>
                  <w:shd w:val="clear" w:color="auto" w:fill="auto"/>
                  <w:vAlign w:val="center"/>
                </w:tcPr>
                <w:p w14:paraId="77F2531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vMerge w:val="continue"/>
                  <w:shd w:val="clear" w:color="auto" w:fill="auto"/>
                  <w:vAlign w:val="center"/>
                </w:tcPr>
                <w:p w14:paraId="266A478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641" w:type="pct"/>
                  <w:shd w:val="clear" w:color="auto" w:fill="auto"/>
                  <w:vAlign w:val="center"/>
                </w:tcPr>
                <w:p w14:paraId="5646423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0.03µg/L</w:t>
                  </w:r>
                </w:p>
              </w:tc>
            </w:tr>
            <w:tr w14:paraId="0702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74" w:type="pct"/>
                  <w:shd w:val="clear" w:color="auto" w:fill="auto"/>
                  <w:vAlign w:val="center"/>
                </w:tcPr>
                <w:p w14:paraId="07ABE55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w:t>
                  </w:r>
                </w:p>
              </w:tc>
              <w:tc>
                <w:tcPr>
                  <w:tcW w:w="744" w:type="pct"/>
                  <w:shd w:val="clear" w:color="auto" w:fill="auto"/>
                  <w:vAlign w:val="center"/>
                </w:tcPr>
                <w:p w14:paraId="688B006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镉（Cd）</w:t>
                  </w:r>
                </w:p>
              </w:tc>
              <w:tc>
                <w:tcPr>
                  <w:tcW w:w="1753" w:type="pct"/>
                  <w:vMerge w:val="continue"/>
                  <w:shd w:val="clear" w:color="auto" w:fill="auto"/>
                  <w:vAlign w:val="center"/>
                </w:tcPr>
                <w:p w14:paraId="379AF3D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vMerge w:val="continue"/>
                  <w:shd w:val="clear" w:color="auto" w:fill="auto"/>
                  <w:vAlign w:val="center"/>
                </w:tcPr>
                <w:p w14:paraId="4E894E1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641" w:type="pct"/>
                  <w:shd w:val="clear" w:color="auto" w:fill="auto"/>
                  <w:vAlign w:val="center"/>
                </w:tcPr>
                <w:p w14:paraId="0485405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0.01µg/L</w:t>
                  </w:r>
                </w:p>
              </w:tc>
            </w:tr>
            <w:tr w14:paraId="2994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74" w:type="pct"/>
                  <w:shd w:val="clear" w:color="auto" w:fill="auto"/>
                  <w:vAlign w:val="center"/>
                </w:tcPr>
                <w:p w14:paraId="75959AE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w:t>
                  </w:r>
                </w:p>
              </w:tc>
              <w:tc>
                <w:tcPr>
                  <w:tcW w:w="744" w:type="pct"/>
                  <w:shd w:val="clear" w:color="auto" w:fill="auto"/>
                  <w:vAlign w:val="center"/>
                </w:tcPr>
                <w:p w14:paraId="07654DC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锌（Zn）</w:t>
                  </w:r>
                </w:p>
              </w:tc>
              <w:tc>
                <w:tcPr>
                  <w:tcW w:w="1753" w:type="pct"/>
                  <w:vMerge w:val="continue"/>
                  <w:shd w:val="clear" w:color="auto" w:fill="auto"/>
                  <w:vAlign w:val="center"/>
                </w:tcPr>
                <w:p w14:paraId="54651FC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488" w:type="pct"/>
                  <w:shd w:val="clear" w:color="auto" w:fill="auto"/>
                  <w:vAlign w:val="center"/>
                </w:tcPr>
                <w:p w14:paraId="4680413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火焰原子吸收分光光度法GB17378.4-2007</w:t>
                  </w:r>
                </w:p>
              </w:tc>
              <w:tc>
                <w:tcPr>
                  <w:tcW w:w="641" w:type="pct"/>
                  <w:shd w:val="clear" w:color="auto" w:fill="auto"/>
                  <w:vAlign w:val="center"/>
                </w:tcPr>
                <w:p w14:paraId="4153093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3.1µg/L</w:t>
                  </w:r>
                </w:p>
              </w:tc>
            </w:tr>
            <w:tr w14:paraId="3F3C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374" w:type="pct"/>
                  <w:shd w:val="clear" w:color="auto" w:fill="auto"/>
                  <w:vAlign w:val="center"/>
                </w:tcPr>
                <w:p w14:paraId="3BA750A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w:t>
                  </w:r>
                </w:p>
              </w:tc>
              <w:tc>
                <w:tcPr>
                  <w:tcW w:w="744" w:type="pct"/>
                  <w:shd w:val="clear" w:color="auto" w:fill="auto"/>
                  <w:vAlign w:val="center"/>
                </w:tcPr>
                <w:p w14:paraId="1CCD980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石油类</w:t>
                  </w:r>
                </w:p>
              </w:tc>
              <w:tc>
                <w:tcPr>
                  <w:tcW w:w="1753" w:type="pct"/>
                  <w:shd w:val="clear" w:color="auto" w:fill="auto"/>
                  <w:vAlign w:val="center"/>
                </w:tcPr>
                <w:p w14:paraId="164DB5A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正己烷萃取，5℃避光冷藏</w:t>
                  </w:r>
                </w:p>
              </w:tc>
              <w:tc>
                <w:tcPr>
                  <w:tcW w:w="1488" w:type="pct"/>
                  <w:shd w:val="clear" w:color="auto" w:fill="auto"/>
                  <w:vAlign w:val="center"/>
                </w:tcPr>
                <w:p w14:paraId="3E3DDC1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紫外分光光度法</w:t>
                  </w:r>
                </w:p>
                <w:p w14:paraId="66307EA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GB17378.4-2007</w:t>
                  </w:r>
                </w:p>
              </w:tc>
              <w:tc>
                <w:tcPr>
                  <w:tcW w:w="641" w:type="pct"/>
                  <w:shd w:val="clear" w:color="auto" w:fill="auto"/>
                  <w:vAlign w:val="center"/>
                </w:tcPr>
                <w:p w14:paraId="6D78680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3.5µg/L</w:t>
                  </w:r>
                </w:p>
              </w:tc>
            </w:tr>
            <w:bookmarkEnd w:id="14"/>
            <w:bookmarkEnd w:id="15"/>
            <w:bookmarkEnd w:id="16"/>
            <w:bookmarkEnd w:id="17"/>
          </w:tbl>
          <w:p w14:paraId="2A6001B4">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宋体"/>
                <w:b/>
                <w:color w:val="auto"/>
                <w:kern w:val="0"/>
                <w:sz w:val="24"/>
                <w:lang w:val="en-US" w:eastAsia="zh-CN"/>
              </w:rPr>
            </w:pPr>
            <w:r>
              <w:rPr>
                <w:rFonts w:hint="eastAsia"/>
                <w:b/>
                <w:color w:val="auto"/>
                <w:kern w:val="0"/>
                <w:sz w:val="24"/>
              </w:rPr>
              <w:t>②评价标准</w:t>
            </w:r>
            <w:r>
              <w:rPr>
                <w:rFonts w:hint="eastAsia"/>
                <w:b/>
                <w:color w:val="auto"/>
                <w:kern w:val="0"/>
                <w:sz w:val="24"/>
                <w:lang w:val="en-US" w:eastAsia="zh-CN"/>
              </w:rPr>
              <w:t>与方法</w:t>
            </w:r>
          </w:p>
          <w:p w14:paraId="402E15E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按照《广西壮族自治区生态环境厅关于印发广西壮族自治区近岸海域环境功能区划调整方案的通知》（桂环发〔2023〕9号）的环境管理要求，所有站位均采用《海水水质标准》（GB3097-1997）中的相应水质标准要求进行评价，各站位执行水质标准详见表3.</w:t>
            </w:r>
            <w:r>
              <w:rPr>
                <w:rFonts w:hint="eastAsia"/>
                <w:color w:val="auto"/>
                <w:kern w:val="0"/>
                <w:sz w:val="24"/>
                <w:lang w:val="en-US" w:eastAsia="zh-CN"/>
              </w:rPr>
              <w:t>5</w:t>
            </w:r>
            <w:r>
              <w:rPr>
                <w:rFonts w:hint="eastAsia"/>
                <w:color w:val="auto"/>
                <w:kern w:val="0"/>
                <w:sz w:val="24"/>
              </w:rPr>
              <w:t>-</w:t>
            </w:r>
            <w:r>
              <w:rPr>
                <w:rFonts w:hint="eastAsia"/>
                <w:color w:val="auto"/>
                <w:kern w:val="0"/>
                <w:sz w:val="24"/>
                <w:lang w:val="en-US" w:eastAsia="zh-CN"/>
              </w:rPr>
              <w:t>3</w:t>
            </w:r>
            <w:r>
              <w:rPr>
                <w:rFonts w:hint="eastAsia"/>
                <w:color w:val="auto"/>
                <w:kern w:val="0"/>
                <w:sz w:val="24"/>
              </w:rPr>
              <w:t>。</w:t>
            </w:r>
          </w:p>
          <w:p w14:paraId="44DDF6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zh-CN"/>
              </w:rPr>
              <w:t xml:space="preserve">表3.5-3  </w:t>
            </w:r>
            <w:r>
              <w:rPr>
                <w:rFonts w:hint="eastAsia" w:ascii="Times New Roman" w:hAnsi="Times New Roman" w:cs="Times New Roman"/>
                <w:b/>
                <w:bCs/>
                <w:color w:val="auto"/>
                <w:kern w:val="0"/>
                <w:sz w:val="21"/>
                <w:szCs w:val="21"/>
                <w:lang w:val="en-US" w:eastAsia="ja-JP"/>
              </w:rPr>
              <w:t>海水水质标准</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364"/>
              <w:gridCol w:w="1390"/>
              <w:gridCol w:w="1390"/>
              <w:gridCol w:w="1530"/>
              <w:gridCol w:w="1327"/>
            </w:tblGrid>
            <w:tr w14:paraId="6CE2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trPr>
              <w:tc>
                <w:tcPr>
                  <w:tcW w:w="383" w:type="pct"/>
                  <w:vAlign w:val="center"/>
                </w:tcPr>
                <w:p w14:paraId="12559147">
                  <w:pPr>
                    <w:keepNext w:val="0"/>
                    <w:keepLines w:val="0"/>
                    <w:widowControl/>
                    <w:suppressLineNumbers w:val="0"/>
                    <w:spacing w:before="0" w:beforeAutospacing="0" w:after="0" w:afterAutospacing="0" w:line="0" w:lineRule="atLeast"/>
                    <w:ind w:left="0" w:right="0"/>
                    <w:jc w:val="center"/>
                    <w:rPr>
                      <w:rFonts w:hint="eastAsia"/>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序号</w:t>
                  </w:r>
                </w:p>
              </w:tc>
              <w:tc>
                <w:tcPr>
                  <w:tcW w:w="1364" w:type="pct"/>
                  <w:vAlign w:val="center"/>
                </w:tcPr>
                <w:p w14:paraId="77B2FB59">
                  <w:pPr>
                    <w:keepNext w:val="0"/>
                    <w:keepLines w:val="0"/>
                    <w:widowControl/>
                    <w:suppressLineNumbers w:val="0"/>
                    <w:spacing w:before="0" w:beforeAutospacing="0" w:after="0" w:afterAutospacing="0" w:line="0" w:lineRule="atLeast"/>
                    <w:ind w:left="0" w:right="0"/>
                    <w:jc w:val="center"/>
                    <w:rPr>
                      <w:rFonts w:hint="eastAsia"/>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项目</w:t>
                  </w:r>
                </w:p>
              </w:tc>
              <w:tc>
                <w:tcPr>
                  <w:tcW w:w="802" w:type="pct"/>
                  <w:vAlign w:val="center"/>
                </w:tcPr>
                <w:p w14:paraId="28618C21">
                  <w:pPr>
                    <w:keepNext w:val="0"/>
                    <w:keepLines w:val="0"/>
                    <w:widowControl/>
                    <w:suppressLineNumbers w:val="0"/>
                    <w:spacing w:before="0" w:beforeAutospacing="0" w:after="0" w:afterAutospacing="0" w:line="0" w:lineRule="atLeast"/>
                    <w:ind w:left="0" w:right="0"/>
                    <w:jc w:val="center"/>
                    <w:rPr>
                      <w:rFonts w:hint="eastAsia"/>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第一类</w:t>
                  </w:r>
                </w:p>
              </w:tc>
              <w:tc>
                <w:tcPr>
                  <w:tcW w:w="802" w:type="pct"/>
                  <w:vAlign w:val="center"/>
                </w:tcPr>
                <w:p w14:paraId="41499F23">
                  <w:pPr>
                    <w:keepNext w:val="0"/>
                    <w:keepLines w:val="0"/>
                    <w:widowControl/>
                    <w:suppressLineNumbers w:val="0"/>
                    <w:spacing w:before="0" w:beforeAutospacing="0" w:after="0" w:afterAutospacing="0" w:line="0" w:lineRule="atLeast"/>
                    <w:ind w:left="0" w:right="0"/>
                    <w:jc w:val="center"/>
                    <w:rPr>
                      <w:rFonts w:hint="eastAsia"/>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第二类</w:t>
                  </w:r>
                </w:p>
              </w:tc>
              <w:tc>
                <w:tcPr>
                  <w:tcW w:w="883" w:type="pct"/>
                  <w:vAlign w:val="center"/>
                </w:tcPr>
                <w:p w14:paraId="406AD0B1">
                  <w:pPr>
                    <w:keepNext w:val="0"/>
                    <w:keepLines w:val="0"/>
                    <w:widowControl/>
                    <w:suppressLineNumbers w:val="0"/>
                    <w:spacing w:before="0" w:beforeAutospacing="0" w:after="0" w:afterAutospacing="0" w:line="0" w:lineRule="atLeast"/>
                    <w:ind w:left="0" w:right="0"/>
                    <w:jc w:val="center"/>
                    <w:rPr>
                      <w:rFonts w:hint="eastAsia"/>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第三类</w:t>
                  </w:r>
                </w:p>
              </w:tc>
              <w:tc>
                <w:tcPr>
                  <w:tcW w:w="766" w:type="pct"/>
                  <w:vAlign w:val="center"/>
                </w:tcPr>
                <w:p w14:paraId="5CD4DB02">
                  <w:pPr>
                    <w:keepNext w:val="0"/>
                    <w:keepLines w:val="0"/>
                    <w:widowControl/>
                    <w:suppressLineNumbers w:val="0"/>
                    <w:spacing w:before="0" w:beforeAutospacing="0" w:after="0" w:afterAutospacing="0" w:line="0" w:lineRule="atLeast"/>
                    <w:ind w:left="0" w:right="0"/>
                    <w:jc w:val="center"/>
                    <w:rPr>
                      <w:rFonts w:hint="eastAsia"/>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第四类</w:t>
                  </w:r>
                </w:p>
              </w:tc>
            </w:tr>
            <w:tr w14:paraId="20E6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83" w:type="pct"/>
                  <w:vAlign w:val="center"/>
                </w:tcPr>
                <w:p w14:paraId="539B07F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364" w:type="pct"/>
                  <w:vAlign w:val="center"/>
                </w:tcPr>
                <w:p w14:paraId="7D8DB332">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pH</w:t>
                  </w:r>
                </w:p>
              </w:tc>
              <w:tc>
                <w:tcPr>
                  <w:tcW w:w="1604" w:type="pct"/>
                  <w:gridSpan w:val="2"/>
                  <w:vAlign w:val="center"/>
                </w:tcPr>
                <w:p w14:paraId="402079E7">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7.8~8.5同时不超出该海域正常变动范围0.2pH单位</w:t>
                  </w:r>
                </w:p>
              </w:tc>
              <w:tc>
                <w:tcPr>
                  <w:tcW w:w="1649" w:type="pct"/>
                  <w:gridSpan w:val="2"/>
                  <w:vAlign w:val="center"/>
                </w:tcPr>
                <w:p w14:paraId="38F16CC2">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6.8~8.8同时不超出该海域正常变动范围的0.5pH单位</w:t>
                  </w:r>
                </w:p>
              </w:tc>
            </w:tr>
            <w:tr w14:paraId="3F15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376C2B3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364" w:type="pct"/>
                  <w:vAlign w:val="center"/>
                </w:tcPr>
                <w:p w14:paraId="4BC1EB64">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溶解氧＞</w:t>
                  </w:r>
                </w:p>
              </w:tc>
              <w:tc>
                <w:tcPr>
                  <w:tcW w:w="802" w:type="pct"/>
                  <w:vAlign w:val="center"/>
                </w:tcPr>
                <w:p w14:paraId="69702714">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802" w:type="pct"/>
                  <w:vAlign w:val="center"/>
                </w:tcPr>
                <w:p w14:paraId="0E981C9C">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p>
              </w:tc>
              <w:tc>
                <w:tcPr>
                  <w:tcW w:w="883" w:type="pct"/>
                  <w:vAlign w:val="center"/>
                </w:tcPr>
                <w:p w14:paraId="7C8E4730">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w:t>
                  </w:r>
                </w:p>
              </w:tc>
              <w:tc>
                <w:tcPr>
                  <w:tcW w:w="766" w:type="pct"/>
                  <w:vAlign w:val="center"/>
                </w:tcPr>
                <w:p w14:paraId="794DF751">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r>
            <w:tr w14:paraId="6F96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44699F7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364" w:type="pct"/>
                  <w:vAlign w:val="center"/>
                </w:tcPr>
                <w:p w14:paraId="2317EC48">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化学需氧量（COD</w:t>
                  </w:r>
                  <w:r>
                    <w:rPr>
                      <w:rFonts w:hint="eastAsia"/>
                      <w:color w:val="000000" w:themeColor="text1"/>
                      <w:kern w:val="0"/>
                      <w:sz w:val="21"/>
                      <w:szCs w:val="21"/>
                      <w:vertAlign w:val="subscript"/>
                      <w14:textFill>
                        <w14:solidFill>
                          <w14:schemeClr w14:val="tx1"/>
                        </w14:solidFill>
                      </w14:textFill>
                    </w:rPr>
                    <w:t>Mn</w:t>
                  </w:r>
                  <w:r>
                    <w:rPr>
                      <w:rFonts w:hint="eastAsia"/>
                      <w:color w:val="000000" w:themeColor="text1"/>
                      <w:kern w:val="0"/>
                      <w:sz w:val="21"/>
                      <w:szCs w:val="21"/>
                      <w14:textFill>
                        <w14:solidFill>
                          <w14:schemeClr w14:val="tx1"/>
                        </w14:solidFill>
                      </w14:textFill>
                    </w:rPr>
                    <w:t>）≤</w:t>
                  </w:r>
                </w:p>
              </w:tc>
              <w:tc>
                <w:tcPr>
                  <w:tcW w:w="802" w:type="pct"/>
                  <w:vAlign w:val="center"/>
                </w:tcPr>
                <w:p w14:paraId="67D03B47">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802" w:type="pct"/>
                  <w:vAlign w:val="center"/>
                </w:tcPr>
                <w:p w14:paraId="3A7F0AAE">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883" w:type="pct"/>
                  <w:vAlign w:val="center"/>
                </w:tcPr>
                <w:p w14:paraId="36C980AA">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w:t>
                  </w:r>
                </w:p>
              </w:tc>
              <w:tc>
                <w:tcPr>
                  <w:tcW w:w="766" w:type="pct"/>
                  <w:vAlign w:val="center"/>
                </w:tcPr>
                <w:p w14:paraId="6B59D039">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p>
              </w:tc>
            </w:tr>
            <w:tr w14:paraId="4E69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6A5A07F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364" w:type="pct"/>
                  <w:vAlign w:val="center"/>
                </w:tcPr>
                <w:p w14:paraId="1AF1AC6A">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无机氮（以N计）≤</w:t>
                  </w:r>
                </w:p>
              </w:tc>
              <w:tc>
                <w:tcPr>
                  <w:tcW w:w="802" w:type="pct"/>
                  <w:vAlign w:val="center"/>
                </w:tcPr>
                <w:p w14:paraId="44700BC4">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0.20</w:t>
                  </w:r>
                </w:p>
              </w:tc>
              <w:tc>
                <w:tcPr>
                  <w:tcW w:w="802" w:type="pct"/>
                  <w:vAlign w:val="center"/>
                </w:tcPr>
                <w:p w14:paraId="19802CF5">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0.30</w:t>
                  </w:r>
                </w:p>
              </w:tc>
              <w:tc>
                <w:tcPr>
                  <w:tcW w:w="883" w:type="pct"/>
                  <w:vAlign w:val="center"/>
                </w:tcPr>
                <w:p w14:paraId="654962CE">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0.40</w:t>
                  </w:r>
                </w:p>
              </w:tc>
              <w:tc>
                <w:tcPr>
                  <w:tcW w:w="766" w:type="pct"/>
                  <w:vAlign w:val="center"/>
                </w:tcPr>
                <w:p w14:paraId="4B6074B1">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0.50</w:t>
                  </w:r>
                </w:p>
              </w:tc>
            </w:tr>
            <w:tr w14:paraId="6BA7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4271FA1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64" w:type="pct"/>
                  <w:vAlign w:val="center"/>
                </w:tcPr>
                <w:p w14:paraId="29933D09">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磷酸盐（以P计）≤</w:t>
                  </w:r>
                </w:p>
              </w:tc>
              <w:tc>
                <w:tcPr>
                  <w:tcW w:w="802" w:type="pct"/>
                  <w:vAlign w:val="center"/>
                </w:tcPr>
                <w:p w14:paraId="10995A77">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0.015</w:t>
                  </w:r>
                </w:p>
              </w:tc>
              <w:tc>
                <w:tcPr>
                  <w:tcW w:w="1685" w:type="pct"/>
                  <w:gridSpan w:val="2"/>
                  <w:vAlign w:val="center"/>
                </w:tcPr>
                <w:p w14:paraId="663032B0">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0.030</w:t>
                  </w:r>
                </w:p>
              </w:tc>
              <w:tc>
                <w:tcPr>
                  <w:tcW w:w="766" w:type="pct"/>
                  <w:vAlign w:val="center"/>
                </w:tcPr>
                <w:p w14:paraId="62157143">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0.045</w:t>
                  </w:r>
                </w:p>
              </w:tc>
            </w:tr>
            <w:tr w14:paraId="77B7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0145437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364" w:type="pct"/>
                  <w:vAlign w:val="center"/>
                </w:tcPr>
                <w:p w14:paraId="59390B0F">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总汞≤</w:t>
                  </w:r>
                </w:p>
              </w:tc>
              <w:tc>
                <w:tcPr>
                  <w:tcW w:w="802" w:type="pct"/>
                  <w:vAlign w:val="center"/>
                </w:tcPr>
                <w:p w14:paraId="7C6A2373">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0.00005</w:t>
                  </w:r>
                </w:p>
              </w:tc>
              <w:tc>
                <w:tcPr>
                  <w:tcW w:w="1685" w:type="pct"/>
                  <w:gridSpan w:val="2"/>
                  <w:vAlign w:val="center"/>
                </w:tcPr>
                <w:p w14:paraId="0EDEF8C1">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0.0002</w:t>
                  </w:r>
                </w:p>
              </w:tc>
              <w:tc>
                <w:tcPr>
                  <w:tcW w:w="766" w:type="pct"/>
                  <w:vAlign w:val="center"/>
                </w:tcPr>
                <w:p w14:paraId="1AF9AEE6">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0.0005</w:t>
                  </w:r>
                </w:p>
              </w:tc>
            </w:tr>
            <w:tr w14:paraId="1E1A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5531321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1364" w:type="pct"/>
                  <w:vAlign w:val="center"/>
                </w:tcPr>
                <w:p w14:paraId="5B5C721A">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镉≤</w:t>
                  </w:r>
                </w:p>
              </w:tc>
              <w:tc>
                <w:tcPr>
                  <w:tcW w:w="802" w:type="pct"/>
                  <w:vAlign w:val="center"/>
                </w:tcPr>
                <w:p w14:paraId="04923B0C">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0.001</w:t>
                  </w:r>
                </w:p>
              </w:tc>
              <w:tc>
                <w:tcPr>
                  <w:tcW w:w="802" w:type="pct"/>
                  <w:vAlign w:val="center"/>
                </w:tcPr>
                <w:p w14:paraId="78EFE88A">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0.005</w:t>
                  </w:r>
                </w:p>
              </w:tc>
              <w:tc>
                <w:tcPr>
                  <w:tcW w:w="1649" w:type="pct"/>
                  <w:gridSpan w:val="2"/>
                  <w:vAlign w:val="center"/>
                </w:tcPr>
                <w:p w14:paraId="26B8E447">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0.010</w:t>
                  </w:r>
                </w:p>
              </w:tc>
            </w:tr>
            <w:tr w14:paraId="04FA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72D1847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1364" w:type="pct"/>
                  <w:vAlign w:val="center"/>
                </w:tcPr>
                <w:p w14:paraId="6AD48E31">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铅≤</w:t>
                  </w:r>
                </w:p>
              </w:tc>
              <w:tc>
                <w:tcPr>
                  <w:tcW w:w="802" w:type="pct"/>
                  <w:vAlign w:val="center"/>
                </w:tcPr>
                <w:p w14:paraId="775FE575">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0.001</w:t>
                  </w:r>
                </w:p>
              </w:tc>
              <w:tc>
                <w:tcPr>
                  <w:tcW w:w="802" w:type="pct"/>
                  <w:vAlign w:val="center"/>
                </w:tcPr>
                <w:p w14:paraId="34F2BCDB">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0.005</w:t>
                  </w:r>
                </w:p>
              </w:tc>
              <w:tc>
                <w:tcPr>
                  <w:tcW w:w="883" w:type="pct"/>
                  <w:vAlign w:val="center"/>
                </w:tcPr>
                <w:p w14:paraId="5F43E111">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0.010</w:t>
                  </w:r>
                </w:p>
              </w:tc>
              <w:tc>
                <w:tcPr>
                  <w:tcW w:w="766" w:type="pct"/>
                  <w:vAlign w:val="center"/>
                </w:tcPr>
                <w:p w14:paraId="4A1E3C44">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0.050</w:t>
                  </w:r>
                </w:p>
              </w:tc>
            </w:tr>
            <w:tr w14:paraId="30D9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2605642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364" w:type="pct"/>
                  <w:vAlign w:val="center"/>
                </w:tcPr>
                <w:p w14:paraId="37E09F03">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砷≤</w:t>
                  </w:r>
                </w:p>
              </w:tc>
              <w:tc>
                <w:tcPr>
                  <w:tcW w:w="802" w:type="pct"/>
                  <w:vAlign w:val="center"/>
                </w:tcPr>
                <w:p w14:paraId="3F410451">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0.020</w:t>
                  </w:r>
                </w:p>
              </w:tc>
              <w:tc>
                <w:tcPr>
                  <w:tcW w:w="802" w:type="pct"/>
                  <w:vAlign w:val="center"/>
                </w:tcPr>
                <w:p w14:paraId="3C4F632E">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0.030</w:t>
                  </w:r>
                </w:p>
              </w:tc>
              <w:tc>
                <w:tcPr>
                  <w:tcW w:w="1649" w:type="pct"/>
                  <w:gridSpan w:val="2"/>
                  <w:vAlign w:val="center"/>
                </w:tcPr>
                <w:p w14:paraId="4C9CA7B0">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0.050</w:t>
                  </w:r>
                </w:p>
              </w:tc>
            </w:tr>
            <w:tr w14:paraId="1BFD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3338ABC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64" w:type="pct"/>
                  <w:vAlign w:val="center"/>
                </w:tcPr>
                <w:p w14:paraId="2023F9D8">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铜≤</w:t>
                  </w:r>
                </w:p>
              </w:tc>
              <w:tc>
                <w:tcPr>
                  <w:tcW w:w="802" w:type="pct"/>
                  <w:vAlign w:val="center"/>
                </w:tcPr>
                <w:p w14:paraId="1F349E8D">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0.005</w:t>
                  </w:r>
                </w:p>
              </w:tc>
              <w:tc>
                <w:tcPr>
                  <w:tcW w:w="802" w:type="pct"/>
                  <w:vAlign w:val="center"/>
                </w:tcPr>
                <w:p w14:paraId="40B33AD9">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0.010</w:t>
                  </w:r>
                </w:p>
              </w:tc>
              <w:tc>
                <w:tcPr>
                  <w:tcW w:w="1649" w:type="pct"/>
                  <w:gridSpan w:val="2"/>
                  <w:vAlign w:val="center"/>
                </w:tcPr>
                <w:p w14:paraId="36E57671">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0.050</w:t>
                  </w:r>
                </w:p>
              </w:tc>
            </w:tr>
            <w:tr w14:paraId="65C5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6BAAD98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1364" w:type="pct"/>
                  <w:vAlign w:val="center"/>
                </w:tcPr>
                <w:p w14:paraId="1466EE93">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锌≤</w:t>
                  </w:r>
                </w:p>
              </w:tc>
              <w:tc>
                <w:tcPr>
                  <w:tcW w:w="802" w:type="pct"/>
                  <w:vAlign w:val="center"/>
                </w:tcPr>
                <w:p w14:paraId="4BDB469B">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0.020</w:t>
                  </w:r>
                </w:p>
              </w:tc>
              <w:tc>
                <w:tcPr>
                  <w:tcW w:w="802" w:type="pct"/>
                  <w:vAlign w:val="center"/>
                </w:tcPr>
                <w:p w14:paraId="363093E8">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0.050</w:t>
                  </w:r>
                </w:p>
              </w:tc>
              <w:tc>
                <w:tcPr>
                  <w:tcW w:w="883" w:type="pct"/>
                  <w:vAlign w:val="center"/>
                </w:tcPr>
                <w:p w14:paraId="00A6FED5">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0.10</w:t>
                  </w:r>
                </w:p>
              </w:tc>
              <w:tc>
                <w:tcPr>
                  <w:tcW w:w="766" w:type="pct"/>
                  <w:vAlign w:val="center"/>
                </w:tcPr>
                <w:p w14:paraId="218AD2CD">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0.50</w:t>
                  </w:r>
                </w:p>
              </w:tc>
            </w:tr>
            <w:tr w14:paraId="132E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6CF347A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w:t>
                  </w:r>
                </w:p>
              </w:tc>
              <w:tc>
                <w:tcPr>
                  <w:tcW w:w="1364" w:type="pct"/>
                  <w:vAlign w:val="center"/>
                </w:tcPr>
                <w:p w14:paraId="4C11871F">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总铬≤</w:t>
                  </w:r>
                </w:p>
              </w:tc>
              <w:tc>
                <w:tcPr>
                  <w:tcW w:w="802" w:type="pct"/>
                  <w:vAlign w:val="center"/>
                </w:tcPr>
                <w:p w14:paraId="577990FE">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w:t>
                  </w:r>
                </w:p>
              </w:tc>
              <w:tc>
                <w:tcPr>
                  <w:tcW w:w="802" w:type="pct"/>
                  <w:vAlign w:val="center"/>
                </w:tcPr>
                <w:p w14:paraId="6DBC4D37">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0.10</w:t>
                  </w:r>
                </w:p>
              </w:tc>
              <w:tc>
                <w:tcPr>
                  <w:tcW w:w="883" w:type="pct"/>
                  <w:vAlign w:val="center"/>
                </w:tcPr>
                <w:p w14:paraId="6BEB3B3A">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0.20</w:t>
                  </w:r>
                </w:p>
              </w:tc>
              <w:tc>
                <w:tcPr>
                  <w:tcW w:w="766" w:type="pct"/>
                  <w:vAlign w:val="center"/>
                </w:tcPr>
                <w:p w14:paraId="3A4C10D7">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0.50</w:t>
                  </w:r>
                </w:p>
              </w:tc>
            </w:tr>
            <w:tr w14:paraId="0D9C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pct"/>
                  <w:vAlign w:val="center"/>
                </w:tcPr>
                <w:p w14:paraId="05013C3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w:t>
                  </w:r>
                </w:p>
              </w:tc>
              <w:tc>
                <w:tcPr>
                  <w:tcW w:w="1364" w:type="pct"/>
                  <w:vAlign w:val="center"/>
                </w:tcPr>
                <w:p w14:paraId="1B706D17">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石油类</w:t>
                  </w:r>
                </w:p>
              </w:tc>
              <w:tc>
                <w:tcPr>
                  <w:tcW w:w="1604" w:type="pct"/>
                  <w:gridSpan w:val="2"/>
                  <w:vAlign w:val="center"/>
                </w:tcPr>
                <w:p w14:paraId="4315D409">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w:t>
                  </w:r>
                </w:p>
              </w:tc>
              <w:tc>
                <w:tcPr>
                  <w:tcW w:w="883" w:type="pct"/>
                  <w:vAlign w:val="center"/>
                </w:tcPr>
                <w:p w14:paraId="37743E74">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0.3</w:t>
                  </w:r>
                </w:p>
              </w:tc>
              <w:tc>
                <w:tcPr>
                  <w:tcW w:w="766" w:type="pct"/>
                  <w:vAlign w:val="center"/>
                </w:tcPr>
                <w:p w14:paraId="018CB22D">
                  <w:pPr>
                    <w:keepNext w:val="0"/>
                    <w:keepLines w:val="0"/>
                    <w:widowControl/>
                    <w:suppressLineNumbers w:val="0"/>
                    <w:spacing w:before="0" w:beforeAutospacing="0" w:after="0" w:afterAutospacing="0" w:line="0" w:lineRule="atLeast"/>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0.5</w:t>
                  </w:r>
                </w:p>
              </w:tc>
            </w:tr>
            <w:tr w14:paraId="4374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gridSpan w:val="6"/>
                  <w:vAlign w:val="center"/>
                </w:tcPr>
                <w:p w14:paraId="35CAE305">
                  <w:pPr>
                    <w:keepNext w:val="0"/>
                    <w:keepLines w:val="0"/>
                    <w:widowControl/>
                    <w:suppressLineNumbers w:val="0"/>
                    <w:spacing w:before="0" w:beforeAutospacing="0" w:after="0" w:afterAutospacing="0" w:line="0" w:lineRule="atLeast"/>
                    <w:ind w:left="0" w:right="0"/>
                    <w:jc w:val="left"/>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注：单位均为mg/L（pH除外）；无机氮为亚硝酸盐、硝酸盐和铵盐的和。</w:t>
                  </w:r>
                </w:p>
              </w:tc>
            </w:tr>
          </w:tbl>
          <w:p w14:paraId="442DCA93">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根据《环境影响评价技术导则地表水环境》（HJ2.3-2018），采用水质指数法进行评价。</w:t>
            </w:r>
          </w:p>
          <w:p w14:paraId="2BC14D95">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A.单项水质参数i在第j点的标准指数计算公式：</w:t>
            </w:r>
          </w:p>
          <w:p w14:paraId="31CA2159">
            <w:pPr>
              <w:pStyle w:val="76"/>
              <w:keepNext w:val="0"/>
              <w:keepLines w:val="0"/>
              <w:suppressLineNumbers w:val="0"/>
              <w:spacing w:before="0" w:beforeAutospacing="0" w:after="0" w:afterAutospacing="0"/>
              <w:ind w:left="0" w:right="0"/>
              <w:rPr>
                <w:rFonts w:hint="eastAsia"/>
                <w:color w:val="auto"/>
              </w:rPr>
            </w:pPr>
            <w:r>
              <w:rPr>
                <w:rFonts w:hint="eastAsia"/>
                <w:color w:val="auto"/>
              </w:rPr>
              <w:object>
                <v:shape id="_x0000_i1025" o:spt="75" type="#_x0000_t75" style="height:22.5pt;width:94.5pt;" o:ole="t" filled="f" coordsize="21600,21600">
                  <v:path/>
                  <v:fill on="f" focussize="0,0"/>
                  <v:stroke/>
                  <v:imagedata r:id="rId12" o:title=""/>
                  <o:lock v:ext="edit" aspectratio="t"/>
                  <w10:wrap type="none"/>
                  <w10:anchorlock/>
                </v:shape>
                <o:OLEObject Type="Embed" ProgID="Equation.3" ShapeID="_x0000_i1025" DrawAspect="Content" ObjectID="_1468075725" r:id="rId11">
                  <o:LockedField>false</o:LockedField>
                </o:OLEObject>
              </w:object>
            </w:r>
          </w:p>
          <w:p w14:paraId="326E3377">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式中：S</w:t>
            </w:r>
            <w:r>
              <w:rPr>
                <w:rFonts w:hint="eastAsia"/>
                <w:color w:val="auto"/>
                <w:sz w:val="24"/>
                <w:vertAlign w:val="subscript"/>
              </w:rPr>
              <w:t>i，j</w:t>
            </w:r>
            <w:r>
              <w:rPr>
                <w:rFonts w:hint="eastAsia"/>
                <w:color w:val="auto"/>
                <w:sz w:val="24"/>
              </w:rPr>
              <w:t>——单项水质参数i在第j点的标准指数；</w:t>
            </w:r>
          </w:p>
          <w:p w14:paraId="48B937CB">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C</w:t>
            </w:r>
            <w:r>
              <w:rPr>
                <w:rFonts w:hint="eastAsia"/>
                <w:color w:val="auto"/>
                <w:sz w:val="24"/>
                <w:vertAlign w:val="subscript"/>
              </w:rPr>
              <w:t>i，j</w:t>
            </w:r>
            <w:r>
              <w:rPr>
                <w:rFonts w:hint="eastAsia"/>
                <w:color w:val="auto"/>
                <w:sz w:val="24"/>
              </w:rPr>
              <w:t>——第i种污染物在第j点的实测浓度值，mg/L；</w:t>
            </w:r>
          </w:p>
          <w:p w14:paraId="049E3F3E">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C</w:t>
            </w:r>
            <w:r>
              <w:rPr>
                <w:rFonts w:hint="eastAsia"/>
                <w:color w:val="auto"/>
                <w:sz w:val="24"/>
                <w:vertAlign w:val="subscript"/>
              </w:rPr>
              <w:t>si</w:t>
            </w:r>
            <w:r>
              <w:rPr>
                <w:rFonts w:hint="eastAsia"/>
                <w:color w:val="auto"/>
                <w:sz w:val="24"/>
              </w:rPr>
              <w:t>——第i种污染物评价标准值，mg/L。</w:t>
            </w:r>
          </w:p>
          <w:p w14:paraId="45ECCE7E">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B. pH的标准指数为：</w:t>
            </w:r>
          </w:p>
          <w:p w14:paraId="28BA8E9E">
            <w:pPr>
              <w:pStyle w:val="76"/>
              <w:keepNext w:val="0"/>
              <w:keepLines w:val="0"/>
              <w:suppressLineNumbers w:val="0"/>
              <w:spacing w:before="0" w:beforeAutospacing="0" w:after="0" w:afterAutospacing="0"/>
              <w:ind w:left="0" w:right="0"/>
              <w:rPr>
                <w:rFonts w:hint="eastAsia"/>
                <w:color w:val="auto"/>
              </w:rPr>
            </w:pPr>
            <w:r>
              <w:rPr>
                <w:rFonts w:hint="eastAsia"/>
                <w:color w:val="auto"/>
              </w:rPr>
              <w:drawing>
                <wp:inline distT="0" distB="0" distL="0" distR="0">
                  <wp:extent cx="2186305" cy="1047750"/>
                  <wp:effectExtent l="0" t="0" r="444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3"/>
                          <a:stretch>
                            <a:fillRect/>
                          </a:stretch>
                        </pic:blipFill>
                        <pic:spPr>
                          <a:xfrm>
                            <a:off x="0" y="0"/>
                            <a:ext cx="2200695" cy="1054611"/>
                          </a:xfrm>
                          <a:prstGeom prst="rect">
                            <a:avLst/>
                          </a:prstGeom>
                        </pic:spPr>
                      </pic:pic>
                    </a:graphicData>
                  </a:graphic>
                </wp:inline>
              </w:drawing>
            </w:r>
          </w:p>
          <w:p w14:paraId="17FE0AE2">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式中：S</w:t>
            </w:r>
            <w:r>
              <w:rPr>
                <w:rFonts w:hint="eastAsia"/>
                <w:color w:val="auto"/>
                <w:sz w:val="24"/>
                <w:vertAlign w:val="subscript"/>
              </w:rPr>
              <w:t>pH</w:t>
            </w:r>
            <w:r>
              <w:rPr>
                <w:rFonts w:hint="eastAsia"/>
                <w:color w:val="auto"/>
                <w:sz w:val="24"/>
              </w:rPr>
              <w:t>——pH值的单项质量指数；</w:t>
            </w:r>
          </w:p>
          <w:p w14:paraId="07F43E85">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pH</w:t>
            </w:r>
            <w:r>
              <w:rPr>
                <w:rFonts w:hint="eastAsia"/>
                <w:color w:val="auto"/>
                <w:sz w:val="24"/>
                <w:vertAlign w:val="subscript"/>
              </w:rPr>
              <w:t>j</w:t>
            </w:r>
            <w:r>
              <w:rPr>
                <w:rFonts w:hint="eastAsia"/>
                <w:color w:val="auto"/>
                <w:sz w:val="24"/>
              </w:rPr>
              <w:t>——地表水pH值的实测值；</w:t>
            </w:r>
          </w:p>
          <w:p w14:paraId="400F338E">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pH</w:t>
            </w:r>
            <w:r>
              <w:rPr>
                <w:rFonts w:hint="eastAsia"/>
                <w:color w:val="auto"/>
                <w:sz w:val="24"/>
                <w:vertAlign w:val="subscript"/>
              </w:rPr>
              <w:t>su</w:t>
            </w:r>
            <w:r>
              <w:rPr>
                <w:rFonts w:hint="eastAsia"/>
                <w:color w:val="auto"/>
                <w:sz w:val="24"/>
              </w:rPr>
              <w:t>——地表水水质标准中规定的pH值上限；</w:t>
            </w:r>
          </w:p>
          <w:p w14:paraId="2239B41E">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pH</w:t>
            </w:r>
            <w:r>
              <w:rPr>
                <w:rFonts w:hint="eastAsia"/>
                <w:color w:val="auto"/>
                <w:sz w:val="24"/>
                <w:vertAlign w:val="subscript"/>
              </w:rPr>
              <w:t>sd</w:t>
            </w:r>
            <w:r>
              <w:rPr>
                <w:rFonts w:hint="eastAsia"/>
                <w:color w:val="auto"/>
                <w:sz w:val="24"/>
              </w:rPr>
              <w:t>——地表水水质标准中规定的pH值下限。</w:t>
            </w:r>
          </w:p>
          <w:p w14:paraId="1ABF9B19">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C.溶解氧的标准指数为：</w:t>
            </w:r>
          </w:p>
          <w:p w14:paraId="43ADCA66">
            <w:pPr>
              <w:pStyle w:val="76"/>
              <w:keepNext w:val="0"/>
              <w:keepLines w:val="0"/>
              <w:suppressLineNumbers w:val="0"/>
              <w:spacing w:before="0" w:beforeAutospacing="0" w:after="0" w:afterAutospacing="0"/>
              <w:ind w:left="0" w:right="0"/>
              <w:rPr>
                <w:rFonts w:hint="eastAsia"/>
                <w:color w:val="auto"/>
              </w:rPr>
            </w:pPr>
            <w:r>
              <w:rPr>
                <w:rFonts w:hint="eastAsia"/>
                <w:color w:val="auto"/>
              </w:rPr>
              <w:t xml:space="preserve"> </w:t>
            </w:r>
            <w:r>
              <w:rPr>
                <w:rFonts w:hint="eastAsia"/>
                <w:color w:val="auto"/>
              </w:rPr>
              <w:drawing>
                <wp:inline distT="0" distB="0" distL="0" distR="0">
                  <wp:extent cx="2329180" cy="721360"/>
                  <wp:effectExtent l="0" t="0" r="0" b="2540"/>
                  <wp:docPr id="946" name="图片 94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descr="文本&#10;&#10;描述已自动生成"/>
                          <pic:cNvPicPr>
                            <a:picLocks noChangeAspect="1"/>
                          </pic:cNvPicPr>
                        </pic:nvPicPr>
                        <pic:blipFill>
                          <a:blip r:embed="rId14"/>
                          <a:srcRect b="6230"/>
                          <a:stretch>
                            <a:fillRect/>
                          </a:stretch>
                        </pic:blipFill>
                        <pic:spPr>
                          <a:xfrm>
                            <a:off x="0" y="0"/>
                            <a:ext cx="2353069" cy="729155"/>
                          </a:xfrm>
                          <a:prstGeom prst="rect">
                            <a:avLst/>
                          </a:prstGeom>
                          <a:ln>
                            <a:noFill/>
                          </a:ln>
                        </pic:spPr>
                      </pic:pic>
                    </a:graphicData>
                  </a:graphic>
                </wp:inline>
              </w:drawing>
            </w:r>
          </w:p>
          <w:p w14:paraId="7D3A8D5B">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式中：S</w:t>
            </w:r>
            <w:r>
              <w:rPr>
                <w:rFonts w:hint="eastAsia"/>
                <w:color w:val="auto"/>
                <w:sz w:val="24"/>
                <w:vertAlign w:val="subscript"/>
              </w:rPr>
              <w:t>DO，j</w:t>
            </w:r>
            <w:r>
              <w:rPr>
                <w:rFonts w:hint="eastAsia"/>
                <w:color w:val="auto"/>
                <w:sz w:val="24"/>
              </w:rPr>
              <w:t>——溶解氧的标准指数，大于1表明该水质因子超标；</w:t>
            </w:r>
          </w:p>
          <w:p w14:paraId="4A4DE840">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DO</w:t>
            </w:r>
            <w:r>
              <w:rPr>
                <w:rFonts w:hint="eastAsia"/>
                <w:color w:val="auto"/>
                <w:sz w:val="24"/>
                <w:vertAlign w:val="subscript"/>
              </w:rPr>
              <w:t>j</w:t>
            </w:r>
            <w:r>
              <w:rPr>
                <w:rFonts w:hint="eastAsia"/>
                <w:color w:val="auto"/>
                <w:sz w:val="24"/>
              </w:rPr>
              <w:t>——溶解氧在j点的实测统计代表值，mg/L；</w:t>
            </w:r>
          </w:p>
          <w:p w14:paraId="29D3B365">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DO</w:t>
            </w:r>
            <w:r>
              <w:rPr>
                <w:rFonts w:hint="eastAsia"/>
                <w:color w:val="auto"/>
                <w:sz w:val="24"/>
                <w:vertAlign w:val="subscript"/>
              </w:rPr>
              <w:t>s</w:t>
            </w:r>
            <w:r>
              <w:rPr>
                <w:rFonts w:hint="eastAsia"/>
                <w:color w:val="auto"/>
                <w:sz w:val="24"/>
              </w:rPr>
              <w:t>——溶解氧的水质评价标准限值，mg/L；</w:t>
            </w:r>
          </w:p>
          <w:p w14:paraId="399602DB">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DO</w:t>
            </w:r>
            <w:r>
              <w:rPr>
                <w:rFonts w:hint="eastAsia"/>
                <w:color w:val="auto"/>
                <w:sz w:val="24"/>
                <w:vertAlign w:val="subscript"/>
              </w:rPr>
              <w:t>f</w:t>
            </w:r>
            <w:r>
              <w:rPr>
                <w:rFonts w:hint="eastAsia"/>
                <w:color w:val="auto"/>
                <w:sz w:val="24"/>
              </w:rPr>
              <w:t>——饱和溶解氧浓度，mg/L，DO</w:t>
            </w:r>
            <w:r>
              <w:rPr>
                <w:rFonts w:hint="eastAsia"/>
                <w:color w:val="auto"/>
                <w:sz w:val="24"/>
                <w:vertAlign w:val="subscript"/>
              </w:rPr>
              <w:t>f</w:t>
            </w:r>
            <w:r>
              <w:rPr>
                <w:rFonts w:hint="eastAsia"/>
                <w:color w:val="auto"/>
                <w:sz w:val="24"/>
              </w:rPr>
              <w:t>＝468/（31.6+T）；对于盐度比较高的湖泊、水库及入海河口、近岸海域，DO</w:t>
            </w:r>
            <w:r>
              <w:rPr>
                <w:rFonts w:hint="eastAsia"/>
                <w:color w:val="auto"/>
                <w:sz w:val="24"/>
                <w:vertAlign w:val="subscript"/>
              </w:rPr>
              <w:t>f</w:t>
            </w:r>
            <w:r>
              <w:rPr>
                <w:rFonts w:hint="eastAsia"/>
                <w:color w:val="auto"/>
                <w:sz w:val="24"/>
              </w:rPr>
              <w:t>＝（491-2.65S）/（33.5+T）.</w:t>
            </w:r>
          </w:p>
          <w:p w14:paraId="4AF86B3E">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S—实用盐度符号，量纲一</w:t>
            </w:r>
          </w:p>
          <w:p w14:paraId="373701A4">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T—水温，℃。</w:t>
            </w:r>
          </w:p>
          <w:p w14:paraId="5446BB6E">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水质参数的标准指数&gt;1，表明该水质参数超过了规定的水质标准限值，水质参数标准指数越大，说明水质参数超标越严重。</w:t>
            </w:r>
          </w:p>
          <w:p w14:paraId="38915669">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③</w:t>
            </w:r>
            <w:r>
              <w:rPr>
                <w:rFonts w:hint="eastAsia"/>
                <w:b/>
                <w:color w:val="auto"/>
                <w:kern w:val="0"/>
                <w:sz w:val="24"/>
              </w:rPr>
              <w:t>水质调查及评价结果</w:t>
            </w:r>
          </w:p>
          <w:p w14:paraId="5F858A4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各站位各水质调查要素评价结果见</w:t>
            </w:r>
            <w:r>
              <w:rPr>
                <w:rFonts w:hint="eastAsia" w:ascii="Times New Roman" w:hAnsi="Times New Roman" w:eastAsia="宋体" w:cs="Times New Roman"/>
                <w:color w:val="auto"/>
                <w:sz w:val="24"/>
                <w:lang w:val="en-US" w:eastAsia="zh-CN"/>
              </w:rPr>
              <w:t>附表</w:t>
            </w:r>
            <w:r>
              <w:rPr>
                <w:rFonts w:hint="eastAsia" w:cs="Times New Roman"/>
                <w:color w:val="auto"/>
                <w:sz w:val="24"/>
                <w:lang w:val="en-US" w:eastAsia="zh-CN"/>
              </w:rPr>
              <w:t>1</w:t>
            </w:r>
            <w:r>
              <w:rPr>
                <w:rFonts w:hint="eastAsia" w:ascii="Times New Roman" w:hAnsi="Times New Roman" w:eastAsia="宋体" w:cs="Times New Roman"/>
                <w:color w:val="auto"/>
                <w:sz w:val="24"/>
              </w:rPr>
              <w:t>，各水质要素的评价值分析如下。</w:t>
            </w:r>
          </w:p>
          <w:p w14:paraId="2117DBD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所有站/层水质样品中的pH、镉、砷、总铬、石油类符合一类水质标准；部分站位水质样品中溶解氧、COD、无机氮、磷酸盐、铜、铅、锌、总汞的质量浓度超出第一类海水水质标准。其中，溶解氧的超标率为75%、COD的超标率为2.8%、无机氮的超标率为27.8%、磷酸盐的超标率为100%、铜的超标率为2.8%、铅的超标率为2.8%、锌的超标率为38.9%、总汞的超标率为2.8%。</w:t>
            </w:r>
          </w:p>
          <w:p w14:paraId="2B5939C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对于超过一类水质标准的要素，按照二类水质标准进行评价。溶解氧、COD、铜、铅、总汞的质量浓度符合第二类海水水质标准；无机氮、磷酸盐、锌的质量浓度超出第二类海水水质标准。其中，对于无机氮而言，8.3%的样品符合第四类海水水质标准；对于磷酸盐而言，16.7%的样品符合第四类海水水质标准，2.8%的样品处于劣四类水质；对于锌而言，2.8%的样品符合第三类海水水质标准。</w:t>
            </w:r>
          </w:p>
          <w:p w14:paraId="190A07A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评价结果显示本项目区域春季超标因子主要是无机氮、磷酸盐，无机氮超二类、符合四类海水水质标准为30~32号站；磷酸盐超二类、符合四类海水水质标准26号站、28号站、30号站、31号站、33号站，32站为劣四类水质。从超标站位分布来看，26~33号均是分布在西湾湾内。随着近年西湾两岸开发活动的增加，来往船只的频繁，是造成无机氮和磷酸盐超标的主要原因。本项目所在的东湾监测点位水质满足四类海水水质标准。</w:t>
            </w:r>
          </w:p>
          <w:p w14:paraId="5740A5A7">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3.5.4</w:t>
            </w:r>
            <w:r>
              <w:rPr>
                <w:rFonts w:hint="eastAsia"/>
                <w:b/>
                <w:color w:val="auto"/>
                <w:kern w:val="0"/>
                <w:sz w:val="24"/>
              </w:rPr>
              <w:t>海洋沉积物现状调查与评价</w:t>
            </w:r>
          </w:p>
          <w:p w14:paraId="0A54A755">
            <w:pPr>
              <w:keepNext w:val="0"/>
              <w:keepLines w:val="0"/>
              <w:suppressLineNumbers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①调查分析方法</w:t>
            </w:r>
          </w:p>
          <w:p w14:paraId="305F26D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沉积物调查项目包括：铜（Cu）、铅（Pb）、锌（Zn）、镉（Cd）、总汞（Hg）、砷（As）、总铬（Cr）、硫化物、石油类、有机碳等1</w:t>
            </w:r>
            <w:r>
              <w:rPr>
                <w:rFonts w:hint="eastAsia" w:ascii="Times New Roman" w:hAnsi="Times New Roman" w:eastAsia="宋体" w:cs="Times New Roman"/>
                <w:color w:val="auto"/>
                <w:sz w:val="24"/>
                <w:lang w:val="en-US" w:eastAsia="zh-CN"/>
              </w:rPr>
              <w:t>0</w:t>
            </w:r>
            <w:r>
              <w:rPr>
                <w:rFonts w:hint="eastAsia" w:ascii="Times New Roman" w:hAnsi="Times New Roman" w:eastAsia="宋体" w:cs="Times New Roman"/>
                <w:color w:val="auto"/>
                <w:sz w:val="24"/>
              </w:rPr>
              <w:t>项。</w:t>
            </w:r>
          </w:p>
          <w:p w14:paraId="4D616A6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到达指定站位后，用剪刀臂式抓泥斗采集沉积物，仅取表层样（0~10cm），现场记录底质类型，并分装与处理、保存。</w:t>
            </w:r>
          </w:p>
          <w:p w14:paraId="2D3B038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沉积物样品的采集和分析方法按《海洋监测规范》（GB17378-2007）、《海洋调查规范》（GB/T12763-2007）的要求进行，具体分析方法见表</w:t>
            </w:r>
            <w:r>
              <w:rPr>
                <w:rFonts w:hint="eastAsia" w:ascii="Times New Roman" w:hAnsi="Times New Roman" w:eastAsia="宋体" w:cs="Times New Roman"/>
                <w:color w:val="auto"/>
                <w:sz w:val="24"/>
                <w:lang w:val="en-US" w:eastAsia="zh-CN"/>
              </w:rPr>
              <w:t>3.5-4</w:t>
            </w:r>
            <w:r>
              <w:rPr>
                <w:rFonts w:hint="eastAsia" w:ascii="Times New Roman" w:hAnsi="Times New Roman" w:eastAsia="宋体" w:cs="Times New Roman"/>
                <w:color w:val="auto"/>
                <w:sz w:val="24"/>
              </w:rPr>
              <w:t>。</w:t>
            </w:r>
          </w:p>
          <w:p w14:paraId="4C020D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 xml:space="preserve">3.5-4  </w:t>
            </w:r>
            <w:r>
              <w:rPr>
                <w:rFonts w:hint="eastAsia" w:ascii="Times New Roman" w:hAnsi="Times New Roman" w:cs="Times New Roman"/>
                <w:b/>
                <w:bCs/>
                <w:color w:val="auto"/>
                <w:kern w:val="0"/>
                <w:sz w:val="21"/>
                <w:szCs w:val="21"/>
                <w:lang w:val="en-US" w:eastAsia="ja-JP"/>
              </w:rPr>
              <w:t>沉积物环境调查项目分析方法一览表</w:t>
            </w:r>
          </w:p>
          <w:tbl>
            <w:tblPr>
              <w:tblStyle w:val="28"/>
              <w:tblpPr w:leftFromText="180" w:rightFromText="180" w:vertAnchor="text" w:horzAnchor="margin" w:tblpXSpec="center" w:tblpY="1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73"/>
              <w:gridCol w:w="2053"/>
              <w:gridCol w:w="3172"/>
              <w:gridCol w:w="1518"/>
            </w:tblGrid>
            <w:tr w14:paraId="0552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431" w:type="pct"/>
                  <w:vAlign w:val="center"/>
                </w:tcPr>
                <w:p w14:paraId="05CA1D31">
                  <w:pPr>
                    <w:pStyle w:val="84"/>
                    <w:keepNext w:val="0"/>
                    <w:keepLines w:val="0"/>
                    <w:suppressLineNumbers w:val="0"/>
                    <w:wordWrap/>
                    <w:spacing w:before="0" w:beforeAutospacing="0" w:after="0" w:afterAutospacing="0" w:line="0" w:lineRule="atLeast"/>
                    <w:ind w:left="0" w:right="0"/>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676" w:type="pct"/>
                  <w:vAlign w:val="center"/>
                </w:tcPr>
                <w:p w14:paraId="35CE8751">
                  <w:pPr>
                    <w:pStyle w:val="84"/>
                    <w:keepNext w:val="0"/>
                    <w:keepLines w:val="0"/>
                    <w:suppressLineNumbers w:val="0"/>
                    <w:wordWrap/>
                    <w:spacing w:before="0" w:beforeAutospacing="0" w:after="0" w:afterAutospacing="0" w:line="0" w:lineRule="atLeast"/>
                    <w:ind w:left="0" w:right="0"/>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调查项目</w:t>
                  </w:r>
                </w:p>
              </w:tc>
              <w:tc>
                <w:tcPr>
                  <w:tcW w:w="1184" w:type="pct"/>
                  <w:vAlign w:val="center"/>
                </w:tcPr>
                <w:p w14:paraId="4F29EFD6">
                  <w:pPr>
                    <w:pStyle w:val="84"/>
                    <w:keepNext w:val="0"/>
                    <w:keepLines w:val="0"/>
                    <w:suppressLineNumbers w:val="0"/>
                    <w:wordWrap/>
                    <w:spacing w:before="0" w:beforeAutospacing="0" w:after="0" w:afterAutospacing="0" w:line="0" w:lineRule="atLeast"/>
                    <w:ind w:left="0" w:right="0"/>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保存方法</w:t>
                  </w:r>
                </w:p>
              </w:tc>
              <w:tc>
                <w:tcPr>
                  <w:tcW w:w="1830" w:type="pct"/>
                  <w:vAlign w:val="center"/>
                </w:tcPr>
                <w:p w14:paraId="16E2D48A">
                  <w:pPr>
                    <w:pStyle w:val="84"/>
                    <w:keepNext w:val="0"/>
                    <w:keepLines w:val="0"/>
                    <w:suppressLineNumbers w:val="0"/>
                    <w:wordWrap/>
                    <w:spacing w:before="0" w:beforeAutospacing="0" w:after="0" w:afterAutospacing="0" w:line="0" w:lineRule="atLeast"/>
                    <w:ind w:left="0" w:right="0"/>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样品测定方法</w:t>
                  </w:r>
                </w:p>
              </w:tc>
              <w:tc>
                <w:tcPr>
                  <w:tcW w:w="876" w:type="pct"/>
                  <w:vAlign w:val="center"/>
                </w:tcPr>
                <w:p w14:paraId="170065E9">
                  <w:pPr>
                    <w:pStyle w:val="84"/>
                    <w:keepNext w:val="0"/>
                    <w:keepLines w:val="0"/>
                    <w:suppressLineNumbers w:val="0"/>
                    <w:wordWrap/>
                    <w:spacing w:before="0" w:beforeAutospacing="0" w:after="0" w:afterAutospacing="0" w:line="0" w:lineRule="atLeast"/>
                    <w:ind w:left="0" w:right="0"/>
                    <w:rPr>
                      <w:rFonts w:hint="eastAsia"/>
                      <w:b/>
                      <w:color w:val="000000" w:themeColor="text1"/>
                      <w:spacing w:val="-20"/>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检出限</w:t>
                  </w:r>
                  <w:r>
                    <w:rPr>
                      <w:rFonts w:hint="eastAsia"/>
                      <w:b/>
                      <w:color w:val="000000" w:themeColor="text1"/>
                      <w:spacing w:val="-20"/>
                      <w:sz w:val="21"/>
                      <w:szCs w:val="21"/>
                      <w14:textFill>
                        <w14:solidFill>
                          <w14:schemeClr w14:val="tx1"/>
                        </w14:solidFill>
                      </w14:textFill>
                    </w:rPr>
                    <w:t>（</w:t>
                  </w:r>
                  <w:r>
                    <w:rPr>
                      <w:rFonts w:hint="eastAsia"/>
                      <w:b/>
                      <w:bCs/>
                      <w:color w:val="000000" w:themeColor="text1"/>
                      <w:spacing w:val="-20"/>
                      <w:sz w:val="21"/>
                      <w:szCs w:val="21"/>
                      <w14:textFill>
                        <w14:solidFill>
                          <w14:schemeClr w14:val="tx1"/>
                        </w14:solidFill>
                      </w14:textFill>
                    </w:rPr>
                    <w:t>×</w:t>
                  </w:r>
                  <w:r>
                    <w:rPr>
                      <w:rFonts w:hint="eastAsia"/>
                      <w:b/>
                      <w:bCs/>
                      <w:color w:val="000000" w:themeColor="text1"/>
                      <w:spacing w:val="-20"/>
                      <w:kern w:val="0"/>
                      <w:sz w:val="21"/>
                      <w:szCs w:val="21"/>
                      <w14:textFill>
                        <w14:solidFill>
                          <w14:schemeClr w14:val="tx1"/>
                        </w14:solidFill>
                      </w14:textFill>
                    </w:rPr>
                    <w:t>10</w:t>
                  </w:r>
                  <w:r>
                    <w:rPr>
                      <w:rFonts w:hint="eastAsia"/>
                      <w:b/>
                      <w:bCs/>
                      <w:color w:val="000000" w:themeColor="text1"/>
                      <w:spacing w:val="-20"/>
                      <w:kern w:val="0"/>
                      <w:sz w:val="21"/>
                      <w:szCs w:val="21"/>
                      <w:vertAlign w:val="superscript"/>
                      <w14:textFill>
                        <w14:solidFill>
                          <w14:schemeClr w14:val="tx1"/>
                        </w14:solidFill>
                      </w14:textFill>
                    </w:rPr>
                    <w:t>-6</w:t>
                  </w:r>
                  <w:r>
                    <w:rPr>
                      <w:rFonts w:hint="eastAsia"/>
                      <w:b/>
                      <w:color w:val="000000" w:themeColor="text1"/>
                      <w:spacing w:val="-20"/>
                      <w:sz w:val="21"/>
                      <w:szCs w:val="21"/>
                      <w14:textFill>
                        <w14:solidFill>
                          <w14:schemeClr w14:val="tx1"/>
                        </w14:solidFill>
                      </w14:textFill>
                    </w:rPr>
                    <w:t>）</w:t>
                  </w:r>
                </w:p>
              </w:tc>
            </w:tr>
            <w:tr w14:paraId="5292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31" w:type="pct"/>
                  <w:vAlign w:val="center"/>
                </w:tcPr>
                <w:p w14:paraId="44A627EC">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w:t>
                  </w:r>
                </w:p>
              </w:tc>
              <w:tc>
                <w:tcPr>
                  <w:tcW w:w="676" w:type="pct"/>
                  <w:vAlign w:val="center"/>
                </w:tcPr>
                <w:p w14:paraId="35565876">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总汞（Hg）</w:t>
                  </w:r>
                </w:p>
              </w:tc>
              <w:tc>
                <w:tcPr>
                  <w:tcW w:w="1184" w:type="pct"/>
                  <w:vMerge w:val="restart"/>
                  <w:vAlign w:val="center"/>
                </w:tcPr>
                <w:p w14:paraId="4C8C6488">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聚乙烯袋装，冷藏避光保存</w:t>
                  </w:r>
                </w:p>
              </w:tc>
              <w:tc>
                <w:tcPr>
                  <w:tcW w:w="1830" w:type="pct"/>
                  <w:vAlign w:val="center"/>
                </w:tcPr>
                <w:p w14:paraId="40F9A20D">
                  <w:pPr>
                    <w:pStyle w:val="13"/>
                    <w:keepNext w:val="0"/>
                    <w:keepLines w:val="0"/>
                    <w:widowControl/>
                    <w:suppressLineNumbers w:val="0"/>
                    <w:spacing w:before="0" w:beforeAutospacing="0" w:after="0" w:afterAutospacing="0" w:line="0" w:lineRule="atLeast"/>
                    <w:ind w:left="0" w:right="0"/>
                    <w:jc w:val="center"/>
                    <w:rPr>
                      <w:rFonts w:hint="eastAsia"/>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GB17378.5-2007/5.1</w:t>
                  </w:r>
                  <w:r>
                    <w:rPr>
                      <w:rFonts w:hint="eastAsia"/>
                      <w:bCs/>
                      <w:color w:val="000000" w:themeColor="text1"/>
                      <w:szCs w:val="21"/>
                      <w14:textFill>
                        <w14:solidFill>
                          <w14:schemeClr w14:val="tx1"/>
                        </w14:solidFill>
                      </w14:textFill>
                    </w:rPr>
                    <w:t>原子荧光法</w:t>
                  </w:r>
                </w:p>
              </w:tc>
              <w:tc>
                <w:tcPr>
                  <w:tcW w:w="876" w:type="pct"/>
                  <w:vAlign w:val="center"/>
                </w:tcPr>
                <w:p w14:paraId="43CAB519">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0.002</w:t>
                  </w:r>
                </w:p>
              </w:tc>
            </w:tr>
            <w:tr w14:paraId="5B7D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31" w:type="pct"/>
                  <w:vAlign w:val="center"/>
                </w:tcPr>
                <w:p w14:paraId="53B5E2B9">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2</w:t>
                  </w:r>
                </w:p>
              </w:tc>
              <w:tc>
                <w:tcPr>
                  <w:tcW w:w="676" w:type="pct"/>
                  <w:vAlign w:val="center"/>
                </w:tcPr>
                <w:p w14:paraId="03C7C3C1">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铜（Cu）</w:t>
                  </w:r>
                </w:p>
              </w:tc>
              <w:tc>
                <w:tcPr>
                  <w:tcW w:w="1184" w:type="pct"/>
                  <w:vMerge w:val="continue"/>
                  <w:vAlign w:val="center"/>
                </w:tcPr>
                <w:p w14:paraId="21AD6FD9">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p>
              </w:tc>
              <w:tc>
                <w:tcPr>
                  <w:tcW w:w="1830" w:type="pct"/>
                  <w:vAlign w:val="center"/>
                </w:tcPr>
                <w:p w14:paraId="15A89C2B">
                  <w:pPr>
                    <w:pStyle w:val="13"/>
                    <w:keepNext w:val="0"/>
                    <w:keepLines w:val="0"/>
                    <w:widowControl/>
                    <w:suppressLineNumbers w:val="0"/>
                    <w:spacing w:before="0" w:beforeAutospacing="0" w:after="0" w:afterAutospacing="0" w:line="0" w:lineRule="atLeast"/>
                    <w:ind w:left="0" w:right="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GB17378.5-2007/6.2</w:t>
                  </w:r>
                </w:p>
                <w:p w14:paraId="007BEA47">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火焰原子吸收分光光度法</w:t>
                  </w:r>
                </w:p>
              </w:tc>
              <w:tc>
                <w:tcPr>
                  <w:tcW w:w="876" w:type="pct"/>
                  <w:vAlign w:val="center"/>
                </w:tcPr>
                <w:p w14:paraId="2CD7524D">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r>
            <w:tr w14:paraId="150C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31" w:type="pct"/>
                  <w:vAlign w:val="center"/>
                </w:tcPr>
                <w:p w14:paraId="6BB828B8">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3</w:t>
                  </w:r>
                </w:p>
              </w:tc>
              <w:tc>
                <w:tcPr>
                  <w:tcW w:w="676" w:type="pct"/>
                  <w:vAlign w:val="center"/>
                </w:tcPr>
                <w:p w14:paraId="12FEFB34">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铅（Pb）</w:t>
                  </w:r>
                </w:p>
              </w:tc>
              <w:tc>
                <w:tcPr>
                  <w:tcW w:w="1184" w:type="pct"/>
                  <w:vMerge w:val="continue"/>
                  <w:vAlign w:val="center"/>
                </w:tcPr>
                <w:p w14:paraId="5AF7C425">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p>
              </w:tc>
              <w:tc>
                <w:tcPr>
                  <w:tcW w:w="1830" w:type="pct"/>
                  <w:vAlign w:val="center"/>
                </w:tcPr>
                <w:p w14:paraId="6E2C9981">
                  <w:pPr>
                    <w:pStyle w:val="13"/>
                    <w:keepNext w:val="0"/>
                    <w:keepLines w:val="0"/>
                    <w:widowControl/>
                    <w:suppressLineNumbers w:val="0"/>
                    <w:spacing w:before="0" w:beforeAutospacing="0" w:after="0" w:afterAutospacing="0" w:line="0" w:lineRule="atLeast"/>
                    <w:ind w:left="0" w:right="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GB17378.5-2007/7.1</w:t>
                  </w:r>
                </w:p>
                <w:p w14:paraId="4009D071">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无火焰原子吸收分光光度法</w:t>
                  </w:r>
                </w:p>
              </w:tc>
              <w:tc>
                <w:tcPr>
                  <w:tcW w:w="876" w:type="pct"/>
                  <w:vAlign w:val="center"/>
                </w:tcPr>
                <w:p w14:paraId="538E4C27">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r>
            <w:tr w14:paraId="6E70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31" w:type="pct"/>
                  <w:vAlign w:val="center"/>
                </w:tcPr>
                <w:p w14:paraId="13925A7B">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4</w:t>
                  </w:r>
                </w:p>
              </w:tc>
              <w:tc>
                <w:tcPr>
                  <w:tcW w:w="676" w:type="pct"/>
                  <w:vAlign w:val="center"/>
                </w:tcPr>
                <w:p w14:paraId="70A5D595">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镉（Cd）</w:t>
                  </w:r>
                </w:p>
              </w:tc>
              <w:tc>
                <w:tcPr>
                  <w:tcW w:w="1184" w:type="pct"/>
                  <w:vMerge w:val="continue"/>
                  <w:vAlign w:val="center"/>
                </w:tcPr>
                <w:p w14:paraId="24FF981C">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p>
              </w:tc>
              <w:tc>
                <w:tcPr>
                  <w:tcW w:w="1830" w:type="pct"/>
                  <w:vAlign w:val="center"/>
                </w:tcPr>
                <w:p w14:paraId="7C7B420F">
                  <w:pPr>
                    <w:pStyle w:val="13"/>
                    <w:keepNext w:val="0"/>
                    <w:keepLines w:val="0"/>
                    <w:widowControl/>
                    <w:suppressLineNumbers w:val="0"/>
                    <w:spacing w:before="0" w:beforeAutospacing="0" w:after="0" w:afterAutospacing="0" w:line="0" w:lineRule="atLeast"/>
                    <w:ind w:left="0" w:right="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GB17378.5-2007/8.1</w:t>
                  </w:r>
                </w:p>
                <w:p w14:paraId="1FA23C20">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无火焰原子吸收分光光度法</w:t>
                  </w:r>
                </w:p>
              </w:tc>
              <w:tc>
                <w:tcPr>
                  <w:tcW w:w="876" w:type="pct"/>
                  <w:vAlign w:val="center"/>
                </w:tcPr>
                <w:p w14:paraId="2DE96913">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w:t>
                  </w:r>
                </w:p>
              </w:tc>
            </w:tr>
            <w:tr w14:paraId="4759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31" w:type="pct"/>
                  <w:vAlign w:val="center"/>
                </w:tcPr>
                <w:p w14:paraId="76DE2A8D">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676" w:type="pct"/>
                  <w:vAlign w:val="center"/>
                </w:tcPr>
                <w:p w14:paraId="4413544A">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锌（Zn）</w:t>
                  </w:r>
                </w:p>
              </w:tc>
              <w:tc>
                <w:tcPr>
                  <w:tcW w:w="1184" w:type="pct"/>
                  <w:vMerge w:val="continue"/>
                  <w:vAlign w:val="center"/>
                </w:tcPr>
                <w:p w14:paraId="34957878">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p>
              </w:tc>
              <w:tc>
                <w:tcPr>
                  <w:tcW w:w="1830" w:type="pct"/>
                  <w:vAlign w:val="center"/>
                </w:tcPr>
                <w:p w14:paraId="653B6869">
                  <w:pPr>
                    <w:pStyle w:val="13"/>
                    <w:keepNext w:val="0"/>
                    <w:keepLines w:val="0"/>
                    <w:widowControl/>
                    <w:suppressLineNumbers w:val="0"/>
                    <w:spacing w:before="0" w:beforeAutospacing="0" w:after="0" w:afterAutospacing="0" w:line="0" w:lineRule="atLeast"/>
                    <w:ind w:left="0" w:right="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GB17378.5-2007/9</w:t>
                  </w:r>
                </w:p>
                <w:p w14:paraId="332175A9">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火焰原子吸收分光光度法</w:t>
                  </w:r>
                </w:p>
              </w:tc>
              <w:tc>
                <w:tcPr>
                  <w:tcW w:w="876" w:type="pct"/>
                  <w:vAlign w:val="center"/>
                </w:tcPr>
                <w:p w14:paraId="25ABB55B">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r>
            <w:tr w14:paraId="49A1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31" w:type="pct"/>
                  <w:vAlign w:val="center"/>
                </w:tcPr>
                <w:p w14:paraId="4027F199">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6</w:t>
                  </w:r>
                </w:p>
              </w:tc>
              <w:tc>
                <w:tcPr>
                  <w:tcW w:w="676" w:type="pct"/>
                  <w:vAlign w:val="center"/>
                </w:tcPr>
                <w:p w14:paraId="576C4609">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石油类</w:t>
                  </w:r>
                </w:p>
              </w:tc>
              <w:tc>
                <w:tcPr>
                  <w:tcW w:w="1184" w:type="pct"/>
                  <w:vMerge w:val="continue"/>
                  <w:vAlign w:val="center"/>
                </w:tcPr>
                <w:p w14:paraId="6FC79DBC">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p>
              </w:tc>
              <w:tc>
                <w:tcPr>
                  <w:tcW w:w="1830" w:type="pct"/>
                  <w:vAlign w:val="center"/>
                </w:tcPr>
                <w:p w14:paraId="57FB26AA">
                  <w:pPr>
                    <w:pStyle w:val="13"/>
                    <w:keepNext w:val="0"/>
                    <w:keepLines w:val="0"/>
                    <w:widowControl/>
                    <w:suppressLineNumbers w:val="0"/>
                    <w:spacing w:before="0" w:beforeAutospacing="0" w:after="0" w:afterAutospacing="0" w:line="0" w:lineRule="atLeast"/>
                    <w:ind w:left="0" w:right="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GB17378.5-2007/13.2</w:t>
                  </w:r>
                </w:p>
                <w:p w14:paraId="59071ADA">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紫外分光光度法</w:t>
                  </w:r>
                </w:p>
              </w:tc>
              <w:tc>
                <w:tcPr>
                  <w:tcW w:w="876" w:type="pct"/>
                  <w:vAlign w:val="center"/>
                </w:tcPr>
                <w:p w14:paraId="009E07E6">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r>
            <w:tr w14:paraId="41B7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31" w:type="pct"/>
                  <w:vAlign w:val="center"/>
                </w:tcPr>
                <w:p w14:paraId="59D73957">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7</w:t>
                  </w:r>
                </w:p>
              </w:tc>
              <w:tc>
                <w:tcPr>
                  <w:tcW w:w="676" w:type="pct"/>
                  <w:vAlign w:val="center"/>
                </w:tcPr>
                <w:p w14:paraId="30BF9FDD">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总铬（Cr）</w:t>
                  </w:r>
                </w:p>
              </w:tc>
              <w:tc>
                <w:tcPr>
                  <w:tcW w:w="1184" w:type="pct"/>
                  <w:vMerge w:val="continue"/>
                  <w:vAlign w:val="center"/>
                </w:tcPr>
                <w:p w14:paraId="4264B248">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p>
              </w:tc>
              <w:tc>
                <w:tcPr>
                  <w:tcW w:w="1830" w:type="pct"/>
                  <w:vAlign w:val="center"/>
                </w:tcPr>
                <w:p w14:paraId="2C185B8F">
                  <w:pPr>
                    <w:pStyle w:val="13"/>
                    <w:keepNext w:val="0"/>
                    <w:keepLines w:val="0"/>
                    <w:widowControl/>
                    <w:suppressLineNumbers w:val="0"/>
                    <w:spacing w:before="0" w:beforeAutospacing="0" w:after="0" w:afterAutospacing="0" w:line="0" w:lineRule="atLeast"/>
                    <w:ind w:left="0" w:right="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GB17378.5-2007/10.1</w:t>
                  </w:r>
                </w:p>
                <w:p w14:paraId="3D7D49E7">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无火焰原子吸收分光光度法</w:t>
                  </w:r>
                </w:p>
              </w:tc>
              <w:tc>
                <w:tcPr>
                  <w:tcW w:w="876" w:type="pct"/>
                  <w:vAlign w:val="center"/>
                </w:tcPr>
                <w:p w14:paraId="0A88EB4D">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r>
            <w:tr w14:paraId="7B78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1" w:type="pct"/>
                  <w:vAlign w:val="center"/>
                </w:tcPr>
                <w:p w14:paraId="3EA5DAAC">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8</w:t>
                  </w:r>
                </w:p>
              </w:tc>
              <w:tc>
                <w:tcPr>
                  <w:tcW w:w="676" w:type="pct"/>
                  <w:vAlign w:val="center"/>
                </w:tcPr>
                <w:p w14:paraId="7BC2BC24">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砷（As）</w:t>
                  </w:r>
                </w:p>
              </w:tc>
              <w:tc>
                <w:tcPr>
                  <w:tcW w:w="1184" w:type="pct"/>
                  <w:vMerge w:val="continue"/>
                  <w:vAlign w:val="center"/>
                </w:tcPr>
                <w:p w14:paraId="78B8B21A">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p>
              </w:tc>
              <w:tc>
                <w:tcPr>
                  <w:tcW w:w="1830" w:type="pct"/>
                  <w:vAlign w:val="center"/>
                </w:tcPr>
                <w:p w14:paraId="6095878E">
                  <w:pPr>
                    <w:pStyle w:val="13"/>
                    <w:keepNext w:val="0"/>
                    <w:keepLines w:val="0"/>
                    <w:widowControl/>
                    <w:suppressLineNumbers w:val="0"/>
                    <w:spacing w:before="0" w:beforeAutospacing="0" w:after="0" w:afterAutospacing="0" w:line="0" w:lineRule="atLeast"/>
                    <w:ind w:left="0" w:right="0"/>
                    <w:jc w:val="center"/>
                    <w:rPr>
                      <w:rFonts w:hint="eastAsia"/>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GB17378.5-2007/11.1</w:t>
                  </w:r>
                  <w:r>
                    <w:rPr>
                      <w:rFonts w:hint="eastAsia"/>
                      <w:color w:val="000000" w:themeColor="text1"/>
                      <w:szCs w:val="21"/>
                      <w14:textFill>
                        <w14:solidFill>
                          <w14:schemeClr w14:val="tx1"/>
                        </w14:solidFill>
                      </w14:textFill>
                    </w:rPr>
                    <w:t>原子荧光法</w:t>
                  </w:r>
                </w:p>
              </w:tc>
              <w:tc>
                <w:tcPr>
                  <w:tcW w:w="876" w:type="pct"/>
                  <w:vAlign w:val="center"/>
                </w:tcPr>
                <w:p w14:paraId="637E3304">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0.06</w:t>
                  </w:r>
                </w:p>
              </w:tc>
            </w:tr>
            <w:tr w14:paraId="7283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31" w:type="pct"/>
                  <w:vAlign w:val="center"/>
                </w:tcPr>
                <w:p w14:paraId="49394DD6">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9</w:t>
                  </w:r>
                </w:p>
              </w:tc>
              <w:tc>
                <w:tcPr>
                  <w:tcW w:w="676" w:type="pct"/>
                  <w:vAlign w:val="center"/>
                </w:tcPr>
                <w:p w14:paraId="366BD3A6">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有机碳</w:t>
                  </w:r>
                </w:p>
              </w:tc>
              <w:tc>
                <w:tcPr>
                  <w:tcW w:w="1184" w:type="pct"/>
                  <w:vMerge w:val="continue"/>
                  <w:vAlign w:val="center"/>
                </w:tcPr>
                <w:p w14:paraId="61A35707">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p>
              </w:tc>
              <w:tc>
                <w:tcPr>
                  <w:tcW w:w="1830" w:type="pct"/>
                  <w:vAlign w:val="center"/>
                </w:tcPr>
                <w:p w14:paraId="524E8B92">
                  <w:pPr>
                    <w:pStyle w:val="13"/>
                    <w:keepNext w:val="0"/>
                    <w:keepLines w:val="0"/>
                    <w:widowControl/>
                    <w:suppressLineNumbers w:val="0"/>
                    <w:spacing w:before="0" w:beforeAutospacing="0" w:after="0" w:afterAutospacing="0" w:line="0" w:lineRule="atLeast"/>
                    <w:ind w:left="0" w:right="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GB17378.5-2007/18.1重铬酸钾氧化-还原容量法</w:t>
                  </w:r>
                </w:p>
              </w:tc>
              <w:tc>
                <w:tcPr>
                  <w:tcW w:w="876" w:type="pct"/>
                  <w:vAlign w:val="center"/>
                </w:tcPr>
                <w:p w14:paraId="2A4D4CB0">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0.10%</w:t>
                  </w:r>
                </w:p>
              </w:tc>
            </w:tr>
            <w:tr w14:paraId="1590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31" w:type="pct"/>
                  <w:vAlign w:val="center"/>
                </w:tcPr>
                <w:p w14:paraId="431AEE17">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10</w:t>
                  </w:r>
                </w:p>
              </w:tc>
              <w:tc>
                <w:tcPr>
                  <w:tcW w:w="676" w:type="pct"/>
                  <w:vAlign w:val="center"/>
                </w:tcPr>
                <w:p w14:paraId="7B2CC7E3">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硫化物</w:t>
                  </w:r>
                </w:p>
              </w:tc>
              <w:tc>
                <w:tcPr>
                  <w:tcW w:w="1184" w:type="pct"/>
                  <w:vAlign w:val="center"/>
                </w:tcPr>
                <w:p w14:paraId="7FFD4001">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玻璃瓶，冷冻避光保存</w:t>
                  </w:r>
                </w:p>
              </w:tc>
              <w:tc>
                <w:tcPr>
                  <w:tcW w:w="1830" w:type="pct"/>
                  <w:vAlign w:val="center"/>
                </w:tcPr>
                <w:p w14:paraId="318D5FF9">
                  <w:pPr>
                    <w:pStyle w:val="13"/>
                    <w:keepNext w:val="0"/>
                    <w:keepLines w:val="0"/>
                    <w:widowControl/>
                    <w:suppressLineNumbers w:val="0"/>
                    <w:spacing w:before="0" w:beforeAutospacing="0" w:after="0" w:afterAutospacing="0" w:line="0" w:lineRule="atLeast"/>
                    <w:ind w:left="0" w:right="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GB17378.5-2007/17.1亚甲基蓝分光光度法</w:t>
                  </w:r>
                </w:p>
              </w:tc>
              <w:tc>
                <w:tcPr>
                  <w:tcW w:w="876" w:type="pct"/>
                  <w:vAlign w:val="center"/>
                </w:tcPr>
                <w:p w14:paraId="17A7A5CE">
                  <w:pPr>
                    <w:pStyle w:val="84"/>
                    <w:keepNext w:val="0"/>
                    <w:keepLines w:val="0"/>
                    <w:suppressLineNumbers w:val="0"/>
                    <w:wordWrap/>
                    <w:spacing w:before="0" w:beforeAutospacing="0" w:after="0" w:afterAutospacing="0" w:line="0" w:lineRule="atLeast"/>
                    <w:ind w:left="0"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w:t>
                  </w:r>
                </w:p>
              </w:tc>
            </w:tr>
          </w:tbl>
          <w:p w14:paraId="4E5FD062">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rPr>
              <w:t>②评价</w:t>
            </w:r>
            <w:r>
              <w:rPr>
                <w:rFonts w:hint="eastAsia"/>
                <w:b/>
                <w:color w:val="auto"/>
                <w:kern w:val="0"/>
                <w:sz w:val="24"/>
                <w:lang w:val="en-US" w:eastAsia="zh-CN"/>
              </w:rPr>
              <w:t>标准及</w:t>
            </w:r>
            <w:r>
              <w:rPr>
                <w:rFonts w:hint="eastAsia"/>
                <w:b/>
                <w:color w:val="auto"/>
                <w:kern w:val="0"/>
                <w:sz w:val="24"/>
              </w:rPr>
              <w:t>方法</w:t>
            </w:r>
          </w:p>
          <w:p w14:paraId="349FD21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本次调查依据《海洋沉积物质量》（GB18668-2002）规定进行海洋沉积物标准分类，见表3.</w:t>
            </w:r>
            <w:r>
              <w:rPr>
                <w:rFonts w:hint="eastAsia" w:ascii="Times New Roman" w:hAnsi="Times New Roman" w:eastAsia="宋体" w:cs="Times New Roman"/>
                <w:color w:val="auto"/>
                <w:sz w:val="24"/>
                <w:lang w:val="en-US" w:eastAsia="zh-CN"/>
              </w:rPr>
              <w:t>5-5</w:t>
            </w:r>
            <w:r>
              <w:rPr>
                <w:rFonts w:hint="eastAsia" w:ascii="Times New Roman" w:hAnsi="Times New Roman" w:eastAsia="宋体" w:cs="Times New Roman"/>
                <w:color w:val="auto"/>
                <w:sz w:val="24"/>
              </w:rPr>
              <w:t>。</w:t>
            </w:r>
          </w:p>
          <w:p w14:paraId="724CCF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3.5-5</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 xml:space="preserve"> </w:t>
            </w:r>
            <w:r>
              <w:rPr>
                <w:rFonts w:hint="eastAsia" w:ascii="Times New Roman" w:hAnsi="Times New Roman" w:cs="Times New Roman"/>
                <w:b/>
                <w:bCs/>
                <w:color w:val="auto"/>
                <w:kern w:val="0"/>
                <w:sz w:val="21"/>
                <w:szCs w:val="21"/>
                <w:lang w:val="en-US" w:eastAsia="ja-JP"/>
              </w:rPr>
              <w:t>海洋沉积物质量</w:t>
            </w:r>
          </w:p>
          <w:tbl>
            <w:tblPr>
              <w:tblStyle w:val="28"/>
              <w:tblpPr w:leftFromText="180" w:rightFromText="180" w:vertAnchor="text" w:horzAnchor="margin" w:tblpXSpec="center" w:tblpY="9"/>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52"/>
              <w:gridCol w:w="1030"/>
              <w:gridCol w:w="1449"/>
              <w:gridCol w:w="1535"/>
              <w:gridCol w:w="1543"/>
            </w:tblGrid>
            <w:tr w14:paraId="323AF13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07D1505A">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1603" w:type="pct"/>
                  <w:gridSpan w:val="2"/>
                  <w:tcBorders>
                    <w:top w:val="single" w:color="auto" w:sz="4" w:space="0"/>
                    <w:left w:val="single" w:color="auto" w:sz="4" w:space="0"/>
                    <w:bottom w:val="single" w:color="auto" w:sz="4" w:space="0"/>
                    <w:right w:val="single" w:color="auto" w:sz="4" w:space="0"/>
                  </w:tcBorders>
                  <w:vAlign w:val="center"/>
                </w:tcPr>
                <w:p w14:paraId="0404486B">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项目</w:t>
                  </w:r>
                </w:p>
              </w:tc>
              <w:tc>
                <w:tcPr>
                  <w:tcW w:w="835" w:type="pct"/>
                  <w:tcBorders>
                    <w:top w:val="single" w:color="auto" w:sz="4" w:space="0"/>
                    <w:left w:val="single" w:color="auto" w:sz="4" w:space="0"/>
                    <w:bottom w:val="single" w:color="auto" w:sz="4" w:space="0"/>
                    <w:right w:val="single" w:color="auto" w:sz="4" w:space="0"/>
                  </w:tcBorders>
                  <w:vAlign w:val="center"/>
                </w:tcPr>
                <w:p w14:paraId="335ADB6E">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第一类</w:t>
                  </w:r>
                </w:p>
              </w:tc>
              <w:tc>
                <w:tcPr>
                  <w:tcW w:w="885" w:type="pct"/>
                  <w:tcBorders>
                    <w:top w:val="single" w:color="auto" w:sz="4" w:space="0"/>
                    <w:left w:val="single" w:color="auto" w:sz="4" w:space="0"/>
                    <w:bottom w:val="single" w:color="auto" w:sz="4" w:space="0"/>
                    <w:right w:val="single" w:color="auto" w:sz="4" w:space="0"/>
                  </w:tcBorders>
                  <w:vAlign w:val="center"/>
                </w:tcPr>
                <w:p w14:paraId="3FA0EB65">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第二类</w:t>
                  </w:r>
                </w:p>
              </w:tc>
              <w:tc>
                <w:tcPr>
                  <w:tcW w:w="890" w:type="pct"/>
                  <w:tcBorders>
                    <w:top w:val="single" w:color="auto" w:sz="4" w:space="0"/>
                    <w:left w:val="single" w:color="auto" w:sz="4" w:space="0"/>
                    <w:bottom w:val="single" w:color="auto" w:sz="4" w:space="0"/>
                    <w:right w:val="single" w:color="auto" w:sz="4" w:space="0"/>
                  </w:tcBorders>
                  <w:vAlign w:val="center"/>
                </w:tcPr>
                <w:p w14:paraId="1B7352C4">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第三类</w:t>
                  </w:r>
                </w:p>
              </w:tc>
            </w:tr>
            <w:tr w14:paraId="2EA50E9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1A446D7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010" w:type="pct"/>
                  <w:tcBorders>
                    <w:top w:val="single" w:color="auto" w:sz="4" w:space="0"/>
                    <w:left w:val="single" w:color="auto" w:sz="4" w:space="0"/>
                    <w:bottom w:val="single" w:color="auto" w:sz="4" w:space="0"/>
                    <w:right w:val="single" w:color="auto" w:sz="4" w:space="0"/>
                  </w:tcBorders>
                  <w:vAlign w:val="center"/>
                </w:tcPr>
                <w:p w14:paraId="4E279D8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铜≤</w:t>
                  </w:r>
                </w:p>
              </w:tc>
              <w:tc>
                <w:tcPr>
                  <w:tcW w:w="594" w:type="pct"/>
                  <w:vMerge w:val="restart"/>
                  <w:tcBorders>
                    <w:top w:val="single" w:color="auto" w:sz="4" w:space="0"/>
                    <w:left w:val="single" w:color="auto" w:sz="4" w:space="0"/>
                    <w:right w:val="single" w:color="auto" w:sz="4" w:space="0"/>
                  </w:tcBorders>
                  <w:vAlign w:val="center"/>
                </w:tcPr>
                <w:p w14:paraId="60D3528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r>
                    <w:rPr>
                      <w:rFonts w:hint="eastAsia"/>
                      <w:color w:val="000000" w:themeColor="text1"/>
                      <w:sz w:val="21"/>
                      <w:szCs w:val="21"/>
                      <w:vertAlign w:val="superscript"/>
                      <w14:textFill>
                        <w14:solidFill>
                          <w14:schemeClr w14:val="tx1"/>
                        </w14:solidFill>
                      </w14:textFill>
                    </w:rPr>
                    <w:t>-6</w:t>
                  </w:r>
                </w:p>
              </w:tc>
              <w:tc>
                <w:tcPr>
                  <w:tcW w:w="835" w:type="pct"/>
                  <w:tcBorders>
                    <w:top w:val="single" w:color="auto" w:sz="4" w:space="0"/>
                    <w:left w:val="single" w:color="auto" w:sz="4" w:space="0"/>
                    <w:bottom w:val="single" w:color="auto" w:sz="4" w:space="0"/>
                    <w:right w:val="single" w:color="auto" w:sz="4" w:space="0"/>
                  </w:tcBorders>
                  <w:vAlign w:val="center"/>
                </w:tcPr>
                <w:p w14:paraId="2612FDD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885" w:type="pct"/>
                  <w:tcBorders>
                    <w:top w:val="single" w:color="auto" w:sz="4" w:space="0"/>
                    <w:left w:val="single" w:color="auto" w:sz="4" w:space="0"/>
                    <w:bottom w:val="single" w:color="auto" w:sz="4" w:space="0"/>
                    <w:right w:val="single" w:color="auto" w:sz="4" w:space="0"/>
                  </w:tcBorders>
                  <w:vAlign w:val="center"/>
                </w:tcPr>
                <w:p w14:paraId="41A1A67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890" w:type="pct"/>
                  <w:tcBorders>
                    <w:top w:val="single" w:color="auto" w:sz="4" w:space="0"/>
                    <w:left w:val="single" w:color="auto" w:sz="4" w:space="0"/>
                    <w:bottom w:val="single" w:color="auto" w:sz="4" w:space="0"/>
                    <w:right w:val="single" w:color="auto" w:sz="4" w:space="0"/>
                  </w:tcBorders>
                  <w:vAlign w:val="center"/>
                </w:tcPr>
                <w:p w14:paraId="717B9F8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r>
            <w:tr w14:paraId="4517595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0D2E529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010" w:type="pct"/>
                  <w:tcBorders>
                    <w:top w:val="single" w:color="auto" w:sz="4" w:space="0"/>
                    <w:left w:val="single" w:color="auto" w:sz="4" w:space="0"/>
                    <w:bottom w:val="single" w:color="auto" w:sz="4" w:space="0"/>
                    <w:right w:val="single" w:color="auto" w:sz="4" w:space="0"/>
                  </w:tcBorders>
                  <w:vAlign w:val="center"/>
                </w:tcPr>
                <w:p w14:paraId="4523FFA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铅≤</w:t>
                  </w:r>
                </w:p>
              </w:tc>
              <w:tc>
                <w:tcPr>
                  <w:tcW w:w="594" w:type="pct"/>
                  <w:vMerge w:val="continue"/>
                  <w:tcBorders>
                    <w:left w:val="single" w:color="auto" w:sz="4" w:space="0"/>
                    <w:right w:val="single" w:color="auto" w:sz="4" w:space="0"/>
                  </w:tcBorders>
                  <w:vAlign w:val="center"/>
                </w:tcPr>
                <w:p w14:paraId="11130FA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835" w:type="pct"/>
                  <w:tcBorders>
                    <w:top w:val="single" w:color="auto" w:sz="4" w:space="0"/>
                    <w:left w:val="single" w:color="auto" w:sz="4" w:space="0"/>
                    <w:bottom w:val="single" w:color="auto" w:sz="4" w:space="0"/>
                    <w:right w:val="single" w:color="auto" w:sz="4" w:space="0"/>
                  </w:tcBorders>
                  <w:vAlign w:val="center"/>
                </w:tcPr>
                <w:p w14:paraId="234CEBD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885" w:type="pct"/>
                  <w:tcBorders>
                    <w:top w:val="single" w:color="auto" w:sz="4" w:space="0"/>
                    <w:left w:val="single" w:color="auto" w:sz="4" w:space="0"/>
                    <w:bottom w:val="single" w:color="auto" w:sz="4" w:space="0"/>
                    <w:right w:val="single" w:color="auto" w:sz="4" w:space="0"/>
                  </w:tcBorders>
                  <w:vAlign w:val="center"/>
                </w:tcPr>
                <w:p w14:paraId="59004CF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130</w:t>
                  </w:r>
                </w:p>
              </w:tc>
              <w:tc>
                <w:tcPr>
                  <w:tcW w:w="890" w:type="pct"/>
                  <w:tcBorders>
                    <w:top w:val="single" w:color="auto" w:sz="4" w:space="0"/>
                    <w:left w:val="single" w:color="auto" w:sz="4" w:space="0"/>
                    <w:bottom w:val="single" w:color="auto" w:sz="4" w:space="0"/>
                    <w:right w:val="single" w:color="auto" w:sz="4" w:space="0"/>
                  </w:tcBorders>
                  <w:vAlign w:val="center"/>
                </w:tcPr>
                <w:p w14:paraId="7B9603A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r>
            <w:tr w14:paraId="73D03A7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2BCC1F1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010" w:type="pct"/>
                  <w:tcBorders>
                    <w:top w:val="single" w:color="auto" w:sz="4" w:space="0"/>
                    <w:left w:val="single" w:color="auto" w:sz="4" w:space="0"/>
                    <w:bottom w:val="single" w:color="auto" w:sz="4" w:space="0"/>
                    <w:right w:val="single" w:color="auto" w:sz="4" w:space="0"/>
                  </w:tcBorders>
                  <w:vAlign w:val="center"/>
                </w:tcPr>
                <w:p w14:paraId="50D0F10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锌≤</w:t>
                  </w:r>
                </w:p>
              </w:tc>
              <w:tc>
                <w:tcPr>
                  <w:tcW w:w="594" w:type="pct"/>
                  <w:vMerge w:val="continue"/>
                  <w:tcBorders>
                    <w:left w:val="single" w:color="auto" w:sz="4" w:space="0"/>
                    <w:right w:val="single" w:color="auto" w:sz="4" w:space="0"/>
                  </w:tcBorders>
                  <w:vAlign w:val="center"/>
                </w:tcPr>
                <w:p w14:paraId="7ABB33D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835" w:type="pct"/>
                  <w:tcBorders>
                    <w:top w:val="single" w:color="auto" w:sz="4" w:space="0"/>
                    <w:left w:val="single" w:color="auto" w:sz="4" w:space="0"/>
                    <w:bottom w:val="single" w:color="auto" w:sz="4" w:space="0"/>
                    <w:right w:val="single" w:color="auto" w:sz="4" w:space="0"/>
                  </w:tcBorders>
                  <w:vAlign w:val="center"/>
                </w:tcPr>
                <w:p w14:paraId="7AC0B5F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885" w:type="pct"/>
                  <w:tcBorders>
                    <w:top w:val="single" w:color="auto" w:sz="4" w:space="0"/>
                    <w:left w:val="single" w:color="auto" w:sz="4" w:space="0"/>
                    <w:bottom w:val="single" w:color="auto" w:sz="4" w:space="0"/>
                    <w:right w:val="single" w:color="auto" w:sz="4" w:space="0"/>
                  </w:tcBorders>
                  <w:vAlign w:val="center"/>
                </w:tcPr>
                <w:p w14:paraId="4E10BBB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350</w:t>
                  </w:r>
                </w:p>
              </w:tc>
              <w:tc>
                <w:tcPr>
                  <w:tcW w:w="890" w:type="pct"/>
                  <w:tcBorders>
                    <w:top w:val="single" w:color="auto" w:sz="4" w:space="0"/>
                    <w:left w:val="single" w:color="auto" w:sz="4" w:space="0"/>
                    <w:bottom w:val="single" w:color="auto" w:sz="4" w:space="0"/>
                    <w:right w:val="single" w:color="auto" w:sz="4" w:space="0"/>
                  </w:tcBorders>
                  <w:vAlign w:val="center"/>
                </w:tcPr>
                <w:p w14:paraId="72FD206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600</w:t>
                  </w:r>
                </w:p>
              </w:tc>
            </w:tr>
            <w:tr w14:paraId="2409F55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165F288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010" w:type="pct"/>
                  <w:tcBorders>
                    <w:top w:val="single" w:color="auto" w:sz="4" w:space="0"/>
                    <w:left w:val="single" w:color="auto" w:sz="4" w:space="0"/>
                    <w:bottom w:val="single" w:color="auto" w:sz="4" w:space="0"/>
                    <w:right w:val="single" w:color="auto" w:sz="4" w:space="0"/>
                  </w:tcBorders>
                  <w:vAlign w:val="center"/>
                </w:tcPr>
                <w:p w14:paraId="5BA2289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镉≤</w:t>
                  </w:r>
                </w:p>
              </w:tc>
              <w:tc>
                <w:tcPr>
                  <w:tcW w:w="594" w:type="pct"/>
                  <w:vMerge w:val="continue"/>
                  <w:tcBorders>
                    <w:left w:val="single" w:color="auto" w:sz="4" w:space="0"/>
                    <w:right w:val="single" w:color="auto" w:sz="4" w:space="0"/>
                  </w:tcBorders>
                  <w:vAlign w:val="center"/>
                </w:tcPr>
                <w:p w14:paraId="76FC247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835" w:type="pct"/>
                  <w:tcBorders>
                    <w:top w:val="single" w:color="auto" w:sz="4" w:space="0"/>
                    <w:left w:val="single" w:color="auto" w:sz="4" w:space="0"/>
                    <w:bottom w:val="single" w:color="auto" w:sz="4" w:space="0"/>
                    <w:right w:val="single" w:color="auto" w:sz="4" w:space="0"/>
                  </w:tcBorders>
                  <w:vAlign w:val="center"/>
                </w:tcPr>
                <w:p w14:paraId="42109E0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p>
              </w:tc>
              <w:tc>
                <w:tcPr>
                  <w:tcW w:w="885" w:type="pct"/>
                  <w:tcBorders>
                    <w:top w:val="single" w:color="auto" w:sz="4" w:space="0"/>
                    <w:left w:val="single" w:color="auto" w:sz="4" w:space="0"/>
                    <w:bottom w:val="single" w:color="auto" w:sz="4" w:space="0"/>
                    <w:right w:val="single" w:color="auto" w:sz="4" w:space="0"/>
                  </w:tcBorders>
                  <w:vAlign w:val="center"/>
                </w:tcPr>
                <w:p w14:paraId="128AA16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890" w:type="pct"/>
                  <w:tcBorders>
                    <w:top w:val="single" w:color="auto" w:sz="4" w:space="0"/>
                    <w:left w:val="single" w:color="auto" w:sz="4" w:space="0"/>
                    <w:bottom w:val="single" w:color="auto" w:sz="4" w:space="0"/>
                    <w:right w:val="single" w:color="auto" w:sz="4" w:space="0"/>
                  </w:tcBorders>
                  <w:vAlign w:val="center"/>
                </w:tcPr>
                <w:p w14:paraId="6B5E846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r>
            <w:tr w14:paraId="2AFADBC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2D155AE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010" w:type="pct"/>
                  <w:tcBorders>
                    <w:top w:val="single" w:color="auto" w:sz="4" w:space="0"/>
                    <w:left w:val="single" w:color="auto" w:sz="4" w:space="0"/>
                    <w:bottom w:val="single" w:color="auto" w:sz="4" w:space="0"/>
                    <w:right w:val="single" w:color="auto" w:sz="4" w:space="0"/>
                  </w:tcBorders>
                  <w:vAlign w:val="center"/>
                </w:tcPr>
                <w:p w14:paraId="274C288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总汞≤</w:t>
                  </w:r>
                </w:p>
              </w:tc>
              <w:tc>
                <w:tcPr>
                  <w:tcW w:w="594" w:type="pct"/>
                  <w:vMerge w:val="continue"/>
                  <w:tcBorders>
                    <w:left w:val="single" w:color="auto" w:sz="4" w:space="0"/>
                    <w:right w:val="single" w:color="auto" w:sz="4" w:space="0"/>
                  </w:tcBorders>
                  <w:vAlign w:val="center"/>
                </w:tcPr>
                <w:p w14:paraId="2FBBA52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835" w:type="pct"/>
                  <w:tcBorders>
                    <w:top w:val="single" w:color="auto" w:sz="4" w:space="0"/>
                    <w:left w:val="single" w:color="auto" w:sz="4" w:space="0"/>
                    <w:bottom w:val="single" w:color="auto" w:sz="4" w:space="0"/>
                    <w:right w:val="single" w:color="auto" w:sz="4" w:space="0"/>
                  </w:tcBorders>
                  <w:vAlign w:val="center"/>
                </w:tcPr>
                <w:p w14:paraId="4CBA8D8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c>
                <w:tcPr>
                  <w:tcW w:w="885" w:type="pct"/>
                  <w:tcBorders>
                    <w:top w:val="single" w:color="auto" w:sz="4" w:space="0"/>
                    <w:left w:val="single" w:color="auto" w:sz="4" w:space="0"/>
                    <w:bottom w:val="single" w:color="auto" w:sz="4" w:space="0"/>
                    <w:right w:val="single" w:color="auto" w:sz="4" w:space="0"/>
                  </w:tcBorders>
                  <w:vAlign w:val="center"/>
                </w:tcPr>
                <w:p w14:paraId="2BD5144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p>
              </w:tc>
              <w:tc>
                <w:tcPr>
                  <w:tcW w:w="890" w:type="pct"/>
                  <w:tcBorders>
                    <w:top w:val="single" w:color="auto" w:sz="4" w:space="0"/>
                    <w:left w:val="single" w:color="auto" w:sz="4" w:space="0"/>
                    <w:bottom w:val="single" w:color="auto" w:sz="4" w:space="0"/>
                    <w:right w:val="single" w:color="auto" w:sz="4" w:space="0"/>
                  </w:tcBorders>
                  <w:vAlign w:val="center"/>
                </w:tcPr>
                <w:p w14:paraId="2878525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r>
            <w:tr w14:paraId="27686E4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74CEE9F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10" w:type="pct"/>
                  <w:tcBorders>
                    <w:top w:val="single" w:color="auto" w:sz="4" w:space="0"/>
                    <w:left w:val="single" w:color="auto" w:sz="4" w:space="0"/>
                    <w:bottom w:val="single" w:color="auto" w:sz="4" w:space="0"/>
                    <w:right w:val="single" w:color="auto" w:sz="4" w:space="0"/>
                  </w:tcBorders>
                  <w:vAlign w:val="center"/>
                </w:tcPr>
                <w:p w14:paraId="40F18B4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砷≤</w:t>
                  </w:r>
                </w:p>
              </w:tc>
              <w:tc>
                <w:tcPr>
                  <w:tcW w:w="594" w:type="pct"/>
                  <w:vMerge w:val="continue"/>
                  <w:tcBorders>
                    <w:left w:val="single" w:color="auto" w:sz="4" w:space="0"/>
                    <w:right w:val="single" w:color="auto" w:sz="4" w:space="0"/>
                  </w:tcBorders>
                  <w:vAlign w:val="center"/>
                </w:tcPr>
                <w:p w14:paraId="0D7A179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835" w:type="pct"/>
                  <w:tcBorders>
                    <w:top w:val="single" w:color="auto" w:sz="4" w:space="0"/>
                    <w:left w:val="single" w:color="auto" w:sz="4" w:space="0"/>
                    <w:bottom w:val="single" w:color="auto" w:sz="4" w:space="0"/>
                    <w:right w:val="single" w:color="auto" w:sz="4" w:space="0"/>
                  </w:tcBorders>
                  <w:vAlign w:val="center"/>
                </w:tcPr>
                <w:p w14:paraId="1FE6BC3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885" w:type="pct"/>
                  <w:tcBorders>
                    <w:top w:val="single" w:color="auto" w:sz="4" w:space="0"/>
                    <w:left w:val="single" w:color="auto" w:sz="4" w:space="0"/>
                    <w:bottom w:val="single" w:color="auto" w:sz="4" w:space="0"/>
                    <w:right w:val="single" w:color="auto" w:sz="4" w:space="0"/>
                  </w:tcBorders>
                  <w:vAlign w:val="center"/>
                </w:tcPr>
                <w:p w14:paraId="71CE653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890" w:type="pct"/>
                  <w:tcBorders>
                    <w:top w:val="single" w:color="auto" w:sz="4" w:space="0"/>
                    <w:left w:val="single" w:color="auto" w:sz="4" w:space="0"/>
                    <w:bottom w:val="single" w:color="auto" w:sz="4" w:space="0"/>
                    <w:right w:val="single" w:color="auto" w:sz="4" w:space="0"/>
                  </w:tcBorders>
                  <w:vAlign w:val="center"/>
                </w:tcPr>
                <w:p w14:paraId="160DB86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93</w:t>
                  </w:r>
                </w:p>
              </w:tc>
            </w:tr>
            <w:tr w14:paraId="5C51822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6C5BADB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1010" w:type="pct"/>
                  <w:tcBorders>
                    <w:top w:val="single" w:color="auto" w:sz="4" w:space="0"/>
                    <w:left w:val="single" w:color="auto" w:sz="4" w:space="0"/>
                    <w:bottom w:val="single" w:color="auto" w:sz="4" w:space="0"/>
                    <w:right w:val="single" w:color="auto" w:sz="4" w:space="0"/>
                  </w:tcBorders>
                  <w:vAlign w:val="center"/>
                </w:tcPr>
                <w:p w14:paraId="14239B4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石油类≤</w:t>
                  </w:r>
                </w:p>
              </w:tc>
              <w:tc>
                <w:tcPr>
                  <w:tcW w:w="594" w:type="pct"/>
                  <w:vMerge w:val="continue"/>
                  <w:tcBorders>
                    <w:left w:val="single" w:color="auto" w:sz="4" w:space="0"/>
                    <w:right w:val="single" w:color="auto" w:sz="4" w:space="0"/>
                  </w:tcBorders>
                  <w:vAlign w:val="center"/>
                </w:tcPr>
                <w:p w14:paraId="3509826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835" w:type="pct"/>
                  <w:tcBorders>
                    <w:top w:val="single" w:color="auto" w:sz="4" w:space="0"/>
                    <w:left w:val="single" w:color="auto" w:sz="4" w:space="0"/>
                    <w:bottom w:val="single" w:color="auto" w:sz="4" w:space="0"/>
                    <w:right w:val="single" w:color="auto" w:sz="4" w:space="0"/>
                  </w:tcBorders>
                  <w:vAlign w:val="center"/>
                </w:tcPr>
                <w:p w14:paraId="48DCBAC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885" w:type="pct"/>
                  <w:tcBorders>
                    <w:top w:val="single" w:color="auto" w:sz="4" w:space="0"/>
                    <w:left w:val="single" w:color="auto" w:sz="4" w:space="0"/>
                    <w:bottom w:val="single" w:color="auto" w:sz="4" w:space="0"/>
                    <w:right w:val="single" w:color="auto" w:sz="4" w:space="0"/>
                  </w:tcBorders>
                  <w:vAlign w:val="center"/>
                </w:tcPr>
                <w:p w14:paraId="56F64CD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1000</w:t>
                  </w:r>
                </w:p>
              </w:tc>
              <w:tc>
                <w:tcPr>
                  <w:tcW w:w="890" w:type="pct"/>
                  <w:tcBorders>
                    <w:top w:val="single" w:color="auto" w:sz="4" w:space="0"/>
                    <w:left w:val="single" w:color="auto" w:sz="4" w:space="0"/>
                    <w:bottom w:val="single" w:color="auto" w:sz="4" w:space="0"/>
                    <w:right w:val="single" w:color="auto" w:sz="4" w:space="0"/>
                  </w:tcBorders>
                  <w:vAlign w:val="center"/>
                </w:tcPr>
                <w:p w14:paraId="41EDD6A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1500</w:t>
                  </w:r>
                </w:p>
              </w:tc>
            </w:tr>
            <w:tr w14:paraId="26A54FB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3DFA6A0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1010" w:type="pct"/>
                  <w:tcBorders>
                    <w:top w:val="single" w:color="auto" w:sz="4" w:space="0"/>
                    <w:left w:val="single" w:color="auto" w:sz="4" w:space="0"/>
                    <w:bottom w:val="single" w:color="auto" w:sz="4" w:space="0"/>
                    <w:right w:val="single" w:color="auto" w:sz="4" w:space="0"/>
                  </w:tcBorders>
                  <w:vAlign w:val="center"/>
                </w:tcPr>
                <w:p w14:paraId="4AC19AC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总铬</w:t>
                  </w:r>
                </w:p>
              </w:tc>
              <w:tc>
                <w:tcPr>
                  <w:tcW w:w="594" w:type="pct"/>
                  <w:vMerge w:val="continue"/>
                  <w:tcBorders>
                    <w:left w:val="single" w:color="auto" w:sz="4" w:space="0"/>
                    <w:right w:val="single" w:color="auto" w:sz="4" w:space="0"/>
                  </w:tcBorders>
                  <w:vAlign w:val="center"/>
                </w:tcPr>
                <w:p w14:paraId="005BAC2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835" w:type="pct"/>
                  <w:tcBorders>
                    <w:top w:val="single" w:color="auto" w:sz="4" w:space="0"/>
                    <w:left w:val="single" w:color="auto" w:sz="4" w:space="0"/>
                    <w:bottom w:val="single" w:color="auto" w:sz="4" w:space="0"/>
                    <w:right w:val="single" w:color="auto" w:sz="4" w:space="0"/>
                  </w:tcBorders>
                  <w:vAlign w:val="center"/>
                </w:tcPr>
                <w:p w14:paraId="57E7D7D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885" w:type="pct"/>
                  <w:tcBorders>
                    <w:top w:val="single" w:color="auto" w:sz="4" w:space="0"/>
                    <w:left w:val="single" w:color="auto" w:sz="4" w:space="0"/>
                    <w:bottom w:val="single" w:color="auto" w:sz="4" w:space="0"/>
                    <w:right w:val="single" w:color="auto" w:sz="4" w:space="0"/>
                  </w:tcBorders>
                  <w:vAlign w:val="center"/>
                </w:tcPr>
                <w:p w14:paraId="7450291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890" w:type="pct"/>
                  <w:tcBorders>
                    <w:top w:val="single" w:color="auto" w:sz="4" w:space="0"/>
                    <w:left w:val="single" w:color="auto" w:sz="4" w:space="0"/>
                    <w:bottom w:val="single" w:color="auto" w:sz="4" w:space="0"/>
                    <w:right w:val="single" w:color="auto" w:sz="4" w:space="0"/>
                  </w:tcBorders>
                  <w:vAlign w:val="center"/>
                </w:tcPr>
                <w:p w14:paraId="4246869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270</w:t>
                  </w:r>
                </w:p>
              </w:tc>
            </w:tr>
            <w:tr w14:paraId="7412AA9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2EEF7CD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010" w:type="pct"/>
                  <w:tcBorders>
                    <w:top w:val="single" w:color="auto" w:sz="4" w:space="0"/>
                    <w:left w:val="single" w:color="auto" w:sz="4" w:space="0"/>
                    <w:bottom w:val="single" w:color="auto" w:sz="4" w:space="0"/>
                    <w:right w:val="single" w:color="auto" w:sz="4" w:space="0"/>
                  </w:tcBorders>
                  <w:vAlign w:val="center"/>
                </w:tcPr>
                <w:p w14:paraId="3496074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硫化物</w:t>
                  </w:r>
                </w:p>
              </w:tc>
              <w:tc>
                <w:tcPr>
                  <w:tcW w:w="594" w:type="pct"/>
                  <w:vMerge w:val="continue"/>
                  <w:tcBorders>
                    <w:left w:val="single" w:color="auto" w:sz="4" w:space="0"/>
                    <w:bottom w:val="single" w:color="auto" w:sz="4" w:space="0"/>
                    <w:right w:val="single" w:color="auto" w:sz="4" w:space="0"/>
                  </w:tcBorders>
                  <w:vAlign w:val="center"/>
                </w:tcPr>
                <w:p w14:paraId="7AA1CBD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835" w:type="pct"/>
                  <w:tcBorders>
                    <w:top w:val="single" w:color="auto" w:sz="4" w:space="0"/>
                    <w:left w:val="single" w:color="auto" w:sz="4" w:space="0"/>
                    <w:bottom w:val="single" w:color="auto" w:sz="4" w:space="0"/>
                    <w:right w:val="single" w:color="auto" w:sz="4" w:space="0"/>
                  </w:tcBorders>
                  <w:vAlign w:val="center"/>
                </w:tcPr>
                <w:p w14:paraId="2C16C96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885" w:type="pct"/>
                  <w:tcBorders>
                    <w:top w:val="single" w:color="auto" w:sz="4" w:space="0"/>
                    <w:left w:val="single" w:color="auto" w:sz="4" w:space="0"/>
                    <w:bottom w:val="single" w:color="auto" w:sz="4" w:space="0"/>
                    <w:right w:val="single" w:color="auto" w:sz="4" w:space="0"/>
                  </w:tcBorders>
                  <w:vAlign w:val="center"/>
                </w:tcPr>
                <w:p w14:paraId="013978D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890" w:type="pct"/>
                  <w:tcBorders>
                    <w:top w:val="single" w:color="auto" w:sz="4" w:space="0"/>
                    <w:left w:val="single" w:color="auto" w:sz="4" w:space="0"/>
                    <w:bottom w:val="single" w:color="auto" w:sz="4" w:space="0"/>
                    <w:right w:val="single" w:color="auto" w:sz="4" w:space="0"/>
                  </w:tcBorders>
                  <w:vAlign w:val="center"/>
                </w:tcPr>
                <w:p w14:paraId="14DCC23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600</w:t>
                  </w:r>
                </w:p>
              </w:tc>
            </w:tr>
            <w:tr w14:paraId="1551628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7" w:type="pct"/>
                  <w:tcBorders>
                    <w:top w:val="single" w:color="auto" w:sz="4" w:space="0"/>
                    <w:left w:val="single" w:color="auto" w:sz="4" w:space="0"/>
                    <w:bottom w:val="single" w:color="auto" w:sz="4" w:space="0"/>
                    <w:right w:val="single" w:color="auto" w:sz="4" w:space="0"/>
                  </w:tcBorders>
                  <w:vAlign w:val="center"/>
                </w:tcPr>
                <w:p w14:paraId="0B27519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010" w:type="pct"/>
                  <w:tcBorders>
                    <w:top w:val="single" w:color="auto" w:sz="4" w:space="0"/>
                    <w:left w:val="single" w:color="auto" w:sz="4" w:space="0"/>
                    <w:bottom w:val="single" w:color="auto" w:sz="4" w:space="0"/>
                    <w:right w:val="single" w:color="auto" w:sz="4" w:space="0"/>
                  </w:tcBorders>
                  <w:vAlign w:val="center"/>
                </w:tcPr>
                <w:p w14:paraId="7E70D65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有机碳</w:t>
                  </w:r>
                </w:p>
              </w:tc>
              <w:tc>
                <w:tcPr>
                  <w:tcW w:w="594" w:type="pct"/>
                  <w:tcBorders>
                    <w:top w:val="single" w:color="auto" w:sz="4" w:space="0"/>
                    <w:left w:val="single" w:color="auto" w:sz="4" w:space="0"/>
                    <w:bottom w:val="single" w:color="auto" w:sz="4" w:space="0"/>
                    <w:right w:val="single" w:color="auto" w:sz="4" w:space="0"/>
                  </w:tcBorders>
                  <w:vAlign w:val="center"/>
                </w:tcPr>
                <w:p w14:paraId="49DC411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r>
                    <w:rPr>
                      <w:rFonts w:hint="eastAsia"/>
                      <w:color w:val="000000" w:themeColor="text1"/>
                      <w:sz w:val="21"/>
                      <w:szCs w:val="21"/>
                      <w:vertAlign w:val="superscript"/>
                      <w14:textFill>
                        <w14:solidFill>
                          <w14:schemeClr w14:val="tx1"/>
                        </w14:solidFill>
                      </w14:textFill>
                    </w:rPr>
                    <w:t>-2</w:t>
                  </w:r>
                </w:p>
              </w:tc>
              <w:tc>
                <w:tcPr>
                  <w:tcW w:w="835" w:type="pct"/>
                  <w:tcBorders>
                    <w:top w:val="single" w:color="auto" w:sz="4" w:space="0"/>
                    <w:left w:val="single" w:color="auto" w:sz="4" w:space="0"/>
                    <w:bottom w:val="single" w:color="auto" w:sz="4" w:space="0"/>
                    <w:right w:val="single" w:color="auto" w:sz="4" w:space="0"/>
                  </w:tcBorders>
                  <w:vAlign w:val="center"/>
                </w:tcPr>
                <w:p w14:paraId="21BAF0A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885" w:type="pct"/>
                  <w:tcBorders>
                    <w:top w:val="single" w:color="auto" w:sz="4" w:space="0"/>
                    <w:left w:val="single" w:color="auto" w:sz="4" w:space="0"/>
                    <w:bottom w:val="single" w:color="auto" w:sz="4" w:space="0"/>
                    <w:right w:val="single" w:color="auto" w:sz="4" w:space="0"/>
                  </w:tcBorders>
                  <w:vAlign w:val="center"/>
                </w:tcPr>
                <w:p w14:paraId="1BAEAE2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890" w:type="pct"/>
                  <w:tcBorders>
                    <w:top w:val="single" w:color="auto" w:sz="4" w:space="0"/>
                    <w:left w:val="single" w:color="auto" w:sz="4" w:space="0"/>
                    <w:bottom w:val="single" w:color="auto" w:sz="4" w:space="0"/>
                    <w:right w:val="single" w:color="auto" w:sz="4" w:space="0"/>
                  </w:tcBorders>
                  <w:vAlign w:val="center"/>
                </w:tcPr>
                <w:p w14:paraId="175AE6B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r>
          </w:tbl>
          <w:p w14:paraId="4CCA24A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评价方法同样采用单因子标准指数法，公式如下：</w:t>
            </w:r>
          </w:p>
          <w:p w14:paraId="01EE025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m:oMathPara>
              <m:oMath>
                <m:sSub>
                  <m:sSubPr>
                    <m:ctrlPr>
                      <w:rPr>
                        <w:rFonts w:hint="eastAsia" w:ascii="Cambria Math" w:hAnsi="Cambria Math" w:eastAsia="Cambria Math" w:cs="Cambria Math"/>
                        <w:i/>
                        <w:color w:val="auto"/>
                        <w:kern w:val="0"/>
                        <w:sz w:val="24"/>
                      </w:rPr>
                    </m:ctrlPr>
                  </m:sSubPr>
                  <m:e>
                    <m:r>
                      <m:rPr/>
                      <w:rPr>
                        <w:rFonts w:hint="eastAsia" w:ascii="Cambria Math" w:hAnsi="Cambria Math" w:eastAsia="Cambria Math" w:cs="Cambria Math"/>
                        <w:color w:val="auto"/>
                        <w:kern w:val="0"/>
                        <w:sz w:val="24"/>
                      </w:rPr>
                      <m:t>P</m:t>
                    </m:r>
                    <m:ctrlPr>
                      <w:rPr>
                        <w:rFonts w:hint="eastAsia" w:ascii="Cambria Math" w:hAnsi="Cambria Math" w:eastAsia="Cambria Math" w:cs="Cambria Math"/>
                        <w:i/>
                        <w:color w:val="auto"/>
                        <w:kern w:val="0"/>
                        <w:sz w:val="24"/>
                      </w:rPr>
                    </m:ctrlPr>
                  </m:e>
                  <m:sub>
                    <m:r>
                      <m:rPr/>
                      <w:rPr>
                        <w:rFonts w:hint="eastAsia" w:ascii="Cambria Math" w:hAnsi="Cambria Math" w:eastAsia="Cambria Math" w:cs="Cambria Math"/>
                        <w:color w:val="auto"/>
                        <w:kern w:val="0"/>
                        <w:sz w:val="24"/>
                      </w:rPr>
                      <m:t>i</m:t>
                    </m:r>
                    <m:ctrlPr>
                      <w:rPr>
                        <w:rFonts w:hint="eastAsia" w:ascii="Cambria Math" w:hAnsi="Cambria Math" w:eastAsia="Cambria Math" w:cs="Cambria Math"/>
                        <w:i/>
                        <w:color w:val="auto"/>
                        <w:kern w:val="0"/>
                        <w:sz w:val="24"/>
                      </w:rPr>
                    </m:ctrlPr>
                  </m:sub>
                </m:sSub>
                <m:r>
                  <m:rPr>
                    <m:sty m:val="p"/>
                  </m:rPr>
                  <w:rPr>
                    <w:rFonts w:hint="eastAsia" w:ascii="Cambria Math" w:hAnsi="Cambria Math" w:eastAsia="Cambria Math" w:cs="Cambria Math"/>
                    <w:color w:val="auto"/>
                    <w:kern w:val="0"/>
                    <w:sz w:val="24"/>
                  </w:rPr>
                  <m:t>=</m:t>
                </m:r>
                <m:f>
                  <m:fPr>
                    <m:ctrlPr>
                      <w:rPr>
                        <w:rFonts w:hint="eastAsia" w:ascii="Cambria Math" w:hAnsi="Cambria Math" w:eastAsia="Cambria Math"/>
                        <w:color w:val="auto"/>
                        <w:kern w:val="0"/>
                        <w:sz w:val="24"/>
                      </w:rPr>
                    </m:ctrlPr>
                  </m:fPr>
                  <m:num>
                    <m:sSub>
                      <m:sSubPr>
                        <m:ctrlPr>
                          <w:rPr>
                            <w:rFonts w:hint="eastAsia" w:ascii="Cambria Math" w:hAnsi="Cambria Math" w:eastAsia="Cambria Math" w:cs="Cambria Math"/>
                            <w:color w:val="auto"/>
                            <w:kern w:val="0"/>
                            <w:sz w:val="24"/>
                          </w:rPr>
                        </m:ctrlPr>
                      </m:sSubPr>
                      <m:e>
                        <m:r>
                          <m:rPr/>
                          <w:rPr>
                            <w:rFonts w:hint="eastAsia" w:ascii="Cambria Math" w:hAnsi="Cambria Math" w:eastAsia="Cambria Math" w:cs="Cambria Math"/>
                            <w:color w:val="auto"/>
                            <w:kern w:val="0"/>
                            <w:sz w:val="24"/>
                          </w:rPr>
                          <m:t>C</m:t>
                        </m:r>
                        <m:ctrlPr>
                          <w:rPr>
                            <w:rFonts w:hint="eastAsia" w:ascii="Cambria Math" w:hAnsi="Cambria Math" w:eastAsia="Cambria Math" w:cs="Cambria Math"/>
                            <w:color w:val="auto"/>
                            <w:kern w:val="0"/>
                            <w:sz w:val="24"/>
                          </w:rPr>
                        </m:ctrlPr>
                      </m:e>
                      <m:sub>
                        <m:r>
                          <m:rPr/>
                          <w:rPr>
                            <w:rFonts w:hint="eastAsia" w:ascii="Cambria Math" w:hAnsi="Cambria Math" w:eastAsia="Cambria Math" w:cs="Cambria Math"/>
                            <w:color w:val="auto"/>
                            <w:kern w:val="0"/>
                            <w:sz w:val="24"/>
                          </w:rPr>
                          <m:t>i</m:t>
                        </m:r>
                        <m:ctrlPr>
                          <w:rPr>
                            <w:rFonts w:hint="eastAsia" w:ascii="Cambria Math" w:hAnsi="Cambria Math" w:eastAsia="Cambria Math" w:cs="Cambria Math"/>
                            <w:color w:val="auto"/>
                            <w:kern w:val="0"/>
                            <w:sz w:val="24"/>
                          </w:rPr>
                        </m:ctrlPr>
                      </m:sub>
                    </m:sSub>
                    <m:ctrlPr>
                      <w:rPr>
                        <w:rFonts w:hint="eastAsia" w:ascii="Cambria Math" w:hAnsi="Cambria Math" w:eastAsia="Cambria Math"/>
                        <w:color w:val="auto"/>
                        <w:kern w:val="0"/>
                        <w:sz w:val="24"/>
                      </w:rPr>
                    </m:ctrlPr>
                  </m:num>
                  <m:den>
                    <m:sSub>
                      <m:sSubPr>
                        <m:ctrlPr>
                          <w:rPr>
                            <w:rFonts w:hint="eastAsia" w:ascii="Cambria Math" w:hAnsi="Cambria Math" w:eastAsia="Cambria Math" w:cs="Cambria Math"/>
                            <w:color w:val="auto"/>
                            <w:kern w:val="0"/>
                            <w:sz w:val="24"/>
                          </w:rPr>
                        </m:ctrlPr>
                      </m:sSubPr>
                      <m:e>
                        <m:r>
                          <m:rPr/>
                          <w:rPr>
                            <w:rFonts w:hint="eastAsia" w:ascii="Cambria Math" w:hAnsi="Cambria Math" w:eastAsia="Cambria Math" w:cs="Cambria Math"/>
                            <w:color w:val="auto"/>
                            <w:kern w:val="0"/>
                            <w:sz w:val="24"/>
                          </w:rPr>
                          <m:t>C</m:t>
                        </m:r>
                        <m:ctrlPr>
                          <w:rPr>
                            <w:rFonts w:hint="eastAsia" w:ascii="Cambria Math" w:hAnsi="Cambria Math" w:eastAsia="Cambria Math" w:cs="Cambria Math"/>
                            <w:color w:val="auto"/>
                            <w:kern w:val="0"/>
                            <w:sz w:val="24"/>
                          </w:rPr>
                        </m:ctrlPr>
                      </m:e>
                      <m:sub>
                        <m:r>
                          <m:rPr/>
                          <w:rPr>
                            <w:rFonts w:hint="eastAsia" w:ascii="Cambria Math" w:hAnsi="Cambria Math" w:eastAsia="Cambria Math" w:cs="Cambria Math"/>
                            <w:color w:val="auto"/>
                            <w:kern w:val="0"/>
                            <w:sz w:val="24"/>
                          </w:rPr>
                          <m:t>io</m:t>
                        </m:r>
                        <m:ctrlPr>
                          <w:rPr>
                            <w:rFonts w:hint="eastAsia" w:ascii="Cambria Math" w:hAnsi="Cambria Math" w:eastAsia="Cambria Math" w:cs="Cambria Math"/>
                            <w:color w:val="auto"/>
                            <w:kern w:val="0"/>
                            <w:sz w:val="24"/>
                          </w:rPr>
                        </m:ctrlPr>
                      </m:sub>
                    </m:sSub>
                    <m:ctrlPr>
                      <w:rPr>
                        <w:rFonts w:hint="eastAsia" w:ascii="Cambria Math" w:hAnsi="Cambria Math" w:eastAsia="Cambria Math"/>
                        <w:color w:val="auto"/>
                        <w:kern w:val="0"/>
                        <w:sz w:val="24"/>
                      </w:rPr>
                    </m:ctrlPr>
                  </m:den>
                </m:f>
              </m:oMath>
            </m:oMathPara>
          </w:p>
          <w:p w14:paraId="22DBFF3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式中：P</w:t>
            </w:r>
            <w:r>
              <w:rPr>
                <w:rFonts w:hint="eastAsia"/>
                <w:color w:val="auto"/>
                <w:kern w:val="0"/>
                <w:sz w:val="24"/>
                <w:vertAlign w:val="subscript"/>
              </w:rPr>
              <w:t>i</w:t>
            </w:r>
            <w:r>
              <w:rPr>
                <w:rFonts w:hint="eastAsia"/>
                <w:color w:val="auto"/>
                <w:kern w:val="0"/>
                <w:sz w:val="24"/>
              </w:rPr>
              <w:t>—某污染因子的污染指数即单因子污染指数；</w:t>
            </w:r>
          </w:p>
          <w:p w14:paraId="6CDA013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C</w:t>
            </w:r>
            <w:r>
              <w:rPr>
                <w:rFonts w:hint="eastAsia"/>
                <w:color w:val="auto"/>
                <w:kern w:val="0"/>
                <w:sz w:val="24"/>
                <w:vertAlign w:val="subscript"/>
              </w:rPr>
              <w:t>i</w:t>
            </w:r>
            <w:r>
              <w:rPr>
                <w:rFonts w:hint="eastAsia"/>
                <w:color w:val="auto"/>
                <w:kern w:val="0"/>
                <w:sz w:val="24"/>
              </w:rPr>
              <w:t>—某污染因子的实测含量；</w:t>
            </w:r>
          </w:p>
          <w:p w14:paraId="026DD34F">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C</w:t>
            </w:r>
            <w:r>
              <w:rPr>
                <w:rFonts w:hint="eastAsia"/>
                <w:color w:val="auto"/>
                <w:kern w:val="0"/>
                <w:sz w:val="24"/>
                <w:vertAlign w:val="subscript"/>
              </w:rPr>
              <w:t>io</w:t>
            </w:r>
            <w:r>
              <w:rPr>
                <w:rFonts w:hint="eastAsia"/>
                <w:color w:val="auto"/>
                <w:kern w:val="0"/>
                <w:sz w:val="24"/>
              </w:rPr>
              <w:t>—某污染因子的评价标准。</w:t>
            </w:r>
          </w:p>
          <w:p w14:paraId="4A502AE1">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rPr>
              <w:t>③调查结果及评价</w:t>
            </w:r>
          </w:p>
          <w:p w14:paraId="0C956B8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本次沉积物调查结果统计及评价结果见附表</w:t>
            </w:r>
            <w:r>
              <w:rPr>
                <w:rFonts w:hint="eastAsia" w:cs="Times New Roman"/>
                <w:color w:val="auto"/>
                <w:kern w:val="0"/>
                <w:sz w:val="24"/>
                <w:lang w:val="en-US" w:eastAsia="zh-CN"/>
              </w:rPr>
              <w:t>2</w:t>
            </w:r>
            <w:r>
              <w:rPr>
                <w:rFonts w:hint="eastAsia" w:ascii="Times New Roman" w:hAnsi="Times New Roman" w:eastAsia="宋体" w:cs="Times New Roman"/>
                <w:color w:val="auto"/>
                <w:kern w:val="0"/>
                <w:sz w:val="24"/>
                <w:lang w:val="en-US" w:eastAsia="zh-CN"/>
              </w:rPr>
              <w:t>。</w:t>
            </w:r>
          </w:p>
          <w:p w14:paraId="45EDB23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参照第一类沉积物标准，调查站位沉积物样品有机碳、硫化物、砷、铅和镉检测参数均符合第一类沉积物标准。石油类、总汞和锌在1</w:t>
            </w:r>
            <w:r>
              <w:rPr>
                <w:rFonts w:hint="eastAsia"/>
                <w:color w:val="auto"/>
                <w:kern w:val="0"/>
                <w:sz w:val="24"/>
                <w:lang w:val="en-US" w:eastAsia="zh-CN"/>
              </w:rPr>
              <w:t>-</w:t>
            </w:r>
            <w:r>
              <w:rPr>
                <w:rFonts w:hint="eastAsia"/>
                <w:color w:val="auto"/>
                <w:kern w:val="0"/>
                <w:sz w:val="24"/>
              </w:rPr>
              <w:t>2个站位不满足第一类标准，铜有较多站位不满足第一类标准，但满足第二类标准。整体来看，沉积物质量较好。</w:t>
            </w:r>
          </w:p>
          <w:p w14:paraId="4AD9FD22">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3.5.5</w:t>
            </w:r>
            <w:r>
              <w:rPr>
                <w:rFonts w:hint="eastAsia"/>
                <w:b/>
                <w:color w:val="auto"/>
                <w:kern w:val="0"/>
                <w:sz w:val="24"/>
              </w:rPr>
              <w:t>海洋生态环境现状调查与评价</w:t>
            </w:r>
          </w:p>
          <w:p w14:paraId="27D0DA71">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rPr>
              <w:t>①</w:t>
            </w:r>
            <w:r>
              <w:rPr>
                <w:rFonts w:hint="eastAsia" w:ascii="Times New Roman" w:hAnsi="Times New Roman" w:eastAsia="宋体" w:cs="Times New Roman"/>
                <w:b/>
                <w:bCs/>
                <w:color w:val="auto"/>
                <w:kern w:val="0"/>
                <w:sz w:val="24"/>
                <w:lang w:val="en-US" w:eastAsia="zh-CN"/>
              </w:rPr>
              <w:t>调查方法</w:t>
            </w:r>
          </w:p>
          <w:p w14:paraId="62FC44F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bookmarkStart w:id="18" w:name="_Toc24722744"/>
            <w:bookmarkStart w:id="19" w:name="_Toc24722824"/>
            <w:bookmarkStart w:id="20" w:name="_Toc28190106"/>
            <w:r>
              <w:rPr>
                <w:rFonts w:hint="eastAsia" w:ascii="Times New Roman" w:hAnsi="Times New Roman" w:eastAsia="宋体" w:cs="Times New Roman"/>
                <w:color w:val="auto"/>
                <w:kern w:val="0"/>
                <w:sz w:val="24"/>
              </w:rPr>
              <w:t>（1）叶绿素a与初级生产力</w:t>
            </w:r>
            <w:bookmarkEnd w:id="18"/>
            <w:bookmarkEnd w:id="19"/>
          </w:p>
          <w:p w14:paraId="02EEB51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叶绿素a</w:t>
            </w:r>
            <w:r>
              <w:rPr>
                <w:rFonts w:hint="eastAsia" w:ascii="Times New Roman" w:hAnsi="Times New Roman" w:eastAsia="宋体" w:cs="Times New Roman"/>
                <w:color w:val="auto"/>
                <w:kern w:val="0"/>
                <w:sz w:val="24"/>
                <w:lang w:val="en-US"/>
              </w:rPr>
              <w:t>与海洋生物调查站位同步进行</w:t>
            </w:r>
            <w:r>
              <w:rPr>
                <w:rFonts w:hint="eastAsia" w:ascii="Times New Roman" w:hAnsi="Times New Roman" w:eastAsia="宋体" w:cs="Times New Roman"/>
                <w:color w:val="auto"/>
                <w:kern w:val="0"/>
                <w:sz w:val="24"/>
              </w:rPr>
              <w:t>，采样层次与海水水质样品采样层次相同。现场过滤，滤膜冷藏，带回实验室分析测定。</w:t>
            </w:r>
          </w:p>
          <w:p w14:paraId="1AA5E26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rPr>
              <w:t>初级生产力根据叶绿素</w:t>
            </w:r>
            <w:r>
              <w:rPr>
                <w:rFonts w:hint="eastAsia" w:ascii="Times New Roman" w:hAnsi="Times New Roman" w:eastAsia="宋体" w:cs="Times New Roman"/>
                <w:color w:val="auto"/>
                <w:kern w:val="0"/>
                <w:sz w:val="24"/>
              </w:rPr>
              <w:t>a调查结果，按照Cadée（1974）提出的简化公式估算：</w:t>
            </w:r>
          </w:p>
          <w:p w14:paraId="68EBB2AE">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P=Ps*E*D/2</w:t>
            </w:r>
          </w:p>
          <w:p w14:paraId="3532BA9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Ps=叶绿素a含量*同化系数（本调查中取值3.12）；</w:t>
            </w:r>
          </w:p>
          <w:p w14:paraId="762C221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E=透明度*3，如果大于水深，采用水深；</w:t>
            </w:r>
          </w:p>
          <w:p w14:paraId="1624CF4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D为日照时间长度（本调查中取值12）。</w:t>
            </w:r>
          </w:p>
          <w:bookmarkEnd w:id="20"/>
          <w:p w14:paraId="1D2FD70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w:t>
            </w:r>
            <w:r>
              <w:rPr>
                <w:rFonts w:hint="eastAsia" w:ascii="Times New Roman" w:hAnsi="Times New Roman" w:eastAsia="宋体" w:cs="Times New Roman"/>
                <w:color w:val="auto"/>
                <w:kern w:val="0"/>
                <w:sz w:val="24"/>
                <w:lang w:val="en-US"/>
              </w:rPr>
              <w:t>浮游生物</w:t>
            </w:r>
          </w:p>
          <w:p w14:paraId="4F59801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rPr>
              <w:t>浮游植物的采样方法是按</w:t>
            </w:r>
            <w:r>
              <w:rPr>
                <w:rFonts w:hint="eastAsia" w:ascii="Times New Roman" w:hAnsi="Times New Roman" w:eastAsia="宋体" w:cs="Times New Roman"/>
                <w:color w:val="auto"/>
                <w:kern w:val="0"/>
                <w:sz w:val="24"/>
              </w:rPr>
              <w:t>《海洋监测规范 第7部分：近海污染生态调查和生物监测》（GB17378.7-2007）中的有关浮游生物调查的规定进行。浅水区浮游植物样品用浅水Ⅲ型浮游生物网（网口直径37cm，网口面积0.1m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，网长140cm，筛绢孔径0.077mm），浮游动物样品用浅水Ⅰ型浮游生物网（网口直径50cm，网口面积0.2m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，网长145cm，筛绢孔径0.505mm），自底层（距底2m）至表层垂直拖网取得。样品用甲醛溶液固定，加入量为样品体积的5%。样品的室内分析鉴定以个体计数法进行。</w:t>
            </w:r>
            <w:r>
              <w:rPr>
                <w:rFonts w:hint="eastAsia" w:ascii="Times New Roman" w:hAnsi="Times New Roman" w:eastAsia="宋体" w:cs="Times New Roman"/>
                <w:color w:val="auto"/>
                <w:kern w:val="0"/>
                <w:sz w:val="24"/>
                <w:lang w:val="en-US"/>
              </w:rPr>
              <w:t>最后浮游植物换算成个细胞</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，浮游动物个体密度以个/m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表示，生物量以mg/m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表示。测定分析种类组成、数量、分布、优势度、多样性指数和均匀度。</w:t>
            </w:r>
          </w:p>
          <w:p w14:paraId="3793A39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bookmarkStart w:id="21" w:name="_Toc24116439"/>
            <w:bookmarkStart w:id="22" w:name="_Toc24362327"/>
            <w:bookmarkStart w:id="23" w:name="_Toc24116266"/>
            <w:bookmarkStart w:id="24" w:name="_Toc28190108"/>
            <w:r>
              <w:rPr>
                <w:rFonts w:hint="eastAsia" w:ascii="Times New Roman" w:hAnsi="Times New Roman" w:eastAsia="宋体" w:cs="Times New Roman"/>
                <w:color w:val="auto"/>
                <w:kern w:val="0"/>
                <w:sz w:val="24"/>
              </w:rPr>
              <w:t>（3）</w:t>
            </w:r>
            <w:r>
              <w:rPr>
                <w:rFonts w:hint="eastAsia" w:ascii="Times New Roman" w:hAnsi="Times New Roman" w:eastAsia="宋体" w:cs="Times New Roman"/>
                <w:color w:val="auto"/>
                <w:kern w:val="0"/>
                <w:sz w:val="24"/>
                <w:lang w:val="en-US"/>
              </w:rPr>
              <w:t>大型底栖生物</w:t>
            </w:r>
            <w:bookmarkEnd w:id="21"/>
            <w:bookmarkEnd w:id="22"/>
            <w:bookmarkEnd w:id="23"/>
            <w:bookmarkEnd w:id="24"/>
          </w:p>
          <w:p w14:paraId="35F771E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rPr>
              <w:t>底栖生物的采集和分析均按</w:t>
            </w:r>
            <w:r>
              <w:rPr>
                <w:rFonts w:hint="eastAsia" w:ascii="Times New Roman" w:hAnsi="Times New Roman" w:eastAsia="宋体" w:cs="Times New Roman"/>
                <w:color w:val="auto"/>
                <w:kern w:val="0"/>
                <w:sz w:val="24"/>
              </w:rPr>
              <w:t>《海洋监测规范 第7部分：近海污染生态调查和生物监测》（GB17378.7－2007）中规定的方法进行。</w:t>
            </w:r>
          </w:p>
          <w:p w14:paraId="70DA996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采用张口面积为0.05m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的抓斗式采泥器采集底栖生物样品，每站采样2</w:t>
            </w:r>
            <w:r>
              <w:rPr>
                <w:rFonts w:hint="eastAsia" w:ascii="Times New Roman" w:hAnsi="Times New Roman" w:eastAsia="宋体" w:cs="Times New Roman"/>
                <w:color w:val="auto"/>
                <w:kern w:val="0"/>
                <w:sz w:val="24"/>
                <w:lang w:val="en-US" w:eastAsia="zh-CN"/>
              </w:rPr>
              <w:t>-</w:t>
            </w:r>
            <w:r>
              <w:rPr>
                <w:rFonts w:hint="eastAsia" w:ascii="Times New Roman" w:hAnsi="Times New Roman" w:eastAsia="宋体" w:cs="Times New Roman"/>
                <w:color w:val="auto"/>
                <w:kern w:val="0"/>
                <w:sz w:val="24"/>
              </w:rPr>
              <w:t>3次，获得泥样经孔径为0.5mm</w:t>
            </w:r>
            <w:r>
              <w:rPr>
                <w:rFonts w:hint="eastAsia" w:ascii="Times New Roman" w:hAnsi="Times New Roman" w:eastAsia="宋体" w:cs="Times New Roman"/>
                <w:color w:val="auto"/>
                <w:kern w:val="0"/>
                <w:sz w:val="24"/>
                <w:lang w:val="en-US"/>
              </w:rPr>
              <w:t>的筛网进行冲刷</w:t>
            </w:r>
            <w:r>
              <w:rPr>
                <w:rFonts w:hint="eastAsia" w:ascii="Times New Roman" w:hAnsi="Times New Roman" w:eastAsia="宋体" w:cs="Times New Roman"/>
                <w:color w:val="auto"/>
                <w:kern w:val="0"/>
                <w:sz w:val="24"/>
              </w:rPr>
              <w:t>，将底栖生物挑进聚乙烯瓶中保存。样品用甲醛固定，带回实验室分析鉴定、计数和称重。测定分析种类组成、数量、分布、优势度、多样性指数和均匀度。</w:t>
            </w:r>
          </w:p>
          <w:p w14:paraId="0D3B7AA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（4）</w:t>
            </w:r>
            <w:r>
              <w:rPr>
                <w:rFonts w:hint="eastAsia" w:ascii="Times New Roman" w:hAnsi="Times New Roman" w:eastAsia="宋体" w:cs="Times New Roman"/>
                <w:color w:val="auto"/>
                <w:kern w:val="0"/>
                <w:sz w:val="24"/>
                <w:lang w:val="en-US"/>
              </w:rPr>
              <w:t>潮间带生物</w:t>
            </w:r>
          </w:p>
          <w:p w14:paraId="3DDE27A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rPr>
              <w:t>滩涂定量采样分别在高</w:t>
            </w:r>
            <w:r>
              <w:rPr>
                <w:rFonts w:hint="eastAsia" w:ascii="Times New Roman" w:hAnsi="Times New Roman" w:eastAsia="宋体" w:cs="Times New Roman"/>
                <w:color w:val="auto"/>
                <w:kern w:val="0"/>
                <w:sz w:val="24"/>
              </w:rPr>
              <w:t>、中、低潮区各进行采集，为获取低潮带的样品。在泥、沙等底质断面，每个潮区用25cm×25cm×30cm的定量采样框取3个样方。将采集的框内样品置于过筛器中淘洗，将潮间带生物挑进聚乙烯瓶中保存。样品用甲醛溶液固定，加入量为样品体积的5%，</w:t>
            </w:r>
            <w:r>
              <w:rPr>
                <w:rFonts w:hint="eastAsia" w:ascii="Times New Roman" w:hAnsi="Times New Roman" w:eastAsia="宋体" w:cs="Times New Roman"/>
                <w:color w:val="auto"/>
                <w:kern w:val="0"/>
                <w:sz w:val="24"/>
                <w:lang w:val="en-US"/>
              </w:rPr>
              <w:t>带回实验室分析鉴定和计数</w:t>
            </w:r>
            <w:r>
              <w:rPr>
                <w:rFonts w:hint="eastAsia" w:ascii="Times New Roman" w:hAnsi="Times New Roman" w:eastAsia="宋体" w:cs="Times New Roman"/>
                <w:color w:val="auto"/>
                <w:kern w:val="0"/>
                <w:sz w:val="24"/>
              </w:rPr>
              <w:t>。测定分析种类组成、数量、分布、优势度、多样性指数和均匀度。</w:t>
            </w:r>
          </w:p>
          <w:p w14:paraId="0EA4CFB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（5）</w:t>
            </w:r>
            <w:r>
              <w:rPr>
                <w:rFonts w:hint="eastAsia" w:ascii="Times New Roman" w:hAnsi="Times New Roman" w:eastAsia="宋体" w:cs="Times New Roman"/>
                <w:color w:val="auto"/>
                <w:kern w:val="0"/>
                <w:sz w:val="24"/>
                <w:lang w:val="en-US"/>
              </w:rPr>
              <w:t>鱼卵仔鱼</w:t>
            </w:r>
          </w:p>
          <w:p w14:paraId="63C2993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rPr>
              <w:t>鱼卵仔鱼样品的采集和分析均按</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rPr>
              <w:t>海洋调查规范</w:t>
            </w:r>
            <w:r>
              <w:rPr>
                <w:rFonts w:hint="eastAsia" w:ascii="Times New Roman" w:hAnsi="Times New Roman" w:eastAsia="宋体" w:cs="Times New Roman"/>
                <w:color w:val="auto"/>
                <w:kern w:val="0"/>
                <w:sz w:val="24"/>
              </w:rPr>
              <w:t xml:space="preserve"> 第6部分：海洋生物调查》（GBT 12763.6-2007）中规定的方法进行。</w:t>
            </w:r>
          </w:p>
          <w:p w14:paraId="3B7BDF9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垂直拖网采用浅水Ⅰ</w:t>
            </w:r>
            <w:r>
              <w:rPr>
                <w:rFonts w:hint="eastAsia" w:ascii="Times New Roman" w:hAnsi="Times New Roman" w:eastAsia="宋体" w:cs="Times New Roman"/>
                <w:color w:val="auto"/>
                <w:kern w:val="0"/>
                <w:sz w:val="24"/>
                <w:lang w:val="en-US"/>
              </w:rPr>
              <w:t>型浮游生物网自底层</w:t>
            </w:r>
            <w:r>
              <w:rPr>
                <w:rFonts w:hint="eastAsia" w:ascii="Times New Roman" w:hAnsi="Times New Roman" w:eastAsia="宋体" w:cs="Times New Roman"/>
                <w:color w:val="auto"/>
                <w:kern w:val="0"/>
                <w:sz w:val="24"/>
              </w:rPr>
              <w:t>（距底2m）至表层采集样品，水平拖网用浅水I</w:t>
            </w:r>
            <w:r>
              <w:rPr>
                <w:rFonts w:hint="eastAsia" w:ascii="Times New Roman" w:hAnsi="Times New Roman" w:eastAsia="宋体" w:cs="Times New Roman"/>
                <w:color w:val="auto"/>
                <w:kern w:val="0"/>
                <w:sz w:val="24"/>
                <w:lang w:val="en-US"/>
              </w:rPr>
              <w:t>型浮游生物网采集定性样品</w:t>
            </w:r>
            <w:r>
              <w:rPr>
                <w:rFonts w:hint="eastAsia" w:ascii="Times New Roman" w:hAnsi="Times New Roman" w:eastAsia="宋体" w:cs="Times New Roman"/>
                <w:color w:val="auto"/>
                <w:kern w:val="0"/>
                <w:sz w:val="24"/>
              </w:rPr>
              <w:t>，水平拖网船速为3节，拖网10分钟。样品用甲醛溶液固定，加入量为样品体积的5%，带回实验室分析鉴定和计数。测定分析种类组成、数量和分布；鱼类浮游生物密度用ind/m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表示。</w:t>
            </w:r>
          </w:p>
          <w:p w14:paraId="1A3D883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（6）</w:t>
            </w:r>
            <w:r>
              <w:rPr>
                <w:rFonts w:hint="eastAsia" w:ascii="Times New Roman" w:hAnsi="Times New Roman" w:eastAsia="宋体" w:cs="Times New Roman"/>
                <w:color w:val="auto"/>
                <w:kern w:val="0"/>
                <w:sz w:val="24"/>
                <w:lang w:val="en-US"/>
              </w:rPr>
              <w:t>游泳动物</w:t>
            </w:r>
          </w:p>
          <w:p w14:paraId="459E553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rPr>
              <w:t>游泳动物样品的采集和分析均按照</w:t>
            </w:r>
            <w:r>
              <w:rPr>
                <w:rFonts w:hint="eastAsia" w:ascii="Times New Roman" w:hAnsi="Times New Roman" w:eastAsia="宋体" w:cs="Times New Roman"/>
                <w:color w:val="auto"/>
                <w:kern w:val="0"/>
                <w:sz w:val="24"/>
              </w:rPr>
              <w:t>《海洋调查规范 第6部分：海洋生物调查》GB/T12763.6-2007中规定的方法进行。</w:t>
            </w:r>
          </w:p>
          <w:p w14:paraId="0C3CFD0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val="en-US"/>
              </w:rPr>
            </w:pPr>
            <w:r>
              <w:rPr>
                <w:rFonts w:hint="eastAsia" w:ascii="Times New Roman" w:hAnsi="Times New Roman" w:eastAsia="宋体" w:cs="Times New Roman"/>
                <w:color w:val="auto"/>
                <w:kern w:val="0"/>
                <w:sz w:val="24"/>
                <w:lang w:val="en-US"/>
              </w:rPr>
              <w:t>调查船名为港口管12575，网具网囊目5cm，网纲6m，网长20m。每站进行一次拖网，一次拖曳1.5小时。样品直接冷冻保存，带回实验室分析鉴定和计数。测定分析种类组成、数量、分布、优势度、多样性指数和均匀度。调查的渔获物中选择鱼类、甲壳类和软体类中的代表种类，分析铜、铅、锌、镉、砷、总汞、总铬、石油烃含量。</w:t>
            </w:r>
          </w:p>
          <w:p w14:paraId="23059C77">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kern w:val="0"/>
                <w:sz w:val="24"/>
                <w:lang w:val="en-US"/>
              </w:rPr>
            </w:pPr>
            <w:r>
              <w:rPr>
                <w:rFonts w:hint="eastAsia" w:ascii="Times New Roman" w:hAnsi="Times New Roman" w:eastAsia="宋体" w:cs="Times New Roman"/>
                <w:b/>
                <w:bCs/>
                <w:color w:val="auto"/>
                <w:kern w:val="0"/>
                <w:sz w:val="24"/>
                <w:lang w:val="en-US" w:eastAsia="zh-CN"/>
              </w:rPr>
              <w:t>②</w:t>
            </w:r>
            <w:r>
              <w:rPr>
                <w:rFonts w:hint="eastAsia" w:ascii="Times New Roman" w:hAnsi="Times New Roman" w:eastAsia="宋体" w:cs="Times New Roman"/>
                <w:b/>
                <w:bCs/>
                <w:color w:val="auto"/>
                <w:kern w:val="0"/>
                <w:sz w:val="24"/>
                <w:lang w:val="en-US"/>
              </w:rPr>
              <w:t>分析方法</w:t>
            </w:r>
          </w:p>
          <w:p w14:paraId="295052A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val="en-US"/>
              </w:rPr>
            </w:pPr>
            <w:r>
              <w:rPr>
                <w:rFonts w:hint="eastAsia" w:ascii="Times New Roman" w:hAnsi="Times New Roman" w:eastAsia="宋体" w:cs="Times New Roman"/>
                <w:color w:val="auto"/>
                <w:kern w:val="0"/>
                <w:sz w:val="24"/>
                <w:lang w:val="en-US"/>
              </w:rPr>
              <w:t>参照《海洋监测规范 第7部分：近海污染生态调查和生物监测》（GB 17378.7-2007）、《海洋调查规范 第6部分：海洋生物调查》（GB/T 12763.6—2007）中规定的方法对叶绿素a、浮游植物、浮游动物、大型底栖生物、潮间带生物、鱼卵与仔稚鱼、游泳动物进行分析，方法详见表</w:t>
            </w:r>
            <w:r>
              <w:rPr>
                <w:rFonts w:hint="eastAsia" w:ascii="Times New Roman" w:hAnsi="Times New Roman" w:eastAsia="宋体" w:cs="Times New Roman"/>
                <w:color w:val="auto"/>
                <w:kern w:val="0"/>
                <w:sz w:val="24"/>
                <w:lang w:val="en-US" w:eastAsia="zh-CN"/>
              </w:rPr>
              <w:t>3.5-6</w:t>
            </w:r>
            <w:r>
              <w:rPr>
                <w:rFonts w:hint="eastAsia" w:ascii="Times New Roman" w:hAnsi="Times New Roman" w:eastAsia="宋体" w:cs="Times New Roman"/>
                <w:color w:val="auto"/>
                <w:kern w:val="0"/>
                <w:sz w:val="24"/>
                <w:lang w:val="en-US"/>
              </w:rPr>
              <w:t>。</w:t>
            </w:r>
          </w:p>
          <w:p w14:paraId="0980A1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ja-JP"/>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3.5-6</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 xml:space="preserve"> </w:t>
            </w:r>
            <w:r>
              <w:rPr>
                <w:rFonts w:hint="eastAsia" w:ascii="Times New Roman" w:hAnsi="Times New Roman" w:cs="Times New Roman"/>
                <w:b/>
                <w:bCs/>
                <w:color w:val="auto"/>
                <w:kern w:val="0"/>
                <w:sz w:val="21"/>
                <w:szCs w:val="21"/>
                <w:lang w:val="en-US" w:eastAsia="ja-JP"/>
              </w:rPr>
              <w:t>海洋生物生态分析方法</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71"/>
              <w:gridCol w:w="2187"/>
              <w:gridCol w:w="2483"/>
              <w:gridCol w:w="2823"/>
            </w:tblGrid>
            <w:tr w14:paraId="4DF07B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676" w:type="pct"/>
                  <w:tcBorders>
                    <w:top w:val="single" w:color="auto" w:sz="2" w:space="0"/>
                    <w:left w:val="single" w:color="auto" w:sz="2" w:space="0"/>
                    <w:bottom w:val="single" w:color="auto" w:sz="2" w:space="0"/>
                    <w:right w:val="single" w:color="auto" w:sz="2" w:space="0"/>
                  </w:tcBorders>
                  <w:vAlign w:val="center"/>
                </w:tcPr>
                <w:p w14:paraId="26C80441">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序号</w:t>
                  </w:r>
                </w:p>
              </w:tc>
              <w:tc>
                <w:tcPr>
                  <w:tcW w:w="1262" w:type="pct"/>
                  <w:tcBorders>
                    <w:top w:val="single" w:color="auto" w:sz="2" w:space="0"/>
                    <w:left w:val="single" w:color="auto" w:sz="2" w:space="0"/>
                    <w:bottom w:val="single" w:color="auto" w:sz="2" w:space="0"/>
                    <w:right w:val="single" w:color="auto" w:sz="2" w:space="0"/>
                  </w:tcBorders>
                  <w:vAlign w:val="center"/>
                </w:tcPr>
                <w:p w14:paraId="6257FC3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分析项目</w:t>
                  </w:r>
                </w:p>
              </w:tc>
              <w:tc>
                <w:tcPr>
                  <w:tcW w:w="1433" w:type="pct"/>
                  <w:tcBorders>
                    <w:top w:val="single" w:color="auto" w:sz="2" w:space="0"/>
                    <w:left w:val="single" w:color="auto" w:sz="2" w:space="0"/>
                    <w:bottom w:val="single" w:color="auto" w:sz="2" w:space="0"/>
                    <w:right w:val="single" w:color="auto" w:sz="2" w:space="0"/>
                  </w:tcBorders>
                  <w:vAlign w:val="center"/>
                </w:tcPr>
                <w:p w14:paraId="6474AD1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分析方法</w:t>
                  </w:r>
                </w:p>
              </w:tc>
              <w:tc>
                <w:tcPr>
                  <w:tcW w:w="1629" w:type="pct"/>
                  <w:tcBorders>
                    <w:top w:val="single" w:color="auto" w:sz="2" w:space="0"/>
                    <w:left w:val="single" w:color="auto" w:sz="2" w:space="0"/>
                    <w:bottom w:val="single" w:color="auto" w:sz="2" w:space="0"/>
                    <w:right w:val="single" w:color="auto" w:sz="2" w:space="0"/>
                  </w:tcBorders>
                  <w:vAlign w:val="center"/>
                </w:tcPr>
                <w:p w14:paraId="6B20372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规范性引用文件</w:t>
                  </w:r>
                </w:p>
              </w:tc>
            </w:tr>
            <w:tr w14:paraId="4D5E76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76" w:type="pct"/>
                  <w:tcBorders>
                    <w:top w:val="single" w:color="auto" w:sz="2" w:space="0"/>
                    <w:left w:val="single" w:color="auto" w:sz="2" w:space="0"/>
                    <w:bottom w:val="single" w:color="auto" w:sz="2" w:space="0"/>
                    <w:right w:val="single" w:color="auto" w:sz="2" w:space="0"/>
                  </w:tcBorders>
                  <w:vAlign w:val="center"/>
                </w:tcPr>
                <w:p w14:paraId="1DC68C9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1262" w:type="pct"/>
                  <w:tcBorders>
                    <w:top w:val="single" w:color="auto" w:sz="2" w:space="0"/>
                    <w:left w:val="single" w:color="auto" w:sz="2" w:space="0"/>
                    <w:bottom w:val="single" w:color="auto" w:sz="2" w:space="0"/>
                    <w:right w:val="single" w:color="auto" w:sz="2" w:space="0"/>
                  </w:tcBorders>
                  <w:vAlign w:val="center"/>
                </w:tcPr>
                <w:p w14:paraId="650B914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叶绿素a</w:t>
                  </w:r>
                </w:p>
              </w:tc>
              <w:tc>
                <w:tcPr>
                  <w:tcW w:w="1433" w:type="pct"/>
                  <w:tcBorders>
                    <w:top w:val="single" w:color="auto" w:sz="2" w:space="0"/>
                    <w:left w:val="single" w:color="auto" w:sz="2" w:space="0"/>
                    <w:bottom w:val="single" w:color="auto" w:sz="2" w:space="0"/>
                    <w:right w:val="single" w:color="auto" w:sz="2" w:space="0"/>
                  </w:tcBorders>
                  <w:vAlign w:val="center"/>
                </w:tcPr>
                <w:p w14:paraId="07D0711D">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分光光度法</w:t>
                  </w:r>
                </w:p>
              </w:tc>
              <w:tc>
                <w:tcPr>
                  <w:tcW w:w="1629" w:type="pct"/>
                  <w:tcBorders>
                    <w:top w:val="single" w:color="auto" w:sz="2" w:space="0"/>
                    <w:left w:val="single" w:color="auto" w:sz="2" w:space="0"/>
                    <w:bottom w:val="single" w:color="auto" w:sz="2" w:space="0"/>
                    <w:right w:val="single" w:color="auto" w:sz="2" w:space="0"/>
                  </w:tcBorders>
                  <w:vAlign w:val="center"/>
                </w:tcPr>
                <w:p w14:paraId="62901AB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GB 17378.7-2007</w:t>
                  </w:r>
                </w:p>
              </w:tc>
            </w:tr>
            <w:tr w14:paraId="51A42D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76" w:type="pct"/>
                  <w:tcBorders>
                    <w:top w:val="single" w:color="auto" w:sz="2" w:space="0"/>
                    <w:left w:val="single" w:color="auto" w:sz="2" w:space="0"/>
                    <w:bottom w:val="single" w:color="auto" w:sz="2" w:space="0"/>
                    <w:right w:val="single" w:color="auto" w:sz="2" w:space="0"/>
                  </w:tcBorders>
                  <w:vAlign w:val="center"/>
                </w:tcPr>
                <w:p w14:paraId="3BFFEAB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1262" w:type="pct"/>
                  <w:tcBorders>
                    <w:top w:val="single" w:color="auto" w:sz="2" w:space="0"/>
                    <w:left w:val="single" w:color="auto" w:sz="2" w:space="0"/>
                    <w:bottom w:val="single" w:color="auto" w:sz="2" w:space="0"/>
                    <w:right w:val="single" w:color="auto" w:sz="2" w:space="0"/>
                  </w:tcBorders>
                  <w:vAlign w:val="center"/>
                </w:tcPr>
                <w:p w14:paraId="63DC455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浮游植物</w:t>
                  </w:r>
                </w:p>
              </w:tc>
              <w:tc>
                <w:tcPr>
                  <w:tcW w:w="1433" w:type="pct"/>
                  <w:tcBorders>
                    <w:top w:val="single" w:color="auto" w:sz="2" w:space="0"/>
                    <w:left w:val="single" w:color="auto" w:sz="2" w:space="0"/>
                    <w:bottom w:val="single" w:color="auto" w:sz="2" w:space="0"/>
                    <w:right w:val="single" w:color="auto" w:sz="2" w:space="0"/>
                  </w:tcBorders>
                  <w:vAlign w:val="center"/>
                </w:tcPr>
                <w:p w14:paraId="145C48A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计数法</w:t>
                  </w:r>
                </w:p>
              </w:tc>
              <w:tc>
                <w:tcPr>
                  <w:tcW w:w="1629" w:type="pct"/>
                  <w:tcBorders>
                    <w:top w:val="single" w:color="auto" w:sz="2" w:space="0"/>
                    <w:left w:val="single" w:color="auto" w:sz="2" w:space="0"/>
                    <w:bottom w:val="single" w:color="auto" w:sz="2" w:space="0"/>
                    <w:right w:val="single" w:color="auto" w:sz="2" w:space="0"/>
                  </w:tcBorders>
                  <w:vAlign w:val="center"/>
                </w:tcPr>
                <w:p w14:paraId="335B53A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GB 17378.7-2007</w:t>
                  </w:r>
                </w:p>
              </w:tc>
            </w:tr>
            <w:tr w14:paraId="5C9788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76" w:type="pct"/>
                  <w:tcBorders>
                    <w:top w:val="single" w:color="auto" w:sz="2" w:space="0"/>
                    <w:left w:val="single" w:color="auto" w:sz="2" w:space="0"/>
                    <w:bottom w:val="single" w:color="auto" w:sz="2" w:space="0"/>
                    <w:right w:val="single" w:color="auto" w:sz="2" w:space="0"/>
                  </w:tcBorders>
                  <w:vAlign w:val="center"/>
                </w:tcPr>
                <w:p w14:paraId="2262B0E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1262" w:type="pct"/>
                  <w:tcBorders>
                    <w:top w:val="single" w:color="auto" w:sz="2" w:space="0"/>
                    <w:left w:val="single" w:color="auto" w:sz="2" w:space="0"/>
                    <w:bottom w:val="single" w:color="auto" w:sz="2" w:space="0"/>
                    <w:right w:val="single" w:color="auto" w:sz="2" w:space="0"/>
                  </w:tcBorders>
                  <w:vAlign w:val="center"/>
                </w:tcPr>
                <w:p w14:paraId="3F28ACA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浮游动物</w:t>
                  </w:r>
                </w:p>
              </w:tc>
              <w:tc>
                <w:tcPr>
                  <w:tcW w:w="1433" w:type="pct"/>
                  <w:tcBorders>
                    <w:top w:val="single" w:color="auto" w:sz="2" w:space="0"/>
                    <w:left w:val="single" w:color="auto" w:sz="2" w:space="0"/>
                    <w:bottom w:val="single" w:color="auto" w:sz="2" w:space="0"/>
                    <w:right w:val="single" w:color="auto" w:sz="2" w:space="0"/>
                  </w:tcBorders>
                  <w:vAlign w:val="center"/>
                </w:tcPr>
                <w:p w14:paraId="1674B214">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湿重、计数法</w:t>
                  </w:r>
                </w:p>
              </w:tc>
              <w:tc>
                <w:tcPr>
                  <w:tcW w:w="1629" w:type="pct"/>
                  <w:tcBorders>
                    <w:top w:val="single" w:color="auto" w:sz="2" w:space="0"/>
                    <w:left w:val="single" w:color="auto" w:sz="2" w:space="0"/>
                    <w:bottom w:val="single" w:color="auto" w:sz="2" w:space="0"/>
                    <w:right w:val="single" w:color="auto" w:sz="2" w:space="0"/>
                  </w:tcBorders>
                  <w:vAlign w:val="center"/>
                </w:tcPr>
                <w:p w14:paraId="15E0653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GB 17378.7-2007</w:t>
                  </w:r>
                </w:p>
              </w:tc>
            </w:tr>
            <w:tr w14:paraId="04F548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76" w:type="pct"/>
                  <w:tcBorders>
                    <w:top w:val="single" w:color="auto" w:sz="2" w:space="0"/>
                    <w:left w:val="single" w:color="auto" w:sz="2" w:space="0"/>
                    <w:bottom w:val="single" w:color="auto" w:sz="2" w:space="0"/>
                    <w:right w:val="single" w:color="auto" w:sz="2" w:space="0"/>
                  </w:tcBorders>
                  <w:vAlign w:val="center"/>
                </w:tcPr>
                <w:p w14:paraId="3C4C61B3">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1262" w:type="pct"/>
                  <w:tcBorders>
                    <w:top w:val="single" w:color="auto" w:sz="2" w:space="0"/>
                    <w:left w:val="single" w:color="auto" w:sz="2" w:space="0"/>
                    <w:bottom w:val="single" w:color="auto" w:sz="2" w:space="0"/>
                    <w:right w:val="single" w:color="auto" w:sz="2" w:space="0"/>
                  </w:tcBorders>
                  <w:vAlign w:val="center"/>
                </w:tcPr>
                <w:p w14:paraId="594CE239">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大型底栖生物</w:t>
                  </w:r>
                </w:p>
              </w:tc>
              <w:tc>
                <w:tcPr>
                  <w:tcW w:w="1433" w:type="pct"/>
                  <w:tcBorders>
                    <w:top w:val="single" w:color="auto" w:sz="2" w:space="0"/>
                    <w:left w:val="single" w:color="auto" w:sz="2" w:space="0"/>
                    <w:bottom w:val="single" w:color="auto" w:sz="2" w:space="0"/>
                    <w:right w:val="single" w:color="auto" w:sz="2" w:space="0"/>
                  </w:tcBorders>
                  <w:vAlign w:val="center"/>
                </w:tcPr>
                <w:p w14:paraId="758F888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湿重、计数法</w:t>
                  </w:r>
                </w:p>
              </w:tc>
              <w:tc>
                <w:tcPr>
                  <w:tcW w:w="1629" w:type="pct"/>
                  <w:tcBorders>
                    <w:top w:val="single" w:color="auto" w:sz="2" w:space="0"/>
                    <w:left w:val="single" w:color="auto" w:sz="2" w:space="0"/>
                    <w:bottom w:val="single" w:color="auto" w:sz="2" w:space="0"/>
                    <w:right w:val="single" w:color="auto" w:sz="2" w:space="0"/>
                  </w:tcBorders>
                  <w:vAlign w:val="center"/>
                </w:tcPr>
                <w:p w14:paraId="1E74E15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GB 17378.7-2007</w:t>
                  </w:r>
                </w:p>
              </w:tc>
            </w:tr>
            <w:tr w14:paraId="404DDC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76" w:type="pct"/>
                  <w:tcBorders>
                    <w:top w:val="single" w:color="auto" w:sz="2" w:space="0"/>
                    <w:left w:val="single" w:color="auto" w:sz="2" w:space="0"/>
                    <w:bottom w:val="single" w:color="auto" w:sz="2" w:space="0"/>
                    <w:right w:val="single" w:color="auto" w:sz="2" w:space="0"/>
                  </w:tcBorders>
                  <w:vAlign w:val="center"/>
                </w:tcPr>
                <w:p w14:paraId="50E49F2C">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1262" w:type="pct"/>
                  <w:tcBorders>
                    <w:top w:val="single" w:color="auto" w:sz="2" w:space="0"/>
                    <w:left w:val="single" w:color="auto" w:sz="2" w:space="0"/>
                    <w:bottom w:val="single" w:color="auto" w:sz="2" w:space="0"/>
                    <w:right w:val="single" w:color="auto" w:sz="2" w:space="0"/>
                  </w:tcBorders>
                  <w:vAlign w:val="center"/>
                </w:tcPr>
                <w:p w14:paraId="6DBB40F6">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潮间带生物</w:t>
                  </w:r>
                </w:p>
              </w:tc>
              <w:tc>
                <w:tcPr>
                  <w:tcW w:w="1433" w:type="pct"/>
                  <w:tcBorders>
                    <w:top w:val="single" w:color="auto" w:sz="2" w:space="0"/>
                    <w:left w:val="single" w:color="auto" w:sz="2" w:space="0"/>
                    <w:bottom w:val="single" w:color="auto" w:sz="2" w:space="0"/>
                    <w:right w:val="single" w:color="auto" w:sz="2" w:space="0"/>
                  </w:tcBorders>
                  <w:vAlign w:val="center"/>
                </w:tcPr>
                <w:p w14:paraId="43B7FF6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湿重、计数法</w:t>
                  </w:r>
                </w:p>
              </w:tc>
              <w:tc>
                <w:tcPr>
                  <w:tcW w:w="1629" w:type="pct"/>
                  <w:tcBorders>
                    <w:top w:val="single" w:color="auto" w:sz="2" w:space="0"/>
                    <w:left w:val="single" w:color="auto" w:sz="2" w:space="0"/>
                    <w:bottom w:val="single" w:color="auto" w:sz="2" w:space="0"/>
                    <w:right w:val="single" w:color="auto" w:sz="2" w:space="0"/>
                  </w:tcBorders>
                  <w:vAlign w:val="center"/>
                </w:tcPr>
                <w:p w14:paraId="04CCCFD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GB 17378.7-2007</w:t>
                  </w:r>
                </w:p>
              </w:tc>
            </w:tr>
            <w:tr w14:paraId="3A7D70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76" w:type="pct"/>
                  <w:tcBorders>
                    <w:top w:val="single" w:color="auto" w:sz="2" w:space="0"/>
                    <w:left w:val="single" w:color="auto" w:sz="2" w:space="0"/>
                    <w:bottom w:val="single" w:color="auto" w:sz="2" w:space="0"/>
                    <w:right w:val="single" w:color="auto" w:sz="2" w:space="0"/>
                  </w:tcBorders>
                  <w:vAlign w:val="center"/>
                </w:tcPr>
                <w:p w14:paraId="06139DBE">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1262" w:type="pct"/>
                  <w:tcBorders>
                    <w:top w:val="single" w:color="auto" w:sz="2" w:space="0"/>
                    <w:left w:val="single" w:color="auto" w:sz="2" w:space="0"/>
                    <w:bottom w:val="single" w:color="auto" w:sz="2" w:space="0"/>
                    <w:right w:val="single" w:color="auto" w:sz="2" w:space="0"/>
                  </w:tcBorders>
                  <w:vAlign w:val="center"/>
                </w:tcPr>
                <w:p w14:paraId="39972730">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鱼卵与仔稚鱼</w:t>
                  </w:r>
                </w:p>
              </w:tc>
              <w:tc>
                <w:tcPr>
                  <w:tcW w:w="1433" w:type="pct"/>
                  <w:tcBorders>
                    <w:top w:val="single" w:color="auto" w:sz="2" w:space="0"/>
                    <w:left w:val="single" w:color="auto" w:sz="2" w:space="0"/>
                    <w:bottom w:val="single" w:color="auto" w:sz="2" w:space="0"/>
                    <w:right w:val="single" w:color="auto" w:sz="2" w:space="0"/>
                  </w:tcBorders>
                  <w:vAlign w:val="center"/>
                </w:tcPr>
                <w:p w14:paraId="76C739DF">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计数法</w:t>
                  </w:r>
                </w:p>
              </w:tc>
              <w:tc>
                <w:tcPr>
                  <w:tcW w:w="1629" w:type="pct"/>
                  <w:tcBorders>
                    <w:top w:val="single" w:color="auto" w:sz="2" w:space="0"/>
                    <w:left w:val="single" w:color="auto" w:sz="2" w:space="0"/>
                    <w:bottom w:val="single" w:color="auto" w:sz="2" w:space="0"/>
                    <w:right w:val="single" w:color="auto" w:sz="2" w:space="0"/>
                  </w:tcBorders>
                  <w:vAlign w:val="center"/>
                </w:tcPr>
                <w:p w14:paraId="54040D42">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GB 12763.6—2007</w:t>
                  </w:r>
                </w:p>
              </w:tc>
            </w:tr>
            <w:tr w14:paraId="268DC6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76" w:type="pct"/>
                  <w:tcBorders>
                    <w:top w:val="single" w:color="auto" w:sz="2" w:space="0"/>
                    <w:left w:val="single" w:color="auto" w:sz="2" w:space="0"/>
                    <w:bottom w:val="single" w:color="auto" w:sz="2" w:space="0"/>
                    <w:right w:val="single" w:color="auto" w:sz="2" w:space="0"/>
                  </w:tcBorders>
                  <w:vAlign w:val="center"/>
                </w:tcPr>
                <w:p w14:paraId="79528C75">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1262" w:type="pct"/>
                  <w:tcBorders>
                    <w:top w:val="single" w:color="auto" w:sz="2" w:space="0"/>
                    <w:left w:val="single" w:color="auto" w:sz="2" w:space="0"/>
                    <w:bottom w:val="single" w:color="auto" w:sz="2" w:space="0"/>
                    <w:right w:val="single" w:color="auto" w:sz="2" w:space="0"/>
                  </w:tcBorders>
                  <w:vAlign w:val="center"/>
                </w:tcPr>
                <w:p w14:paraId="6EE36527">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游泳动物</w:t>
                  </w:r>
                </w:p>
              </w:tc>
              <w:tc>
                <w:tcPr>
                  <w:tcW w:w="1433" w:type="pct"/>
                  <w:tcBorders>
                    <w:top w:val="single" w:color="auto" w:sz="2" w:space="0"/>
                    <w:left w:val="single" w:color="auto" w:sz="2" w:space="0"/>
                    <w:bottom w:val="single" w:color="auto" w:sz="2" w:space="0"/>
                    <w:right w:val="single" w:color="auto" w:sz="2" w:space="0"/>
                  </w:tcBorders>
                  <w:vAlign w:val="center"/>
                </w:tcPr>
                <w:p w14:paraId="24AC84BA">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湿重、计数法</w:t>
                  </w:r>
                </w:p>
              </w:tc>
              <w:tc>
                <w:tcPr>
                  <w:tcW w:w="1629" w:type="pct"/>
                  <w:tcBorders>
                    <w:top w:val="single" w:color="auto" w:sz="2" w:space="0"/>
                    <w:left w:val="single" w:color="auto" w:sz="2" w:space="0"/>
                    <w:bottom w:val="single" w:color="auto" w:sz="2" w:space="0"/>
                    <w:right w:val="single" w:color="auto" w:sz="2" w:space="0"/>
                  </w:tcBorders>
                  <w:vAlign w:val="center"/>
                </w:tcPr>
                <w:p w14:paraId="096C9B48">
                  <w:pPr>
                    <w:keepNext w:val="0"/>
                    <w:keepLines w:val="0"/>
                    <w:suppressLineNumbers w:val="0"/>
                    <w:spacing w:before="0" w:beforeAutospacing="0" w:after="0" w:afterAutospacing="0" w:line="0" w:lineRule="atLeas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GB 12763.6—2007</w:t>
                  </w:r>
                </w:p>
              </w:tc>
            </w:tr>
          </w:tbl>
          <w:p w14:paraId="2D969BEE">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③</w:t>
            </w:r>
            <w:r>
              <w:rPr>
                <w:rFonts w:hint="eastAsia"/>
                <w:b/>
                <w:color w:val="auto"/>
                <w:kern w:val="0"/>
                <w:sz w:val="24"/>
              </w:rPr>
              <w:t>评价方法</w:t>
            </w:r>
          </w:p>
          <w:p w14:paraId="282DD595">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 w:val="24"/>
              </w:rPr>
            </w:pPr>
            <w:r>
              <w:rPr>
                <w:rFonts w:hint="eastAsia"/>
                <w:bCs/>
                <w:color w:val="000000" w:themeColor="text1"/>
                <w14:textFill>
                  <w14:solidFill>
                    <w14:schemeClr w14:val="tx1"/>
                  </w14:solidFill>
                </w14:textFill>
              </w:rPr>
              <w:t>（</w:t>
            </w:r>
            <w:r>
              <w:rPr>
                <w:rFonts w:hint="eastAsia" w:ascii="Times New Roman" w:hAnsi="Times New Roman" w:eastAsia="宋体" w:cs="Times New Roman"/>
                <w:color w:val="auto"/>
                <w:kern w:val="0"/>
                <w:sz w:val="24"/>
              </w:rPr>
              <w:t>1）生物群落特征</w:t>
            </w:r>
          </w:p>
          <w:p w14:paraId="0167892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采用能反映生物群落特征的指数，优势度（Y）、多样性指数（H′）、均匀度（J）、丰富度指数（d）对浮游植物、浮游动物以及大型底栖生物的群落结构特征进行分析。计算公式如下：</w:t>
            </w:r>
          </w:p>
          <w:p w14:paraId="7C045BD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①优势度（Y）：</w:t>
            </w:r>
          </w:p>
          <w:p w14:paraId="4E44A21F">
            <w:pPr>
              <w:keepNext w:val="0"/>
              <w:keepLines w:val="0"/>
              <w:suppressLineNumbers w:val="0"/>
              <w:adjustRightInd w:val="0"/>
              <w:snapToGrid w:val="0"/>
              <w:spacing w:before="0" w:beforeAutospacing="0" w:after="0" w:afterAutospacing="0" w:line="360" w:lineRule="auto"/>
              <w:ind w:left="0" w:right="0" w:firstLine="420" w:firstLineChars="200"/>
              <w:jc w:val="center"/>
              <w:rPr>
                <w:rFonts w:hint="eastAsia" w:ascii="Times New Roman" w:hAnsi="Times New Roman" w:eastAsia="宋体" w:cs="Times New Roman"/>
                <w:color w:val="auto"/>
                <w:kern w:val="0"/>
                <w:sz w:val="24"/>
              </w:rPr>
            </w:pPr>
            <w:r>
              <w:rPr>
                <w:rFonts w:hint="eastAsia"/>
              </w:rPr>
              <w:drawing>
                <wp:inline distT="0" distB="0" distL="114300" distR="114300">
                  <wp:extent cx="1059815" cy="372745"/>
                  <wp:effectExtent l="0" t="0" r="6985" b="825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5"/>
                          <a:stretch>
                            <a:fillRect/>
                          </a:stretch>
                        </pic:blipFill>
                        <pic:spPr>
                          <a:xfrm>
                            <a:off x="0" y="0"/>
                            <a:ext cx="1059815" cy="372745"/>
                          </a:xfrm>
                          <a:prstGeom prst="rect">
                            <a:avLst/>
                          </a:prstGeom>
                          <a:noFill/>
                          <a:ln>
                            <a:noFill/>
                          </a:ln>
                        </pic:spPr>
                      </pic:pic>
                    </a:graphicData>
                  </a:graphic>
                </wp:inline>
              </w:drawing>
            </w:r>
          </w:p>
          <w:p w14:paraId="3A0C623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②Shannon-Wiener多样性指数：</w:t>
            </w:r>
          </w:p>
          <w:p w14:paraId="0821BC58">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rPr>
              <w:drawing>
                <wp:inline distT="0" distB="0" distL="0" distR="0">
                  <wp:extent cx="1022985" cy="381635"/>
                  <wp:effectExtent l="0" t="0" r="5715" b="8890"/>
                  <wp:docPr id="5846083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08391" name="图片 19"/>
                          <pic:cNvPicPr>
                            <a:picLocks noChangeAspect="1" noChangeArrowheads="1"/>
                          </pic:cNvPicPr>
                        </pic:nvPicPr>
                        <pic:blipFill>
                          <a:blip r:embed="rId16"/>
                          <a:srcRect/>
                          <a:stretch>
                            <a:fillRect/>
                          </a:stretch>
                        </pic:blipFill>
                        <pic:spPr>
                          <a:xfrm>
                            <a:off x="0" y="0"/>
                            <a:ext cx="1022985" cy="381635"/>
                          </a:xfrm>
                          <a:prstGeom prst="rect">
                            <a:avLst/>
                          </a:prstGeom>
                          <a:noFill/>
                          <a:ln>
                            <a:noFill/>
                          </a:ln>
                        </pic:spPr>
                      </pic:pic>
                    </a:graphicData>
                  </a:graphic>
                </wp:inline>
              </w:drawing>
            </w:r>
          </w:p>
          <w:p w14:paraId="11432AF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③Pielou 均匀度指数：</w:t>
            </w:r>
          </w:p>
          <w:p w14:paraId="58D381D8">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rPr>
              <w:drawing>
                <wp:inline distT="0" distB="0" distL="0" distR="0">
                  <wp:extent cx="595630" cy="233045"/>
                  <wp:effectExtent l="0" t="0" r="4445" b="0"/>
                  <wp:docPr id="5846083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08392" name="图片 20"/>
                          <pic:cNvPicPr>
                            <a:picLocks noChangeAspect="1" noChangeArrowheads="1"/>
                          </pic:cNvPicPr>
                        </pic:nvPicPr>
                        <pic:blipFill>
                          <a:blip r:embed="rId17"/>
                          <a:srcRect/>
                          <a:stretch>
                            <a:fillRect/>
                          </a:stretch>
                        </pic:blipFill>
                        <pic:spPr>
                          <a:xfrm>
                            <a:off x="0" y="0"/>
                            <a:ext cx="595630" cy="233045"/>
                          </a:xfrm>
                          <a:prstGeom prst="rect">
                            <a:avLst/>
                          </a:prstGeom>
                          <a:noFill/>
                          <a:ln>
                            <a:noFill/>
                          </a:ln>
                        </pic:spPr>
                      </pic:pic>
                    </a:graphicData>
                  </a:graphic>
                </wp:inline>
              </w:drawing>
            </w:r>
          </w:p>
          <w:p w14:paraId="452925F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④Margalef丰富度指数：</w:t>
            </w:r>
          </w:p>
          <w:p w14:paraId="56A16CA9">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 xml:space="preserve">                       </w:t>
            </w:r>
            <w:r>
              <w:rPr>
                <w:rFonts w:hint="eastAsia" w:ascii="Times New Roman" w:hAnsi="Times New Roman" w:eastAsia="宋体" w:cs="Times New Roman"/>
                <w:color w:val="auto"/>
                <w:kern w:val="0"/>
                <w:sz w:val="24"/>
                <w:lang w:val="en-US" w:eastAsia="zh-CN"/>
              </w:rPr>
              <w:t xml:space="preserve">  </w:t>
            </w:r>
            <w:r>
              <w:rPr>
                <w:rFonts w:hint="eastAsia" w:ascii="Times New Roman" w:hAnsi="Times New Roman" w:eastAsia="宋体" w:cs="Times New Roman"/>
                <w:color w:val="auto"/>
                <w:kern w:val="0"/>
                <w:sz w:val="24"/>
              </w:rPr>
              <w:t xml:space="preserve">  d=(S-1)/log</w:t>
            </w:r>
            <w:r>
              <w:rPr>
                <w:rFonts w:hint="eastAsia" w:ascii="Times New Roman" w:hAnsi="Times New Roman" w:eastAsia="宋体" w:cs="Times New Roman"/>
                <w:color w:val="auto"/>
                <w:kern w:val="0"/>
                <w:sz w:val="24"/>
                <w:vertAlign w:val="subscript"/>
              </w:rPr>
              <w:t>2</w:t>
            </w:r>
            <w:r>
              <w:rPr>
                <w:rFonts w:hint="eastAsia" w:ascii="Times New Roman" w:hAnsi="Times New Roman" w:eastAsia="宋体" w:cs="Times New Roman"/>
                <w:color w:val="auto"/>
                <w:kern w:val="0"/>
                <w:sz w:val="24"/>
              </w:rPr>
              <w:t>N</w:t>
            </w:r>
          </w:p>
          <w:p w14:paraId="09D26EA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式中，ni：第i种的个体数量（ind/m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）；N：某站总生物数量（ind/m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）（浮游生物单位为ind/m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）；fi：某种生物的出现频率（%）；S：出现生物总种数；Pi＝ni/N；Hmax＝log</w:t>
            </w:r>
            <w:r>
              <w:rPr>
                <w:rFonts w:hint="eastAsia" w:ascii="Times New Roman" w:hAnsi="Times New Roman" w:eastAsia="宋体" w:cs="Times New Roman"/>
                <w:color w:val="auto"/>
                <w:kern w:val="0"/>
                <w:sz w:val="24"/>
                <w:vertAlign w:val="subscript"/>
              </w:rPr>
              <w:t>2</w:t>
            </w:r>
            <w:r>
              <w:rPr>
                <w:rFonts w:hint="eastAsia" w:ascii="Times New Roman" w:hAnsi="Times New Roman" w:eastAsia="宋体" w:cs="Times New Roman"/>
                <w:color w:val="auto"/>
                <w:kern w:val="0"/>
                <w:sz w:val="24"/>
              </w:rPr>
              <w:t>S，为最大多样性指数。</w:t>
            </w:r>
          </w:p>
          <w:p w14:paraId="68EAEB2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（2）游泳动物</w:t>
            </w:r>
          </w:p>
          <w:p w14:paraId="174C411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游泳动物资源密度的评估根据底拖网扫海面积法（密度指数法），来估算评价区内的游泳动物资源密度，求算公式为：S=y/a(1-E)</w:t>
            </w:r>
          </w:p>
          <w:p w14:paraId="636AB85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式中：S－资源密度（kg/km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，ind/km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w:t>
            </w:r>
          </w:p>
          <w:p w14:paraId="102FEF4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a－底拖网每小时的扫海面积（扫海宽度取浮纲长度的2/3）；</w:t>
            </w:r>
          </w:p>
          <w:p w14:paraId="19FA42D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y－平均渔获率（kg/h，ind/h）；</w:t>
            </w:r>
          </w:p>
          <w:p w14:paraId="30E21A3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E－逃逸率（取0.5）。</w:t>
            </w:r>
          </w:p>
          <w:p w14:paraId="6D14F5C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根据渔获物中个体大小悬殊的特点，选用Pinkas等提出的相对重要性指数（IRI）来分析渔获物数量组成中其生态优势种的成分，依此确定优势种。IRI计算公式为：</w:t>
            </w:r>
          </w:p>
          <w:p w14:paraId="5826349A">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IRI=(N+W)F</w:t>
            </w:r>
          </w:p>
          <w:p w14:paraId="4CBCD94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式中：N－某一种类的尾数占渔获总尾数的百分比；</w:t>
            </w:r>
          </w:p>
          <w:p w14:paraId="03E850C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W－某一种类的重量占渔获总重量的百分比；</w:t>
            </w:r>
          </w:p>
          <w:p w14:paraId="7F42DD5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val="en-US"/>
              </w:rPr>
            </w:pPr>
            <w:r>
              <w:rPr>
                <w:rFonts w:hint="eastAsia" w:ascii="Times New Roman" w:hAnsi="Times New Roman" w:eastAsia="宋体" w:cs="Times New Roman"/>
                <w:color w:val="auto"/>
                <w:kern w:val="0"/>
                <w:sz w:val="24"/>
                <w:lang w:val="en-US"/>
              </w:rPr>
              <w:t>F－某一种类出现的站位数占</w:t>
            </w:r>
            <w:r>
              <w:rPr>
                <w:rFonts w:hint="eastAsia" w:ascii="Times New Roman" w:hAnsi="Times New Roman" w:eastAsia="宋体" w:cs="Times New Roman"/>
                <w:color w:val="auto"/>
                <w:kern w:val="0"/>
                <w:sz w:val="24"/>
              </w:rPr>
              <w:t>调查</w:t>
            </w:r>
            <w:r>
              <w:rPr>
                <w:rFonts w:hint="eastAsia" w:ascii="Times New Roman" w:hAnsi="Times New Roman" w:eastAsia="宋体" w:cs="Times New Roman"/>
                <w:color w:val="auto"/>
                <w:kern w:val="0"/>
                <w:sz w:val="24"/>
                <w:lang w:val="en-US"/>
              </w:rPr>
              <w:t>总站位数的百分比。</w:t>
            </w:r>
          </w:p>
          <w:p w14:paraId="5350FE07">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④海洋生物生态调查结果</w:t>
            </w:r>
          </w:p>
          <w:p w14:paraId="4B5793B2">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9"/>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（1）叶绿素a及初级生产力</w:t>
            </w:r>
          </w:p>
          <w:p w14:paraId="79CA01BB">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各调查站位海水叶绿素a的含量介于1.0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2.6mg/m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之间，平均为1.8mg/m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，根据水体透明度和表层叶绿素a含量估算得到的海区表层水体初级生产力范围在(32.8~256.3)mgC/m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·d之间，平均值为132.0mgC/m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·d。</w:t>
            </w:r>
          </w:p>
          <w:p w14:paraId="103AF2A4">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9"/>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（2）浮游植物</w:t>
            </w:r>
          </w:p>
          <w:p w14:paraId="530141A4">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种类组成</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次生态调查共鉴定出浮游植物5门61种（含未定种的属），隶属于蓝藻门、甲藻门、黄藻门、硅藻门和裸藻门5大门类。其中硅藻门种类最多，有51种，占总种数的83.61%；其次是甲藻门有7种，占总种数的11.48%；蓝藻门、黄藻门和裸藻门各有1种，各占总种数的1.64%。</w:t>
            </w:r>
          </w:p>
          <w:p w14:paraId="3BD3D94D">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密度及分布</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各调查站位浮游植物的密度在0.62×10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~273.56×10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cells/m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之间，平均密度为45.03×10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cells/m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，其中硅藻门的平均密度最高，为43.27×10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cells/m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，占浮游植物平均密度的96.09%；其次是甲藻门，平均密度为1.33×10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cells/m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，占浮游植物平均密度的2.95%；黄藻门的平均密度最低，为0.02×10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cells/m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，占浮游植物平均密度的0.04%。</w:t>
            </w:r>
          </w:p>
          <w:p w14:paraId="13F3579C">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优势种及分布</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按照优势度</w:t>
            </w:r>
            <w:r>
              <w:rPr>
                <w:rFonts w:hint="default" w:ascii="Times New Roman" w:hAnsi="Times New Roman" w:eastAsia="宋体" w:cs="Times New Roman"/>
                <w:i/>
                <w:color w:val="000000" w:themeColor="text1"/>
                <w:sz w:val="24"/>
                <w:szCs w:val="24"/>
                <w14:textFill>
                  <w14:solidFill>
                    <w14:schemeClr w14:val="tx1"/>
                  </w14:solidFill>
                </w14:textFill>
              </w:rPr>
              <w:t>Y</w:t>
            </w:r>
            <w:r>
              <w:rPr>
                <w:rFonts w:hint="default" w:ascii="Times New Roman" w:hAnsi="Times New Roman" w:eastAsia="宋体" w:cs="Times New Roman"/>
                <w:color w:val="000000" w:themeColor="text1"/>
                <w:sz w:val="24"/>
                <w:szCs w:val="24"/>
                <w14:textFill>
                  <w14:solidFill>
                    <w14:schemeClr w14:val="tx1"/>
                  </w14:solidFill>
                </w14:textFill>
              </w:rPr>
              <w:t>≥0.02来确定本次调查浮游植物的优势种有6种，分别是：中肋骨条藻</w:t>
            </w:r>
            <w:r>
              <w:rPr>
                <w:rFonts w:hint="default" w:ascii="Times New Roman" w:hAnsi="Times New Roman" w:eastAsia="宋体" w:cs="Times New Roman"/>
                <w:i/>
                <w:iCs/>
                <w:color w:val="000000" w:themeColor="text1"/>
                <w:sz w:val="24"/>
                <w:szCs w:val="24"/>
                <w14:textFill>
                  <w14:solidFill>
                    <w14:schemeClr w14:val="tx1"/>
                  </w14:solidFill>
                </w14:textFill>
              </w:rPr>
              <w:t>Skeletonema costatum</w:t>
            </w:r>
            <w:r>
              <w:rPr>
                <w:rFonts w:hint="default" w:ascii="Times New Roman" w:hAnsi="Times New Roman" w:eastAsia="宋体" w:cs="Times New Roman"/>
                <w:color w:val="000000" w:themeColor="text1"/>
                <w:sz w:val="24"/>
                <w:szCs w:val="24"/>
                <w14:textFill>
                  <w14:solidFill>
                    <w14:schemeClr w14:val="tx1"/>
                  </w14:solidFill>
                </w14:textFill>
              </w:rPr>
              <w:t>、菱形海线藻</w:t>
            </w:r>
            <w:r>
              <w:rPr>
                <w:rFonts w:hint="default" w:ascii="Times New Roman" w:hAnsi="Times New Roman" w:eastAsia="宋体" w:cs="Times New Roman"/>
                <w:i/>
                <w:iCs/>
                <w:color w:val="000000" w:themeColor="text1"/>
                <w:sz w:val="24"/>
                <w:szCs w:val="24"/>
                <w14:textFill>
                  <w14:solidFill>
                    <w14:schemeClr w14:val="tx1"/>
                  </w14:solidFill>
                </w14:textFill>
              </w:rPr>
              <w:t>Thalassionema nitzschioides、</w:t>
            </w:r>
            <w:r>
              <w:rPr>
                <w:rFonts w:hint="default" w:ascii="Times New Roman" w:hAnsi="Times New Roman" w:eastAsia="宋体" w:cs="Times New Roman"/>
                <w:color w:val="000000" w:themeColor="text1"/>
                <w:sz w:val="24"/>
                <w:szCs w:val="24"/>
                <w14:textFill>
                  <w14:solidFill>
                    <w14:schemeClr w14:val="tx1"/>
                  </w14:solidFill>
                </w14:textFill>
              </w:rPr>
              <w:t>并基角毛藻</w:t>
            </w:r>
            <w:r>
              <w:rPr>
                <w:rFonts w:hint="default" w:ascii="Times New Roman" w:hAnsi="Times New Roman" w:eastAsia="宋体" w:cs="Times New Roman"/>
                <w:i/>
                <w:iCs/>
                <w:color w:val="000000" w:themeColor="text1"/>
                <w:sz w:val="24"/>
                <w:szCs w:val="24"/>
                <w14:textFill>
                  <w14:solidFill>
                    <w14:schemeClr w14:val="tx1"/>
                  </w14:solidFill>
                </w14:textFill>
              </w:rPr>
              <w:t xml:space="preserve">Chaetoceros decipiens </w:t>
            </w:r>
            <w:r>
              <w:rPr>
                <w:rFonts w:hint="default" w:ascii="Times New Roman" w:hAnsi="Times New Roman" w:eastAsia="宋体" w:cs="Times New Roman"/>
                <w:iCs/>
                <w:color w:val="000000" w:themeColor="text1"/>
                <w:sz w:val="24"/>
                <w:szCs w:val="24"/>
                <w14:textFill>
                  <w14:solidFill>
                    <w14:schemeClr w14:val="tx1"/>
                  </w14:solidFill>
                </w14:textFill>
              </w:rPr>
              <w:t>f.</w:t>
            </w:r>
            <w:r>
              <w:rPr>
                <w:rFonts w:hint="default" w:ascii="Times New Roman" w:hAnsi="Times New Roman" w:eastAsia="宋体" w:cs="Times New Roman"/>
                <w:i/>
                <w:iCs/>
                <w:color w:val="000000" w:themeColor="text1"/>
                <w:sz w:val="24"/>
                <w:szCs w:val="24"/>
                <w14:textFill>
                  <w14:solidFill>
                    <w14:schemeClr w14:val="tx1"/>
                  </w14:solidFill>
                </w14:textFill>
              </w:rPr>
              <w:t xml:space="preserve"> decipiens</w:t>
            </w:r>
            <w:r>
              <w:rPr>
                <w:rFonts w:hint="default" w:ascii="Times New Roman" w:hAnsi="Times New Roman" w:eastAsia="宋体" w:cs="Times New Roman"/>
                <w:color w:val="000000" w:themeColor="text1"/>
                <w:sz w:val="24"/>
                <w:szCs w:val="24"/>
                <w14:textFill>
                  <w14:solidFill>
                    <w14:schemeClr w14:val="tx1"/>
                  </w14:solidFill>
                </w14:textFill>
              </w:rPr>
              <w:t>、旋链角毛藻</w:t>
            </w:r>
            <w:r>
              <w:rPr>
                <w:rFonts w:hint="default" w:ascii="Times New Roman" w:hAnsi="Times New Roman" w:eastAsia="宋体" w:cs="Times New Roman"/>
                <w:i/>
                <w:iCs/>
                <w:color w:val="000000" w:themeColor="text1"/>
                <w:sz w:val="24"/>
                <w:szCs w:val="24"/>
                <w14:textFill>
                  <w14:solidFill>
                    <w14:schemeClr w14:val="tx1"/>
                  </w14:solidFill>
                </w14:textFill>
              </w:rPr>
              <w:t>Chaetoceros curvisetus</w:t>
            </w:r>
            <w:r>
              <w:rPr>
                <w:rFonts w:hint="default" w:ascii="Times New Roman" w:hAnsi="Times New Roman" w:eastAsia="宋体" w:cs="Times New Roman"/>
                <w:color w:val="000000" w:themeColor="text1"/>
                <w:sz w:val="24"/>
                <w:szCs w:val="24"/>
                <w14:textFill>
                  <w14:solidFill>
                    <w14:schemeClr w14:val="tx1"/>
                  </w14:solidFill>
                </w14:textFill>
              </w:rPr>
              <w:t>、丹麦细柱藻</w:t>
            </w:r>
            <w:r>
              <w:rPr>
                <w:rFonts w:hint="default" w:ascii="Times New Roman" w:hAnsi="Times New Roman" w:eastAsia="宋体" w:cs="Times New Roman"/>
                <w:i/>
                <w:iCs/>
                <w:color w:val="000000" w:themeColor="text1"/>
                <w:sz w:val="24"/>
                <w:szCs w:val="24"/>
                <w14:textFill>
                  <w14:solidFill>
                    <w14:schemeClr w14:val="tx1"/>
                  </w14:solidFill>
                </w14:textFill>
              </w:rPr>
              <w:t>Leptocylindrus danicus</w:t>
            </w:r>
            <w:r>
              <w:rPr>
                <w:rFonts w:hint="default" w:ascii="Times New Roman" w:hAnsi="Times New Roman" w:eastAsia="宋体" w:cs="Times New Roman"/>
                <w:color w:val="000000" w:themeColor="text1"/>
                <w:sz w:val="24"/>
                <w:szCs w:val="24"/>
                <w14:textFill>
                  <w14:solidFill>
                    <w14:schemeClr w14:val="tx1"/>
                  </w14:solidFill>
                </w14:textFill>
              </w:rPr>
              <w:t>、劳氏角毛藻</w:t>
            </w:r>
            <w:r>
              <w:rPr>
                <w:rFonts w:hint="default" w:ascii="Times New Roman" w:hAnsi="Times New Roman" w:eastAsia="宋体" w:cs="Times New Roman"/>
                <w:i/>
                <w:iCs/>
                <w:color w:val="000000" w:themeColor="text1"/>
                <w:sz w:val="24"/>
                <w:szCs w:val="24"/>
                <w14:textFill>
                  <w14:solidFill>
                    <w14:schemeClr w14:val="tx1"/>
                  </w14:solidFill>
                </w14:textFill>
              </w:rPr>
              <w:t>Chaetoceros lorenzianus</w:t>
            </w:r>
            <w:r>
              <w:rPr>
                <w:rFonts w:hint="default" w:ascii="Times New Roman" w:hAnsi="Times New Roman" w:eastAsia="宋体" w:cs="Times New Roman"/>
                <w:color w:val="000000" w:themeColor="text1"/>
                <w:sz w:val="24"/>
                <w:szCs w:val="24"/>
                <w14:textFill>
                  <w14:solidFill>
                    <w14:schemeClr w14:val="tx1"/>
                  </w14:solidFill>
                </w14:textFill>
              </w:rPr>
              <w:t>。其中中肋骨条藻的优势度最高，为0.316，为世界广布性种；其次是菱形海线藻，优势度为0.170，为世界广布性种；并基角毛藻的优势度为0.147，为北极至温带广盐性种；旋链角毛藻的优势度为0.037，为广温性沿岸种；丹麦细柱藻的优势度为0.030，为世界广布性种；劳氏角毛藻的优势度为0.025，为世界广布性种。</w:t>
            </w:r>
          </w:p>
          <w:p w14:paraId="0B6BE7F0">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多样性水平</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各调查站位浮游植物的Shannon-Wiener多样性指数（H′）和Pielou均匀度指数（J）如表</w:t>
            </w:r>
            <w:r>
              <w:rPr>
                <w:rFonts w:hint="eastAsia" w:cs="Times New Roman"/>
                <w:color w:val="000000" w:themeColor="text1"/>
                <w:sz w:val="24"/>
                <w:szCs w:val="24"/>
                <w:lang w:val="en-US" w:eastAsia="zh-CN"/>
                <w14:textFill>
                  <w14:solidFill>
                    <w14:schemeClr w14:val="tx1"/>
                  </w14:solidFill>
                </w14:textFill>
              </w:rPr>
              <w:t>3.5-7</w:t>
            </w:r>
            <w:r>
              <w:rPr>
                <w:rFonts w:hint="default" w:ascii="Times New Roman" w:hAnsi="Times New Roman" w:eastAsia="宋体" w:cs="Times New Roman"/>
                <w:color w:val="000000" w:themeColor="text1"/>
                <w:sz w:val="24"/>
                <w:szCs w:val="24"/>
                <w14:textFill>
                  <w14:solidFill>
                    <w14:schemeClr w14:val="tx1"/>
                  </w14:solidFill>
                </w14:textFill>
              </w:rPr>
              <w:t>所示。调查站位浮游植物的Shannon-Wiener多样性指数（H′）范围在1.93~4.24之间，平均值为2.89，其中22号站位多样性指数最高（4.24），24号站位次之（3.41），31号站位的多样性指数最低（1.93），整体来说，调查站位多样性指数水平一般。</w:t>
            </w:r>
          </w:p>
          <w:p w14:paraId="45AD924B">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各调查站位浮游植物的Pielou均匀度指数（J）范围在0.47~0.88之间，平均值为0.61，其中22号站位最高，为0.88，40号站位次之（为0.67），26号和31号站位最低，均为0.47，整体来说，调查站位均匀度水平一般。</w:t>
            </w:r>
          </w:p>
          <w:p w14:paraId="2ED21240">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各调查站位浮游植物的丰富度指数（d）范围在0.56~2.41之间，平均值为1.55，其中39号站位最高，为2.41，23号站位次之（2.15），40号站位最低（0.56）。</w:t>
            </w:r>
          </w:p>
          <w:p w14:paraId="4C12F4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ja-JP"/>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3.5-7</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en-US" w:eastAsia="ja-JP"/>
              </w:rPr>
              <w:t>各站位浮游植物的多样性水平</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1322"/>
              <w:gridCol w:w="2057"/>
              <w:gridCol w:w="1911"/>
              <w:gridCol w:w="2055"/>
            </w:tblGrid>
            <w:tr w14:paraId="0C43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tcBorders>
                    <w:tl2br w:val="nil"/>
                  </w:tcBorders>
                  <w:shd w:val="clear" w:color="auto" w:fill="auto"/>
                  <w:vAlign w:val="center"/>
                </w:tcPr>
                <w:p w14:paraId="0E31DECD">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调查站位</w:t>
                  </w:r>
                </w:p>
              </w:tc>
              <w:tc>
                <w:tcPr>
                  <w:tcW w:w="763" w:type="pct"/>
                  <w:vAlign w:val="center"/>
                </w:tcPr>
                <w:p w14:paraId="2A3D08E2">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种类数</w:t>
                  </w:r>
                </w:p>
              </w:tc>
              <w:tc>
                <w:tcPr>
                  <w:tcW w:w="1187" w:type="pct"/>
                  <w:shd w:val="clear" w:color="auto" w:fill="auto"/>
                  <w:vAlign w:val="center"/>
                </w:tcPr>
                <w:p w14:paraId="028A989A">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多样性指数（</w:t>
                  </w:r>
                  <w:r>
                    <w:rPr>
                      <w:rFonts w:hint="default" w:ascii="Times New Roman" w:hAnsi="Times New Roman" w:eastAsia="宋体" w:cs="Times New Roman"/>
                      <w:b w:val="0"/>
                      <w:bCs/>
                      <w:i/>
                      <w:color w:val="000000" w:themeColor="text1"/>
                      <w:sz w:val="21"/>
                      <w:szCs w:val="21"/>
                      <w14:textFill>
                        <w14:solidFill>
                          <w14:schemeClr w14:val="tx1"/>
                        </w14:solidFill>
                      </w14:textFill>
                    </w:rPr>
                    <w:t>H'</w:t>
                  </w: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103" w:type="pct"/>
                  <w:shd w:val="clear" w:color="auto" w:fill="auto"/>
                  <w:vAlign w:val="center"/>
                </w:tcPr>
                <w:p w14:paraId="1A0CFEE6">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均匀度指数（</w:t>
                  </w:r>
                  <w:r>
                    <w:rPr>
                      <w:rFonts w:hint="default" w:ascii="Times New Roman" w:hAnsi="Times New Roman" w:eastAsia="宋体" w:cs="Times New Roman"/>
                      <w:b w:val="0"/>
                      <w:bCs/>
                      <w:i/>
                      <w:color w:val="000000" w:themeColor="text1"/>
                      <w:sz w:val="21"/>
                      <w:szCs w:val="21"/>
                      <w14:textFill>
                        <w14:solidFill>
                          <w14:schemeClr w14:val="tx1"/>
                        </w14:solidFill>
                      </w14:textFill>
                    </w:rPr>
                    <w:t>J</w:t>
                  </w: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186" w:type="pct"/>
                  <w:shd w:val="clear" w:color="auto" w:fill="auto"/>
                  <w:vAlign w:val="center"/>
                </w:tcPr>
                <w:p w14:paraId="7F9B84CF">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丰富度指数（</w:t>
                  </w:r>
                  <w:r>
                    <w:rPr>
                      <w:rFonts w:hint="default" w:ascii="Times New Roman" w:hAnsi="Times New Roman" w:eastAsia="宋体" w:cs="Times New Roman"/>
                      <w:b w:val="0"/>
                      <w:bCs/>
                      <w:i/>
                      <w:iCs/>
                      <w:color w:val="000000" w:themeColor="text1"/>
                      <w:sz w:val="21"/>
                      <w:szCs w:val="21"/>
                      <w14:textFill>
                        <w14:solidFill>
                          <w14:schemeClr w14:val="tx1"/>
                        </w14:solidFill>
                      </w14:textFill>
                    </w:rPr>
                    <w:t>d</w:t>
                  </w: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14:paraId="1E78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025ADFA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21</w:t>
                  </w:r>
                </w:p>
              </w:tc>
              <w:tc>
                <w:tcPr>
                  <w:tcW w:w="763" w:type="pct"/>
                  <w:vAlign w:val="center"/>
                </w:tcPr>
                <w:p w14:paraId="3F300525">
                  <w:pPr>
                    <w:pStyle w:val="8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r>
                    <w:rPr>
                      <w:rFonts w:hint="eastAsia"/>
                      <w:sz w:val="24"/>
                    </w:rPr>
                    <w:t>*</w:t>
                  </w:r>
                  <w:r>
                    <w:rPr>
                      <w:sz w:val="24"/>
                    </w:rPr>
                    <w:t>**</w:t>
                  </w:r>
                </w:p>
              </w:tc>
              <w:tc>
                <w:tcPr>
                  <w:tcW w:w="1187" w:type="pct"/>
                  <w:shd w:val="clear" w:color="auto" w:fill="auto"/>
                  <w:vAlign w:val="center"/>
                </w:tcPr>
                <w:p w14:paraId="765E7FC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2259263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511B46D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7836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1B6C4CC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22</w:t>
                  </w:r>
                </w:p>
              </w:tc>
              <w:tc>
                <w:tcPr>
                  <w:tcW w:w="763" w:type="pct"/>
                  <w:vAlign w:val="center"/>
                </w:tcPr>
                <w:p w14:paraId="24C9FA6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7399382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580B58F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466051F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53E4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5C78AE8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23</w:t>
                  </w:r>
                </w:p>
              </w:tc>
              <w:tc>
                <w:tcPr>
                  <w:tcW w:w="763" w:type="pct"/>
                  <w:vAlign w:val="center"/>
                </w:tcPr>
                <w:p w14:paraId="1CCB537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3F4DFCC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2DE85F5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469EC47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7EB0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7E14432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24</w:t>
                  </w:r>
                </w:p>
              </w:tc>
              <w:tc>
                <w:tcPr>
                  <w:tcW w:w="763" w:type="pct"/>
                  <w:vAlign w:val="center"/>
                </w:tcPr>
                <w:p w14:paraId="6A617A4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389D9FE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120D640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26C2151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12EF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5FC6C5C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26</w:t>
                  </w:r>
                </w:p>
              </w:tc>
              <w:tc>
                <w:tcPr>
                  <w:tcW w:w="763" w:type="pct"/>
                  <w:vAlign w:val="center"/>
                </w:tcPr>
                <w:p w14:paraId="679DB5F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285A7C5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326073D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3947CF7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7036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7E3C0A4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27</w:t>
                  </w:r>
                </w:p>
              </w:tc>
              <w:tc>
                <w:tcPr>
                  <w:tcW w:w="763" w:type="pct"/>
                  <w:vAlign w:val="center"/>
                </w:tcPr>
                <w:p w14:paraId="606289E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3F521DF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4C556B6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0405DE8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4D8A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7EF9DE4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31</w:t>
                  </w:r>
                </w:p>
              </w:tc>
              <w:tc>
                <w:tcPr>
                  <w:tcW w:w="763" w:type="pct"/>
                  <w:vAlign w:val="center"/>
                </w:tcPr>
                <w:p w14:paraId="52D14D7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4294C76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60B3CFE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6D3CB8C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7602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4EC7974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35</w:t>
                  </w:r>
                </w:p>
              </w:tc>
              <w:tc>
                <w:tcPr>
                  <w:tcW w:w="763" w:type="pct"/>
                  <w:vAlign w:val="center"/>
                </w:tcPr>
                <w:p w14:paraId="5A03FBE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65E396B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671A0DD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6D91309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015D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4613784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36</w:t>
                  </w:r>
                </w:p>
              </w:tc>
              <w:tc>
                <w:tcPr>
                  <w:tcW w:w="763" w:type="pct"/>
                  <w:vAlign w:val="center"/>
                </w:tcPr>
                <w:p w14:paraId="73F9A07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4A8D03C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1ED7363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4147FA6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2929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6FB8D2B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38</w:t>
                  </w:r>
                </w:p>
              </w:tc>
              <w:tc>
                <w:tcPr>
                  <w:tcW w:w="763" w:type="pct"/>
                  <w:vAlign w:val="center"/>
                </w:tcPr>
                <w:p w14:paraId="2078823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4A290F6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24402FC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4D75542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5A23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38FB0CB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39</w:t>
                  </w:r>
                </w:p>
              </w:tc>
              <w:tc>
                <w:tcPr>
                  <w:tcW w:w="763" w:type="pct"/>
                  <w:vAlign w:val="center"/>
                </w:tcPr>
                <w:p w14:paraId="122325B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696AAC8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3C69A91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3C88760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7875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28FCD18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40</w:t>
                  </w:r>
                </w:p>
              </w:tc>
              <w:tc>
                <w:tcPr>
                  <w:tcW w:w="763" w:type="pct"/>
                  <w:vAlign w:val="center"/>
                </w:tcPr>
                <w:p w14:paraId="05FE416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7" w:type="pct"/>
                  <w:shd w:val="clear" w:color="auto" w:fill="auto"/>
                  <w:vAlign w:val="center"/>
                </w:tcPr>
                <w:p w14:paraId="061F790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0072403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3A15FC1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r w14:paraId="7D4C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1" w:type="pct"/>
                  <w:shd w:val="clear" w:color="auto" w:fill="auto"/>
                  <w:vAlign w:val="center"/>
                </w:tcPr>
                <w:p w14:paraId="4F394C0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平均值</w:t>
                  </w:r>
                </w:p>
              </w:tc>
              <w:tc>
                <w:tcPr>
                  <w:tcW w:w="763" w:type="pct"/>
                  <w:vAlign w:val="center"/>
                </w:tcPr>
                <w:p w14:paraId="642756E0">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87" w:type="pct"/>
                  <w:shd w:val="clear" w:color="auto" w:fill="auto"/>
                  <w:vAlign w:val="center"/>
                </w:tcPr>
                <w:p w14:paraId="543CCC8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03" w:type="pct"/>
                  <w:shd w:val="clear" w:color="auto" w:fill="auto"/>
                  <w:vAlign w:val="center"/>
                </w:tcPr>
                <w:p w14:paraId="3B7E57B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186" w:type="pct"/>
                  <w:shd w:val="clear" w:color="auto" w:fill="auto"/>
                  <w:vAlign w:val="center"/>
                </w:tcPr>
                <w:p w14:paraId="78F8D68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r>
          </w:tbl>
          <w:p w14:paraId="27340AB0">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小结</w:t>
            </w:r>
            <w:r>
              <w:rPr>
                <w:rFonts w:hint="eastAsia"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浮游植物是测量水质的指示生物，其丰富程度和群落组成结构的变化直接影响水体质量状况。本次调查浮游植物调查结果显示，调查海域内浮游植物种类84种，种群以硅藻门为主要构成类群，其占比达到76.19%，甲藻门占比为23.81%。调查海域浮游植物平均密度为4.86×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cells/m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，空间分布不均匀；从种类组成特征来看，调查海域内优势种有3种，均为常见优势种。</w:t>
            </w:r>
          </w:p>
          <w:p w14:paraId="6F7DE83F">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9"/>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（3）浮游动物</w:t>
            </w:r>
          </w:p>
          <w:p w14:paraId="58CAEB05">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种类组成</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本次调查共记录浮游动物11个生物类群55种，各类群浮游动物的种类构成如图</w:t>
            </w:r>
            <w:r>
              <w:rPr>
                <w:rFonts w:hint="eastAsia" w:cs="Times New Roman"/>
                <w:color w:val="000000" w:themeColor="text1"/>
                <w:sz w:val="24"/>
                <w:szCs w:val="24"/>
                <w:lang w:val="en-US" w:eastAsia="zh-CN"/>
                <w14:textFill>
                  <w14:solidFill>
                    <w14:schemeClr w14:val="tx1"/>
                  </w14:solidFill>
                </w14:textFill>
              </w:rPr>
              <w:t>3.5-2</w:t>
            </w:r>
            <w:r>
              <w:rPr>
                <w:rFonts w:hint="default" w:ascii="Times New Roman" w:hAnsi="Times New Roman" w:eastAsia="宋体" w:cs="Times New Roman"/>
                <w:color w:val="000000" w:themeColor="text1"/>
                <w:sz w:val="24"/>
                <w:szCs w:val="24"/>
                <w14:textFill>
                  <w14:solidFill>
                    <w14:schemeClr w14:val="tx1"/>
                  </w14:solidFill>
                </w14:textFill>
              </w:rPr>
              <w:t>所示。其中桡足类19种，占总种数的34.55%；浮游幼体12种，占总种数的21.82%；水母类9种，占总种数的16.36%；毛颚类4种，占总种数的7.27%；端足类、枝角类、翼足类和被囊类各2种，各占总种数的3.64%；十足类、鳞虾类和介形类各1种，各占总种数的1.82%。</w:t>
            </w:r>
          </w:p>
          <w:p w14:paraId="7BA71101">
            <w:pPr>
              <w:pStyle w:val="8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eastAsia"/>
                <w:sz w:val="24"/>
              </w:rPr>
              <w:t>*</w:t>
            </w:r>
            <w:r>
              <w:rPr>
                <w:sz w:val="24"/>
              </w:rPr>
              <w:t>**</w:t>
            </w:r>
          </w:p>
          <w:p w14:paraId="53444C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ja-JP"/>
              </w:rPr>
            </w:pPr>
            <w:r>
              <w:rPr>
                <w:rFonts w:hint="eastAsia" w:ascii="Times New Roman" w:hAnsi="Times New Roman" w:cs="Times New Roman"/>
                <w:b/>
                <w:bCs/>
                <w:color w:val="auto"/>
                <w:kern w:val="0"/>
                <w:sz w:val="21"/>
                <w:szCs w:val="21"/>
                <w:lang w:val="en-US" w:eastAsia="zh-CN"/>
              </w:rPr>
              <w:t>图3.5-2</w:t>
            </w:r>
            <w:r>
              <w:rPr>
                <w:rFonts w:hint="default" w:ascii="Times New Roman" w:hAnsi="Times New Roman" w:cs="Times New Roman"/>
                <w:b/>
                <w:bCs/>
                <w:color w:val="auto"/>
                <w:kern w:val="0"/>
                <w:sz w:val="21"/>
                <w:szCs w:val="21"/>
                <w:lang w:val="en-US" w:eastAsia="ja-JP"/>
              </w:rPr>
              <w:t xml:space="preserve"> 浮游动物各类群组成情况</w:t>
            </w:r>
          </w:p>
          <w:p w14:paraId="1CF76E01">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密度及生物量分布</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各站位的浮游动物密度在20.68~1435.00ind/m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之间，平均密度为215.84ind/m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，其中31号站的浮游动物密度最高，为1435.00ind/m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；22号站次之，为312.50ind/m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；23号站的密度最低，为20.68ind/m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。各站位的浮游动物生物量的变化范围在6.429</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245.000mg/m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之间，平均生物量为47.894mg/m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，最高值出现在31号站（245.000mg/m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），最低值出现在23号站（6.429mg/m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14:paraId="5B43D6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ja-JP"/>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3.5-8</w:t>
            </w:r>
            <w:r>
              <w:rPr>
                <w:rFonts w:hint="default" w:ascii="Times New Roman" w:hAnsi="Times New Roman" w:cs="Times New Roman"/>
                <w:b/>
                <w:bCs/>
                <w:color w:val="auto"/>
                <w:kern w:val="0"/>
                <w:sz w:val="21"/>
                <w:szCs w:val="21"/>
                <w:lang w:val="zh-CN" w:eastAsia="zh-CN"/>
              </w:rPr>
              <w:t xml:space="preserve"> </w:t>
            </w:r>
            <w:r>
              <w:rPr>
                <w:rFonts w:hint="default" w:ascii="Times New Roman" w:hAnsi="Times New Roman" w:cs="Times New Roman"/>
                <w:b/>
                <w:bCs/>
                <w:color w:val="auto"/>
                <w:kern w:val="0"/>
                <w:sz w:val="21"/>
                <w:szCs w:val="21"/>
                <w:lang w:val="en-US" w:eastAsia="ja-JP"/>
              </w:rPr>
              <w:t>调查站位浮游动物密度和生物量</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8"/>
              <w:gridCol w:w="2887"/>
              <w:gridCol w:w="2889"/>
            </w:tblGrid>
            <w:tr w14:paraId="479B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54891144">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调查站位</w:t>
                  </w:r>
                </w:p>
              </w:tc>
              <w:tc>
                <w:tcPr>
                  <w:tcW w:w="1666" w:type="pct"/>
                  <w:tcBorders>
                    <w:tl2br w:val="nil"/>
                    <w:tr2bl w:val="nil"/>
                  </w:tcBorders>
                  <w:vAlign w:val="center"/>
                </w:tcPr>
                <w:p w14:paraId="296847F4">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密度（ind/m³）</w:t>
                  </w:r>
                </w:p>
              </w:tc>
              <w:tc>
                <w:tcPr>
                  <w:tcW w:w="1667" w:type="pct"/>
                  <w:tcBorders>
                    <w:tl2br w:val="nil"/>
                    <w:tr2bl w:val="nil"/>
                  </w:tcBorders>
                  <w:vAlign w:val="center"/>
                </w:tcPr>
                <w:p w14:paraId="209D24D9">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生物量（mg/m³）</w:t>
                  </w:r>
                </w:p>
              </w:tc>
            </w:tr>
            <w:tr w14:paraId="4E18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2E7485B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21</w:t>
                  </w:r>
                </w:p>
              </w:tc>
              <w:tc>
                <w:tcPr>
                  <w:tcW w:w="1666" w:type="pct"/>
                  <w:tcBorders>
                    <w:tl2br w:val="nil"/>
                    <w:tr2bl w:val="nil"/>
                  </w:tcBorders>
                  <w:vAlign w:val="center"/>
                </w:tcPr>
                <w:p w14:paraId="473AD1F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eastAsia"/>
                      <w:sz w:val="24"/>
                    </w:rPr>
                    <w:t>*</w:t>
                  </w:r>
                  <w:r>
                    <w:rPr>
                      <w:sz w:val="24"/>
                    </w:rPr>
                    <w:t>**</w:t>
                  </w:r>
                </w:p>
              </w:tc>
              <w:tc>
                <w:tcPr>
                  <w:tcW w:w="1667" w:type="pct"/>
                  <w:tcBorders>
                    <w:tl2br w:val="nil"/>
                    <w:tr2bl w:val="nil"/>
                  </w:tcBorders>
                  <w:vAlign w:val="center"/>
                </w:tcPr>
                <w:p w14:paraId="3696B13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2590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27898EF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22</w:t>
                  </w:r>
                </w:p>
              </w:tc>
              <w:tc>
                <w:tcPr>
                  <w:tcW w:w="1666" w:type="pct"/>
                  <w:tcBorders>
                    <w:tl2br w:val="nil"/>
                    <w:tr2bl w:val="nil"/>
                  </w:tcBorders>
                  <w:vAlign w:val="center"/>
                </w:tcPr>
                <w:p w14:paraId="633E909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723CE7A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E0B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2662CBE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23</w:t>
                  </w:r>
                </w:p>
              </w:tc>
              <w:tc>
                <w:tcPr>
                  <w:tcW w:w="1666" w:type="pct"/>
                  <w:tcBorders>
                    <w:tl2br w:val="nil"/>
                    <w:tr2bl w:val="nil"/>
                  </w:tcBorders>
                  <w:vAlign w:val="center"/>
                </w:tcPr>
                <w:p w14:paraId="3735FAB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2CDF4FF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1843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676C1F9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24</w:t>
                  </w:r>
                </w:p>
              </w:tc>
              <w:tc>
                <w:tcPr>
                  <w:tcW w:w="1666" w:type="pct"/>
                  <w:tcBorders>
                    <w:tl2br w:val="nil"/>
                    <w:tr2bl w:val="nil"/>
                  </w:tcBorders>
                  <w:vAlign w:val="center"/>
                </w:tcPr>
                <w:p w14:paraId="3A06070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14478EF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2328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7D52EB3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26</w:t>
                  </w:r>
                </w:p>
              </w:tc>
              <w:tc>
                <w:tcPr>
                  <w:tcW w:w="1666" w:type="pct"/>
                  <w:tcBorders>
                    <w:tl2br w:val="nil"/>
                    <w:tr2bl w:val="nil"/>
                  </w:tcBorders>
                  <w:vAlign w:val="center"/>
                </w:tcPr>
                <w:p w14:paraId="71173DC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23A8F0C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1E4E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708B1BB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27</w:t>
                  </w:r>
                </w:p>
              </w:tc>
              <w:tc>
                <w:tcPr>
                  <w:tcW w:w="1666" w:type="pct"/>
                  <w:tcBorders>
                    <w:tl2br w:val="nil"/>
                    <w:tr2bl w:val="nil"/>
                  </w:tcBorders>
                  <w:vAlign w:val="center"/>
                </w:tcPr>
                <w:p w14:paraId="23B2752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1044110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7256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3EDB4E9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31</w:t>
                  </w:r>
                </w:p>
              </w:tc>
              <w:tc>
                <w:tcPr>
                  <w:tcW w:w="1666" w:type="pct"/>
                  <w:tcBorders>
                    <w:tl2br w:val="nil"/>
                    <w:tr2bl w:val="nil"/>
                  </w:tcBorders>
                  <w:vAlign w:val="center"/>
                </w:tcPr>
                <w:p w14:paraId="7E6259E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1E20FB5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CAE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7062AD8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35</w:t>
                  </w:r>
                </w:p>
              </w:tc>
              <w:tc>
                <w:tcPr>
                  <w:tcW w:w="1666" w:type="pct"/>
                  <w:tcBorders>
                    <w:tl2br w:val="nil"/>
                    <w:tr2bl w:val="nil"/>
                  </w:tcBorders>
                  <w:vAlign w:val="center"/>
                </w:tcPr>
                <w:p w14:paraId="14A9480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3D3DF35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52CC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0C1143B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36</w:t>
                  </w:r>
                </w:p>
              </w:tc>
              <w:tc>
                <w:tcPr>
                  <w:tcW w:w="1666" w:type="pct"/>
                  <w:tcBorders>
                    <w:tl2br w:val="nil"/>
                    <w:tr2bl w:val="nil"/>
                  </w:tcBorders>
                  <w:vAlign w:val="center"/>
                </w:tcPr>
                <w:p w14:paraId="0D5E7F2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7D41725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25A0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1B18E7F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38</w:t>
                  </w:r>
                </w:p>
              </w:tc>
              <w:tc>
                <w:tcPr>
                  <w:tcW w:w="1666" w:type="pct"/>
                  <w:tcBorders>
                    <w:tl2br w:val="nil"/>
                    <w:tr2bl w:val="nil"/>
                  </w:tcBorders>
                  <w:vAlign w:val="center"/>
                </w:tcPr>
                <w:p w14:paraId="25889E3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05298A0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6CFE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09BD688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39</w:t>
                  </w:r>
                </w:p>
              </w:tc>
              <w:tc>
                <w:tcPr>
                  <w:tcW w:w="1666" w:type="pct"/>
                  <w:tcBorders>
                    <w:tl2br w:val="nil"/>
                    <w:tr2bl w:val="nil"/>
                  </w:tcBorders>
                  <w:vAlign w:val="center"/>
                </w:tcPr>
                <w:p w14:paraId="42604CE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0372FA6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1888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6F8B7B2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40</w:t>
                  </w:r>
                </w:p>
              </w:tc>
              <w:tc>
                <w:tcPr>
                  <w:tcW w:w="1666" w:type="pct"/>
                  <w:tcBorders>
                    <w:tl2br w:val="nil"/>
                    <w:tr2bl w:val="nil"/>
                  </w:tcBorders>
                  <w:vAlign w:val="center"/>
                </w:tcPr>
                <w:p w14:paraId="550049E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0721034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7927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4E149C14">
                  <w:pPr>
                    <w:keepNext w:val="0"/>
                    <w:keepLines w:val="0"/>
                    <w:suppressLineNumbers w:val="0"/>
                    <w:spacing w:before="0" w:beforeAutospacing="0" w:after="0" w:afterAutospacing="0" w:line="0" w:lineRule="atLeast"/>
                    <w:ind w:left="0" w:right="0"/>
                    <w:jc w:val="center"/>
                    <w:textAlignment w:val="bottom"/>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最大值</w:t>
                  </w:r>
                </w:p>
              </w:tc>
              <w:tc>
                <w:tcPr>
                  <w:tcW w:w="1666" w:type="pct"/>
                  <w:tcBorders>
                    <w:tl2br w:val="nil"/>
                    <w:tr2bl w:val="nil"/>
                  </w:tcBorders>
                  <w:vAlign w:val="center"/>
                </w:tcPr>
                <w:p w14:paraId="07B481E3">
                  <w:pPr>
                    <w:keepNext w:val="0"/>
                    <w:keepLines w:val="0"/>
                    <w:suppressLineNumbers w:val="0"/>
                    <w:spacing w:before="0" w:beforeAutospacing="0" w:after="0" w:afterAutospacing="0" w:line="0" w:lineRule="atLeast"/>
                    <w:ind w:left="0" w:right="0"/>
                    <w:jc w:val="center"/>
                    <w:textAlignment w:val="bottom"/>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32E7940B">
                  <w:pPr>
                    <w:keepNext w:val="0"/>
                    <w:keepLines w:val="0"/>
                    <w:suppressLineNumbers w:val="0"/>
                    <w:spacing w:before="0" w:beforeAutospacing="0" w:after="0" w:afterAutospacing="0" w:line="0" w:lineRule="atLeast"/>
                    <w:ind w:left="0" w:right="0"/>
                    <w:jc w:val="center"/>
                    <w:textAlignment w:val="bottom"/>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56D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70207468">
                  <w:pPr>
                    <w:keepNext w:val="0"/>
                    <w:keepLines w:val="0"/>
                    <w:suppressLineNumbers w:val="0"/>
                    <w:spacing w:before="0" w:beforeAutospacing="0" w:after="0" w:afterAutospacing="0" w:line="0" w:lineRule="atLeast"/>
                    <w:ind w:left="0" w:right="0"/>
                    <w:jc w:val="center"/>
                    <w:textAlignment w:val="bottom"/>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最小值</w:t>
                  </w:r>
                </w:p>
              </w:tc>
              <w:tc>
                <w:tcPr>
                  <w:tcW w:w="1666" w:type="pct"/>
                  <w:tcBorders>
                    <w:tl2br w:val="nil"/>
                    <w:tr2bl w:val="nil"/>
                  </w:tcBorders>
                  <w:vAlign w:val="center"/>
                </w:tcPr>
                <w:p w14:paraId="281EA9F3">
                  <w:pPr>
                    <w:keepNext w:val="0"/>
                    <w:keepLines w:val="0"/>
                    <w:suppressLineNumbers w:val="0"/>
                    <w:spacing w:before="0" w:beforeAutospacing="0" w:after="0" w:afterAutospacing="0" w:line="0" w:lineRule="atLeast"/>
                    <w:ind w:left="0" w:right="0"/>
                    <w:jc w:val="center"/>
                    <w:textAlignment w:val="bottom"/>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667" w:type="pct"/>
                  <w:tcBorders>
                    <w:tl2br w:val="nil"/>
                    <w:tr2bl w:val="nil"/>
                  </w:tcBorders>
                  <w:vAlign w:val="center"/>
                </w:tcPr>
                <w:p w14:paraId="3B6AA5F8">
                  <w:pPr>
                    <w:keepNext w:val="0"/>
                    <w:keepLines w:val="0"/>
                    <w:suppressLineNumbers w:val="0"/>
                    <w:spacing w:before="0" w:beforeAutospacing="0" w:after="0" w:afterAutospacing="0" w:line="0" w:lineRule="atLeast"/>
                    <w:ind w:left="0" w:right="0"/>
                    <w:jc w:val="center"/>
                    <w:textAlignment w:val="bottom"/>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62E9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7" w:type="pct"/>
                  <w:tcBorders>
                    <w:tl2br w:val="nil"/>
                    <w:tr2bl w:val="nil"/>
                  </w:tcBorders>
                  <w:vAlign w:val="center"/>
                </w:tcPr>
                <w:p w14:paraId="67431C05">
                  <w:pPr>
                    <w:keepNext w:val="0"/>
                    <w:keepLines w:val="0"/>
                    <w:suppressLineNumbers w:val="0"/>
                    <w:spacing w:before="0" w:beforeAutospacing="0" w:after="0" w:afterAutospacing="0" w:line="0" w:lineRule="atLeast"/>
                    <w:ind w:left="0" w:right="0"/>
                    <w:jc w:val="center"/>
                    <w:textAlignment w:val="bottom"/>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平均值</w:t>
                  </w:r>
                </w:p>
              </w:tc>
              <w:tc>
                <w:tcPr>
                  <w:tcW w:w="1666" w:type="pct"/>
                  <w:tcBorders>
                    <w:tl2br w:val="nil"/>
                    <w:tr2bl w:val="nil"/>
                  </w:tcBorders>
                  <w:vAlign w:val="center"/>
                </w:tcPr>
                <w:p w14:paraId="1496D0A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67" w:type="pct"/>
                  <w:tcBorders>
                    <w:tl2br w:val="nil"/>
                    <w:tr2bl w:val="nil"/>
                  </w:tcBorders>
                  <w:vAlign w:val="center"/>
                </w:tcPr>
                <w:p w14:paraId="78D01CB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5DFD40D0">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优势种及其分布</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优势度计算方法与浮游植物相同，计算各浮游动物的优势度（幼体类和鱼卵稚仔鱼不计），根据Y≥0.02确定调查海域的优势种。本次调查海域浮游动物优势种有5种，为桡足类中的近缘大眼水蚤</w:t>
            </w:r>
            <w:r>
              <w:rPr>
                <w:rFonts w:hint="default" w:ascii="Times New Roman" w:hAnsi="Times New Roman" w:eastAsia="宋体" w:cs="Times New Roman"/>
                <w:i/>
                <w:iCs/>
                <w:color w:val="000000" w:themeColor="text1"/>
                <w:sz w:val="24"/>
                <w:szCs w:val="24"/>
                <w14:textFill>
                  <w14:solidFill>
                    <w14:schemeClr w14:val="tx1"/>
                  </w14:solidFill>
                </w14:textFill>
              </w:rPr>
              <w:t>Corycaeus affinis</w:t>
            </w:r>
            <w:r>
              <w:rPr>
                <w:rFonts w:hint="default" w:ascii="Times New Roman" w:hAnsi="Times New Roman" w:eastAsia="宋体" w:cs="Times New Roman"/>
                <w:color w:val="000000" w:themeColor="text1"/>
                <w:sz w:val="24"/>
                <w:szCs w:val="24"/>
                <w14:textFill>
                  <w14:solidFill>
                    <w14:schemeClr w14:val="tx1"/>
                  </w14:solidFill>
                </w14:textFill>
              </w:rPr>
              <w:t>、太平洋纺锤水蚤</w:t>
            </w:r>
            <w:r>
              <w:rPr>
                <w:rFonts w:hint="default" w:ascii="Times New Roman" w:hAnsi="Times New Roman" w:eastAsia="宋体" w:cs="Times New Roman"/>
                <w:i/>
                <w:iCs/>
                <w:color w:val="000000" w:themeColor="text1"/>
                <w:sz w:val="24"/>
                <w:szCs w:val="24"/>
                <w14:textFill>
                  <w14:solidFill>
                    <w14:schemeClr w14:val="tx1"/>
                  </w14:solidFill>
                </w14:textFill>
              </w:rPr>
              <w:t>Acartia pacifica</w:t>
            </w:r>
            <w:r>
              <w:rPr>
                <w:rFonts w:hint="default" w:ascii="Times New Roman" w:hAnsi="Times New Roman" w:eastAsia="宋体" w:cs="Times New Roman"/>
                <w:color w:val="000000" w:themeColor="text1"/>
                <w:sz w:val="24"/>
                <w:szCs w:val="24"/>
                <w14:textFill>
                  <w14:solidFill>
                    <w14:schemeClr w14:val="tx1"/>
                  </w14:solidFill>
                </w14:textFill>
              </w:rPr>
              <w:t>和坚长腹剑水蚤</w:t>
            </w:r>
            <w:r>
              <w:rPr>
                <w:rFonts w:hint="default" w:ascii="Times New Roman" w:hAnsi="Times New Roman" w:eastAsia="宋体" w:cs="Times New Roman"/>
                <w:i/>
                <w:iCs/>
                <w:color w:val="000000" w:themeColor="text1"/>
                <w:sz w:val="24"/>
                <w:szCs w:val="24"/>
                <w14:textFill>
                  <w14:solidFill>
                    <w14:schemeClr w14:val="tx1"/>
                  </w14:solidFill>
                </w14:textFill>
              </w:rPr>
              <w:t>Oithona rigida</w:t>
            </w:r>
            <w:r>
              <w:rPr>
                <w:rFonts w:hint="default" w:ascii="Times New Roman" w:hAnsi="Times New Roman" w:eastAsia="宋体" w:cs="Times New Roman"/>
                <w:color w:val="000000" w:themeColor="text1"/>
                <w:sz w:val="24"/>
                <w:szCs w:val="24"/>
                <w14:textFill>
                  <w14:solidFill>
                    <w14:schemeClr w14:val="tx1"/>
                  </w14:solidFill>
                </w14:textFill>
              </w:rPr>
              <w:t>；毛颚类中的肥胖箭虫</w:t>
            </w:r>
            <w:r>
              <w:rPr>
                <w:rFonts w:hint="default" w:ascii="Times New Roman" w:hAnsi="Times New Roman" w:eastAsia="宋体" w:cs="Times New Roman"/>
                <w:i/>
                <w:iCs/>
                <w:color w:val="000000" w:themeColor="text1"/>
                <w:sz w:val="24"/>
                <w:szCs w:val="24"/>
                <w14:textFill>
                  <w14:solidFill>
                    <w14:schemeClr w14:val="tx1"/>
                  </w14:solidFill>
                </w14:textFill>
              </w:rPr>
              <w:t>Sagitta enflata</w:t>
            </w:r>
            <w:r>
              <w:rPr>
                <w:rFonts w:hint="default" w:ascii="Times New Roman" w:hAnsi="Times New Roman" w:eastAsia="宋体" w:cs="Times New Roman"/>
                <w:color w:val="000000" w:themeColor="text1"/>
                <w:sz w:val="24"/>
                <w:szCs w:val="24"/>
                <w14:textFill>
                  <w14:solidFill>
                    <w14:schemeClr w14:val="tx1"/>
                  </w14:solidFill>
                </w14:textFill>
              </w:rPr>
              <w:t>；被囊类中的殖孢囊虫</w:t>
            </w:r>
            <w:r>
              <w:rPr>
                <w:rFonts w:hint="default" w:ascii="Times New Roman" w:hAnsi="Times New Roman" w:eastAsia="宋体" w:cs="Times New Roman"/>
                <w:i/>
                <w:iCs/>
                <w:color w:val="000000" w:themeColor="text1"/>
                <w:sz w:val="24"/>
                <w:szCs w:val="24"/>
                <w14:textFill>
                  <w14:solidFill>
                    <w14:schemeClr w14:val="tx1"/>
                  </w14:solidFill>
                </w14:textFill>
              </w:rPr>
              <w:t>Stegosoma magnum</w:t>
            </w:r>
            <w:r>
              <w:rPr>
                <w:rFonts w:hint="default" w:ascii="Times New Roman" w:hAnsi="Times New Roman" w:eastAsia="宋体" w:cs="Times New Roman"/>
                <w:color w:val="000000" w:themeColor="text1"/>
                <w:sz w:val="24"/>
                <w:szCs w:val="24"/>
                <w14:textFill>
                  <w14:solidFill>
                    <w14:schemeClr w14:val="tx1"/>
                  </w14:solidFill>
                </w14:textFill>
              </w:rPr>
              <w:t>。其中优势度最大的为太平洋纺锤水蚤</w:t>
            </w:r>
            <w:r>
              <w:rPr>
                <w:rFonts w:hint="default" w:ascii="Times New Roman" w:hAnsi="Times New Roman" w:eastAsia="宋体" w:cs="Times New Roman"/>
                <w:i/>
                <w:iCs/>
                <w:color w:val="000000" w:themeColor="text1"/>
                <w:sz w:val="24"/>
                <w:szCs w:val="24"/>
                <w14:textFill>
                  <w14:solidFill>
                    <w14:schemeClr w14:val="tx1"/>
                  </w14:solidFill>
                </w14:textFill>
              </w:rPr>
              <w:t>Acartia pacifica</w:t>
            </w:r>
            <w:r>
              <w:rPr>
                <w:rFonts w:hint="default" w:ascii="Times New Roman" w:hAnsi="Times New Roman" w:eastAsia="宋体" w:cs="Times New Roman"/>
                <w:color w:val="000000" w:themeColor="text1"/>
                <w:sz w:val="24"/>
                <w:szCs w:val="24"/>
                <w14:textFill>
                  <w14:solidFill>
                    <w14:schemeClr w14:val="tx1"/>
                  </w14:solidFill>
                </w14:textFill>
              </w:rPr>
              <w:t>（Y=0.172），为最优势种。优势种在各站位的密度分布及优势度见表3.</w:t>
            </w:r>
            <w:r>
              <w:rPr>
                <w:rFonts w:hint="eastAsia" w:cs="Times New Roman"/>
                <w:color w:val="000000" w:themeColor="text1"/>
                <w:sz w:val="24"/>
                <w:szCs w:val="24"/>
                <w:lang w:val="en-US" w:eastAsia="zh-CN"/>
                <w14:textFill>
                  <w14:solidFill>
                    <w14:schemeClr w14:val="tx1"/>
                  </w14:solidFill>
                </w14:textFill>
              </w:rPr>
              <w:t>5-9</w:t>
            </w:r>
            <w:r>
              <w:rPr>
                <w:rFonts w:hint="default" w:ascii="Times New Roman" w:hAnsi="Times New Roman" w:eastAsia="宋体" w:cs="Times New Roman"/>
                <w:color w:val="000000" w:themeColor="text1"/>
                <w:sz w:val="24"/>
                <w:szCs w:val="24"/>
                <w14:textFill>
                  <w14:solidFill>
                    <w14:schemeClr w14:val="tx1"/>
                  </w14:solidFill>
                </w14:textFill>
              </w:rPr>
              <w:t>。</w:t>
            </w:r>
          </w:p>
          <w:p w14:paraId="57AC4F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3.5-9</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zh-CN" w:eastAsia="zh-CN"/>
              </w:rPr>
              <w:t>浮游动物优势种类及密度的空间分布（单位：ind/m</w:t>
            </w:r>
            <w:r>
              <w:rPr>
                <w:rFonts w:hint="default" w:ascii="Times New Roman" w:hAnsi="Times New Roman" w:cs="Times New Roman"/>
                <w:b/>
                <w:bCs/>
                <w:color w:val="auto"/>
                <w:kern w:val="0"/>
                <w:sz w:val="21"/>
                <w:szCs w:val="21"/>
                <w:vertAlign w:val="superscript"/>
                <w:lang w:val="zh-CN" w:eastAsia="zh-CN"/>
              </w:rPr>
              <w:t>3</w:t>
            </w:r>
            <w:r>
              <w:rPr>
                <w:rFonts w:hint="default" w:ascii="Times New Roman" w:hAnsi="Times New Roman" w:cs="Times New Roman"/>
                <w:b/>
                <w:bCs/>
                <w:color w:val="auto"/>
                <w:kern w:val="0"/>
                <w:sz w:val="21"/>
                <w:szCs w:val="21"/>
                <w:lang w:val="zh-CN" w:eastAsia="zh-CN"/>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52"/>
              <w:gridCol w:w="1761"/>
              <w:gridCol w:w="1397"/>
              <w:gridCol w:w="1119"/>
              <w:gridCol w:w="1284"/>
            </w:tblGrid>
            <w:tr w14:paraId="46C9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l2br w:val="single" w:color="auto" w:sz="4" w:space="0"/>
                  </w:tcBorders>
                  <w:shd w:val="clear" w:color="auto" w:fill="auto"/>
                  <w:noWrap/>
                  <w:vAlign w:val="center"/>
                </w:tcPr>
                <w:p w14:paraId="087EE01E">
                  <w:pPr>
                    <w:keepNext w:val="0"/>
                    <w:keepLines w:val="0"/>
                    <w:suppressLineNumbers w:val="0"/>
                    <w:spacing w:before="0" w:beforeAutospacing="0" w:after="0" w:afterAutospacing="0" w:line="0" w:lineRule="atLeast"/>
                    <w:ind w:left="0" w:right="0" w:firstLine="210" w:firstLineChars="100"/>
                    <w:jc w:val="righ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种类</w:t>
                  </w:r>
                </w:p>
                <w:p w14:paraId="0668948D">
                  <w:pPr>
                    <w:keepNext w:val="0"/>
                    <w:keepLines w:val="0"/>
                    <w:suppressLineNumbers w:val="0"/>
                    <w:spacing w:before="0" w:beforeAutospacing="0" w:after="0" w:afterAutospacing="0" w:line="0" w:lineRule="atLeast"/>
                    <w:ind w:left="0" w:right="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站位</w:t>
                  </w:r>
                </w:p>
              </w:tc>
              <w:tc>
                <w:tcPr>
                  <w:tcW w:w="895" w:type="pct"/>
                  <w:tcBorders>
                    <w:top w:val="single" w:color="auto" w:sz="4" w:space="0"/>
                    <w:left w:val="single" w:color="auto" w:sz="4" w:space="0"/>
                    <w:bottom w:val="single" w:color="auto" w:sz="4" w:space="0"/>
                    <w:right w:val="single" w:color="auto" w:sz="4" w:space="0"/>
                  </w:tcBorders>
                  <w:vAlign w:val="center"/>
                </w:tcPr>
                <w:p w14:paraId="75179ACB">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近缘大眼水蚤</w:t>
                  </w:r>
                </w:p>
              </w:tc>
              <w:tc>
                <w:tcPr>
                  <w:tcW w:w="1016" w:type="pct"/>
                  <w:tcBorders>
                    <w:top w:val="single" w:color="auto" w:sz="4" w:space="0"/>
                    <w:left w:val="single" w:color="auto" w:sz="4" w:space="0"/>
                    <w:bottom w:val="single" w:color="auto" w:sz="4" w:space="0"/>
                    <w:right w:val="single" w:color="auto" w:sz="4" w:space="0"/>
                  </w:tcBorders>
                  <w:vAlign w:val="center"/>
                </w:tcPr>
                <w:p w14:paraId="259A5914">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太平洋纺锤水蚤</w:t>
                  </w:r>
                </w:p>
              </w:tc>
              <w:tc>
                <w:tcPr>
                  <w:tcW w:w="806" w:type="pct"/>
                  <w:tcBorders>
                    <w:top w:val="single" w:color="auto" w:sz="4" w:space="0"/>
                    <w:left w:val="single" w:color="auto" w:sz="4" w:space="0"/>
                    <w:bottom w:val="single" w:color="auto" w:sz="4" w:space="0"/>
                    <w:right w:val="single" w:color="auto" w:sz="4" w:space="0"/>
                  </w:tcBorders>
                  <w:vAlign w:val="center"/>
                </w:tcPr>
                <w:p w14:paraId="2D582D82">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坚长腹剑水蚤</w:t>
                  </w:r>
                </w:p>
              </w:tc>
              <w:tc>
                <w:tcPr>
                  <w:tcW w:w="645" w:type="pct"/>
                  <w:tcBorders>
                    <w:top w:val="single" w:color="auto" w:sz="4" w:space="0"/>
                    <w:left w:val="single" w:color="auto" w:sz="4" w:space="0"/>
                    <w:bottom w:val="single" w:color="auto" w:sz="4" w:space="0"/>
                    <w:right w:val="single" w:color="auto" w:sz="4" w:space="0"/>
                  </w:tcBorders>
                  <w:vAlign w:val="center"/>
                </w:tcPr>
                <w:p w14:paraId="2AD69484">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肥胖箭虫</w:t>
                  </w:r>
                </w:p>
              </w:tc>
              <w:tc>
                <w:tcPr>
                  <w:tcW w:w="740" w:type="pct"/>
                  <w:tcBorders>
                    <w:top w:val="single" w:color="auto" w:sz="4" w:space="0"/>
                    <w:left w:val="single" w:color="auto" w:sz="4" w:space="0"/>
                    <w:bottom w:val="single" w:color="auto" w:sz="4" w:space="0"/>
                    <w:right w:val="single" w:color="auto" w:sz="4" w:space="0"/>
                  </w:tcBorders>
                  <w:vAlign w:val="center"/>
                </w:tcPr>
                <w:p w14:paraId="050C5FF4">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殖孢囊虫</w:t>
                  </w:r>
                </w:p>
              </w:tc>
            </w:tr>
            <w:tr w14:paraId="1CFF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B814C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21</w:t>
                  </w:r>
                </w:p>
              </w:tc>
              <w:tc>
                <w:tcPr>
                  <w:tcW w:w="895" w:type="pct"/>
                  <w:tcBorders>
                    <w:top w:val="single" w:color="auto" w:sz="4" w:space="0"/>
                    <w:left w:val="single" w:color="auto" w:sz="4" w:space="0"/>
                    <w:bottom w:val="single" w:color="auto" w:sz="4" w:space="0"/>
                    <w:right w:val="single" w:color="auto" w:sz="4" w:space="0"/>
                  </w:tcBorders>
                  <w:vAlign w:val="center"/>
                </w:tcPr>
                <w:p w14:paraId="080260C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eastAsia"/>
                      <w:sz w:val="24"/>
                    </w:rPr>
                    <w:t>*</w:t>
                  </w:r>
                  <w:r>
                    <w:rPr>
                      <w:sz w:val="24"/>
                    </w:rPr>
                    <w:t>**</w:t>
                  </w:r>
                </w:p>
              </w:tc>
              <w:tc>
                <w:tcPr>
                  <w:tcW w:w="1016" w:type="pct"/>
                  <w:tcBorders>
                    <w:top w:val="single" w:color="auto" w:sz="4" w:space="0"/>
                    <w:left w:val="single" w:color="auto" w:sz="4" w:space="0"/>
                    <w:bottom w:val="single" w:color="auto" w:sz="4" w:space="0"/>
                    <w:right w:val="single" w:color="auto" w:sz="4" w:space="0"/>
                  </w:tcBorders>
                  <w:vAlign w:val="center"/>
                </w:tcPr>
                <w:p w14:paraId="5E4677A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5068E33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62E25D0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21177C0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670A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9D43B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22</w:t>
                  </w:r>
                </w:p>
              </w:tc>
              <w:tc>
                <w:tcPr>
                  <w:tcW w:w="895" w:type="pct"/>
                  <w:tcBorders>
                    <w:top w:val="single" w:color="auto" w:sz="4" w:space="0"/>
                    <w:left w:val="single" w:color="auto" w:sz="4" w:space="0"/>
                    <w:bottom w:val="single" w:color="auto" w:sz="4" w:space="0"/>
                    <w:right w:val="single" w:color="auto" w:sz="4" w:space="0"/>
                  </w:tcBorders>
                  <w:vAlign w:val="center"/>
                </w:tcPr>
                <w:p w14:paraId="4F3B9D9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3D1AA40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421323B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734D08E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6D5B6A5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7C01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CB48D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23</w:t>
                  </w:r>
                </w:p>
              </w:tc>
              <w:tc>
                <w:tcPr>
                  <w:tcW w:w="895" w:type="pct"/>
                  <w:tcBorders>
                    <w:top w:val="single" w:color="auto" w:sz="4" w:space="0"/>
                    <w:left w:val="single" w:color="auto" w:sz="4" w:space="0"/>
                    <w:bottom w:val="single" w:color="auto" w:sz="4" w:space="0"/>
                    <w:right w:val="single" w:color="auto" w:sz="4" w:space="0"/>
                  </w:tcBorders>
                  <w:vAlign w:val="center"/>
                </w:tcPr>
                <w:p w14:paraId="31B6B6D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4991930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70C13D9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4065AF5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1804677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EDF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D2FC3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24</w:t>
                  </w:r>
                </w:p>
              </w:tc>
              <w:tc>
                <w:tcPr>
                  <w:tcW w:w="895" w:type="pct"/>
                  <w:tcBorders>
                    <w:top w:val="single" w:color="auto" w:sz="4" w:space="0"/>
                    <w:left w:val="single" w:color="auto" w:sz="4" w:space="0"/>
                    <w:bottom w:val="single" w:color="auto" w:sz="4" w:space="0"/>
                    <w:right w:val="single" w:color="auto" w:sz="4" w:space="0"/>
                  </w:tcBorders>
                  <w:vAlign w:val="center"/>
                </w:tcPr>
                <w:p w14:paraId="2F23F35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113B7DE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325A590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4F15D49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138921B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39F5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C91E5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26</w:t>
                  </w:r>
                </w:p>
              </w:tc>
              <w:tc>
                <w:tcPr>
                  <w:tcW w:w="895" w:type="pct"/>
                  <w:tcBorders>
                    <w:top w:val="single" w:color="auto" w:sz="4" w:space="0"/>
                    <w:left w:val="single" w:color="auto" w:sz="4" w:space="0"/>
                    <w:bottom w:val="single" w:color="auto" w:sz="4" w:space="0"/>
                    <w:right w:val="single" w:color="auto" w:sz="4" w:space="0"/>
                  </w:tcBorders>
                  <w:vAlign w:val="center"/>
                </w:tcPr>
                <w:p w14:paraId="6A9CF97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231A531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43F2A0E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4E1387F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5E533A6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6A77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1EA79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27</w:t>
                  </w:r>
                </w:p>
              </w:tc>
              <w:tc>
                <w:tcPr>
                  <w:tcW w:w="895" w:type="pct"/>
                  <w:tcBorders>
                    <w:top w:val="single" w:color="auto" w:sz="4" w:space="0"/>
                    <w:left w:val="single" w:color="auto" w:sz="4" w:space="0"/>
                    <w:bottom w:val="single" w:color="auto" w:sz="4" w:space="0"/>
                    <w:right w:val="single" w:color="auto" w:sz="4" w:space="0"/>
                  </w:tcBorders>
                  <w:vAlign w:val="center"/>
                </w:tcPr>
                <w:p w14:paraId="5310BF3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4484C65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34BA199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6274F78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3C497E1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3522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97531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31</w:t>
                  </w:r>
                </w:p>
              </w:tc>
              <w:tc>
                <w:tcPr>
                  <w:tcW w:w="895" w:type="pct"/>
                  <w:tcBorders>
                    <w:top w:val="single" w:color="auto" w:sz="4" w:space="0"/>
                    <w:left w:val="single" w:color="auto" w:sz="4" w:space="0"/>
                    <w:bottom w:val="single" w:color="auto" w:sz="4" w:space="0"/>
                    <w:right w:val="single" w:color="auto" w:sz="4" w:space="0"/>
                  </w:tcBorders>
                  <w:vAlign w:val="center"/>
                </w:tcPr>
                <w:p w14:paraId="495C427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736DF13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5BCAE69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11FC865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1FB9C75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7AA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EE564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35</w:t>
                  </w:r>
                </w:p>
              </w:tc>
              <w:tc>
                <w:tcPr>
                  <w:tcW w:w="895" w:type="pct"/>
                  <w:tcBorders>
                    <w:top w:val="single" w:color="auto" w:sz="4" w:space="0"/>
                    <w:left w:val="single" w:color="auto" w:sz="4" w:space="0"/>
                    <w:bottom w:val="single" w:color="auto" w:sz="4" w:space="0"/>
                    <w:right w:val="single" w:color="auto" w:sz="4" w:space="0"/>
                  </w:tcBorders>
                  <w:vAlign w:val="center"/>
                </w:tcPr>
                <w:p w14:paraId="30702FF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5AECF8A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500C54B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041BE5B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3D47D45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988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C21E1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36</w:t>
                  </w:r>
                </w:p>
              </w:tc>
              <w:tc>
                <w:tcPr>
                  <w:tcW w:w="895" w:type="pct"/>
                  <w:tcBorders>
                    <w:top w:val="single" w:color="auto" w:sz="4" w:space="0"/>
                    <w:left w:val="single" w:color="auto" w:sz="4" w:space="0"/>
                    <w:bottom w:val="single" w:color="auto" w:sz="4" w:space="0"/>
                    <w:right w:val="single" w:color="auto" w:sz="4" w:space="0"/>
                  </w:tcBorders>
                  <w:vAlign w:val="center"/>
                </w:tcPr>
                <w:p w14:paraId="5108372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4339EB1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1FFC326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2926BF5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4E86196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5E21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F109B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38</w:t>
                  </w:r>
                </w:p>
              </w:tc>
              <w:tc>
                <w:tcPr>
                  <w:tcW w:w="895" w:type="pct"/>
                  <w:tcBorders>
                    <w:top w:val="single" w:color="auto" w:sz="4" w:space="0"/>
                    <w:left w:val="single" w:color="auto" w:sz="4" w:space="0"/>
                    <w:bottom w:val="single" w:color="auto" w:sz="4" w:space="0"/>
                    <w:right w:val="single" w:color="auto" w:sz="4" w:space="0"/>
                  </w:tcBorders>
                  <w:vAlign w:val="center"/>
                </w:tcPr>
                <w:p w14:paraId="320DDD1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58E8672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66C9C67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65CF9CC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68BE0DB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2997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961C2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39</w:t>
                  </w:r>
                </w:p>
              </w:tc>
              <w:tc>
                <w:tcPr>
                  <w:tcW w:w="895" w:type="pct"/>
                  <w:tcBorders>
                    <w:top w:val="single" w:color="auto" w:sz="4" w:space="0"/>
                    <w:left w:val="single" w:color="auto" w:sz="4" w:space="0"/>
                    <w:bottom w:val="single" w:color="auto" w:sz="4" w:space="0"/>
                    <w:right w:val="single" w:color="auto" w:sz="4" w:space="0"/>
                  </w:tcBorders>
                  <w:vAlign w:val="center"/>
                </w:tcPr>
                <w:p w14:paraId="07C26AE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488C8B0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52BEFE6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0431EA3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09F2258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5347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C5693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40</w:t>
                  </w:r>
                </w:p>
              </w:tc>
              <w:tc>
                <w:tcPr>
                  <w:tcW w:w="895" w:type="pct"/>
                  <w:tcBorders>
                    <w:top w:val="single" w:color="auto" w:sz="4" w:space="0"/>
                    <w:left w:val="single" w:color="auto" w:sz="4" w:space="0"/>
                    <w:bottom w:val="single" w:color="auto" w:sz="4" w:space="0"/>
                    <w:right w:val="single" w:color="auto" w:sz="4" w:space="0"/>
                  </w:tcBorders>
                  <w:vAlign w:val="center"/>
                </w:tcPr>
                <w:p w14:paraId="146177B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7A394A3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02E1116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0F66366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5F40C80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126E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B7DB1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平均值</w:t>
                  </w:r>
                </w:p>
              </w:tc>
              <w:tc>
                <w:tcPr>
                  <w:tcW w:w="895" w:type="pct"/>
                  <w:tcBorders>
                    <w:top w:val="single" w:color="auto" w:sz="4" w:space="0"/>
                    <w:left w:val="single" w:color="auto" w:sz="4" w:space="0"/>
                    <w:bottom w:val="single" w:color="auto" w:sz="4" w:space="0"/>
                    <w:right w:val="single" w:color="auto" w:sz="4" w:space="0"/>
                  </w:tcBorders>
                  <w:vAlign w:val="center"/>
                </w:tcPr>
                <w:p w14:paraId="3F5C731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58B9327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53D2070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3B6369E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6FE3D4F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87A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6079AA">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优势度</w:t>
                  </w:r>
                </w:p>
              </w:tc>
              <w:tc>
                <w:tcPr>
                  <w:tcW w:w="895" w:type="pct"/>
                  <w:tcBorders>
                    <w:top w:val="single" w:color="auto" w:sz="4" w:space="0"/>
                    <w:left w:val="single" w:color="auto" w:sz="4" w:space="0"/>
                    <w:bottom w:val="single" w:color="auto" w:sz="4" w:space="0"/>
                    <w:right w:val="single" w:color="auto" w:sz="4" w:space="0"/>
                  </w:tcBorders>
                  <w:vAlign w:val="center"/>
                </w:tcPr>
                <w:p w14:paraId="0B28383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2100639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26F8EBF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3680922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7D74E4C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59C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7B0D6F">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出现频率（%）</w:t>
                  </w:r>
                </w:p>
              </w:tc>
              <w:tc>
                <w:tcPr>
                  <w:tcW w:w="895" w:type="pct"/>
                  <w:tcBorders>
                    <w:top w:val="single" w:color="auto" w:sz="4" w:space="0"/>
                    <w:left w:val="single" w:color="auto" w:sz="4" w:space="0"/>
                    <w:bottom w:val="single" w:color="auto" w:sz="4" w:space="0"/>
                    <w:right w:val="single" w:color="auto" w:sz="4" w:space="0"/>
                  </w:tcBorders>
                  <w:vAlign w:val="center"/>
                </w:tcPr>
                <w:p w14:paraId="49BF4AA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16" w:type="pct"/>
                  <w:tcBorders>
                    <w:top w:val="single" w:color="auto" w:sz="4" w:space="0"/>
                    <w:left w:val="single" w:color="auto" w:sz="4" w:space="0"/>
                    <w:bottom w:val="single" w:color="auto" w:sz="4" w:space="0"/>
                    <w:right w:val="single" w:color="auto" w:sz="4" w:space="0"/>
                  </w:tcBorders>
                  <w:vAlign w:val="center"/>
                </w:tcPr>
                <w:p w14:paraId="4AA058D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06" w:type="pct"/>
                  <w:tcBorders>
                    <w:top w:val="single" w:color="auto" w:sz="4" w:space="0"/>
                    <w:left w:val="single" w:color="auto" w:sz="4" w:space="0"/>
                    <w:bottom w:val="single" w:color="auto" w:sz="4" w:space="0"/>
                    <w:right w:val="single" w:color="auto" w:sz="4" w:space="0"/>
                  </w:tcBorders>
                  <w:vAlign w:val="center"/>
                </w:tcPr>
                <w:p w14:paraId="047C037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645" w:type="pct"/>
                  <w:tcBorders>
                    <w:top w:val="single" w:color="auto" w:sz="4" w:space="0"/>
                    <w:left w:val="single" w:color="auto" w:sz="4" w:space="0"/>
                    <w:bottom w:val="single" w:color="auto" w:sz="4" w:space="0"/>
                    <w:right w:val="single" w:color="auto" w:sz="4" w:space="0"/>
                  </w:tcBorders>
                  <w:vAlign w:val="center"/>
                </w:tcPr>
                <w:p w14:paraId="249DFF9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740" w:type="pct"/>
                  <w:tcBorders>
                    <w:top w:val="single" w:color="auto" w:sz="4" w:space="0"/>
                    <w:left w:val="single" w:color="auto" w:sz="4" w:space="0"/>
                    <w:bottom w:val="single" w:color="auto" w:sz="4" w:space="0"/>
                    <w:right w:val="single" w:color="auto" w:sz="4" w:space="0"/>
                  </w:tcBorders>
                  <w:vAlign w:val="center"/>
                </w:tcPr>
                <w:p w14:paraId="5C640EE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bl>
          <w:p w14:paraId="2A010DDD">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多样性水平</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调查海域浮游动物</w:t>
            </w:r>
            <w:r>
              <w:rPr>
                <w:rFonts w:hint="default" w:ascii="Times New Roman" w:hAnsi="Times New Roman" w:eastAsia="宋体" w:cs="Times New Roman"/>
                <w:i/>
                <w:iCs/>
                <w:color w:val="000000" w:themeColor="text1"/>
                <w:sz w:val="24"/>
                <w:szCs w:val="24"/>
                <w14:textFill>
                  <w14:solidFill>
                    <w14:schemeClr w14:val="tx1"/>
                  </w14:solidFill>
                </w14:textFill>
              </w:rPr>
              <w:t>Shannon-Wiener</w:t>
            </w:r>
            <w:r>
              <w:rPr>
                <w:rFonts w:hint="default" w:ascii="Times New Roman" w:hAnsi="Times New Roman" w:eastAsia="宋体" w:cs="Times New Roman"/>
                <w:color w:val="000000" w:themeColor="text1"/>
                <w:sz w:val="24"/>
                <w:szCs w:val="24"/>
                <w14:textFill>
                  <w14:solidFill>
                    <w14:schemeClr w14:val="tx1"/>
                  </w14:solidFill>
                </w14:textFill>
              </w:rPr>
              <w:t>多样性指数（H′）、Pielou均匀度指数（J）和丰富度（d）如表</w:t>
            </w:r>
            <w:r>
              <w:rPr>
                <w:rFonts w:hint="eastAsia" w:cs="Times New Roman"/>
                <w:color w:val="000000" w:themeColor="text1"/>
                <w:sz w:val="24"/>
                <w:szCs w:val="24"/>
                <w:lang w:val="en-US" w:eastAsia="zh-CN"/>
                <w14:textFill>
                  <w14:solidFill>
                    <w14:schemeClr w14:val="tx1"/>
                  </w14:solidFill>
                </w14:textFill>
              </w:rPr>
              <w:t>3.5-10</w:t>
            </w:r>
            <w:r>
              <w:rPr>
                <w:rFonts w:hint="default" w:ascii="Times New Roman" w:hAnsi="Times New Roman" w:eastAsia="宋体" w:cs="Times New Roman"/>
                <w:color w:val="000000" w:themeColor="text1"/>
                <w:sz w:val="24"/>
                <w:szCs w:val="24"/>
                <w14:textFill>
                  <w14:solidFill>
                    <w14:schemeClr w14:val="tx1"/>
                  </w14:solidFill>
                </w14:textFill>
              </w:rPr>
              <w:t>所示。各调查站位的</w:t>
            </w:r>
            <w:r>
              <w:rPr>
                <w:rFonts w:hint="default" w:ascii="Times New Roman" w:hAnsi="Times New Roman" w:eastAsia="宋体" w:cs="Times New Roman"/>
                <w:i/>
                <w:iCs/>
                <w:color w:val="000000" w:themeColor="text1"/>
                <w:sz w:val="24"/>
                <w:szCs w:val="24"/>
                <w14:textFill>
                  <w14:solidFill>
                    <w14:schemeClr w14:val="tx1"/>
                  </w14:solidFill>
                </w14:textFill>
              </w:rPr>
              <w:t>Shannon-Wiener</w:t>
            </w:r>
            <w:r>
              <w:rPr>
                <w:rFonts w:hint="default" w:ascii="Times New Roman" w:hAnsi="Times New Roman" w:eastAsia="宋体" w:cs="Times New Roman"/>
                <w:color w:val="000000" w:themeColor="text1"/>
                <w:sz w:val="24"/>
                <w:szCs w:val="24"/>
                <w14:textFill>
                  <w14:solidFill>
                    <w14:schemeClr w14:val="tx1"/>
                  </w14:solidFill>
                </w14:textFill>
              </w:rPr>
              <w:t>多样性指数在2.07</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3.80之间，平均值为3.09，最高值出现在22号站（3.80），最低值出现在35号站（2.07）；Pielou均匀度指数变化范围在0.61~0.90之间，平均值为0.79，最高值出现在36号站（0.90），最低值出现在31号站（0.61）；丰富度（d）在1.14~4.09之间，平均值为2.37，最高值出现在40站位（4.09），最低值出现在35站位（1.14）。总体来说，调查站位的多样性指数处于较高水平，均匀度水平一般，丰富度处于较低水平。</w:t>
            </w:r>
          </w:p>
          <w:p w14:paraId="057DAB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 xml:space="preserve">3.5-10  </w:t>
            </w:r>
            <w:r>
              <w:rPr>
                <w:rFonts w:hint="default" w:ascii="Times New Roman" w:hAnsi="Times New Roman" w:cs="Times New Roman"/>
                <w:b/>
                <w:bCs/>
                <w:color w:val="auto"/>
                <w:kern w:val="0"/>
                <w:sz w:val="21"/>
                <w:szCs w:val="21"/>
                <w:lang w:val="zh-CN" w:eastAsia="zh-CN"/>
              </w:rPr>
              <w:t>调查海域浮游动物多样性水平</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284"/>
              <w:gridCol w:w="2367"/>
              <w:gridCol w:w="1800"/>
              <w:gridCol w:w="1778"/>
            </w:tblGrid>
            <w:tr w14:paraId="37E2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4134D37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调查站号</w:t>
                  </w:r>
                </w:p>
              </w:tc>
              <w:tc>
                <w:tcPr>
                  <w:tcW w:w="741" w:type="pct"/>
                  <w:tcBorders>
                    <w:tl2br w:val="nil"/>
                    <w:tr2bl w:val="nil"/>
                  </w:tcBorders>
                  <w:noWrap/>
                  <w:vAlign w:val="center"/>
                </w:tcPr>
                <w:p w14:paraId="22A1E0C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种类数</w:t>
                  </w:r>
                </w:p>
              </w:tc>
              <w:tc>
                <w:tcPr>
                  <w:tcW w:w="1366" w:type="pct"/>
                  <w:tcBorders>
                    <w:tl2br w:val="nil"/>
                    <w:tr2bl w:val="nil"/>
                  </w:tcBorders>
                  <w:noWrap/>
                  <w:vAlign w:val="center"/>
                </w:tcPr>
                <w:p w14:paraId="373872D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多样性指数（H′）</w:t>
                  </w:r>
                </w:p>
              </w:tc>
              <w:tc>
                <w:tcPr>
                  <w:tcW w:w="1039" w:type="pct"/>
                  <w:tcBorders>
                    <w:tl2br w:val="nil"/>
                    <w:tr2bl w:val="nil"/>
                  </w:tcBorders>
                  <w:noWrap/>
                  <w:vAlign w:val="center"/>
                </w:tcPr>
                <w:p w14:paraId="0B9A0EA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均匀度（J）</w:t>
                  </w:r>
                </w:p>
              </w:tc>
              <w:tc>
                <w:tcPr>
                  <w:tcW w:w="1026" w:type="pct"/>
                  <w:tcBorders>
                    <w:tl2br w:val="nil"/>
                    <w:tr2bl w:val="nil"/>
                  </w:tcBorders>
                  <w:vAlign w:val="center"/>
                </w:tcPr>
                <w:p w14:paraId="302FE14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丰富度（d）</w:t>
                  </w:r>
                </w:p>
              </w:tc>
            </w:tr>
            <w:tr w14:paraId="1E77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758F9F7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21</w:t>
                  </w:r>
                </w:p>
              </w:tc>
              <w:tc>
                <w:tcPr>
                  <w:tcW w:w="741" w:type="pct"/>
                  <w:tcBorders>
                    <w:tl2br w:val="nil"/>
                    <w:tr2bl w:val="nil"/>
                  </w:tcBorders>
                  <w:noWrap/>
                  <w:vAlign w:val="center"/>
                </w:tcPr>
                <w:p w14:paraId="21E66DE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eastAsia"/>
                      <w:sz w:val="24"/>
                    </w:rPr>
                    <w:t>*</w:t>
                  </w:r>
                  <w:r>
                    <w:rPr>
                      <w:sz w:val="24"/>
                    </w:rPr>
                    <w:t>**</w:t>
                  </w:r>
                </w:p>
              </w:tc>
              <w:tc>
                <w:tcPr>
                  <w:tcW w:w="1366" w:type="pct"/>
                  <w:tcBorders>
                    <w:tl2br w:val="nil"/>
                    <w:tr2bl w:val="nil"/>
                  </w:tcBorders>
                  <w:noWrap/>
                  <w:vAlign w:val="center"/>
                </w:tcPr>
                <w:p w14:paraId="20131B8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1814A18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6A857F7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3F20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5F5C303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22</w:t>
                  </w:r>
                </w:p>
              </w:tc>
              <w:tc>
                <w:tcPr>
                  <w:tcW w:w="741" w:type="pct"/>
                  <w:tcBorders>
                    <w:tl2br w:val="nil"/>
                    <w:tr2bl w:val="nil"/>
                  </w:tcBorders>
                  <w:noWrap/>
                  <w:vAlign w:val="center"/>
                </w:tcPr>
                <w:p w14:paraId="6EB2932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53C3616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097DB05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35E2213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351F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4EBBB17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23</w:t>
                  </w:r>
                </w:p>
              </w:tc>
              <w:tc>
                <w:tcPr>
                  <w:tcW w:w="741" w:type="pct"/>
                  <w:tcBorders>
                    <w:tl2br w:val="nil"/>
                    <w:tr2bl w:val="nil"/>
                  </w:tcBorders>
                  <w:noWrap/>
                  <w:vAlign w:val="center"/>
                </w:tcPr>
                <w:p w14:paraId="11951A7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202461E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2ECDAB1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232A9EE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3072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1D706E1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24</w:t>
                  </w:r>
                </w:p>
              </w:tc>
              <w:tc>
                <w:tcPr>
                  <w:tcW w:w="741" w:type="pct"/>
                  <w:tcBorders>
                    <w:tl2br w:val="nil"/>
                    <w:tr2bl w:val="nil"/>
                  </w:tcBorders>
                  <w:noWrap/>
                  <w:vAlign w:val="center"/>
                </w:tcPr>
                <w:p w14:paraId="7D3C145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04E518F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63FC4B3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60DD9A3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72DB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30DEA2F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26</w:t>
                  </w:r>
                </w:p>
              </w:tc>
              <w:tc>
                <w:tcPr>
                  <w:tcW w:w="741" w:type="pct"/>
                  <w:tcBorders>
                    <w:tl2br w:val="nil"/>
                    <w:tr2bl w:val="nil"/>
                  </w:tcBorders>
                  <w:noWrap/>
                  <w:vAlign w:val="center"/>
                </w:tcPr>
                <w:p w14:paraId="681E6F5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72A22A6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5240B9E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1828DE1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4DCD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7509973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27</w:t>
                  </w:r>
                </w:p>
              </w:tc>
              <w:tc>
                <w:tcPr>
                  <w:tcW w:w="741" w:type="pct"/>
                  <w:tcBorders>
                    <w:tl2br w:val="nil"/>
                    <w:tr2bl w:val="nil"/>
                  </w:tcBorders>
                  <w:noWrap/>
                  <w:vAlign w:val="center"/>
                </w:tcPr>
                <w:p w14:paraId="0BFC50E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69B7D7D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4CDF9EC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39DC26E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594B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6CA2DBA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31</w:t>
                  </w:r>
                </w:p>
              </w:tc>
              <w:tc>
                <w:tcPr>
                  <w:tcW w:w="741" w:type="pct"/>
                  <w:tcBorders>
                    <w:tl2br w:val="nil"/>
                    <w:tr2bl w:val="nil"/>
                  </w:tcBorders>
                  <w:noWrap/>
                  <w:vAlign w:val="center"/>
                </w:tcPr>
                <w:p w14:paraId="3ED2734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2A9D7FA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7737E69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3696FBE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37C5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2DB0539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35</w:t>
                  </w:r>
                </w:p>
              </w:tc>
              <w:tc>
                <w:tcPr>
                  <w:tcW w:w="741" w:type="pct"/>
                  <w:tcBorders>
                    <w:tl2br w:val="nil"/>
                    <w:tr2bl w:val="nil"/>
                  </w:tcBorders>
                  <w:noWrap/>
                  <w:vAlign w:val="center"/>
                </w:tcPr>
                <w:p w14:paraId="6083D32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3C4825F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36E5EB7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2D8739E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352E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2297DD0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36</w:t>
                  </w:r>
                </w:p>
              </w:tc>
              <w:tc>
                <w:tcPr>
                  <w:tcW w:w="741" w:type="pct"/>
                  <w:tcBorders>
                    <w:tl2br w:val="nil"/>
                    <w:tr2bl w:val="nil"/>
                  </w:tcBorders>
                  <w:noWrap/>
                  <w:vAlign w:val="center"/>
                </w:tcPr>
                <w:p w14:paraId="3707D89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430C304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45A417F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4337225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33A6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4264ED7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38</w:t>
                  </w:r>
                </w:p>
              </w:tc>
              <w:tc>
                <w:tcPr>
                  <w:tcW w:w="741" w:type="pct"/>
                  <w:tcBorders>
                    <w:tl2br w:val="nil"/>
                    <w:tr2bl w:val="nil"/>
                  </w:tcBorders>
                  <w:noWrap/>
                  <w:vAlign w:val="center"/>
                </w:tcPr>
                <w:p w14:paraId="34F7259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08698AD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53FF248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7E2A310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612C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218290F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39</w:t>
                  </w:r>
                </w:p>
              </w:tc>
              <w:tc>
                <w:tcPr>
                  <w:tcW w:w="741" w:type="pct"/>
                  <w:tcBorders>
                    <w:tl2br w:val="nil"/>
                    <w:tr2bl w:val="nil"/>
                  </w:tcBorders>
                  <w:noWrap/>
                  <w:vAlign w:val="center"/>
                </w:tcPr>
                <w:p w14:paraId="2900D2A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1F9D8EC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7A7C5BA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0FD45E2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179B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073DFFE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40</w:t>
                  </w:r>
                </w:p>
              </w:tc>
              <w:tc>
                <w:tcPr>
                  <w:tcW w:w="741" w:type="pct"/>
                  <w:tcBorders>
                    <w:tl2br w:val="nil"/>
                    <w:tr2bl w:val="nil"/>
                  </w:tcBorders>
                  <w:noWrap/>
                  <w:vAlign w:val="center"/>
                </w:tcPr>
                <w:p w14:paraId="709019A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63355E2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116AF93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4FE8233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5F48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3A4F525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最小值</w:t>
                  </w:r>
                </w:p>
              </w:tc>
              <w:tc>
                <w:tcPr>
                  <w:tcW w:w="741" w:type="pct"/>
                  <w:tcBorders>
                    <w:tl2br w:val="nil"/>
                    <w:tr2bl w:val="nil"/>
                  </w:tcBorders>
                  <w:noWrap/>
                  <w:vAlign w:val="center"/>
                </w:tcPr>
                <w:p w14:paraId="1015D2A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303F39B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049614A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0CA2DEC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57E0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70CB18B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最大值</w:t>
                  </w:r>
                </w:p>
              </w:tc>
              <w:tc>
                <w:tcPr>
                  <w:tcW w:w="741" w:type="pct"/>
                  <w:tcBorders>
                    <w:tl2br w:val="nil"/>
                    <w:tr2bl w:val="nil"/>
                  </w:tcBorders>
                  <w:noWrap/>
                  <w:vAlign w:val="center"/>
                </w:tcPr>
                <w:p w14:paraId="3A80D55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7B862E5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65ADC75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56C4D30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407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8" w:type="pct"/>
                  <w:tcBorders>
                    <w:tl2br w:val="nil"/>
                    <w:tr2bl w:val="nil"/>
                  </w:tcBorders>
                  <w:noWrap/>
                  <w:vAlign w:val="center"/>
                </w:tcPr>
                <w:p w14:paraId="636D8BC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平均值</w:t>
                  </w:r>
                </w:p>
              </w:tc>
              <w:tc>
                <w:tcPr>
                  <w:tcW w:w="741" w:type="pct"/>
                  <w:tcBorders>
                    <w:tl2br w:val="nil"/>
                    <w:tr2bl w:val="nil"/>
                  </w:tcBorders>
                  <w:noWrap/>
                  <w:vAlign w:val="center"/>
                </w:tcPr>
                <w:p w14:paraId="7C97FC7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366" w:type="pct"/>
                  <w:tcBorders>
                    <w:tl2br w:val="nil"/>
                    <w:tr2bl w:val="nil"/>
                  </w:tcBorders>
                  <w:noWrap/>
                  <w:vAlign w:val="center"/>
                </w:tcPr>
                <w:p w14:paraId="6DBCB99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39" w:type="pct"/>
                  <w:tcBorders>
                    <w:tl2br w:val="nil"/>
                    <w:tr2bl w:val="nil"/>
                  </w:tcBorders>
                  <w:noWrap/>
                  <w:vAlign w:val="center"/>
                </w:tcPr>
                <w:p w14:paraId="7C28D2C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026" w:type="pct"/>
                  <w:tcBorders>
                    <w:tl2br w:val="nil"/>
                    <w:tr2bl w:val="nil"/>
                  </w:tcBorders>
                  <w:vAlign w:val="center"/>
                </w:tcPr>
                <w:p w14:paraId="452A54E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bl>
          <w:p w14:paraId="40DB9C30">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小结：</w:t>
            </w:r>
            <w:r>
              <w:rPr>
                <w:rFonts w:hint="default" w:ascii="Times New Roman" w:hAnsi="Times New Roman" w:eastAsia="宋体" w:cs="Times New Roman"/>
                <w:color w:val="000000" w:themeColor="text1"/>
                <w:sz w:val="24"/>
                <w:szCs w:val="24"/>
                <w14:textFill>
                  <w14:solidFill>
                    <w14:schemeClr w14:val="tx1"/>
                  </w14:solidFill>
                </w14:textFill>
              </w:rPr>
              <w:t>浮游动物群落变化与环境因素密切相关，作为反映环境特征的一项重要指标对于海洋环境监测具有重要意义。本次浮游动物调查结果显示，调查海域内浮游动物种类55种，群落结构主要由桡足类、毛颚类、水母类、被囊类和浮游幼体组成；浮游动物平均密度和平均生物量分别为215.84 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和47.894mg/m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从种类组成特征来看，调查海域内优势种有5个，其中太平洋纺锤水蚤优势地位最突出。结合统计多样性水平，显示该调查海域的多样性指数处于较高水平，均匀度水平一般，丰富度处于较低水平，浮游动物环境一般。</w:t>
            </w:r>
          </w:p>
          <w:p w14:paraId="5BA9A6D6">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9"/>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（4）底栖生物</w:t>
            </w:r>
          </w:p>
          <w:p w14:paraId="3A6214E9">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种类组成</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次调查共记录大型底栖生物43种，其中环节动物17种，占总种数的39.53%；节肢动物14种，占总种数的32.56%；软体动物7种，占总种数的16.28%；纽形动物和棘皮动物各2种，各占总种数的4.65%；脊索动物1种，占总种数的2.33%。本调查中，环节动物是构成本次调查海区大型底栖生物的主要类群。底栖生物种类组成详见图3.</w:t>
            </w:r>
            <w:r>
              <w:rPr>
                <w:rFonts w:hint="eastAsia" w:cs="Times New Roman"/>
                <w:color w:val="000000" w:themeColor="text1"/>
                <w:sz w:val="24"/>
                <w:szCs w:val="24"/>
                <w:lang w:val="en-US" w:eastAsia="zh-CN"/>
                <w14:textFill>
                  <w14:solidFill>
                    <w14:schemeClr w14:val="tx1"/>
                  </w14:solidFill>
                </w14:textFill>
              </w:rPr>
              <w:t>5-3</w:t>
            </w:r>
            <w:r>
              <w:rPr>
                <w:rFonts w:hint="default" w:ascii="Times New Roman" w:hAnsi="Times New Roman" w:eastAsia="宋体" w:cs="Times New Roman"/>
                <w:color w:val="000000" w:themeColor="text1"/>
                <w:sz w:val="24"/>
                <w:szCs w:val="24"/>
                <w14:textFill>
                  <w14:solidFill>
                    <w14:schemeClr w14:val="tx1"/>
                  </w14:solidFill>
                </w14:textFill>
              </w:rPr>
              <w:t>。</w:t>
            </w:r>
          </w:p>
          <w:p w14:paraId="5FC8F5D3">
            <w:pPr>
              <w:pStyle w:val="8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eastAsia"/>
                <w:sz w:val="24"/>
              </w:rPr>
              <w:t>*</w:t>
            </w:r>
            <w:r>
              <w:rPr>
                <w:sz w:val="24"/>
              </w:rPr>
              <w:t>**</w:t>
            </w:r>
          </w:p>
          <w:p w14:paraId="3B8B8E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lang w:bidi="zh-CN"/>
                <w14:textFill>
                  <w14:solidFill>
                    <w14:schemeClr w14:val="tx1"/>
                  </w14:solidFill>
                </w14:textFill>
              </w:rPr>
            </w:pPr>
            <w:r>
              <w:rPr>
                <w:rFonts w:hint="eastAsia" w:ascii="Times New Roman" w:hAnsi="Times New Roman" w:cs="Times New Roman"/>
                <w:b/>
                <w:bCs/>
                <w:color w:val="auto"/>
                <w:kern w:val="0"/>
                <w:sz w:val="21"/>
                <w:szCs w:val="21"/>
                <w:lang w:val="en-US" w:eastAsia="zh-CN"/>
              </w:rPr>
              <w:t>图3.5-3</w:t>
            </w:r>
            <w:r>
              <w:rPr>
                <w:rFonts w:hint="default" w:ascii="Times New Roman" w:hAnsi="Times New Roman" w:cs="Times New Roman"/>
                <w:b/>
                <w:bCs/>
                <w:color w:val="auto"/>
                <w:kern w:val="0"/>
                <w:sz w:val="21"/>
                <w:szCs w:val="21"/>
                <w:lang w:val="zh-CN" w:eastAsia="zh-CN"/>
              </w:rPr>
              <w:t xml:space="preserve"> 调查海域底栖生物种类组成图</w:t>
            </w:r>
          </w:p>
          <w:p w14:paraId="4CDD1FC9">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栖息密度和生物量</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分析结果表明，调查海区大型底栖生物平均栖息密度为81.51ind/m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（表3.</w:t>
            </w:r>
            <w:r>
              <w:rPr>
                <w:rFonts w:hint="eastAsia" w:cs="Times New Roman"/>
                <w:color w:val="000000" w:themeColor="text1"/>
                <w:sz w:val="24"/>
                <w:szCs w:val="24"/>
                <w:lang w:val="en-US" w:eastAsia="zh-CN"/>
                <w14:textFill>
                  <w14:solidFill>
                    <w14:schemeClr w14:val="tx1"/>
                  </w14:solidFill>
                </w14:textFill>
              </w:rPr>
              <w:t>5-6</w:t>
            </w:r>
            <w:r>
              <w:rPr>
                <w:rFonts w:hint="default" w:ascii="Times New Roman" w:hAnsi="Times New Roman" w:eastAsia="宋体" w:cs="Times New Roman"/>
                <w:color w:val="000000" w:themeColor="text1"/>
                <w:sz w:val="24"/>
                <w:szCs w:val="24"/>
                <w14:textFill>
                  <w14:solidFill>
                    <w14:schemeClr w14:val="tx1"/>
                  </w14:solidFill>
                </w14:textFill>
              </w:rPr>
              <w:t>），其中以软体动物的平均栖息密度最高，为32.50ind/m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，占总平均密度的39.87%；其次为环节动物，平均栖息密度为30.45ind/m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，占总平均密度的37.36%；脊索动物的平均栖息密度最低（1.11ind/m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），占总平均密度的1.36%。</w:t>
            </w:r>
          </w:p>
          <w:p w14:paraId="5A1941ED">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底栖生物的平均生物量为55.51g/m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（表3.</w:t>
            </w:r>
            <w:r>
              <w:rPr>
                <w:rFonts w:hint="eastAsia" w:cs="Times New Roman"/>
                <w:color w:val="000000" w:themeColor="text1"/>
                <w:sz w:val="24"/>
                <w:szCs w:val="24"/>
                <w:lang w:val="en-US" w:eastAsia="zh-CN"/>
                <w14:textFill>
                  <w14:solidFill>
                    <w14:schemeClr w14:val="tx1"/>
                  </w14:solidFill>
                </w14:textFill>
              </w:rPr>
              <w:t>5-11</w:t>
            </w:r>
            <w:r>
              <w:rPr>
                <w:rFonts w:hint="default" w:ascii="Times New Roman" w:hAnsi="Times New Roman" w:eastAsia="宋体" w:cs="Times New Roman"/>
                <w:color w:val="000000" w:themeColor="text1"/>
                <w:sz w:val="24"/>
                <w:szCs w:val="24"/>
                <w14:textFill>
                  <w14:solidFill>
                    <w14:schemeClr w14:val="tx1"/>
                  </w14:solidFill>
                </w14:textFill>
              </w:rPr>
              <w:t>），以软体动物的平均生物量居首位，软体动物的平均生物量为36.40g/m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，占总平均生物量的65.57%；其次为棘皮动物，平均生物量为14.32g/m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，占总平均生物量的25.80%；脊索动物最少，平均生物量为0.06g/m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，占总平均生物量的0.11%。</w:t>
            </w:r>
          </w:p>
          <w:p w14:paraId="160319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3.5-11</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zh-CN" w:eastAsia="zh-CN"/>
              </w:rPr>
              <w:t>调查海域底栖生物各类群的生物量和栖息密度</w:t>
            </w:r>
          </w:p>
          <w:tbl>
            <w:tblPr>
              <w:tblStyle w:val="28"/>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968"/>
              <w:gridCol w:w="838"/>
              <w:gridCol w:w="833"/>
              <w:gridCol w:w="833"/>
              <w:gridCol w:w="833"/>
              <w:gridCol w:w="833"/>
              <w:gridCol w:w="833"/>
              <w:gridCol w:w="833"/>
            </w:tblGrid>
            <w:tr w14:paraId="0A0B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noWrap/>
                  <w:vAlign w:val="center"/>
                </w:tcPr>
                <w:p w14:paraId="0FF945F8">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站位</w:t>
                  </w:r>
                </w:p>
              </w:tc>
              <w:tc>
                <w:tcPr>
                  <w:tcW w:w="1968" w:type="dxa"/>
                  <w:noWrap/>
                  <w:vAlign w:val="center"/>
                </w:tcPr>
                <w:p w14:paraId="68FDF097">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项目</w:t>
                  </w:r>
                </w:p>
              </w:tc>
              <w:tc>
                <w:tcPr>
                  <w:tcW w:w="838" w:type="dxa"/>
                  <w:noWrap/>
                  <w:vAlign w:val="center"/>
                </w:tcPr>
                <w:p w14:paraId="7103C537">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合计</w:t>
                  </w:r>
                </w:p>
              </w:tc>
              <w:tc>
                <w:tcPr>
                  <w:tcW w:w="833" w:type="dxa"/>
                  <w:noWrap/>
                  <w:vAlign w:val="center"/>
                </w:tcPr>
                <w:p w14:paraId="38B1D28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纽形</w:t>
                  </w:r>
                </w:p>
                <w:p w14:paraId="18E769E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动物</w:t>
                  </w:r>
                </w:p>
              </w:tc>
              <w:tc>
                <w:tcPr>
                  <w:tcW w:w="833" w:type="dxa"/>
                  <w:noWrap/>
                  <w:vAlign w:val="center"/>
                </w:tcPr>
                <w:p w14:paraId="00D788D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环节</w:t>
                  </w:r>
                </w:p>
                <w:p w14:paraId="67AA18A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动物</w:t>
                  </w:r>
                </w:p>
              </w:tc>
              <w:tc>
                <w:tcPr>
                  <w:tcW w:w="833" w:type="dxa"/>
                  <w:noWrap/>
                  <w:vAlign w:val="center"/>
                </w:tcPr>
                <w:p w14:paraId="038038A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软体</w:t>
                  </w:r>
                </w:p>
                <w:p w14:paraId="690B15C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动物</w:t>
                  </w:r>
                </w:p>
              </w:tc>
              <w:tc>
                <w:tcPr>
                  <w:tcW w:w="833" w:type="dxa"/>
                  <w:vAlign w:val="center"/>
                </w:tcPr>
                <w:p w14:paraId="694F06F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节肢</w:t>
                  </w:r>
                </w:p>
                <w:p w14:paraId="17CC5C1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动物</w:t>
                  </w:r>
                </w:p>
              </w:tc>
              <w:tc>
                <w:tcPr>
                  <w:tcW w:w="833" w:type="dxa"/>
                  <w:noWrap/>
                  <w:vAlign w:val="center"/>
                </w:tcPr>
                <w:p w14:paraId="15F50CE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棘皮</w:t>
                  </w:r>
                </w:p>
                <w:p w14:paraId="74FD0F7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动物</w:t>
                  </w:r>
                </w:p>
              </w:tc>
              <w:tc>
                <w:tcPr>
                  <w:tcW w:w="833" w:type="dxa"/>
                  <w:noWrap/>
                  <w:vAlign w:val="center"/>
                </w:tcPr>
                <w:p w14:paraId="2B47841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脊索</w:t>
                  </w:r>
                </w:p>
                <w:p w14:paraId="71A2B52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动物</w:t>
                  </w:r>
                </w:p>
              </w:tc>
            </w:tr>
            <w:tr w14:paraId="7725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7635293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21</w:t>
                  </w:r>
                </w:p>
              </w:tc>
              <w:tc>
                <w:tcPr>
                  <w:tcW w:w="1968" w:type="dxa"/>
                  <w:vAlign w:val="center"/>
                </w:tcPr>
                <w:p w14:paraId="707AD3FB">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33233C9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sz w:val="24"/>
                    </w:rPr>
                    <w:t>*</w:t>
                  </w:r>
                  <w:r>
                    <w:rPr>
                      <w:sz w:val="24"/>
                    </w:rPr>
                    <w:t>**</w:t>
                  </w:r>
                </w:p>
              </w:tc>
              <w:tc>
                <w:tcPr>
                  <w:tcW w:w="833" w:type="dxa"/>
                  <w:noWrap/>
                  <w:vAlign w:val="center"/>
                </w:tcPr>
                <w:p w14:paraId="69D8692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E4730D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C29BE5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6877CA5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569AA1C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53C58C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AE4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01A9A0A4">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6384555E">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66CBF44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9673A2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482E0B3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971D15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0E77E61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8C20B9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744866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9DB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06CCCF8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22</w:t>
                  </w:r>
                </w:p>
              </w:tc>
              <w:tc>
                <w:tcPr>
                  <w:tcW w:w="1968" w:type="dxa"/>
                  <w:vAlign w:val="center"/>
                </w:tcPr>
                <w:p w14:paraId="7A432332">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7CAA203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5A38D5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E73147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6FE4A70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31E82E7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34BD90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FD2ED0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661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54E73EE8">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46653F78">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3540BBB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F6EC64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7BA823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92256B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75648E8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DBDB7A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623B420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0E4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2377BD1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23</w:t>
                  </w:r>
                </w:p>
              </w:tc>
              <w:tc>
                <w:tcPr>
                  <w:tcW w:w="1968" w:type="dxa"/>
                  <w:vAlign w:val="center"/>
                </w:tcPr>
                <w:p w14:paraId="439F1033">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483D485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20E482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8F3636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1C3A234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7D68ADC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3E00B6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522535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9A9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510B3A83">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36D092E7">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7AA068A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6DBCC7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694016E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5ABB406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5CA2C13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6ADBBA0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A7D080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BF8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76D45C3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24</w:t>
                  </w:r>
                </w:p>
              </w:tc>
              <w:tc>
                <w:tcPr>
                  <w:tcW w:w="1968" w:type="dxa"/>
                  <w:vAlign w:val="center"/>
                </w:tcPr>
                <w:p w14:paraId="4BE2BA5E">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541482E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1EE170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15F65C3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73C2FF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4B0951A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F8F3B1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4DB4BC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659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14EDC21D">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003C9AE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300FEEA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6E4463B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50B2A89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0FB8B5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7D1D6F8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6D4D8A9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52CB251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3C4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4C02AF8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26</w:t>
                  </w:r>
                </w:p>
              </w:tc>
              <w:tc>
                <w:tcPr>
                  <w:tcW w:w="1968" w:type="dxa"/>
                  <w:vAlign w:val="center"/>
                </w:tcPr>
                <w:p w14:paraId="1E13F601">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7ED14DC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EA23EE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15351B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472F61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69574F6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558D2E9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440C4A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E79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1424BC4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60587AB0">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3D678BE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486FE2B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7590AE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E040EE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7CBC2BE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59ED061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510BEE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AFC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3D951A4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27</w:t>
                  </w:r>
                </w:p>
              </w:tc>
              <w:tc>
                <w:tcPr>
                  <w:tcW w:w="1968" w:type="dxa"/>
                  <w:vAlign w:val="center"/>
                </w:tcPr>
                <w:p w14:paraId="1C1D7D5E">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325F50B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DA981D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AE5B48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194C2A3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19FD35A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200638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3F6B7F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D1B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2A2175C7">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60B023EA">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605EB2E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C03360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123C245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84A5B1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47948FF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964BD9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18C949A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AA4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204B4FC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31</w:t>
                  </w:r>
                </w:p>
              </w:tc>
              <w:tc>
                <w:tcPr>
                  <w:tcW w:w="1968" w:type="dxa"/>
                  <w:vAlign w:val="center"/>
                </w:tcPr>
                <w:p w14:paraId="0441501B">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58AACD1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B8B98F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2577335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68FA3A2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6295829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1CBFE34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87FD1E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40C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7537B132">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7495B988">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2EFB85A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2440DA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7CC5DF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463CA8B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20214DD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8B4D63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C8B38B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E86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6B72786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35</w:t>
                  </w:r>
                </w:p>
              </w:tc>
              <w:tc>
                <w:tcPr>
                  <w:tcW w:w="1968" w:type="dxa"/>
                  <w:vAlign w:val="center"/>
                </w:tcPr>
                <w:p w14:paraId="2183045B">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3A4ADC3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64EF1CE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443555A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4D23282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58C752A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1B9BFC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7DFE441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DB8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283F74D2">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25715B88">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08D12F9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5C1AD29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C0E1A4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14125EA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vAlign w:val="center"/>
                </w:tcPr>
                <w:p w14:paraId="1FC5C5C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0140EAA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dxa"/>
                  <w:noWrap/>
                  <w:vAlign w:val="center"/>
                </w:tcPr>
                <w:p w14:paraId="3276416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1B9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2007198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36</w:t>
                  </w:r>
                </w:p>
              </w:tc>
              <w:tc>
                <w:tcPr>
                  <w:tcW w:w="1968" w:type="dxa"/>
                  <w:vAlign w:val="center"/>
                </w:tcPr>
                <w:p w14:paraId="4B6AE074">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5E31938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2EF4EC7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0520964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4E32F89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vAlign w:val="center"/>
                </w:tcPr>
                <w:p w14:paraId="147792E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4A4C27F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66A5624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2546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651B3620">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5FF844A9">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526EFBD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06BFFE9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0E95882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1995B9C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vAlign w:val="center"/>
                </w:tcPr>
                <w:p w14:paraId="2003FCA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5401515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519A3DF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53D2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2E7FB56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38</w:t>
                  </w:r>
                </w:p>
              </w:tc>
              <w:tc>
                <w:tcPr>
                  <w:tcW w:w="1968" w:type="dxa"/>
                  <w:vAlign w:val="center"/>
                </w:tcPr>
                <w:p w14:paraId="745E7BBE">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67BE0DA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011D98A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67761D3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394C1CC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vAlign w:val="center"/>
                </w:tcPr>
                <w:p w14:paraId="37F7DF8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3B46CF2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2684E85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7287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4E0B0E21">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1929D8EA">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7573431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61E1275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15AEFCC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75239B9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vAlign w:val="center"/>
                </w:tcPr>
                <w:p w14:paraId="7215702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3B7DA40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5E0B4CA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1615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5953A70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39</w:t>
                  </w:r>
                </w:p>
              </w:tc>
              <w:tc>
                <w:tcPr>
                  <w:tcW w:w="1968" w:type="dxa"/>
                  <w:vAlign w:val="center"/>
                </w:tcPr>
                <w:p w14:paraId="793B488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725B2BF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2EB2FF3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23F6DD3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509266B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vAlign w:val="center"/>
                </w:tcPr>
                <w:p w14:paraId="1B7A85F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467243A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2899245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10A0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43E43D6E">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26157895">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20BFBAE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76711FE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6CE1DCC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2FDF7B8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vAlign w:val="center"/>
                </w:tcPr>
                <w:p w14:paraId="2B92138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1E02F73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72D280B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0591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6A39C5B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40</w:t>
                  </w:r>
                </w:p>
              </w:tc>
              <w:tc>
                <w:tcPr>
                  <w:tcW w:w="1968" w:type="dxa"/>
                  <w:vAlign w:val="center"/>
                </w:tcPr>
                <w:p w14:paraId="4563CB36">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栖息密度(ind/m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2077B18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2AE1885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2939443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14FA78B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vAlign w:val="center"/>
                </w:tcPr>
                <w:p w14:paraId="67F6386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6BDDE60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3ACDD5D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6725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2EF7E70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68" w:type="dxa"/>
                  <w:vAlign w:val="center"/>
                </w:tcPr>
                <w:p w14:paraId="77678E59">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生物量(g/m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8" w:type="dxa"/>
                  <w:noWrap/>
                  <w:vAlign w:val="center"/>
                </w:tcPr>
                <w:p w14:paraId="5ACCE81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01F17D1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285801E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534D665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vAlign w:val="center"/>
                </w:tcPr>
                <w:p w14:paraId="5B5AFDC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4CC698A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833" w:type="dxa"/>
                  <w:noWrap/>
                  <w:vAlign w:val="center"/>
                </w:tcPr>
                <w:p w14:paraId="79DB24F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r>
            <w:tr w14:paraId="3B7F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restart"/>
                  <w:vAlign w:val="center"/>
                </w:tcPr>
                <w:p w14:paraId="18996EC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平均</w:t>
                  </w:r>
                </w:p>
              </w:tc>
              <w:tc>
                <w:tcPr>
                  <w:tcW w:w="1968" w:type="dxa"/>
                  <w:vAlign w:val="center"/>
                </w:tcPr>
                <w:p w14:paraId="513C47C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栖息密度(ind/m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838" w:type="dxa"/>
                  <w:noWrap/>
                  <w:vAlign w:val="center"/>
                </w:tcPr>
                <w:p w14:paraId="109B461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2FDC7FD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3920A69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34A36F4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vAlign w:val="center"/>
                </w:tcPr>
                <w:p w14:paraId="7CF1E09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6643131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363F752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244D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06" w:type="dxa"/>
                  <w:vMerge w:val="continue"/>
                  <w:vAlign w:val="center"/>
                </w:tcPr>
                <w:p w14:paraId="16CDAE6A">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968" w:type="dxa"/>
                  <w:vAlign w:val="center"/>
                </w:tcPr>
                <w:p w14:paraId="6BA8C95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生物量(g/m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838" w:type="dxa"/>
                  <w:noWrap/>
                  <w:vAlign w:val="center"/>
                </w:tcPr>
                <w:p w14:paraId="4541B8B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055947A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4D1E004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12FE336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vAlign w:val="center"/>
                </w:tcPr>
                <w:p w14:paraId="3D0707C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51C245D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33" w:type="dxa"/>
                  <w:noWrap/>
                  <w:vAlign w:val="center"/>
                </w:tcPr>
                <w:p w14:paraId="24FD4BA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r>
          </w:tbl>
          <w:p w14:paraId="3C21A610">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种类优势种</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大型底栖生物种类若按其优势度Y≥0.02时即被认定为优势种，那么本次调查海区的底栖生物有1个优势种（表3.</w:t>
            </w:r>
            <w:r>
              <w:rPr>
                <w:rFonts w:hint="eastAsia" w:cs="Times New Roman"/>
                <w:color w:val="000000" w:themeColor="text1"/>
                <w:sz w:val="24"/>
                <w:szCs w:val="24"/>
                <w:lang w:val="en-US" w:eastAsia="zh-CN"/>
                <w14:textFill>
                  <w14:solidFill>
                    <w14:schemeClr w14:val="tx1"/>
                  </w14:solidFill>
                </w14:textFill>
              </w:rPr>
              <w:t>5-12</w:t>
            </w:r>
            <w:r>
              <w:rPr>
                <w:rFonts w:hint="default" w:ascii="Times New Roman" w:hAnsi="Times New Roman" w:eastAsia="宋体" w:cs="Times New Roman"/>
                <w:color w:val="000000" w:themeColor="text1"/>
                <w:sz w:val="24"/>
                <w:szCs w:val="24"/>
                <w14:textFill>
                  <w14:solidFill>
                    <w14:schemeClr w14:val="tx1"/>
                  </w14:solidFill>
                </w14:textFill>
              </w:rPr>
              <w:t>），为软体动物的凸加夫蛤（</w:t>
            </w:r>
            <w:r>
              <w:rPr>
                <w:rFonts w:hint="default" w:ascii="Times New Roman" w:hAnsi="Times New Roman" w:eastAsia="宋体" w:cs="Times New Roman"/>
                <w:i/>
                <w:iCs/>
                <w:color w:val="000000" w:themeColor="text1"/>
                <w:sz w:val="24"/>
                <w:szCs w:val="24"/>
                <w14:textFill>
                  <w14:solidFill>
                    <w14:schemeClr w14:val="tx1"/>
                  </w14:solidFill>
                </w14:textFill>
              </w:rPr>
              <w:t>Gafrarium tumidum</w:t>
            </w:r>
            <w:r>
              <w:rPr>
                <w:rFonts w:hint="default" w:ascii="Times New Roman" w:hAnsi="Times New Roman" w:eastAsia="宋体" w:cs="Times New Roman"/>
                <w:color w:val="000000" w:themeColor="text1"/>
                <w:sz w:val="24"/>
                <w:szCs w:val="24"/>
                <w14:textFill>
                  <w14:solidFill>
                    <w14:schemeClr w14:val="tx1"/>
                  </w14:solidFill>
                </w14:textFill>
              </w:rPr>
              <w:t>），优势度为0.024。凸加夫蛤平均栖息密度为22.78ind/m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，占底栖生物平均密度的28.24%，为本次调查第一优势种。</w:t>
            </w:r>
          </w:p>
          <w:p w14:paraId="71EC81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3.5-12</w:t>
            </w:r>
            <w:r>
              <w:rPr>
                <w:rFonts w:hint="default" w:ascii="Times New Roman" w:hAnsi="Times New Roman" w:cs="Times New Roman"/>
                <w:b/>
                <w:bCs/>
                <w:color w:val="auto"/>
                <w:kern w:val="0"/>
                <w:sz w:val="21"/>
                <w:szCs w:val="21"/>
                <w:lang w:val="zh-CN" w:eastAsia="zh-CN"/>
              </w:rPr>
              <w:t xml:space="preserve"> 调查海域底栖生物优势种及优势度</w:t>
            </w:r>
          </w:p>
          <w:tbl>
            <w:tblPr>
              <w:tblStyle w:val="28"/>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1309"/>
              <w:gridCol w:w="1716"/>
              <w:gridCol w:w="1309"/>
              <w:gridCol w:w="2355"/>
            </w:tblGrid>
            <w:tr w14:paraId="18A4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30" w:type="dxa"/>
                  <w:vAlign w:val="center"/>
                </w:tcPr>
                <w:p w14:paraId="19202712">
                  <w:pPr>
                    <w:keepNext w:val="0"/>
                    <w:keepLines w:val="0"/>
                    <w:suppressLineNumbers w:val="0"/>
                    <w:adjustRightInd w:val="0"/>
                    <w:spacing w:before="0" w:beforeAutospacing="0" w:after="0" w:afterAutospacing="0" w:line="0" w:lineRule="atLeast"/>
                    <w:ind w:left="0" w:right="0"/>
                    <w:jc w:val="center"/>
                    <w:rPr>
                      <w:rFonts w:hint="default" w:ascii="Times New Roman" w:hAnsi="Times New Roman" w:eastAsia="宋体" w:cs="Times New Roman"/>
                      <w:b w:val="0"/>
                      <w:bCs w:val="0"/>
                      <w:iCs/>
                      <w:color w:val="000000" w:themeColor="text1"/>
                      <w:sz w:val="21"/>
                      <w:szCs w:val="21"/>
                      <w14:textFill>
                        <w14:solidFill>
                          <w14:schemeClr w14:val="tx1"/>
                        </w14:solidFill>
                      </w14:textFill>
                    </w:rPr>
                  </w:pPr>
                  <w:r>
                    <w:rPr>
                      <w:rFonts w:hint="default" w:ascii="Times New Roman" w:hAnsi="Times New Roman" w:eastAsia="宋体" w:cs="Times New Roman"/>
                      <w:b w:val="0"/>
                      <w:bCs w:val="0"/>
                      <w:iCs/>
                      <w:color w:val="000000" w:themeColor="text1"/>
                      <w:sz w:val="21"/>
                      <w:szCs w:val="21"/>
                      <w14:textFill>
                        <w14:solidFill>
                          <w14:schemeClr w14:val="tx1"/>
                        </w14:solidFill>
                      </w14:textFill>
                    </w:rPr>
                    <w:t>优势种</w:t>
                  </w:r>
                </w:p>
              </w:tc>
              <w:tc>
                <w:tcPr>
                  <w:tcW w:w="1309" w:type="dxa"/>
                  <w:vAlign w:val="center"/>
                </w:tcPr>
                <w:p w14:paraId="01879284">
                  <w:pPr>
                    <w:keepNext w:val="0"/>
                    <w:keepLines w:val="0"/>
                    <w:suppressLineNumbers w:val="0"/>
                    <w:adjustRightInd w:val="0"/>
                    <w:spacing w:before="0" w:beforeAutospacing="0" w:after="0" w:afterAutospacing="0" w:line="0" w:lineRule="atLeast"/>
                    <w:ind w:left="0" w:right="0"/>
                    <w:jc w:val="center"/>
                    <w:rPr>
                      <w:rFonts w:hint="default" w:ascii="Times New Roman" w:hAnsi="Times New Roman" w:eastAsia="宋体" w:cs="Times New Roman"/>
                      <w:b w:val="0"/>
                      <w:bCs w:val="0"/>
                      <w:iCs/>
                      <w:color w:val="000000" w:themeColor="text1"/>
                      <w:sz w:val="21"/>
                      <w:szCs w:val="21"/>
                      <w14:textFill>
                        <w14:solidFill>
                          <w14:schemeClr w14:val="tx1"/>
                        </w14:solidFill>
                      </w14:textFill>
                    </w:rPr>
                  </w:pPr>
                  <w:r>
                    <w:rPr>
                      <w:rFonts w:hint="default" w:ascii="Times New Roman" w:hAnsi="Times New Roman" w:eastAsia="宋体" w:cs="Times New Roman"/>
                      <w:b w:val="0"/>
                      <w:bCs w:val="0"/>
                      <w:iCs/>
                      <w:color w:val="000000" w:themeColor="text1"/>
                      <w:sz w:val="21"/>
                      <w:szCs w:val="21"/>
                      <w14:textFill>
                        <w14:solidFill>
                          <w14:schemeClr w14:val="tx1"/>
                        </w14:solidFill>
                      </w14:textFill>
                    </w:rPr>
                    <w:t>类群</w:t>
                  </w:r>
                </w:p>
              </w:tc>
              <w:tc>
                <w:tcPr>
                  <w:tcW w:w="1716" w:type="dxa"/>
                  <w:vAlign w:val="center"/>
                </w:tcPr>
                <w:p w14:paraId="490C958A">
                  <w:pPr>
                    <w:keepNext w:val="0"/>
                    <w:keepLines w:val="0"/>
                    <w:suppressLineNumbers w:val="0"/>
                    <w:adjustRightInd w:val="0"/>
                    <w:spacing w:before="0" w:beforeAutospacing="0" w:after="0" w:afterAutospacing="0" w:line="0" w:lineRule="atLeast"/>
                    <w:ind w:left="0" w:right="0"/>
                    <w:jc w:val="center"/>
                    <w:rPr>
                      <w:rFonts w:hint="default" w:ascii="Times New Roman" w:hAnsi="Times New Roman" w:eastAsia="宋体" w:cs="Times New Roman"/>
                      <w:b w:val="0"/>
                      <w:bCs w:val="0"/>
                      <w:iCs/>
                      <w:color w:val="000000" w:themeColor="text1"/>
                      <w:sz w:val="21"/>
                      <w:szCs w:val="21"/>
                      <w14:textFill>
                        <w14:solidFill>
                          <w14:schemeClr w14:val="tx1"/>
                        </w14:solidFill>
                      </w14:textFill>
                    </w:rPr>
                  </w:pPr>
                  <w:r>
                    <w:rPr>
                      <w:rFonts w:hint="default" w:ascii="Times New Roman" w:hAnsi="Times New Roman" w:eastAsia="宋体" w:cs="Times New Roman"/>
                      <w:b w:val="0"/>
                      <w:bCs w:val="0"/>
                      <w:iCs/>
                      <w:color w:val="000000" w:themeColor="text1"/>
                      <w:sz w:val="21"/>
                      <w:szCs w:val="21"/>
                      <w14:textFill>
                        <w14:solidFill>
                          <w14:schemeClr w14:val="tx1"/>
                        </w14:solidFill>
                      </w14:textFill>
                    </w:rPr>
                    <w:t>优势度（</w:t>
                  </w:r>
                  <w:r>
                    <w:rPr>
                      <w:rFonts w:hint="default" w:ascii="Times New Roman" w:hAnsi="Times New Roman" w:eastAsia="宋体" w:cs="Times New Roman"/>
                      <w:b w:val="0"/>
                      <w:bCs w:val="0"/>
                      <w:i/>
                      <w:color w:val="000000" w:themeColor="text1"/>
                      <w:sz w:val="21"/>
                      <w:szCs w:val="21"/>
                      <w14:textFill>
                        <w14:solidFill>
                          <w14:schemeClr w14:val="tx1"/>
                        </w14:solidFill>
                      </w14:textFill>
                    </w:rPr>
                    <w:t>Y</w:t>
                  </w:r>
                  <w:r>
                    <w:rPr>
                      <w:rFonts w:hint="default" w:ascii="Times New Roman" w:hAnsi="Times New Roman" w:eastAsia="宋体" w:cs="Times New Roman"/>
                      <w:b w:val="0"/>
                      <w:bCs w:val="0"/>
                      <w:iCs/>
                      <w:color w:val="000000" w:themeColor="text1"/>
                      <w:sz w:val="21"/>
                      <w:szCs w:val="21"/>
                      <w14:textFill>
                        <w14:solidFill>
                          <w14:schemeClr w14:val="tx1"/>
                        </w14:solidFill>
                      </w14:textFill>
                    </w:rPr>
                    <w:t>）</w:t>
                  </w:r>
                </w:p>
              </w:tc>
              <w:tc>
                <w:tcPr>
                  <w:tcW w:w="1309" w:type="dxa"/>
                  <w:vAlign w:val="center"/>
                </w:tcPr>
                <w:p w14:paraId="02D1A2D5">
                  <w:pPr>
                    <w:keepNext w:val="0"/>
                    <w:keepLines w:val="0"/>
                    <w:suppressLineNumbers w:val="0"/>
                    <w:adjustRightInd w:val="0"/>
                    <w:spacing w:before="0" w:beforeAutospacing="0" w:after="0" w:afterAutospacing="0" w:line="0" w:lineRule="atLeast"/>
                    <w:ind w:left="0" w:right="0"/>
                    <w:jc w:val="center"/>
                    <w:rPr>
                      <w:rFonts w:hint="default" w:ascii="Times New Roman" w:hAnsi="Times New Roman" w:eastAsia="宋体" w:cs="Times New Roman"/>
                      <w:b w:val="0"/>
                      <w:bCs w:val="0"/>
                      <w:iCs/>
                      <w:color w:val="000000" w:themeColor="text1"/>
                      <w:sz w:val="21"/>
                      <w:szCs w:val="21"/>
                      <w14:textFill>
                        <w14:solidFill>
                          <w14:schemeClr w14:val="tx1"/>
                        </w14:solidFill>
                      </w14:textFill>
                    </w:rPr>
                  </w:pPr>
                  <w:r>
                    <w:rPr>
                      <w:rFonts w:hint="default" w:ascii="Times New Roman" w:hAnsi="Times New Roman" w:eastAsia="宋体" w:cs="Times New Roman"/>
                      <w:b w:val="0"/>
                      <w:bCs w:val="0"/>
                      <w:iCs/>
                      <w:color w:val="000000" w:themeColor="text1"/>
                      <w:sz w:val="21"/>
                      <w:szCs w:val="21"/>
                      <w14:textFill>
                        <w14:solidFill>
                          <w14:schemeClr w14:val="tx1"/>
                        </w14:solidFill>
                      </w14:textFill>
                    </w:rPr>
                    <w:t>平均密度</w:t>
                  </w:r>
                </w:p>
                <w:p w14:paraId="3F608033">
                  <w:pPr>
                    <w:keepNext w:val="0"/>
                    <w:keepLines w:val="0"/>
                    <w:suppressLineNumbers w:val="0"/>
                    <w:adjustRightInd w:val="0"/>
                    <w:spacing w:before="0" w:beforeAutospacing="0" w:after="0" w:afterAutospacing="0" w:line="0" w:lineRule="atLeast"/>
                    <w:ind w:left="0" w:right="0"/>
                    <w:jc w:val="center"/>
                    <w:rPr>
                      <w:rFonts w:hint="default" w:ascii="Times New Roman" w:hAnsi="Times New Roman" w:eastAsia="宋体" w:cs="Times New Roman"/>
                      <w:b w:val="0"/>
                      <w:bCs w:val="0"/>
                      <w:iCs/>
                      <w:color w:val="000000" w:themeColor="text1"/>
                      <w:sz w:val="21"/>
                      <w:szCs w:val="21"/>
                      <w14:textFill>
                        <w14:solidFill>
                          <w14:schemeClr w14:val="tx1"/>
                        </w14:solidFill>
                      </w14:textFill>
                    </w:rPr>
                  </w:pPr>
                  <w:r>
                    <w:rPr>
                      <w:rFonts w:hint="default" w:ascii="Times New Roman" w:hAnsi="Times New Roman" w:eastAsia="宋体" w:cs="Times New Roman"/>
                      <w:b w:val="0"/>
                      <w:bCs w:val="0"/>
                      <w:iCs/>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ind/m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 w:val="0"/>
                      <w:bCs w:val="0"/>
                      <w:iCs/>
                      <w:color w:val="000000" w:themeColor="text1"/>
                      <w:sz w:val="21"/>
                      <w:szCs w:val="21"/>
                      <w14:textFill>
                        <w14:solidFill>
                          <w14:schemeClr w14:val="tx1"/>
                        </w14:solidFill>
                      </w14:textFill>
                    </w:rPr>
                    <w:t>)</w:t>
                  </w:r>
                </w:p>
              </w:tc>
              <w:tc>
                <w:tcPr>
                  <w:tcW w:w="2355" w:type="dxa"/>
                  <w:vAlign w:val="center"/>
                </w:tcPr>
                <w:p w14:paraId="7422EE8E">
                  <w:pPr>
                    <w:keepNext w:val="0"/>
                    <w:keepLines w:val="0"/>
                    <w:suppressLineNumbers w:val="0"/>
                    <w:adjustRightInd w:val="0"/>
                    <w:spacing w:before="0" w:beforeAutospacing="0" w:after="0" w:afterAutospacing="0" w:line="0" w:lineRule="atLeast"/>
                    <w:ind w:left="0" w:right="0"/>
                    <w:jc w:val="center"/>
                    <w:rPr>
                      <w:rFonts w:hint="default" w:ascii="Times New Roman" w:hAnsi="Times New Roman" w:eastAsia="宋体" w:cs="Times New Roman"/>
                      <w:b w:val="0"/>
                      <w:bCs w:val="0"/>
                      <w:iCs/>
                      <w:color w:val="000000" w:themeColor="text1"/>
                      <w:sz w:val="21"/>
                      <w:szCs w:val="21"/>
                      <w14:textFill>
                        <w14:solidFill>
                          <w14:schemeClr w14:val="tx1"/>
                        </w14:solidFill>
                      </w14:textFill>
                    </w:rPr>
                  </w:pPr>
                  <w:r>
                    <w:rPr>
                      <w:rFonts w:hint="default" w:ascii="Times New Roman" w:hAnsi="Times New Roman" w:eastAsia="宋体" w:cs="Times New Roman"/>
                      <w:b w:val="0"/>
                      <w:bCs w:val="0"/>
                      <w:iCs/>
                      <w:color w:val="000000" w:themeColor="text1"/>
                      <w:sz w:val="21"/>
                      <w:szCs w:val="21"/>
                      <w14:textFill>
                        <w14:solidFill>
                          <w14:schemeClr w14:val="tx1"/>
                        </w14:solidFill>
                      </w14:textFill>
                    </w:rPr>
                    <w:t>占总生物栖息密度</w:t>
                  </w:r>
                </w:p>
                <w:p w14:paraId="7B26C01C">
                  <w:pPr>
                    <w:keepNext w:val="0"/>
                    <w:keepLines w:val="0"/>
                    <w:suppressLineNumbers w:val="0"/>
                    <w:adjustRightInd w:val="0"/>
                    <w:spacing w:before="0" w:beforeAutospacing="0" w:after="0" w:afterAutospacing="0" w:line="0" w:lineRule="atLeast"/>
                    <w:ind w:left="0" w:right="0"/>
                    <w:jc w:val="center"/>
                    <w:rPr>
                      <w:rFonts w:hint="default" w:ascii="Times New Roman" w:hAnsi="Times New Roman" w:eastAsia="宋体" w:cs="Times New Roman"/>
                      <w:b w:val="0"/>
                      <w:bCs w:val="0"/>
                      <w:iCs/>
                      <w:color w:val="000000" w:themeColor="text1"/>
                      <w:sz w:val="21"/>
                      <w:szCs w:val="21"/>
                      <w14:textFill>
                        <w14:solidFill>
                          <w14:schemeClr w14:val="tx1"/>
                        </w14:solidFill>
                      </w14:textFill>
                    </w:rPr>
                  </w:pPr>
                  <w:r>
                    <w:rPr>
                      <w:rFonts w:hint="default" w:ascii="Times New Roman" w:hAnsi="Times New Roman" w:eastAsia="宋体" w:cs="Times New Roman"/>
                      <w:b w:val="0"/>
                      <w:bCs w:val="0"/>
                      <w:iCs/>
                      <w:color w:val="000000" w:themeColor="text1"/>
                      <w:sz w:val="21"/>
                      <w:szCs w:val="21"/>
                      <w14:textFill>
                        <w14:solidFill>
                          <w14:schemeClr w14:val="tx1"/>
                        </w14:solidFill>
                      </w14:textFill>
                    </w:rPr>
                    <w:t>的百分比(%)</w:t>
                  </w:r>
                </w:p>
              </w:tc>
            </w:tr>
            <w:tr w14:paraId="7D24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30" w:type="dxa"/>
                  <w:vAlign w:val="center"/>
                </w:tcPr>
                <w:p w14:paraId="07A044E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sz w:val="24"/>
                    </w:rPr>
                    <w:t>*</w:t>
                  </w:r>
                  <w:r>
                    <w:rPr>
                      <w:sz w:val="24"/>
                    </w:rPr>
                    <w:t>**</w:t>
                  </w:r>
                </w:p>
              </w:tc>
              <w:tc>
                <w:tcPr>
                  <w:tcW w:w="1309" w:type="dxa"/>
                  <w:vAlign w:val="center"/>
                </w:tcPr>
                <w:p w14:paraId="2A802A7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16" w:type="dxa"/>
                  <w:vAlign w:val="center"/>
                </w:tcPr>
                <w:p w14:paraId="11EAA55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9" w:type="dxa"/>
                  <w:vAlign w:val="center"/>
                </w:tcPr>
                <w:p w14:paraId="71D61A0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355" w:type="dxa"/>
                  <w:vAlign w:val="center"/>
                </w:tcPr>
                <w:p w14:paraId="3DB252F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bl>
          <w:p w14:paraId="4F598916">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物种多样性指数、丰富度及均匀度</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调查海域的各采样站位大型底栖生物出现种数变化的范围在2~11种/站之间。多样性指数（H´）变化范围在0.47~2.99之间，平均值为1.61（表3.</w:t>
            </w:r>
            <w:r>
              <w:rPr>
                <w:rFonts w:hint="eastAsia" w:cs="Times New Roman"/>
                <w:color w:val="000000" w:themeColor="text1"/>
                <w:sz w:val="24"/>
                <w:szCs w:val="24"/>
                <w:lang w:val="en-US" w:eastAsia="zh-CN"/>
                <w14:textFill>
                  <w14:solidFill>
                    <w14:schemeClr w14:val="tx1"/>
                  </w14:solidFill>
                </w14:textFill>
              </w:rPr>
              <w:t>5-13</w:t>
            </w:r>
            <w:r>
              <w:rPr>
                <w:rFonts w:hint="default" w:ascii="Times New Roman" w:hAnsi="Times New Roman" w:eastAsia="宋体" w:cs="Times New Roman"/>
                <w:color w:val="000000" w:themeColor="text1"/>
                <w:sz w:val="24"/>
                <w:szCs w:val="24"/>
                <w14:textFill>
                  <w14:solidFill>
                    <w14:schemeClr w14:val="tx1"/>
                  </w14:solidFill>
                </w14:textFill>
              </w:rPr>
              <w:t>）。多样性指数最高出现在21号站（2.99），最低则为40号站（0.47），整体来看，多样性指数属于较低水平；均匀度指数范围在0.47~1.00之间，平均值为0.86，均匀度指数最高出现在23号站、24号站和27号站，均为1.00，最低出现在40号站（0.47），整体来看，各站位物种间分布较均匀。丰富度指数范围为0.15~1.39，平均值为0.54，其中21号站丰富度指数最高（1.39），40号站最低（0.15）。</w:t>
            </w:r>
          </w:p>
          <w:p w14:paraId="38ECEB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3.5-13</w:t>
            </w:r>
            <w:r>
              <w:rPr>
                <w:rFonts w:hint="default" w:ascii="Times New Roman" w:hAnsi="Times New Roman" w:cs="Times New Roman"/>
                <w:b/>
                <w:bCs/>
                <w:color w:val="auto"/>
                <w:kern w:val="0"/>
                <w:sz w:val="21"/>
                <w:szCs w:val="21"/>
                <w:lang w:val="zh-CN" w:eastAsia="zh-CN"/>
              </w:rPr>
              <w:t xml:space="preserve"> 调查海域大型底栖生物出现种数与群落指数</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51"/>
              <w:gridCol w:w="2256"/>
              <w:gridCol w:w="1903"/>
              <w:gridCol w:w="2253"/>
            </w:tblGrid>
            <w:tr w14:paraId="660B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74053E88">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站位</w:t>
                  </w:r>
                </w:p>
              </w:tc>
              <w:tc>
                <w:tcPr>
                  <w:tcW w:w="664" w:type="pct"/>
                  <w:vAlign w:val="center"/>
                </w:tcPr>
                <w:p w14:paraId="083CD6AE">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种类数</w:t>
                  </w:r>
                </w:p>
              </w:tc>
              <w:tc>
                <w:tcPr>
                  <w:tcW w:w="1302" w:type="pct"/>
                  <w:vAlign w:val="center"/>
                </w:tcPr>
                <w:p w14:paraId="21047AA6">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多样性指数(</w:t>
                  </w:r>
                  <w:r>
                    <w:rPr>
                      <w:rFonts w:hint="default" w:ascii="Times New Roman" w:hAnsi="Times New Roman" w:eastAsia="宋体" w:cs="Times New Roman"/>
                      <w:b w:val="0"/>
                      <w:bCs w:val="0"/>
                      <w:i/>
                      <w:iCs/>
                      <w:color w:val="000000" w:themeColor="text1"/>
                      <w:sz w:val="21"/>
                      <w:szCs w:val="21"/>
                      <w14:textFill>
                        <w14:solidFill>
                          <w14:schemeClr w14:val="tx1"/>
                        </w14:solidFill>
                      </w14:textFill>
                    </w:rPr>
                    <w:t>H</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098" w:type="pct"/>
                  <w:vAlign w:val="center"/>
                </w:tcPr>
                <w:p w14:paraId="43E1F6F0">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均匀度（</w:t>
                  </w:r>
                  <w:r>
                    <w:rPr>
                      <w:rFonts w:hint="default" w:ascii="Times New Roman" w:hAnsi="Times New Roman" w:eastAsia="宋体" w:cs="Times New Roman"/>
                      <w:b w:val="0"/>
                      <w:bCs w:val="0"/>
                      <w:i/>
                      <w:color w:val="000000" w:themeColor="text1"/>
                      <w:sz w:val="21"/>
                      <w:szCs w:val="21"/>
                      <w14:textFill>
                        <w14:solidFill>
                          <w14:schemeClr w14:val="tx1"/>
                        </w14:solidFill>
                      </w14:textFill>
                    </w:rPr>
                    <w:t>J</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300" w:type="pct"/>
                  <w:vAlign w:val="center"/>
                </w:tcPr>
                <w:p w14:paraId="4ECB3DB6">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丰富度指数（</w:t>
                  </w:r>
                  <w:r>
                    <w:rPr>
                      <w:rFonts w:hint="default" w:ascii="Times New Roman" w:hAnsi="Times New Roman" w:eastAsia="宋体" w:cs="Times New Roman"/>
                      <w:b w:val="0"/>
                      <w:bCs w:val="0"/>
                      <w:i/>
                      <w:color w:val="000000" w:themeColor="text1"/>
                      <w:sz w:val="21"/>
                      <w:szCs w:val="21"/>
                      <w14:textFill>
                        <w14:solidFill>
                          <w14:schemeClr w14:val="tx1"/>
                        </w14:solidFill>
                      </w14:textFill>
                    </w:rPr>
                    <w:t>d</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r w14:paraId="1E9E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5C36B6F0">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21</w:t>
                  </w:r>
                </w:p>
              </w:tc>
              <w:tc>
                <w:tcPr>
                  <w:tcW w:w="664" w:type="pct"/>
                  <w:vAlign w:val="center"/>
                </w:tcPr>
                <w:p w14:paraId="3A15067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sz w:val="24"/>
                    </w:rPr>
                    <w:t>*</w:t>
                  </w:r>
                  <w:r>
                    <w:rPr>
                      <w:sz w:val="24"/>
                    </w:rPr>
                    <w:t>**</w:t>
                  </w:r>
                </w:p>
              </w:tc>
              <w:tc>
                <w:tcPr>
                  <w:tcW w:w="1302" w:type="pct"/>
                  <w:vAlign w:val="center"/>
                </w:tcPr>
                <w:p w14:paraId="53A668B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8" w:type="pct"/>
                  <w:vAlign w:val="center"/>
                </w:tcPr>
                <w:p w14:paraId="320CDC2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0" w:type="pct"/>
                  <w:vAlign w:val="center"/>
                </w:tcPr>
                <w:p w14:paraId="32666E3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690C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4510303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22</w:t>
                  </w:r>
                </w:p>
              </w:tc>
              <w:tc>
                <w:tcPr>
                  <w:tcW w:w="664" w:type="pct"/>
                  <w:vAlign w:val="center"/>
                </w:tcPr>
                <w:p w14:paraId="1916004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2" w:type="pct"/>
                  <w:vAlign w:val="center"/>
                </w:tcPr>
                <w:p w14:paraId="7C155EE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8" w:type="pct"/>
                  <w:vAlign w:val="center"/>
                </w:tcPr>
                <w:p w14:paraId="5AE6F68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0" w:type="pct"/>
                  <w:vAlign w:val="center"/>
                </w:tcPr>
                <w:p w14:paraId="698D33E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4AAB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2B1320A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23</w:t>
                  </w:r>
                </w:p>
              </w:tc>
              <w:tc>
                <w:tcPr>
                  <w:tcW w:w="664" w:type="pct"/>
                  <w:vAlign w:val="center"/>
                </w:tcPr>
                <w:p w14:paraId="17D9145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2" w:type="pct"/>
                  <w:vAlign w:val="center"/>
                </w:tcPr>
                <w:p w14:paraId="7DEE2DB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8" w:type="pct"/>
                  <w:vAlign w:val="center"/>
                </w:tcPr>
                <w:p w14:paraId="355D873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0" w:type="pct"/>
                  <w:vAlign w:val="center"/>
                </w:tcPr>
                <w:p w14:paraId="60196E5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1677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2234DF8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24</w:t>
                  </w:r>
                </w:p>
              </w:tc>
              <w:tc>
                <w:tcPr>
                  <w:tcW w:w="664" w:type="pct"/>
                  <w:vAlign w:val="center"/>
                </w:tcPr>
                <w:p w14:paraId="6170C61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2" w:type="pct"/>
                  <w:vAlign w:val="center"/>
                </w:tcPr>
                <w:p w14:paraId="3E6C3E1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8" w:type="pct"/>
                  <w:vAlign w:val="center"/>
                </w:tcPr>
                <w:p w14:paraId="5996DB1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0" w:type="pct"/>
                  <w:vAlign w:val="center"/>
                </w:tcPr>
                <w:p w14:paraId="0B60AA7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7BCF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0A05AEB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26</w:t>
                  </w:r>
                </w:p>
              </w:tc>
              <w:tc>
                <w:tcPr>
                  <w:tcW w:w="664" w:type="pct"/>
                  <w:vAlign w:val="center"/>
                </w:tcPr>
                <w:p w14:paraId="170C246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2" w:type="pct"/>
                  <w:vAlign w:val="center"/>
                </w:tcPr>
                <w:p w14:paraId="47DE5F2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8" w:type="pct"/>
                  <w:vAlign w:val="center"/>
                </w:tcPr>
                <w:p w14:paraId="38F5818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0" w:type="pct"/>
                  <w:vAlign w:val="center"/>
                </w:tcPr>
                <w:p w14:paraId="3D763B5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051A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7462B3A9">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27</w:t>
                  </w:r>
                </w:p>
              </w:tc>
              <w:tc>
                <w:tcPr>
                  <w:tcW w:w="664" w:type="pct"/>
                  <w:vAlign w:val="center"/>
                </w:tcPr>
                <w:p w14:paraId="0993572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2" w:type="pct"/>
                  <w:vAlign w:val="center"/>
                </w:tcPr>
                <w:p w14:paraId="7483374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8" w:type="pct"/>
                  <w:vAlign w:val="center"/>
                </w:tcPr>
                <w:p w14:paraId="68EC7CE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0" w:type="pct"/>
                  <w:vAlign w:val="center"/>
                </w:tcPr>
                <w:p w14:paraId="5380892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59D2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628E025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31</w:t>
                  </w:r>
                </w:p>
              </w:tc>
              <w:tc>
                <w:tcPr>
                  <w:tcW w:w="664" w:type="pct"/>
                  <w:vAlign w:val="center"/>
                </w:tcPr>
                <w:p w14:paraId="7CFBECF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2" w:type="pct"/>
                  <w:vAlign w:val="center"/>
                </w:tcPr>
                <w:p w14:paraId="67BF80A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098" w:type="pct"/>
                  <w:vAlign w:val="center"/>
                </w:tcPr>
                <w:p w14:paraId="38B738F2">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0" w:type="pct"/>
                  <w:vAlign w:val="center"/>
                </w:tcPr>
                <w:p w14:paraId="6810712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r>
            <w:tr w14:paraId="5E64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0AE84315">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35</w:t>
                  </w:r>
                </w:p>
              </w:tc>
              <w:tc>
                <w:tcPr>
                  <w:tcW w:w="664" w:type="pct"/>
                  <w:vAlign w:val="center"/>
                </w:tcPr>
                <w:p w14:paraId="0B62340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2" w:type="pct"/>
                  <w:vAlign w:val="center"/>
                </w:tcPr>
                <w:p w14:paraId="5171C6C1">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098" w:type="pct"/>
                  <w:vAlign w:val="center"/>
                </w:tcPr>
                <w:p w14:paraId="14E2C36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0" w:type="pct"/>
                  <w:vAlign w:val="center"/>
                </w:tcPr>
                <w:p w14:paraId="5A6E8EA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r>
            <w:tr w14:paraId="0F08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44B5E92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36</w:t>
                  </w:r>
                </w:p>
              </w:tc>
              <w:tc>
                <w:tcPr>
                  <w:tcW w:w="664" w:type="pct"/>
                  <w:vAlign w:val="center"/>
                </w:tcPr>
                <w:p w14:paraId="11BDB2E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2" w:type="pct"/>
                  <w:vAlign w:val="center"/>
                </w:tcPr>
                <w:p w14:paraId="3585949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098" w:type="pct"/>
                  <w:vAlign w:val="center"/>
                </w:tcPr>
                <w:p w14:paraId="60A37AE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0" w:type="pct"/>
                  <w:vAlign w:val="center"/>
                </w:tcPr>
                <w:p w14:paraId="7AAE6294">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r>
            <w:tr w14:paraId="44E5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5D039CD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38</w:t>
                  </w:r>
                </w:p>
              </w:tc>
              <w:tc>
                <w:tcPr>
                  <w:tcW w:w="664" w:type="pct"/>
                  <w:vAlign w:val="center"/>
                </w:tcPr>
                <w:p w14:paraId="6EA4350C">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2" w:type="pct"/>
                  <w:vAlign w:val="center"/>
                </w:tcPr>
                <w:p w14:paraId="2C940AD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098" w:type="pct"/>
                  <w:vAlign w:val="center"/>
                </w:tcPr>
                <w:p w14:paraId="4671A3B7">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0" w:type="pct"/>
                  <w:vAlign w:val="center"/>
                </w:tcPr>
                <w:p w14:paraId="10A27EB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r>
            <w:tr w14:paraId="15A7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2556582E">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39</w:t>
                  </w:r>
                </w:p>
              </w:tc>
              <w:tc>
                <w:tcPr>
                  <w:tcW w:w="664" w:type="pct"/>
                  <w:vAlign w:val="center"/>
                </w:tcPr>
                <w:p w14:paraId="7C81B20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2" w:type="pct"/>
                  <w:vAlign w:val="center"/>
                </w:tcPr>
                <w:p w14:paraId="169898A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098" w:type="pct"/>
                  <w:vAlign w:val="center"/>
                </w:tcPr>
                <w:p w14:paraId="7725294A">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0" w:type="pct"/>
                  <w:vAlign w:val="center"/>
                </w:tcPr>
                <w:p w14:paraId="67ADE7E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r>
            <w:tr w14:paraId="33B4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52FE334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40</w:t>
                  </w:r>
                </w:p>
              </w:tc>
              <w:tc>
                <w:tcPr>
                  <w:tcW w:w="664" w:type="pct"/>
                  <w:vAlign w:val="center"/>
                </w:tcPr>
                <w:p w14:paraId="7D02E543">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2" w:type="pct"/>
                  <w:vAlign w:val="center"/>
                </w:tcPr>
                <w:p w14:paraId="732248CD">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098" w:type="pct"/>
                  <w:vAlign w:val="center"/>
                </w:tcPr>
                <w:p w14:paraId="054FDE4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c>
                <w:tcPr>
                  <w:tcW w:w="1300" w:type="pct"/>
                  <w:vAlign w:val="center"/>
                </w:tcPr>
                <w:p w14:paraId="640F22BB">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p>
              </w:tc>
            </w:tr>
            <w:tr w14:paraId="67B7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27972A62">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平均值</w:t>
                  </w:r>
                </w:p>
              </w:tc>
              <w:tc>
                <w:tcPr>
                  <w:tcW w:w="664" w:type="pct"/>
                  <w:vAlign w:val="center"/>
                </w:tcPr>
                <w:p w14:paraId="6D41BB54">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2" w:type="pct"/>
                  <w:vAlign w:val="center"/>
                </w:tcPr>
                <w:p w14:paraId="0DBC7B88">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8" w:type="pct"/>
                  <w:vAlign w:val="center"/>
                </w:tcPr>
                <w:p w14:paraId="12DBC72F">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0" w:type="pct"/>
                  <w:vAlign w:val="center"/>
                </w:tcPr>
                <w:p w14:paraId="14750116">
                  <w:pPr>
                    <w:keepNext w:val="0"/>
                    <w:keepLines w:val="0"/>
                    <w:suppressLineNumbers w:val="0"/>
                    <w:spacing w:before="0" w:beforeAutospacing="0" w:after="0" w:afterAutospacing="0" w:line="0" w:lineRule="atLeast"/>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1D82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6" w:type="pct"/>
                  <w:vAlign w:val="center"/>
                </w:tcPr>
                <w:p w14:paraId="01E467F1">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范围</w:t>
                  </w:r>
                </w:p>
              </w:tc>
              <w:tc>
                <w:tcPr>
                  <w:tcW w:w="664" w:type="pct"/>
                  <w:vAlign w:val="center"/>
                </w:tcPr>
                <w:p w14:paraId="32742C71">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2" w:type="pct"/>
                  <w:vAlign w:val="center"/>
                </w:tcPr>
                <w:p w14:paraId="2DD9C51E">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8" w:type="pct"/>
                  <w:vAlign w:val="center"/>
                </w:tcPr>
                <w:p w14:paraId="166BE71E">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00" w:type="pct"/>
                  <w:vAlign w:val="center"/>
                </w:tcPr>
                <w:p w14:paraId="448E2DDC">
                  <w:pPr>
                    <w:keepNext w:val="0"/>
                    <w:keepLines w:val="0"/>
                    <w:suppressLineNumbers w:val="0"/>
                    <w:spacing w:before="0" w:beforeAutospacing="0" w:after="0" w:afterAutospacing="0" w:line="0" w:lineRule="atLeas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bl>
          <w:p w14:paraId="5C960A35">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小结</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本次调查共记录大型底栖生物43种，其中环节动物17种、节肢动物14种、软体动物7种、纽形动物和棘皮动物各2种、脊索动物1种。调查海区大型底栖生物平均栖息密度为81.51ind/m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平均生物量为55.51g/m</w:t>
            </w:r>
            <w:r>
              <w:rPr>
                <w:rFonts w:hint="default" w:ascii="Times New Roman" w:hAnsi="Times New Roman" w:eastAsia="宋体" w:cs="Times New Roman"/>
                <w:b/>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。本次调查海区的底栖生物有1个优势种，为软体动物的凸加夫蛤（</w:t>
            </w:r>
            <w:r>
              <w:rPr>
                <w:rFonts w:hint="default" w:ascii="Times New Roman" w:hAnsi="Times New Roman" w:eastAsia="宋体" w:cs="Times New Roman"/>
                <w:i/>
                <w:iCs/>
                <w:color w:val="000000" w:themeColor="text1"/>
                <w:sz w:val="24"/>
                <w:szCs w:val="24"/>
                <w14:textFill>
                  <w14:solidFill>
                    <w14:schemeClr w14:val="tx1"/>
                  </w14:solidFill>
                </w14:textFill>
              </w:rPr>
              <w:t>Gafrarium tumidum</w:t>
            </w:r>
            <w:r>
              <w:rPr>
                <w:rFonts w:hint="default" w:ascii="Times New Roman" w:hAnsi="Times New Roman" w:eastAsia="宋体" w:cs="Times New Roman"/>
                <w:color w:val="000000" w:themeColor="text1"/>
                <w:sz w:val="24"/>
                <w:szCs w:val="24"/>
                <w14:textFill>
                  <w14:solidFill>
                    <w14:schemeClr w14:val="tx1"/>
                  </w14:solidFill>
                </w14:textFill>
              </w:rPr>
              <w:t>）。调查海域采样站位大型底栖生物出现种数变化的范围在2~11种/站。多样性指数变化范围在0.47~2.99之间，平均值为1.61，多样性属于较低水平；均匀度范围在0.47~1.00之间，平均值为0.86，调查站位物种间均匀度水平较高；丰富度指数范围为0.15~1.39，平均为0.54。</w:t>
            </w:r>
          </w:p>
          <w:p w14:paraId="7631F4E7">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9"/>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（5）潮间带生物</w:t>
            </w:r>
          </w:p>
          <w:p w14:paraId="46EF4AC8">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种类组成</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调查断面定量采集到的潮间带生物经鉴定共有18种，隶属4门16科。其中发现节肢动物种类最多，有8种，占总种数的44.44%；其次为软体动物（5种），占总种数的27.78%；环节动物4种，占总种数的22.22%；刺胞动物只有1种，占总种数的5.56%。</w:t>
            </w:r>
          </w:p>
          <w:p w14:paraId="6514B8FD">
            <w:pPr>
              <w:pStyle w:val="8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eastAsia"/>
                <w:sz w:val="24"/>
              </w:rPr>
              <w:t>*</w:t>
            </w:r>
            <w:r>
              <w:rPr>
                <w:sz w:val="24"/>
              </w:rPr>
              <w:t>**</w:t>
            </w:r>
          </w:p>
          <w:p w14:paraId="6709B6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en-US" w:eastAsia="zh-CN"/>
              </w:rPr>
              <w:t xml:space="preserve">图3.5-4 </w:t>
            </w:r>
            <w:r>
              <w:rPr>
                <w:rFonts w:hint="default" w:ascii="Times New Roman" w:hAnsi="Times New Roman" w:cs="Times New Roman"/>
                <w:b/>
                <w:bCs/>
                <w:color w:val="auto"/>
                <w:kern w:val="0"/>
                <w:sz w:val="21"/>
                <w:szCs w:val="21"/>
                <w:lang w:val="zh-CN" w:eastAsia="zh-CN"/>
              </w:rPr>
              <w:t>潮间带生物种类组成</w:t>
            </w:r>
          </w:p>
          <w:p w14:paraId="0B5E010B">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栖息密度及生物量分布</w:t>
            </w:r>
            <w:r>
              <w:rPr>
                <w:rFonts w:hint="eastAsia" w:cs="Times New Roman"/>
                <w:color w:val="000000" w:themeColor="text1"/>
                <w:sz w:val="24"/>
                <w:szCs w:val="24"/>
                <w:lang w:eastAsia="zh-CN"/>
                <w14:textFill>
                  <w14:solidFill>
                    <w14:schemeClr w14:val="tx1"/>
                  </w14:solidFill>
                </w14:textFill>
              </w:rPr>
              <w:t>：</w:t>
            </w:r>
          </w:p>
          <w:p w14:paraId="24C91E1A">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a、栖息密度及生物量的组成</w:t>
            </w:r>
          </w:p>
          <w:p w14:paraId="52949C5E">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调查断面的潮间带生物总平均栖息密度及生物量见表3.</w:t>
            </w:r>
            <w:r>
              <w:rPr>
                <w:rFonts w:hint="eastAsia" w:cs="Times New Roman"/>
                <w:color w:val="000000" w:themeColor="text1"/>
                <w:sz w:val="24"/>
                <w:szCs w:val="24"/>
                <w:lang w:val="en-US" w:eastAsia="zh-CN"/>
                <w14:textFill>
                  <w14:solidFill>
                    <w14:schemeClr w14:val="tx1"/>
                  </w14:solidFill>
                </w14:textFill>
              </w:rPr>
              <w:t>5-14</w:t>
            </w:r>
            <w:r>
              <w:rPr>
                <w:rFonts w:hint="default" w:ascii="Times New Roman" w:hAnsi="Times New Roman" w:eastAsia="宋体" w:cs="Times New Roman"/>
                <w:color w:val="000000" w:themeColor="text1"/>
                <w:sz w:val="24"/>
                <w:szCs w:val="24"/>
                <w14:textFill>
                  <w14:solidFill>
                    <w14:schemeClr w14:val="tx1"/>
                  </w14:solidFill>
                </w14:textFill>
              </w:rPr>
              <w:t>，总平均栖息密度为74.07ind/m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总平均生物量为128.213g/m</w:t>
            </w:r>
            <w:r>
              <w:rPr>
                <w:rFonts w:hint="default" w:ascii="Times New Roman" w:hAnsi="Times New Roman" w:eastAsia="宋体" w:cs="Times New Roman"/>
                <w:b/>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在潮间带生物平均栖息密度的百分组成中，节肢动物栖息密度居首位，为45.03ind/m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，占60.80%；其次为软体动物（14.81ind/m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），占20.00%；刺胞动物最低（1.18ind/m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），占1.61%。平均生物量组成方面以软体动物居首位，为99.090g/m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，占77.29%；其次为节肢动物（27.119g/m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），占21.15%；刺胞动物最低，仅为0.441g/m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，占0.34%。</w:t>
            </w:r>
          </w:p>
          <w:p w14:paraId="2A3FA2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3.5-14</w:t>
            </w:r>
            <w:r>
              <w:rPr>
                <w:rFonts w:hint="default" w:ascii="Times New Roman" w:hAnsi="Times New Roman" w:cs="Times New Roman"/>
                <w:b/>
                <w:bCs/>
                <w:color w:val="auto"/>
                <w:kern w:val="0"/>
                <w:sz w:val="21"/>
                <w:szCs w:val="21"/>
                <w:lang w:val="zh-CN" w:eastAsia="zh-CN"/>
              </w:rPr>
              <w:t xml:space="preserve"> 调查断面潮间带平均栖息密度及生物量的组成</w:t>
            </w:r>
          </w:p>
          <w:tbl>
            <w:tblPr>
              <w:tblStyle w:val="28"/>
              <w:tblW w:w="8248" w:type="dxa"/>
              <w:jc w:val="center"/>
              <w:tblLayout w:type="fixed"/>
              <w:tblCellMar>
                <w:top w:w="0" w:type="dxa"/>
                <w:left w:w="108" w:type="dxa"/>
                <w:bottom w:w="0" w:type="dxa"/>
                <w:right w:w="108" w:type="dxa"/>
              </w:tblCellMar>
            </w:tblPr>
            <w:tblGrid>
              <w:gridCol w:w="2426"/>
              <w:gridCol w:w="1164"/>
              <w:gridCol w:w="1165"/>
              <w:gridCol w:w="1165"/>
              <w:gridCol w:w="1165"/>
              <w:gridCol w:w="1163"/>
            </w:tblGrid>
            <w:tr w14:paraId="3174E749">
              <w:tblPrEx>
                <w:tblCellMar>
                  <w:top w:w="0" w:type="dxa"/>
                  <w:left w:w="108" w:type="dxa"/>
                  <w:bottom w:w="0" w:type="dxa"/>
                  <w:right w:w="108" w:type="dxa"/>
                </w:tblCellMar>
              </w:tblPrEx>
              <w:trPr>
                <w:trHeight w:val="340" w:hRule="atLeast"/>
                <w:tblHeader/>
                <w:jc w:val="center"/>
              </w:trPr>
              <w:tc>
                <w:tcPr>
                  <w:tcW w:w="2426" w:type="dxa"/>
                  <w:tcBorders>
                    <w:top w:val="single" w:color="auto" w:sz="4" w:space="0"/>
                    <w:left w:val="single" w:color="auto" w:sz="4" w:space="0"/>
                    <w:bottom w:val="single" w:color="auto" w:sz="4" w:space="0"/>
                    <w:right w:val="single" w:color="auto" w:sz="4" w:space="0"/>
                  </w:tcBorders>
                  <w:vAlign w:val="center"/>
                </w:tcPr>
                <w:p w14:paraId="664CFF33">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项目</w:t>
                  </w:r>
                </w:p>
              </w:tc>
              <w:tc>
                <w:tcPr>
                  <w:tcW w:w="1164" w:type="dxa"/>
                  <w:tcBorders>
                    <w:top w:val="single" w:color="auto" w:sz="4" w:space="0"/>
                    <w:left w:val="nil"/>
                    <w:bottom w:val="single" w:color="auto" w:sz="4" w:space="0"/>
                    <w:right w:val="single" w:color="auto" w:sz="4" w:space="0"/>
                  </w:tcBorders>
                  <w:vAlign w:val="center"/>
                </w:tcPr>
                <w:p w14:paraId="32E735E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刺胞动物</w:t>
                  </w:r>
                </w:p>
              </w:tc>
              <w:tc>
                <w:tcPr>
                  <w:tcW w:w="1165" w:type="dxa"/>
                  <w:tcBorders>
                    <w:top w:val="single" w:color="auto" w:sz="4" w:space="0"/>
                    <w:left w:val="nil"/>
                    <w:bottom w:val="single" w:color="auto" w:sz="4" w:space="0"/>
                    <w:right w:val="single" w:color="auto" w:sz="4" w:space="0"/>
                  </w:tcBorders>
                  <w:vAlign w:val="center"/>
                </w:tcPr>
                <w:p w14:paraId="6B0B8162">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环节动物</w:t>
                  </w:r>
                </w:p>
              </w:tc>
              <w:tc>
                <w:tcPr>
                  <w:tcW w:w="1165" w:type="dxa"/>
                  <w:tcBorders>
                    <w:top w:val="single" w:color="auto" w:sz="4" w:space="0"/>
                    <w:left w:val="single" w:color="auto" w:sz="4" w:space="0"/>
                    <w:bottom w:val="single" w:color="auto" w:sz="4" w:space="0"/>
                    <w:right w:val="single" w:color="auto" w:sz="4" w:space="0"/>
                  </w:tcBorders>
                  <w:vAlign w:val="center"/>
                </w:tcPr>
                <w:p w14:paraId="336F7BB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软体动物</w:t>
                  </w:r>
                </w:p>
              </w:tc>
              <w:tc>
                <w:tcPr>
                  <w:tcW w:w="1165" w:type="dxa"/>
                  <w:tcBorders>
                    <w:top w:val="single" w:color="auto" w:sz="4" w:space="0"/>
                    <w:left w:val="single" w:color="auto" w:sz="4" w:space="0"/>
                    <w:bottom w:val="single" w:color="auto" w:sz="4" w:space="0"/>
                    <w:right w:val="single" w:color="auto" w:sz="4" w:space="0"/>
                  </w:tcBorders>
                  <w:vAlign w:val="center"/>
                </w:tcPr>
                <w:p w14:paraId="56EA2A1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节肢动物</w:t>
                  </w:r>
                </w:p>
              </w:tc>
              <w:tc>
                <w:tcPr>
                  <w:tcW w:w="1163" w:type="dxa"/>
                  <w:tcBorders>
                    <w:top w:val="single" w:color="auto" w:sz="4" w:space="0"/>
                    <w:left w:val="single" w:color="auto" w:sz="4" w:space="0"/>
                    <w:bottom w:val="single" w:color="auto" w:sz="4" w:space="0"/>
                    <w:right w:val="single" w:color="auto" w:sz="4" w:space="0"/>
                  </w:tcBorders>
                  <w:vAlign w:val="center"/>
                </w:tcPr>
                <w:p w14:paraId="705CC16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合计</w:t>
                  </w:r>
                </w:p>
              </w:tc>
            </w:tr>
            <w:tr w14:paraId="6CDD2CC2">
              <w:tblPrEx>
                <w:tblCellMar>
                  <w:top w:w="0" w:type="dxa"/>
                  <w:left w:w="108" w:type="dxa"/>
                  <w:bottom w:w="0" w:type="dxa"/>
                  <w:right w:w="108" w:type="dxa"/>
                </w:tblCellMar>
              </w:tblPrEx>
              <w:trPr>
                <w:trHeight w:val="340" w:hRule="atLeast"/>
                <w:jc w:val="center"/>
              </w:trPr>
              <w:tc>
                <w:tcPr>
                  <w:tcW w:w="2426" w:type="dxa"/>
                  <w:tcBorders>
                    <w:top w:val="nil"/>
                    <w:left w:val="single" w:color="auto" w:sz="4" w:space="0"/>
                    <w:bottom w:val="single" w:color="auto" w:sz="4" w:space="0"/>
                    <w:right w:val="single" w:color="auto" w:sz="4" w:space="0"/>
                  </w:tcBorders>
                  <w:vAlign w:val="center"/>
                </w:tcPr>
                <w:p w14:paraId="6CD9A50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平均栖息密度（ind/m</w:t>
                  </w:r>
                  <w:r>
                    <w:rPr>
                      <w:rFonts w:hint="default" w:ascii="Times New Roman" w:hAnsi="Times New Roman" w:eastAsia="宋体" w:cs="Times New Roman"/>
                      <w:bCs/>
                      <w:color w:val="000000" w:themeColor="text1"/>
                      <w:sz w:val="21"/>
                      <w:szCs w:val="21"/>
                      <w:vertAlign w:val="superscript"/>
                      <w:lang w:bidi="ar"/>
                      <w14:textFill>
                        <w14:solidFill>
                          <w14:schemeClr w14:val="tx1"/>
                        </w14:solidFill>
                      </w14:textFill>
                    </w:rPr>
                    <w:t>2</w:t>
                  </w:r>
                  <w:r>
                    <w:rPr>
                      <w:rFonts w:hint="default" w:ascii="Times New Roman" w:hAnsi="Times New Roman" w:eastAsia="宋体" w:cs="Times New Roman"/>
                      <w:bCs/>
                      <w:color w:val="000000" w:themeColor="text1"/>
                      <w:sz w:val="21"/>
                      <w:szCs w:val="21"/>
                      <w:lang w:bidi="ar"/>
                      <w14:textFill>
                        <w14:solidFill>
                          <w14:schemeClr w14:val="tx1"/>
                        </w14:solidFill>
                      </w14:textFill>
                    </w:rPr>
                    <w:t>）</w:t>
                  </w:r>
                </w:p>
              </w:tc>
              <w:tc>
                <w:tcPr>
                  <w:tcW w:w="1164" w:type="dxa"/>
                  <w:tcBorders>
                    <w:top w:val="nil"/>
                    <w:left w:val="nil"/>
                    <w:bottom w:val="single" w:color="auto" w:sz="4" w:space="0"/>
                    <w:right w:val="single" w:color="auto" w:sz="4" w:space="0"/>
                  </w:tcBorders>
                  <w:vAlign w:val="center"/>
                </w:tcPr>
                <w:p w14:paraId="749CB849">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eastAsia"/>
                      <w:sz w:val="24"/>
                    </w:rPr>
                    <w:t>*</w:t>
                  </w:r>
                  <w:r>
                    <w:rPr>
                      <w:sz w:val="24"/>
                    </w:rPr>
                    <w:t>**</w:t>
                  </w:r>
                </w:p>
              </w:tc>
              <w:tc>
                <w:tcPr>
                  <w:tcW w:w="1165" w:type="dxa"/>
                  <w:tcBorders>
                    <w:top w:val="nil"/>
                    <w:left w:val="nil"/>
                    <w:bottom w:val="single" w:color="auto" w:sz="4" w:space="0"/>
                    <w:right w:val="single" w:color="auto" w:sz="4" w:space="0"/>
                  </w:tcBorders>
                  <w:vAlign w:val="center"/>
                </w:tcPr>
                <w:p w14:paraId="3B56B1F2">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65" w:type="dxa"/>
                  <w:tcBorders>
                    <w:top w:val="single" w:color="auto" w:sz="4" w:space="0"/>
                    <w:left w:val="single" w:color="auto" w:sz="4" w:space="0"/>
                    <w:bottom w:val="single" w:color="auto" w:sz="4" w:space="0"/>
                    <w:right w:val="single" w:color="auto" w:sz="4" w:space="0"/>
                  </w:tcBorders>
                  <w:vAlign w:val="center"/>
                </w:tcPr>
                <w:p w14:paraId="07F55A4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5" w:type="dxa"/>
                  <w:tcBorders>
                    <w:top w:val="single" w:color="auto" w:sz="4" w:space="0"/>
                    <w:left w:val="single" w:color="auto" w:sz="4" w:space="0"/>
                    <w:bottom w:val="single" w:color="auto" w:sz="4" w:space="0"/>
                    <w:right w:val="single" w:color="auto" w:sz="4" w:space="0"/>
                  </w:tcBorders>
                  <w:vAlign w:val="center"/>
                </w:tcPr>
                <w:p w14:paraId="6A94DC3C">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3" w:type="dxa"/>
                  <w:tcBorders>
                    <w:top w:val="single" w:color="auto" w:sz="4" w:space="0"/>
                    <w:left w:val="single" w:color="auto" w:sz="4" w:space="0"/>
                    <w:bottom w:val="single" w:color="auto" w:sz="4" w:space="0"/>
                    <w:right w:val="single" w:color="auto" w:sz="4" w:space="0"/>
                  </w:tcBorders>
                  <w:vAlign w:val="center"/>
                </w:tcPr>
                <w:p w14:paraId="6BD1DB7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r>
            <w:tr w14:paraId="0D22C3DF">
              <w:tblPrEx>
                <w:tblCellMar>
                  <w:top w:w="0" w:type="dxa"/>
                  <w:left w:w="108" w:type="dxa"/>
                  <w:bottom w:w="0" w:type="dxa"/>
                  <w:right w:w="108" w:type="dxa"/>
                </w:tblCellMar>
              </w:tblPrEx>
              <w:trPr>
                <w:trHeight w:val="340" w:hRule="atLeast"/>
                <w:jc w:val="center"/>
              </w:trPr>
              <w:tc>
                <w:tcPr>
                  <w:tcW w:w="2426" w:type="dxa"/>
                  <w:tcBorders>
                    <w:top w:val="nil"/>
                    <w:left w:val="single" w:color="auto" w:sz="4" w:space="0"/>
                    <w:bottom w:val="single" w:color="auto" w:sz="4" w:space="0"/>
                    <w:right w:val="single" w:color="auto" w:sz="4" w:space="0"/>
                  </w:tcBorders>
                  <w:vAlign w:val="center"/>
                </w:tcPr>
                <w:p w14:paraId="7C0B0815">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平均生物量（g/m</w:t>
                  </w:r>
                  <w:r>
                    <w:rPr>
                      <w:rFonts w:hint="default" w:ascii="Times New Roman" w:hAnsi="Times New Roman" w:eastAsia="宋体" w:cs="Times New Roman"/>
                      <w:bCs/>
                      <w:color w:val="000000" w:themeColor="text1"/>
                      <w:sz w:val="21"/>
                      <w:szCs w:val="21"/>
                      <w:vertAlign w:val="superscript"/>
                      <w:lang w:bidi="ar"/>
                      <w14:textFill>
                        <w14:solidFill>
                          <w14:schemeClr w14:val="tx1"/>
                        </w14:solidFill>
                      </w14:textFill>
                    </w:rPr>
                    <w:t>2</w:t>
                  </w:r>
                  <w:r>
                    <w:rPr>
                      <w:rFonts w:hint="default" w:ascii="Times New Roman" w:hAnsi="Times New Roman" w:eastAsia="宋体" w:cs="Times New Roman"/>
                      <w:bCs/>
                      <w:color w:val="000000" w:themeColor="text1"/>
                      <w:sz w:val="21"/>
                      <w:szCs w:val="21"/>
                      <w:lang w:bidi="ar"/>
                      <w14:textFill>
                        <w14:solidFill>
                          <w14:schemeClr w14:val="tx1"/>
                        </w14:solidFill>
                      </w14:textFill>
                    </w:rPr>
                    <w:t>）</w:t>
                  </w:r>
                </w:p>
              </w:tc>
              <w:tc>
                <w:tcPr>
                  <w:tcW w:w="1164" w:type="dxa"/>
                  <w:tcBorders>
                    <w:top w:val="nil"/>
                    <w:left w:val="nil"/>
                    <w:bottom w:val="single" w:color="auto" w:sz="4" w:space="0"/>
                    <w:right w:val="single" w:color="auto" w:sz="4" w:space="0"/>
                  </w:tcBorders>
                  <w:vAlign w:val="center"/>
                </w:tcPr>
                <w:p w14:paraId="4E42065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65" w:type="dxa"/>
                  <w:tcBorders>
                    <w:top w:val="nil"/>
                    <w:left w:val="nil"/>
                    <w:bottom w:val="single" w:color="auto" w:sz="4" w:space="0"/>
                    <w:right w:val="single" w:color="auto" w:sz="4" w:space="0"/>
                  </w:tcBorders>
                  <w:vAlign w:val="center"/>
                </w:tcPr>
                <w:p w14:paraId="55FA030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65" w:type="dxa"/>
                  <w:tcBorders>
                    <w:top w:val="single" w:color="auto" w:sz="4" w:space="0"/>
                    <w:left w:val="single" w:color="auto" w:sz="4" w:space="0"/>
                    <w:bottom w:val="single" w:color="auto" w:sz="4" w:space="0"/>
                    <w:right w:val="single" w:color="auto" w:sz="4" w:space="0"/>
                  </w:tcBorders>
                  <w:vAlign w:val="center"/>
                </w:tcPr>
                <w:p w14:paraId="73542CEA">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5" w:type="dxa"/>
                  <w:tcBorders>
                    <w:top w:val="single" w:color="auto" w:sz="4" w:space="0"/>
                    <w:left w:val="single" w:color="auto" w:sz="4" w:space="0"/>
                    <w:bottom w:val="single" w:color="auto" w:sz="4" w:space="0"/>
                    <w:right w:val="single" w:color="auto" w:sz="4" w:space="0"/>
                  </w:tcBorders>
                  <w:vAlign w:val="center"/>
                </w:tcPr>
                <w:p w14:paraId="7F4BFE5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3" w:type="dxa"/>
                  <w:tcBorders>
                    <w:top w:val="single" w:color="auto" w:sz="4" w:space="0"/>
                    <w:left w:val="single" w:color="auto" w:sz="4" w:space="0"/>
                    <w:bottom w:val="single" w:color="auto" w:sz="4" w:space="0"/>
                    <w:right w:val="single" w:color="auto" w:sz="4" w:space="0"/>
                  </w:tcBorders>
                  <w:vAlign w:val="center"/>
                </w:tcPr>
                <w:p w14:paraId="216A7BF9">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r>
          </w:tbl>
          <w:p w14:paraId="09C0EF46">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b、栖息密度与生物量的水平分布</w:t>
            </w:r>
          </w:p>
          <w:p w14:paraId="49A7F8D1">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调查断面潮间带生物栖息密度及生物量的水平分布见表</w:t>
            </w:r>
            <w:r>
              <w:rPr>
                <w:rFonts w:hint="eastAsia" w:cs="Times New Roman"/>
                <w:color w:val="000000" w:themeColor="text1"/>
                <w:sz w:val="24"/>
                <w:szCs w:val="24"/>
                <w:lang w:val="en-US" w:eastAsia="zh-CN"/>
                <w14:textFill>
                  <w14:solidFill>
                    <w14:schemeClr w14:val="tx1"/>
                  </w14:solidFill>
                </w14:textFill>
              </w:rPr>
              <w:t>3.5-15</w:t>
            </w:r>
            <w:r>
              <w:rPr>
                <w:rFonts w:hint="default" w:ascii="Times New Roman" w:hAnsi="Times New Roman" w:eastAsia="宋体" w:cs="Times New Roman"/>
                <w:color w:val="000000" w:themeColor="text1"/>
                <w:sz w:val="24"/>
                <w:szCs w:val="24"/>
                <w14:textFill>
                  <w14:solidFill>
                    <w14:schemeClr w14:val="tx1"/>
                  </w14:solidFill>
                </w14:textFill>
              </w:rPr>
              <w:t>，栖息密度方面，潮间带生物的栖息密度表现为C12断面最高，为87.10ind/m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，其次为C13断面（72.88ind/m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），最低出现在C11断面，为62.21ind/m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。潮间带生物量方面，C13断面的生物量最高，为215.597g/m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，其次为C11断面（111.461g/m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），C12断面生物量最低，为57.582g/m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14:paraId="4C0140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3.5-15</w:t>
            </w:r>
            <w:r>
              <w:rPr>
                <w:rFonts w:hint="default" w:ascii="Times New Roman" w:hAnsi="Times New Roman" w:cs="Times New Roman"/>
                <w:b/>
                <w:bCs/>
                <w:color w:val="auto"/>
                <w:kern w:val="0"/>
                <w:sz w:val="21"/>
                <w:szCs w:val="21"/>
                <w:lang w:val="zh-CN" w:eastAsia="zh-CN"/>
              </w:rPr>
              <w:t xml:space="preserve"> 调查断面潮间带栖息密度（ind/m</w:t>
            </w:r>
            <w:r>
              <w:rPr>
                <w:rFonts w:hint="default" w:ascii="Times New Roman" w:hAnsi="Times New Roman" w:cs="Times New Roman"/>
                <w:b/>
                <w:bCs/>
                <w:color w:val="auto"/>
                <w:kern w:val="0"/>
                <w:sz w:val="21"/>
                <w:szCs w:val="21"/>
                <w:vertAlign w:val="superscript"/>
                <w:lang w:val="zh-CN" w:eastAsia="zh-CN"/>
              </w:rPr>
              <w:t>2</w:t>
            </w:r>
            <w:r>
              <w:rPr>
                <w:rFonts w:hint="default" w:ascii="Times New Roman" w:hAnsi="Times New Roman" w:cs="Times New Roman"/>
                <w:b/>
                <w:bCs/>
                <w:color w:val="auto"/>
                <w:kern w:val="0"/>
                <w:sz w:val="21"/>
                <w:szCs w:val="21"/>
                <w:lang w:val="zh-CN" w:eastAsia="zh-CN"/>
              </w:rPr>
              <w:t>）及生物量（g/m</w:t>
            </w:r>
            <w:r>
              <w:rPr>
                <w:rFonts w:hint="default" w:ascii="Times New Roman" w:hAnsi="Times New Roman" w:cs="Times New Roman"/>
                <w:b/>
                <w:bCs/>
                <w:color w:val="auto"/>
                <w:kern w:val="0"/>
                <w:sz w:val="21"/>
                <w:szCs w:val="21"/>
                <w:vertAlign w:val="superscript"/>
                <w:lang w:val="zh-CN" w:eastAsia="zh-CN"/>
              </w:rPr>
              <w:t>2</w:t>
            </w:r>
            <w:r>
              <w:rPr>
                <w:rFonts w:hint="default" w:ascii="Times New Roman" w:hAnsi="Times New Roman" w:cs="Times New Roman"/>
                <w:b/>
                <w:bCs/>
                <w:color w:val="auto"/>
                <w:kern w:val="0"/>
                <w:sz w:val="21"/>
                <w:szCs w:val="21"/>
                <w:lang w:val="zh-CN" w:eastAsia="zh-CN"/>
              </w:rPr>
              <w:t>）的水平分布</w:t>
            </w:r>
          </w:p>
          <w:tbl>
            <w:tblPr>
              <w:tblStyle w:val="28"/>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98"/>
              <w:gridCol w:w="1199"/>
              <w:gridCol w:w="1203"/>
              <w:gridCol w:w="1198"/>
              <w:gridCol w:w="1281"/>
              <w:gridCol w:w="1073"/>
            </w:tblGrid>
            <w:tr w14:paraId="6D5F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8" w:type="dxa"/>
                  <w:vAlign w:val="center"/>
                </w:tcPr>
                <w:p w14:paraId="6704AE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断面名称</w:t>
                  </w:r>
                </w:p>
              </w:tc>
              <w:tc>
                <w:tcPr>
                  <w:tcW w:w="1198" w:type="dxa"/>
                  <w:vAlign w:val="center"/>
                </w:tcPr>
                <w:p w14:paraId="399C3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项目</w:t>
                  </w:r>
                </w:p>
              </w:tc>
              <w:tc>
                <w:tcPr>
                  <w:tcW w:w="1199" w:type="dxa"/>
                  <w:vAlign w:val="center"/>
                </w:tcPr>
                <w:p w14:paraId="38155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刺胞动物</w:t>
                  </w:r>
                </w:p>
              </w:tc>
              <w:tc>
                <w:tcPr>
                  <w:tcW w:w="1203" w:type="dxa"/>
                  <w:vAlign w:val="center"/>
                </w:tcPr>
                <w:p w14:paraId="255744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环节动物</w:t>
                  </w:r>
                </w:p>
              </w:tc>
              <w:tc>
                <w:tcPr>
                  <w:tcW w:w="1198" w:type="dxa"/>
                  <w:vAlign w:val="center"/>
                </w:tcPr>
                <w:p w14:paraId="1FF0D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软体动物</w:t>
                  </w:r>
                </w:p>
              </w:tc>
              <w:tc>
                <w:tcPr>
                  <w:tcW w:w="1281" w:type="dxa"/>
                  <w:vAlign w:val="center"/>
                </w:tcPr>
                <w:p w14:paraId="74DD1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节肢动物</w:t>
                  </w:r>
                </w:p>
              </w:tc>
              <w:tc>
                <w:tcPr>
                  <w:tcW w:w="1073" w:type="dxa"/>
                  <w:vAlign w:val="center"/>
                </w:tcPr>
                <w:p w14:paraId="61F41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合计</w:t>
                  </w:r>
                </w:p>
              </w:tc>
            </w:tr>
            <w:tr w14:paraId="4F20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8" w:type="dxa"/>
                  <w:vMerge w:val="restart"/>
                  <w:shd w:val="clear" w:color="auto" w:fill="auto"/>
                  <w:vAlign w:val="center"/>
                </w:tcPr>
                <w:p w14:paraId="0E558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C11</w:t>
                  </w:r>
                </w:p>
              </w:tc>
              <w:tc>
                <w:tcPr>
                  <w:tcW w:w="1198" w:type="dxa"/>
                  <w:shd w:val="clear" w:color="auto" w:fill="F1F1F1"/>
                  <w:vAlign w:val="center"/>
                </w:tcPr>
                <w:p w14:paraId="024D82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栖息密度</w:t>
                  </w:r>
                </w:p>
              </w:tc>
              <w:tc>
                <w:tcPr>
                  <w:tcW w:w="1199" w:type="dxa"/>
                  <w:shd w:val="clear" w:color="auto" w:fill="F1F1F1"/>
                  <w:vAlign w:val="center"/>
                </w:tcPr>
                <w:p w14:paraId="72A62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eastAsia"/>
                      <w:sz w:val="24"/>
                    </w:rPr>
                    <w:t>*</w:t>
                  </w:r>
                  <w:r>
                    <w:rPr>
                      <w:sz w:val="24"/>
                    </w:rPr>
                    <w:t>**</w:t>
                  </w:r>
                </w:p>
              </w:tc>
              <w:tc>
                <w:tcPr>
                  <w:tcW w:w="1203" w:type="dxa"/>
                  <w:shd w:val="clear" w:color="auto" w:fill="F1F1F1"/>
                  <w:vAlign w:val="center"/>
                </w:tcPr>
                <w:p w14:paraId="6BA90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shd w:val="clear" w:color="auto" w:fill="F1F1F1"/>
                  <w:vAlign w:val="center"/>
                </w:tcPr>
                <w:p w14:paraId="4F821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81" w:type="dxa"/>
                  <w:shd w:val="clear" w:color="auto" w:fill="F1F1F1"/>
                  <w:vAlign w:val="center"/>
                </w:tcPr>
                <w:p w14:paraId="4D3F9B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3" w:type="dxa"/>
                  <w:shd w:val="clear" w:color="auto" w:fill="F1F1F1"/>
                  <w:vAlign w:val="center"/>
                </w:tcPr>
                <w:p w14:paraId="1C4CF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14:paraId="4BDE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8" w:type="dxa"/>
                  <w:vMerge w:val="continue"/>
                  <w:vAlign w:val="center"/>
                </w:tcPr>
                <w:p w14:paraId="1F3FF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vAlign w:val="center"/>
                </w:tcPr>
                <w:p w14:paraId="73391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生物量</w:t>
                  </w:r>
                </w:p>
              </w:tc>
              <w:tc>
                <w:tcPr>
                  <w:tcW w:w="1199" w:type="dxa"/>
                  <w:vAlign w:val="center"/>
                </w:tcPr>
                <w:p w14:paraId="700F3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203" w:type="dxa"/>
                  <w:vAlign w:val="center"/>
                </w:tcPr>
                <w:p w14:paraId="11EFF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vAlign w:val="center"/>
                </w:tcPr>
                <w:p w14:paraId="3CDA6C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81" w:type="dxa"/>
                  <w:vAlign w:val="center"/>
                </w:tcPr>
                <w:p w14:paraId="2290F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3" w:type="dxa"/>
                  <w:vAlign w:val="center"/>
                </w:tcPr>
                <w:p w14:paraId="2E429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14:paraId="20B7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8" w:type="dxa"/>
                  <w:vMerge w:val="restart"/>
                  <w:shd w:val="clear" w:color="auto" w:fill="auto"/>
                  <w:vAlign w:val="center"/>
                </w:tcPr>
                <w:p w14:paraId="3DC032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C12</w:t>
                  </w:r>
                </w:p>
              </w:tc>
              <w:tc>
                <w:tcPr>
                  <w:tcW w:w="1198" w:type="dxa"/>
                  <w:shd w:val="clear" w:color="auto" w:fill="F1F1F1"/>
                  <w:vAlign w:val="center"/>
                </w:tcPr>
                <w:p w14:paraId="11545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栖息密度</w:t>
                  </w:r>
                </w:p>
              </w:tc>
              <w:tc>
                <w:tcPr>
                  <w:tcW w:w="1199" w:type="dxa"/>
                  <w:shd w:val="clear" w:color="auto" w:fill="F1F1F1"/>
                  <w:vAlign w:val="center"/>
                </w:tcPr>
                <w:p w14:paraId="6B82A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203" w:type="dxa"/>
                  <w:shd w:val="clear" w:color="auto" w:fill="F1F1F1"/>
                  <w:vAlign w:val="center"/>
                </w:tcPr>
                <w:p w14:paraId="0EB1FF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shd w:val="clear" w:color="auto" w:fill="F1F1F1"/>
                  <w:vAlign w:val="center"/>
                </w:tcPr>
                <w:p w14:paraId="5D97F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81" w:type="dxa"/>
                  <w:shd w:val="clear" w:color="auto" w:fill="F1F1F1"/>
                  <w:vAlign w:val="center"/>
                </w:tcPr>
                <w:p w14:paraId="2909B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3" w:type="dxa"/>
                  <w:shd w:val="clear" w:color="auto" w:fill="F1F1F1"/>
                  <w:vAlign w:val="center"/>
                </w:tcPr>
                <w:p w14:paraId="74E8C4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14:paraId="58D6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8" w:type="dxa"/>
                  <w:vMerge w:val="continue"/>
                  <w:vAlign w:val="center"/>
                </w:tcPr>
                <w:p w14:paraId="3D169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vAlign w:val="center"/>
                </w:tcPr>
                <w:p w14:paraId="26579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生物量</w:t>
                  </w:r>
                </w:p>
              </w:tc>
              <w:tc>
                <w:tcPr>
                  <w:tcW w:w="1199" w:type="dxa"/>
                  <w:vAlign w:val="center"/>
                </w:tcPr>
                <w:p w14:paraId="086D4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203" w:type="dxa"/>
                  <w:vAlign w:val="center"/>
                </w:tcPr>
                <w:p w14:paraId="6347E9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vAlign w:val="center"/>
                </w:tcPr>
                <w:p w14:paraId="58DAFA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81" w:type="dxa"/>
                  <w:vAlign w:val="center"/>
                </w:tcPr>
                <w:p w14:paraId="63D20D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3" w:type="dxa"/>
                  <w:vAlign w:val="center"/>
                </w:tcPr>
                <w:p w14:paraId="0C594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14:paraId="258B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8" w:type="dxa"/>
                  <w:vMerge w:val="restart"/>
                  <w:shd w:val="clear" w:color="auto" w:fill="auto"/>
                  <w:vAlign w:val="center"/>
                </w:tcPr>
                <w:p w14:paraId="2BED8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C13</w:t>
                  </w:r>
                </w:p>
              </w:tc>
              <w:tc>
                <w:tcPr>
                  <w:tcW w:w="1198" w:type="dxa"/>
                  <w:shd w:val="clear" w:color="auto" w:fill="F1F1F1"/>
                  <w:vAlign w:val="center"/>
                </w:tcPr>
                <w:p w14:paraId="5331F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栖息密度</w:t>
                  </w:r>
                </w:p>
              </w:tc>
              <w:tc>
                <w:tcPr>
                  <w:tcW w:w="1199" w:type="dxa"/>
                  <w:shd w:val="clear" w:color="auto" w:fill="F1F1F1"/>
                  <w:vAlign w:val="center"/>
                </w:tcPr>
                <w:p w14:paraId="40289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203" w:type="dxa"/>
                  <w:shd w:val="clear" w:color="auto" w:fill="F1F1F1"/>
                  <w:vAlign w:val="center"/>
                </w:tcPr>
                <w:p w14:paraId="6FBE4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shd w:val="clear" w:color="auto" w:fill="F1F1F1"/>
                  <w:vAlign w:val="center"/>
                </w:tcPr>
                <w:p w14:paraId="70E2F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81" w:type="dxa"/>
                  <w:shd w:val="clear" w:color="auto" w:fill="F1F1F1"/>
                  <w:vAlign w:val="center"/>
                </w:tcPr>
                <w:p w14:paraId="4E8E7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3" w:type="dxa"/>
                  <w:shd w:val="clear" w:color="auto" w:fill="F1F1F1"/>
                  <w:vAlign w:val="center"/>
                </w:tcPr>
                <w:p w14:paraId="4A226B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14:paraId="7725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8" w:type="dxa"/>
                  <w:vMerge w:val="continue"/>
                  <w:vAlign w:val="center"/>
                </w:tcPr>
                <w:p w14:paraId="799EC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vAlign w:val="center"/>
                </w:tcPr>
                <w:p w14:paraId="5C080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生物量</w:t>
                  </w:r>
                </w:p>
              </w:tc>
              <w:tc>
                <w:tcPr>
                  <w:tcW w:w="1199" w:type="dxa"/>
                  <w:vAlign w:val="center"/>
                </w:tcPr>
                <w:p w14:paraId="3BD69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203" w:type="dxa"/>
                  <w:vAlign w:val="center"/>
                </w:tcPr>
                <w:p w14:paraId="324565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vAlign w:val="center"/>
                </w:tcPr>
                <w:p w14:paraId="2B612C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81" w:type="dxa"/>
                  <w:vAlign w:val="center"/>
                </w:tcPr>
                <w:p w14:paraId="49F899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3" w:type="dxa"/>
                  <w:vAlign w:val="center"/>
                </w:tcPr>
                <w:p w14:paraId="611B8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14:paraId="4955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8" w:type="dxa"/>
                  <w:vMerge w:val="restart"/>
                  <w:vAlign w:val="center"/>
                </w:tcPr>
                <w:p w14:paraId="01E50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平均值</w:t>
                  </w:r>
                </w:p>
              </w:tc>
              <w:tc>
                <w:tcPr>
                  <w:tcW w:w="1198" w:type="dxa"/>
                  <w:shd w:val="clear" w:color="auto" w:fill="F1F1F1"/>
                  <w:vAlign w:val="center"/>
                </w:tcPr>
                <w:p w14:paraId="4AD2A9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栖息密度</w:t>
                  </w:r>
                </w:p>
              </w:tc>
              <w:tc>
                <w:tcPr>
                  <w:tcW w:w="1199" w:type="dxa"/>
                  <w:shd w:val="clear" w:color="auto" w:fill="F1F1F1"/>
                  <w:vAlign w:val="center"/>
                </w:tcPr>
                <w:p w14:paraId="0EB1EB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203" w:type="dxa"/>
                  <w:shd w:val="clear" w:color="auto" w:fill="F1F1F1"/>
                  <w:vAlign w:val="center"/>
                </w:tcPr>
                <w:p w14:paraId="5AA5C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shd w:val="clear" w:color="auto" w:fill="F1F1F1"/>
                  <w:vAlign w:val="center"/>
                </w:tcPr>
                <w:p w14:paraId="24EC0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81" w:type="dxa"/>
                  <w:shd w:val="clear" w:color="auto" w:fill="F1F1F1"/>
                  <w:vAlign w:val="center"/>
                </w:tcPr>
                <w:p w14:paraId="0DB13E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3" w:type="dxa"/>
                  <w:shd w:val="clear" w:color="auto" w:fill="F1F1F1"/>
                  <w:vAlign w:val="center"/>
                </w:tcPr>
                <w:p w14:paraId="63C9A1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r>
            <w:tr w14:paraId="7BB1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8" w:type="dxa"/>
                  <w:vMerge w:val="continue"/>
                  <w:vAlign w:val="center"/>
                </w:tcPr>
                <w:p w14:paraId="663CA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vAlign w:val="center"/>
                </w:tcPr>
                <w:p w14:paraId="4040E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生物量</w:t>
                  </w:r>
                </w:p>
              </w:tc>
              <w:tc>
                <w:tcPr>
                  <w:tcW w:w="1199" w:type="dxa"/>
                  <w:vAlign w:val="center"/>
                </w:tcPr>
                <w:p w14:paraId="14CA49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203" w:type="dxa"/>
                  <w:vAlign w:val="center"/>
                </w:tcPr>
                <w:p w14:paraId="2F81C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198" w:type="dxa"/>
                  <w:vAlign w:val="center"/>
                </w:tcPr>
                <w:p w14:paraId="21AEE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81" w:type="dxa"/>
                  <w:vAlign w:val="center"/>
                </w:tcPr>
                <w:p w14:paraId="4D2166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73" w:type="dxa"/>
                  <w:vAlign w:val="center"/>
                </w:tcPr>
                <w:p w14:paraId="15626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r>
          </w:tbl>
          <w:p w14:paraId="5751FCD4">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c、栖息密度及生物量的垂直分布</w:t>
            </w:r>
          </w:p>
          <w:p w14:paraId="7F5D357E">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调查断面潮间带栖息密度及生物量的垂直分布见表</w:t>
            </w:r>
            <w:r>
              <w:rPr>
                <w:rFonts w:hint="eastAsia" w:cs="Times New Roman"/>
                <w:color w:val="000000" w:themeColor="text1"/>
                <w:sz w:val="24"/>
                <w:szCs w:val="24"/>
                <w:lang w:val="en-US" w:eastAsia="zh-CN"/>
                <w14:textFill>
                  <w14:solidFill>
                    <w14:schemeClr w14:val="tx1"/>
                  </w14:solidFill>
                </w14:textFill>
              </w:rPr>
              <w:t>3.5-16</w:t>
            </w:r>
            <w:r>
              <w:rPr>
                <w:rFonts w:hint="default" w:ascii="Times New Roman" w:hAnsi="Times New Roman" w:eastAsia="宋体" w:cs="Times New Roman"/>
                <w:color w:val="000000" w:themeColor="text1"/>
                <w:sz w:val="24"/>
                <w:szCs w:val="24"/>
                <w14:textFill>
                  <w14:solidFill>
                    <w14:schemeClr w14:val="tx1"/>
                  </w14:solidFill>
                </w14:textFill>
              </w:rPr>
              <w:t>，在垂直分布上，潮间带生物的栖息密度方面表现为中潮带最高，为87.11ind/m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，其次为低潮带（71.10ind/m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），高潮带最低，为64.00ind/m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，即中潮带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低潮带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高潮带。在生物量方面，低潮带生物量最高，为218.573g/m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，其次为中潮带（118.628g/m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），高潮带最低，为47.439g/m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，即低潮带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中潮带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高潮带。</w:t>
            </w:r>
          </w:p>
          <w:p w14:paraId="35DA12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3.5-16</w:t>
            </w:r>
            <w:r>
              <w:rPr>
                <w:rFonts w:hint="default" w:ascii="Times New Roman" w:hAnsi="Times New Roman" w:cs="Times New Roman"/>
                <w:b/>
                <w:bCs/>
                <w:color w:val="auto"/>
                <w:kern w:val="0"/>
                <w:sz w:val="21"/>
                <w:szCs w:val="21"/>
                <w:lang w:val="zh-CN" w:eastAsia="zh-CN"/>
              </w:rPr>
              <w:t xml:space="preserve"> 调查断面潮间带栖息密度（ind/m</w:t>
            </w:r>
            <w:r>
              <w:rPr>
                <w:rFonts w:hint="default" w:ascii="Times New Roman" w:hAnsi="Times New Roman" w:cs="Times New Roman"/>
                <w:b/>
                <w:bCs/>
                <w:color w:val="auto"/>
                <w:kern w:val="0"/>
                <w:sz w:val="21"/>
                <w:szCs w:val="21"/>
                <w:vertAlign w:val="superscript"/>
                <w:lang w:val="zh-CN" w:eastAsia="zh-CN"/>
              </w:rPr>
              <w:t>2</w:t>
            </w:r>
            <w:r>
              <w:rPr>
                <w:rFonts w:hint="default" w:ascii="Times New Roman" w:hAnsi="Times New Roman" w:cs="Times New Roman"/>
                <w:b/>
                <w:bCs/>
                <w:color w:val="auto"/>
                <w:kern w:val="0"/>
                <w:sz w:val="21"/>
                <w:szCs w:val="21"/>
                <w:lang w:val="zh-CN" w:eastAsia="zh-CN"/>
              </w:rPr>
              <w:t>）及生物量（g/m</w:t>
            </w:r>
            <w:r>
              <w:rPr>
                <w:rFonts w:hint="default" w:ascii="Times New Roman" w:hAnsi="Times New Roman" w:cs="Times New Roman"/>
                <w:b/>
                <w:bCs/>
                <w:color w:val="auto"/>
                <w:kern w:val="0"/>
                <w:sz w:val="21"/>
                <w:szCs w:val="21"/>
                <w:vertAlign w:val="superscript"/>
                <w:lang w:val="zh-CN" w:eastAsia="zh-CN"/>
              </w:rPr>
              <w:t>2</w:t>
            </w:r>
            <w:r>
              <w:rPr>
                <w:rFonts w:hint="default" w:ascii="Times New Roman" w:hAnsi="Times New Roman" w:cs="Times New Roman"/>
                <w:b/>
                <w:bCs/>
                <w:color w:val="auto"/>
                <w:kern w:val="0"/>
                <w:sz w:val="21"/>
                <w:szCs w:val="21"/>
                <w:lang w:val="zh-CN" w:eastAsia="zh-CN"/>
              </w:rPr>
              <w:t>）的垂直分布</w:t>
            </w:r>
          </w:p>
          <w:tbl>
            <w:tblPr>
              <w:tblStyle w:val="28"/>
              <w:tblW w:w="8517" w:type="dxa"/>
              <w:jc w:val="center"/>
              <w:tblLayout w:type="fixed"/>
              <w:tblCellMar>
                <w:top w:w="0" w:type="dxa"/>
                <w:left w:w="108" w:type="dxa"/>
                <w:bottom w:w="0" w:type="dxa"/>
                <w:right w:w="108" w:type="dxa"/>
              </w:tblCellMar>
            </w:tblPr>
            <w:tblGrid>
              <w:gridCol w:w="1231"/>
              <w:gridCol w:w="1231"/>
              <w:gridCol w:w="1232"/>
              <w:gridCol w:w="1232"/>
              <w:gridCol w:w="1300"/>
              <w:gridCol w:w="1295"/>
              <w:gridCol w:w="996"/>
            </w:tblGrid>
            <w:tr w14:paraId="52A2B51E">
              <w:trPr>
                <w:trHeight w:val="283"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0A129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潮带名称</w:t>
                  </w:r>
                </w:p>
              </w:tc>
              <w:tc>
                <w:tcPr>
                  <w:tcW w:w="1231" w:type="dxa"/>
                  <w:tcBorders>
                    <w:top w:val="single" w:color="auto" w:sz="4" w:space="0"/>
                    <w:left w:val="nil"/>
                    <w:bottom w:val="single" w:color="auto" w:sz="4" w:space="0"/>
                    <w:right w:val="single" w:color="auto" w:sz="4" w:space="0"/>
                  </w:tcBorders>
                  <w:vAlign w:val="center"/>
                </w:tcPr>
                <w:p w14:paraId="074FA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项目</w:t>
                  </w:r>
                </w:p>
              </w:tc>
              <w:tc>
                <w:tcPr>
                  <w:tcW w:w="1232" w:type="dxa"/>
                  <w:tcBorders>
                    <w:top w:val="single" w:color="auto" w:sz="4" w:space="0"/>
                    <w:left w:val="nil"/>
                    <w:bottom w:val="single" w:color="auto" w:sz="4" w:space="0"/>
                    <w:right w:val="single" w:color="auto" w:sz="4" w:space="0"/>
                  </w:tcBorders>
                  <w:vAlign w:val="center"/>
                </w:tcPr>
                <w:p w14:paraId="15B9DE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刺胞动物</w:t>
                  </w:r>
                </w:p>
              </w:tc>
              <w:tc>
                <w:tcPr>
                  <w:tcW w:w="1232" w:type="dxa"/>
                  <w:tcBorders>
                    <w:top w:val="single" w:color="auto" w:sz="4" w:space="0"/>
                    <w:left w:val="nil"/>
                    <w:bottom w:val="single" w:color="auto" w:sz="4" w:space="0"/>
                    <w:right w:val="single" w:color="auto" w:sz="4" w:space="0"/>
                  </w:tcBorders>
                  <w:vAlign w:val="center"/>
                </w:tcPr>
                <w:p w14:paraId="16A89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环节动物</w:t>
                  </w:r>
                </w:p>
              </w:tc>
              <w:tc>
                <w:tcPr>
                  <w:tcW w:w="1300" w:type="dxa"/>
                  <w:tcBorders>
                    <w:top w:val="single" w:color="auto" w:sz="4" w:space="0"/>
                    <w:left w:val="single" w:color="auto" w:sz="4" w:space="0"/>
                    <w:bottom w:val="single" w:color="auto" w:sz="4" w:space="0"/>
                    <w:right w:val="single" w:color="auto" w:sz="4" w:space="0"/>
                  </w:tcBorders>
                  <w:vAlign w:val="center"/>
                </w:tcPr>
                <w:p w14:paraId="5C07B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软体动物</w:t>
                  </w:r>
                </w:p>
              </w:tc>
              <w:tc>
                <w:tcPr>
                  <w:tcW w:w="1295" w:type="dxa"/>
                  <w:tcBorders>
                    <w:top w:val="single" w:color="auto" w:sz="4" w:space="0"/>
                    <w:left w:val="single" w:color="auto" w:sz="4" w:space="0"/>
                    <w:bottom w:val="single" w:color="auto" w:sz="4" w:space="0"/>
                    <w:right w:val="single" w:color="auto" w:sz="4" w:space="0"/>
                  </w:tcBorders>
                  <w:vAlign w:val="center"/>
                </w:tcPr>
                <w:p w14:paraId="30003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节肢动物</w:t>
                  </w:r>
                </w:p>
              </w:tc>
              <w:tc>
                <w:tcPr>
                  <w:tcW w:w="996" w:type="dxa"/>
                  <w:tcBorders>
                    <w:top w:val="single" w:color="auto" w:sz="4" w:space="0"/>
                    <w:left w:val="single" w:color="auto" w:sz="4" w:space="0"/>
                    <w:bottom w:val="single" w:color="auto" w:sz="4" w:space="0"/>
                    <w:right w:val="single" w:color="auto" w:sz="4" w:space="0"/>
                  </w:tcBorders>
                  <w:vAlign w:val="center"/>
                </w:tcPr>
                <w:p w14:paraId="1275F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合计</w:t>
                  </w:r>
                </w:p>
              </w:tc>
            </w:tr>
            <w:tr w14:paraId="0235D7FE">
              <w:tblPrEx>
                <w:tblCellMar>
                  <w:top w:w="0" w:type="dxa"/>
                  <w:left w:w="108" w:type="dxa"/>
                  <w:bottom w:w="0" w:type="dxa"/>
                  <w:right w:w="108" w:type="dxa"/>
                </w:tblCellMar>
              </w:tblPrEx>
              <w:trPr>
                <w:trHeight w:val="283" w:hRule="atLeast"/>
                <w:jc w:val="center"/>
              </w:trPr>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0B1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高潮带</w:t>
                  </w:r>
                </w:p>
              </w:tc>
              <w:tc>
                <w:tcPr>
                  <w:tcW w:w="1231" w:type="dxa"/>
                  <w:tcBorders>
                    <w:top w:val="single" w:color="auto" w:sz="4" w:space="0"/>
                    <w:left w:val="nil"/>
                    <w:bottom w:val="single" w:color="auto" w:sz="4" w:space="0"/>
                    <w:right w:val="single" w:color="auto" w:sz="4" w:space="0"/>
                  </w:tcBorders>
                  <w:shd w:val="clear" w:color="auto" w:fill="auto"/>
                  <w:vAlign w:val="center"/>
                </w:tcPr>
                <w:p w14:paraId="109F31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栖息密度</w:t>
                  </w:r>
                </w:p>
              </w:tc>
              <w:tc>
                <w:tcPr>
                  <w:tcW w:w="1232" w:type="dxa"/>
                  <w:tcBorders>
                    <w:top w:val="single" w:color="auto" w:sz="4" w:space="0"/>
                    <w:left w:val="nil"/>
                    <w:bottom w:val="single" w:color="auto" w:sz="4" w:space="0"/>
                    <w:right w:val="single" w:color="auto" w:sz="4" w:space="0"/>
                  </w:tcBorders>
                  <w:shd w:val="clear" w:color="auto" w:fill="F1F1F1"/>
                  <w:vAlign w:val="center"/>
                </w:tcPr>
                <w:p w14:paraId="4629C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r>
                    <w:rPr>
                      <w:rFonts w:hint="eastAsia"/>
                      <w:sz w:val="24"/>
                    </w:rPr>
                    <w:t>*</w:t>
                  </w:r>
                  <w:r>
                    <w:rPr>
                      <w:sz w:val="24"/>
                    </w:rPr>
                    <w:t>**</w:t>
                  </w:r>
                </w:p>
              </w:tc>
              <w:tc>
                <w:tcPr>
                  <w:tcW w:w="1232" w:type="dxa"/>
                  <w:tcBorders>
                    <w:top w:val="single" w:color="auto" w:sz="4" w:space="0"/>
                    <w:left w:val="nil"/>
                    <w:bottom w:val="single" w:color="auto" w:sz="4" w:space="0"/>
                    <w:right w:val="single" w:color="auto" w:sz="4" w:space="0"/>
                  </w:tcBorders>
                  <w:shd w:val="clear" w:color="auto" w:fill="F1F1F1"/>
                  <w:vAlign w:val="center"/>
                </w:tcPr>
                <w:p w14:paraId="4B5B7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shd w:val="clear" w:color="auto" w:fill="F1F1F1"/>
                  <w:vAlign w:val="center"/>
                </w:tcPr>
                <w:p w14:paraId="0E153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95" w:type="dxa"/>
                  <w:tcBorders>
                    <w:top w:val="single" w:color="auto" w:sz="4" w:space="0"/>
                    <w:left w:val="single" w:color="auto" w:sz="4" w:space="0"/>
                    <w:bottom w:val="single" w:color="auto" w:sz="4" w:space="0"/>
                    <w:right w:val="single" w:color="auto" w:sz="4" w:space="0"/>
                  </w:tcBorders>
                  <w:shd w:val="clear" w:color="auto" w:fill="F1F1F1"/>
                  <w:vAlign w:val="center"/>
                </w:tcPr>
                <w:p w14:paraId="5E904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shd w:val="clear" w:color="auto" w:fill="F1F1F1"/>
                  <w:vAlign w:val="center"/>
                </w:tcPr>
                <w:p w14:paraId="61332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1AE656D2">
              <w:tblPrEx>
                <w:tblCellMar>
                  <w:top w:w="0" w:type="dxa"/>
                  <w:left w:w="108" w:type="dxa"/>
                  <w:bottom w:w="0" w:type="dxa"/>
                  <w:right w:w="108" w:type="dxa"/>
                </w:tblCellMar>
              </w:tblPrEx>
              <w:trPr>
                <w:trHeight w:val="283" w:hRule="atLeast"/>
                <w:jc w:val="center"/>
              </w:trPr>
              <w:tc>
                <w:tcPr>
                  <w:tcW w:w="1231" w:type="dxa"/>
                  <w:vMerge w:val="continue"/>
                  <w:tcBorders>
                    <w:top w:val="single" w:color="auto" w:sz="4" w:space="0"/>
                    <w:left w:val="single" w:color="auto" w:sz="4" w:space="0"/>
                    <w:bottom w:val="single" w:color="auto" w:sz="4" w:space="0"/>
                    <w:right w:val="single" w:color="auto" w:sz="4" w:space="0"/>
                  </w:tcBorders>
                  <w:vAlign w:val="center"/>
                </w:tcPr>
                <w:p w14:paraId="66ABD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31" w:type="dxa"/>
                  <w:tcBorders>
                    <w:top w:val="single" w:color="auto" w:sz="4" w:space="0"/>
                    <w:left w:val="nil"/>
                    <w:bottom w:val="single" w:color="auto" w:sz="4" w:space="0"/>
                    <w:right w:val="single" w:color="auto" w:sz="4" w:space="0"/>
                  </w:tcBorders>
                  <w:vAlign w:val="center"/>
                </w:tcPr>
                <w:p w14:paraId="6AA43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生物量</w:t>
                  </w:r>
                </w:p>
              </w:tc>
              <w:tc>
                <w:tcPr>
                  <w:tcW w:w="1232" w:type="dxa"/>
                  <w:tcBorders>
                    <w:top w:val="single" w:color="auto" w:sz="4" w:space="0"/>
                    <w:left w:val="nil"/>
                    <w:bottom w:val="single" w:color="auto" w:sz="4" w:space="0"/>
                    <w:right w:val="single" w:color="auto" w:sz="4" w:space="0"/>
                  </w:tcBorders>
                  <w:vAlign w:val="center"/>
                </w:tcPr>
                <w:p w14:paraId="39AD9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232" w:type="dxa"/>
                  <w:tcBorders>
                    <w:top w:val="single" w:color="auto" w:sz="4" w:space="0"/>
                    <w:left w:val="nil"/>
                    <w:bottom w:val="single" w:color="auto" w:sz="4" w:space="0"/>
                    <w:right w:val="single" w:color="auto" w:sz="4" w:space="0"/>
                  </w:tcBorders>
                  <w:vAlign w:val="center"/>
                </w:tcPr>
                <w:p w14:paraId="53A38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44BC2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95" w:type="dxa"/>
                  <w:tcBorders>
                    <w:top w:val="single" w:color="auto" w:sz="4" w:space="0"/>
                    <w:left w:val="single" w:color="auto" w:sz="4" w:space="0"/>
                    <w:bottom w:val="single" w:color="auto" w:sz="4" w:space="0"/>
                    <w:right w:val="single" w:color="auto" w:sz="4" w:space="0"/>
                  </w:tcBorders>
                  <w:vAlign w:val="center"/>
                </w:tcPr>
                <w:p w14:paraId="004472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vAlign w:val="center"/>
                </w:tcPr>
                <w:p w14:paraId="5CE01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76AD271B">
              <w:tblPrEx>
                <w:tblCellMar>
                  <w:top w:w="0" w:type="dxa"/>
                  <w:left w:w="108" w:type="dxa"/>
                  <w:bottom w:w="0" w:type="dxa"/>
                  <w:right w:w="108" w:type="dxa"/>
                </w:tblCellMar>
              </w:tblPrEx>
              <w:trPr>
                <w:trHeight w:val="283" w:hRule="atLeast"/>
                <w:jc w:val="center"/>
              </w:trPr>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9D8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中潮带</w:t>
                  </w:r>
                </w:p>
              </w:tc>
              <w:tc>
                <w:tcPr>
                  <w:tcW w:w="1231" w:type="dxa"/>
                  <w:tcBorders>
                    <w:top w:val="single" w:color="auto" w:sz="4" w:space="0"/>
                    <w:left w:val="nil"/>
                    <w:bottom w:val="single" w:color="auto" w:sz="4" w:space="0"/>
                    <w:right w:val="single" w:color="auto" w:sz="4" w:space="0"/>
                  </w:tcBorders>
                  <w:shd w:val="clear" w:color="auto" w:fill="auto"/>
                  <w:vAlign w:val="center"/>
                </w:tcPr>
                <w:p w14:paraId="635EC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栖息密度</w:t>
                  </w:r>
                </w:p>
              </w:tc>
              <w:tc>
                <w:tcPr>
                  <w:tcW w:w="1232" w:type="dxa"/>
                  <w:tcBorders>
                    <w:top w:val="single" w:color="auto" w:sz="4" w:space="0"/>
                    <w:left w:val="nil"/>
                    <w:bottom w:val="single" w:color="auto" w:sz="4" w:space="0"/>
                    <w:right w:val="single" w:color="auto" w:sz="4" w:space="0"/>
                  </w:tcBorders>
                  <w:shd w:val="clear" w:color="auto" w:fill="F1F1F1"/>
                  <w:vAlign w:val="center"/>
                </w:tcPr>
                <w:p w14:paraId="4563A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232" w:type="dxa"/>
                  <w:tcBorders>
                    <w:top w:val="single" w:color="auto" w:sz="4" w:space="0"/>
                    <w:left w:val="nil"/>
                    <w:bottom w:val="single" w:color="auto" w:sz="4" w:space="0"/>
                    <w:right w:val="single" w:color="auto" w:sz="4" w:space="0"/>
                  </w:tcBorders>
                  <w:shd w:val="clear" w:color="auto" w:fill="F1F1F1"/>
                  <w:vAlign w:val="center"/>
                </w:tcPr>
                <w:p w14:paraId="1C2D2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shd w:val="clear" w:color="auto" w:fill="F1F1F1"/>
                  <w:vAlign w:val="center"/>
                </w:tcPr>
                <w:p w14:paraId="0C11D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95" w:type="dxa"/>
                  <w:tcBorders>
                    <w:top w:val="single" w:color="auto" w:sz="4" w:space="0"/>
                    <w:left w:val="single" w:color="auto" w:sz="4" w:space="0"/>
                    <w:bottom w:val="single" w:color="auto" w:sz="4" w:space="0"/>
                    <w:right w:val="single" w:color="auto" w:sz="4" w:space="0"/>
                  </w:tcBorders>
                  <w:shd w:val="clear" w:color="auto" w:fill="F1F1F1"/>
                  <w:vAlign w:val="center"/>
                </w:tcPr>
                <w:p w14:paraId="22C40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shd w:val="clear" w:color="auto" w:fill="F1F1F1"/>
                  <w:vAlign w:val="center"/>
                </w:tcPr>
                <w:p w14:paraId="55FA1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4F07D3F2">
              <w:tblPrEx>
                <w:tblCellMar>
                  <w:top w:w="0" w:type="dxa"/>
                  <w:left w:w="108" w:type="dxa"/>
                  <w:bottom w:w="0" w:type="dxa"/>
                  <w:right w:w="108" w:type="dxa"/>
                </w:tblCellMar>
              </w:tblPrEx>
              <w:trPr>
                <w:trHeight w:val="283" w:hRule="atLeast"/>
                <w:jc w:val="center"/>
              </w:trPr>
              <w:tc>
                <w:tcPr>
                  <w:tcW w:w="1231" w:type="dxa"/>
                  <w:vMerge w:val="continue"/>
                  <w:tcBorders>
                    <w:top w:val="single" w:color="auto" w:sz="4" w:space="0"/>
                    <w:left w:val="single" w:color="auto" w:sz="4" w:space="0"/>
                    <w:bottom w:val="single" w:color="auto" w:sz="4" w:space="0"/>
                    <w:right w:val="single" w:color="auto" w:sz="4" w:space="0"/>
                  </w:tcBorders>
                  <w:vAlign w:val="center"/>
                </w:tcPr>
                <w:p w14:paraId="6BC23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31" w:type="dxa"/>
                  <w:tcBorders>
                    <w:top w:val="single" w:color="auto" w:sz="4" w:space="0"/>
                    <w:left w:val="nil"/>
                    <w:bottom w:val="single" w:color="auto" w:sz="4" w:space="0"/>
                    <w:right w:val="single" w:color="auto" w:sz="4" w:space="0"/>
                  </w:tcBorders>
                  <w:vAlign w:val="center"/>
                </w:tcPr>
                <w:p w14:paraId="1557D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生物量</w:t>
                  </w:r>
                </w:p>
              </w:tc>
              <w:tc>
                <w:tcPr>
                  <w:tcW w:w="1232" w:type="dxa"/>
                  <w:tcBorders>
                    <w:top w:val="single" w:color="auto" w:sz="4" w:space="0"/>
                    <w:left w:val="nil"/>
                    <w:bottom w:val="single" w:color="auto" w:sz="4" w:space="0"/>
                    <w:right w:val="single" w:color="auto" w:sz="4" w:space="0"/>
                  </w:tcBorders>
                  <w:vAlign w:val="center"/>
                </w:tcPr>
                <w:p w14:paraId="6638CD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232" w:type="dxa"/>
                  <w:tcBorders>
                    <w:top w:val="single" w:color="auto" w:sz="4" w:space="0"/>
                    <w:left w:val="nil"/>
                    <w:bottom w:val="single" w:color="auto" w:sz="4" w:space="0"/>
                    <w:right w:val="single" w:color="auto" w:sz="4" w:space="0"/>
                  </w:tcBorders>
                  <w:vAlign w:val="center"/>
                </w:tcPr>
                <w:p w14:paraId="2C2F5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2ECF5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95" w:type="dxa"/>
                  <w:tcBorders>
                    <w:top w:val="single" w:color="auto" w:sz="4" w:space="0"/>
                    <w:left w:val="single" w:color="auto" w:sz="4" w:space="0"/>
                    <w:bottom w:val="single" w:color="auto" w:sz="4" w:space="0"/>
                    <w:right w:val="single" w:color="auto" w:sz="4" w:space="0"/>
                  </w:tcBorders>
                  <w:vAlign w:val="center"/>
                </w:tcPr>
                <w:p w14:paraId="64866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vAlign w:val="center"/>
                </w:tcPr>
                <w:p w14:paraId="139B7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7B7023ED">
              <w:tblPrEx>
                <w:tblCellMar>
                  <w:top w:w="0" w:type="dxa"/>
                  <w:left w:w="108" w:type="dxa"/>
                  <w:bottom w:w="0" w:type="dxa"/>
                  <w:right w:w="108" w:type="dxa"/>
                </w:tblCellMar>
              </w:tblPrEx>
              <w:trPr>
                <w:trHeight w:val="283" w:hRule="atLeast"/>
                <w:jc w:val="center"/>
              </w:trPr>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5AC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低潮带</w:t>
                  </w:r>
                </w:p>
              </w:tc>
              <w:tc>
                <w:tcPr>
                  <w:tcW w:w="1231" w:type="dxa"/>
                  <w:tcBorders>
                    <w:top w:val="single" w:color="auto" w:sz="4" w:space="0"/>
                    <w:left w:val="nil"/>
                    <w:bottom w:val="single" w:color="auto" w:sz="4" w:space="0"/>
                    <w:right w:val="single" w:color="auto" w:sz="4" w:space="0"/>
                  </w:tcBorders>
                  <w:shd w:val="clear" w:color="auto" w:fill="auto"/>
                  <w:vAlign w:val="center"/>
                </w:tcPr>
                <w:p w14:paraId="07912D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栖息密度</w:t>
                  </w:r>
                </w:p>
              </w:tc>
              <w:tc>
                <w:tcPr>
                  <w:tcW w:w="1232" w:type="dxa"/>
                  <w:tcBorders>
                    <w:top w:val="single" w:color="auto" w:sz="4" w:space="0"/>
                    <w:left w:val="nil"/>
                    <w:bottom w:val="single" w:color="auto" w:sz="4" w:space="0"/>
                    <w:right w:val="single" w:color="auto" w:sz="4" w:space="0"/>
                  </w:tcBorders>
                  <w:shd w:val="clear" w:color="auto" w:fill="F1F1F1"/>
                  <w:vAlign w:val="center"/>
                </w:tcPr>
                <w:p w14:paraId="679AE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232" w:type="dxa"/>
                  <w:tcBorders>
                    <w:top w:val="single" w:color="auto" w:sz="4" w:space="0"/>
                    <w:left w:val="nil"/>
                    <w:bottom w:val="single" w:color="auto" w:sz="4" w:space="0"/>
                    <w:right w:val="single" w:color="auto" w:sz="4" w:space="0"/>
                  </w:tcBorders>
                  <w:shd w:val="clear" w:color="auto" w:fill="F1F1F1"/>
                  <w:vAlign w:val="center"/>
                </w:tcPr>
                <w:p w14:paraId="3DAE4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shd w:val="clear" w:color="auto" w:fill="F1F1F1"/>
                  <w:vAlign w:val="center"/>
                </w:tcPr>
                <w:p w14:paraId="6111D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95" w:type="dxa"/>
                  <w:tcBorders>
                    <w:top w:val="single" w:color="auto" w:sz="4" w:space="0"/>
                    <w:left w:val="single" w:color="auto" w:sz="4" w:space="0"/>
                    <w:bottom w:val="single" w:color="auto" w:sz="4" w:space="0"/>
                    <w:right w:val="single" w:color="auto" w:sz="4" w:space="0"/>
                  </w:tcBorders>
                  <w:shd w:val="clear" w:color="auto" w:fill="F1F1F1"/>
                  <w:vAlign w:val="center"/>
                </w:tcPr>
                <w:p w14:paraId="040BAE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shd w:val="clear" w:color="auto" w:fill="F1F1F1"/>
                  <w:vAlign w:val="center"/>
                </w:tcPr>
                <w:p w14:paraId="4F409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0F0FDD70">
              <w:tblPrEx>
                <w:tblCellMar>
                  <w:top w:w="0" w:type="dxa"/>
                  <w:left w:w="108" w:type="dxa"/>
                  <w:bottom w:w="0" w:type="dxa"/>
                  <w:right w:w="108" w:type="dxa"/>
                </w:tblCellMar>
              </w:tblPrEx>
              <w:trPr>
                <w:trHeight w:val="283" w:hRule="atLeast"/>
                <w:jc w:val="center"/>
              </w:trPr>
              <w:tc>
                <w:tcPr>
                  <w:tcW w:w="1231" w:type="dxa"/>
                  <w:vMerge w:val="continue"/>
                  <w:tcBorders>
                    <w:top w:val="single" w:color="auto" w:sz="4" w:space="0"/>
                    <w:left w:val="single" w:color="auto" w:sz="4" w:space="0"/>
                    <w:bottom w:val="single" w:color="auto" w:sz="4" w:space="0"/>
                    <w:right w:val="single" w:color="auto" w:sz="4" w:space="0"/>
                  </w:tcBorders>
                  <w:vAlign w:val="center"/>
                </w:tcPr>
                <w:p w14:paraId="181F47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31" w:type="dxa"/>
                  <w:tcBorders>
                    <w:top w:val="single" w:color="auto" w:sz="4" w:space="0"/>
                    <w:left w:val="nil"/>
                    <w:bottom w:val="single" w:color="auto" w:sz="4" w:space="0"/>
                    <w:right w:val="single" w:color="auto" w:sz="4" w:space="0"/>
                  </w:tcBorders>
                  <w:vAlign w:val="center"/>
                </w:tcPr>
                <w:p w14:paraId="030FF5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生物量</w:t>
                  </w:r>
                </w:p>
              </w:tc>
              <w:tc>
                <w:tcPr>
                  <w:tcW w:w="1232" w:type="dxa"/>
                  <w:tcBorders>
                    <w:top w:val="single" w:color="auto" w:sz="4" w:space="0"/>
                    <w:left w:val="nil"/>
                    <w:bottom w:val="single" w:color="auto" w:sz="4" w:space="0"/>
                    <w:right w:val="single" w:color="auto" w:sz="4" w:space="0"/>
                  </w:tcBorders>
                  <w:vAlign w:val="center"/>
                </w:tcPr>
                <w:p w14:paraId="16407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232" w:type="dxa"/>
                  <w:tcBorders>
                    <w:top w:val="single" w:color="auto" w:sz="4" w:space="0"/>
                    <w:left w:val="nil"/>
                    <w:bottom w:val="single" w:color="auto" w:sz="4" w:space="0"/>
                    <w:right w:val="single" w:color="auto" w:sz="4" w:space="0"/>
                  </w:tcBorders>
                  <w:vAlign w:val="center"/>
                </w:tcPr>
                <w:p w14:paraId="4356F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7A67C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95" w:type="dxa"/>
                  <w:tcBorders>
                    <w:top w:val="single" w:color="auto" w:sz="4" w:space="0"/>
                    <w:left w:val="single" w:color="auto" w:sz="4" w:space="0"/>
                    <w:bottom w:val="single" w:color="auto" w:sz="4" w:space="0"/>
                    <w:right w:val="single" w:color="auto" w:sz="4" w:space="0"/>
                  </w:tcBorders>
                  <w:vAlign w:val="center"/>
                </w:tcPr>
                <w:p w14:paraId="798B1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vAlign w:val="center"/>
                </w:tcPr>
                <w:p w14:paraId="685B3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294BC0EC">
              <w:tblPrEx>
                <w:tblCellMar>
                  <w:top w:w="0" w:type="dxa"/>
                  <w:left w:w="108" w:type="dxa"/>
                  <w:bottom w:w="0" w:type="dxa"/>
                  <w:right w:w="108" w:type="dxa"/>
                </w:tblCellMar>
              </w:tblPrEx>
              <w:trPr>
                <w:trHeight w:val="283" w:hRule="atLeast"/>
                <w:jc w:val="center"/>
              </w:trPr>
              <w:tc>
                <w:tcPr>
                  <w:tcW w:w="1231" w:type="dxa"/>
                  <w:vMerge w:val="restart"/>
                  <w:tcBorders>
                    <w:top w:val="single" w:color="auto" w:sz="4" w:space="0"/>
                    <w:left w:val="single" w:color="auto" w:sz="4" w:space="0"/>
                    <w:right w:val="single" w:color="auto" w:sz="4" w:space="0"/>
                  </w:tcBorders>
                  <w:shd w:val="clear" w:color="auto" w:fill="auto"/>
                  <w:vAlign w:val="center"/>
                </w:tcPr>
                <w:p w14:paraId="6EAED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平均值</w:t>
                  </w:r>
                </w:p>
              </w:tc>
              <w:tc>
                <w:tcPr>
                  <w:tcW w:w="1231" w:type="dxa"/>
                  <w:tcBorders>
                    <w:top w:val="single" w:color="auto" w:sz="4" w:space="0"/>
                    <w:left w:val="nil"/>
                    <w:bottom w:val="single" w:color="auto" w:sz="4" w:space="0"/>
                    <w:right w:val="single" w:color="auto" w:sz="4" w:space="0"/>
                  </w:tcBorders>
                  <w:shd w:val="clear" w:color="auto" w:fill="auto"/>
                  <w:vAlign w:val="center"/>
                </w:tcPr>
                <w:p w14:paraId="456F2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bidi="ar"/>
                      <w14:textFill>
                        <w14:solidFill>
                          <w14:schemeClr w14:val="tx1"/>
                        </w14:solidFill>
                      </w14:textFill>
                    </w:rPr>
                    <w:t>栖息密度</w:t>
                  </w:r>
                </w:p>
              </w:tc>
              <w:tc>
                <w:tcPr>
                  <w:tcW w:w="1232" w:type="dxa"/>
                  <w:tcBorders>
                    <w:top w:val="single" w:color="auto" w:sz="4" w:space="0"/>
                    <w:left w:val="nil"/>
                    <w:bottom w:val="single" w:color="auto" w:sz="4" w:space="0"/>
                    <w:right w:val="single" w:color="auto" w:sz="4" w:space="0"/>
                  </w:tcBorders>
                  <w:shd w:val="clear" w:color="auto" w:fill="F1F1F1"/>
                  <w:vAlign w:val="center"/>
                </w:tcPr>
                <w:p w14:paraId="53CAF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lang w:bidi="ar"/>
                      <w14:textFill>
                        <w14:solidFill>
                          <w14:schemeClr w14:val="tx1"/>
                        </w14:solidFill>
                      </w14:textFill>
                    </w:rPr>
                  </w:pPr>
                </w:p>
              </w:tc>
              <w:tc>
                <w:tcPr>
                  <w:tcW w:w="1232" w:type="dxa"/>
                  <w:tcBorders>
                    <w:top w:val="single" w:color="auto" w:sz="4" w:space="0"/>
                    <w:left w:val="nil"/>
                    <w:bottom w:val="single" w:color="auto" w:sz="4" w:space="0"/>
                    <w:right w:val="single" w:color="auto" w:sz="4" w:space="0"/>
                  </w:tcBorders>
                  <w:shd w:val="clear" w:color="auto" w:fill="F1F1F1"/>
                  <w:vAlign w:val="center"/>
                </w:tcPr>
                <w:p w14:paraId="2C89F6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shd w:val="clear" w:color="auto" w:fill="F1F1F1"/>
                  <w:vAlign w:val="center"/>
                </w:tcPr>
                <w:p w14:paraId="43CD5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295" w:type="dxa"/>
                  <w:tcBorders>
                    <w:top w:val="single" w:color="auto" w:sz="4" w:space="0"/>
                    <w:left w:val="single" w:color="auto" w:sz="4" w:space="0"/>
                    <w:bottom w:val="single" w:color="auto" w:sz="4" w:space="0"/>
                    <w:right w:val="single" w:color="auto" w:sz="4" w:space="0"/>
                  </w:tcBorders>
                  <w:shd w:val="clear" w:color="auto" w:fill="F1F1F1"/>
                  <w:vAlign w:val="center"/>
                </w:tcPr>
                <w:p w14:paraId="36D20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shd w:val="clear" w:color="auto" w:fill="F1F1F1"/>
                  <w:vAlign w:val="center"/>
                </w:tcPr>
                <w:p w14:paraId="33B7B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09C0A0D9">
              <w:tblPrEx>
                <w:tblCellMar>
                  <w:top w:w="0" w:type="dxa"/>
                  <w:left w:w="108" w:type="dxa"/>
                  <w:bottom w:w="0" w:type="dxa"/>
                  <w:right w:w="108" w:type="dxa"/>
                </w:tblCellMar>
              </w:tblPrEx>
              <w:trPr>
                <w:trHeight w:val="283" w:hRule="atLeast"/>
                <w:jc w:val="center"/>
              </w:trPr>
              <w:tc>
                <w:tcPr>
                  <w:tcW w:w="1231" w:type="dxa"/>
                  <w:vMerge w:val="continue"/>
                  <w:tcBorders>
                    <w:left w:val="single" w:color="auto" w:sz="4" w:space="0"/>
                    <w:bottom w:val="single" w:color="auto" w:sz="4" w:space="0"/>
                    <w:right w:val="single" w:color="auto" w:sz="4" w:space="0"/>
                  </w:tcBorders>
                  <w:vAlign w:val="center"/>
                </w:tcPr>
                <w:p w14:paraId="5A34E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231" w:type="dxa"/>
                  <w:tcBorders>
                    <w:top w:val="single" w:color="auto" w:sz="4" w:space="0"/>
                    <w:left w:val="nil"/>
                    <w:bottom w:val="single" w:color="auto" w:sz="4" w:space="0"/>
                    <w:right w:val="single" w:color="auto" w:sz="4" w:space="0"/>
                  </w:tcBorders>
                  <w:vAlign w:val="center"/>
                </w:tcPr>
                <w:p w14:paraId="3A363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生物量</w:t>
                  </w:r>
                </w:p>
              </w:tc>
              <w:tc>
                <w:tcPr>
                  <w:tcW w:w="1232" w:type="dxa"/>
                  <w:tcBorders>
                    <w:top w:val="single" w:color="auto" w:sz="4" w:space="0"/>
                    <w:left w:val="nil"/>
                    <w:bottom w:val="single" w:color="auto" w:sz="4" w:space="0"/>
                    <w:right w:val="single" w:color="auto" w:sz="4" w:space="0"/>
                  </w:tcBorders>
                  <w:vAlign w:val="center"/>
                </w:tcPr>
                <w:p w14:paraId="4C8F3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Cs/>
                      <w:color w:val="000000" w:themeColor="text1"/>
                      <w:sz w:val="21"/>
                      <w:szCs w:val="21"/>
                      <w:lang w:bidi="ar"/>
                      <w14:textFill>
                        <w14:solidFill>
                          <w14:schemeClr w14:val="tx1"/>
                        </w14:solidFill>
                      </w14:textFill>
                    </w:rPr>
                  </w:pPr>
                </w:p>
              </w:tc>
              <w:tc>
                <w:tcPr>
                  <w:tcW w:w="1232" w:type="dxa"/>
                  <w:tcBorders>
                    <w:top w:val="single" w:color="auto" w:sz="4" w:space="0"/>
                    <w:left w:val="nil"/>
                    <w:bottom w:val="single" w:color="auto" w:sz="4" w:space="0"/>
                    <w:right w:val="single" w:color="auto" w:sz="4" w:space="0"/>
                  </w:tcBorders>
                  <w:vAlign w:val="center"/>
                </w:tcPr>
                <w:p w14:paraId="2DAAF6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12BA9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95" w:type="dxa"/>
                  <w:tcBorders>
                    <w:top w:val="single" w:color="auto" w:sz="4" w:space="0"/>
                    <w:left w:val="single" w:color="auto" w:sz="4" w:space="0"/>
                    <w:bottom w:val="single" w:color="auto" w:sz="4" w:space="0"/>
                    <w:right w:val="single" w:color="auto" w:sz="4" w:space="0"/>
                  </w:tcBorders>
                  <w:vAlign w:val="center"/>
                </w:tcPr>
                <w:p w14:paraId="1A753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vAlign w:val="center"/>
                </w:tcPr>
                <w:p w14:paraId="1F187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p>
              </w:tc>
            </w:tr>
          </w:tbl>
          <w:p w14:paraId="70F231EE">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③潮间带生物多样性水平</w:t>
            </w:r>
          </w:p>
          <w:p w14:paraId="16726A67">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7"/>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调查断面Shannon-Wiener多样性指数（H′）和Pielou均匀度指数（J）如表</w:t>
            </w:r>
            <w:r>
              <w:rPr>
                <w:rFonts w:hint="eastAsia" w:cs="Times New Roman"/>
                <w:color w:val="000000" w:themeColor="text1"/>
                <w:sz w:val="24"/>
                <w:szCs w:val="24"/>
                <w:lang w:val="en-US" w:eastAsia="zh-CN"/>
                <w14:textFill>
                  <w14:solidFill>
                    <w14:schemeClr w14:val="tx1"/>
                  </w14:solidFill>
                </w14:textFill>
              </w:rPr>
              <w:t>3.5-17</w:t>
            </w:r>
            <w:r>
              <w:rPr>
                <w:rFonts w:hint="default" w:ascii="Times New Roman" w:hAnsi="Times New Roman" w:eastAsia="宋体" w:cs="Times New Roman"/>
                <w:color w:val="000000" w:themeColor="text1"/>
                <w:sz w:val="24"/>
                <w:szCs w:val="24"/>
                <w14:textFill>
                  <w14:solidFill>
                    <w14:schemeClr w14:val="tx1"/>
                  </w14:solidFill>
                </w14:textFill>
              </w:rPr>
              <w:t>所示，Shannon-Wiener多样性指数范围处于1.61~1.82之间，平均值为1.73。多样性指数在C13断面出现最高（1.82），其次为C12断面（1.75），C11断面最低（1.61）。Pielou均匀度指数数值变化范围在0.77~0.90之间，平均值为0.84。均匀度指数（J）在C11断面出现最高（0.90），其次为C13断面（0.85），C12断面最低（0.77）。调查断面潮间带多样性指数处于较低水平，均匀度指数均处于较高水平。</w:t>
            </w:r>
          </w:p>
          <w:p w14:paraId="3E68BD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lang w:bidi="zh-CN"/>
                <w14:textFill>
                  <w14:solidFill>
                    <w14:schemeClr w14:val="tx1"/>
                  </w14:solidFill>
                </w14:textFill>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3.5-17</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zh-CN" w:eastAsia="zh-CN"/>
              </w:rPr>
              <w:t>调查海区潮间带生物多样性指数及均匀度</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344"/>
              <w:gridCol w:w="2344"/>
              <w:gridCol w:w="2131"/>
            </w:tblGrid>
            <w:tr w14:paraId="7900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03" w:type="dxa"/>
                  <w:vAlign w:val="center"/>
                </w:tcPr>
                <w:p w14:paraId="53398C72">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调查站位</w:t>
                  </w:r>
                </w:p>
              </w:tc>
              <w:tc>
                <w:tcPr>
                  <w:tcW w:w="2344" w:type="dxa"/>
                  <w:vAlign w:val="center"/>
                </w:tcPr>
                <w:p w14:paraId="61CDC1CF">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种类数</w:t>
                  </w:r>
                </w:p>
              </w:tc>
              <w:tc>
                <w:tcPr>
                  <w:tcW w:w="2344" w:type="dxa"/>
                  <w:vAlign w:val="center"/>
                </w:tcPr>
                <w:p w14:paraId="2D911E95">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多样性指数（</w:t>
                  </w:r>
                  <w:r>
                    <w:rPr>
                      <w:rFonts w:hint="eastAsia"/>
                      <w:b w:val="0"/>
                      <w:bCs/>
                      <w:i/>
                      <w:iCs/>
                      <w:color w:val="000000" w:themeColor="text1"/>
                      <w:sz w:val="21"/>
                      <w:szCs w:val="21"/>
                      <w14:textFill>
                        <w14:solidFill>
                          <w14:schemeClr w14:val="tx1"/>
                        </w14:solidFill>
                      </w14:textFill>
                    </w:rPr>
                    <w:t>H'</w:t>
                  </w:r>
                  <w:r>
                    <w:rPr>
                      <w:rFonts w:hint="eastAsia"/>
                      <w:b w:val="0"/>
                      <w:bCs/>
                      <w:color w:val="000000" w:themeColor="text1"/>
                      <w:sz w:val="21"/>
                      <w:szCs w:val="21"/>
                      <w14:textFill>
                        <w14:solidFill>
                          <w14:schemeClr w14:val="tx1"/>
                        </w14:solidFill>
                      </w14:textFill>
                    </w:rPr>
                    <w:t>）</w:t>
                  </w:r>
                </w:p>
              </w:tc>
              <w:tc>
                <w:tcPr>
                  <w:tcW w:w="2131" w:type="dxa"/>
                  <w:vAlign w:val="center"/>
                </w:tcPr>
                <w:p w14:paraId="334F01B0">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均匀度（</w:t>
                  </w:r>
                  <w:r>
                    <w:rPr>
                      <w:rFonts w:hint="eastAsia"/>
                      <w:b w:val="0"/>
                      <w:bCs/>
                      <w:i/>
                      <w:iCs/>
                      <w:color w:val="000000" w:themeColor="text1"/>
                      <w:sz w:val="21"/>
                      <w:szCs w:val="21"/>
                      <w14:textFill>
                        <w14:solidFill>
                          <w14:schemeClr w14:val="tx1"/>
                        </w14:solidFill>
                      </w14:textFill>
                    </w:rPr>
                    <w:t>J</w:t>
                  </w:r>
                  <w:r>
                    <w:rPr>
                      <w:rFonts w:hint="eastAsia"/>
                      <w:b w:val="0"/>
                      <w:bCs/>
                      <w:color w:val="000000" w:themeColor="text1"/>
                      <w:sz w:val="21"/>
                      <w:szCs w:val="21"/>
                      <w14:textFill>
                        <w14:solidFill>
                          <w14:schemeClr w14:val="tx1"/>
                        </w14:solidFill>
                      </w14:textFill>
                    </w:rPr>
                    <w:t>）</w:t>
                  </w:r>
                </w:p>
              </w:tc>
            </w:tr>
            <w:tr w14:paraId="2222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03" w:type="dxa"/>
                  <w:vAlign w:val="center"/>
                </w:tcPr>
                <w:p w14:paraId="23946546">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C11</w:t>
                  </w:r>
                </w:p>
              </w:tc>
              <w:tc>
                <w:tcPr>
                  <w:tcW w:w="2344" w:type="dxa"/>
                  <w:vAlign w:val="center"/>
                </w:tcPr>
                <w:p w14:paraId="0EFDEE0C">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r>
                    <w:rPr>
                      <w:rFonts w:hint="eastAsia"/>
                      <w:sz w:val="24"/>
                    </w:rPr>
                    <w:t>*</w:t>
                  </w:r>
                  <w:r>
                    <w:rPr>
                      <w:sz w:val="24"/>
                    </w:rPr>
                    <w:t>**</w:t>
                  </w:r>
                </w:p>
              </w:tc>
              <w:tc>
                <w:tcPr>
                  <w:tcW w:w="2344" w:type="dxa"/>
                  <w:vAlign w:val="center"/>
                </w:tcPr>
                <w:p w14:paraId="3EA1FE01">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c>
                <w:tcPr>
                  <w:tcW w:w="2131" w:type="dxa"/>
                  <w:vAlign w:val="center"/>
                </w:tcPr>
                <w:p w14:paraId="679A3651">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r>
            <w:tr w14:paraId="1EC5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03" w:type="dxa"/>
                  <w:vAlign w:val="center"/>
                </w:tcPr>
                <w:p w14:paraId="26465EE2">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C12</w:t>
                  </w:r>
                </w:p>
              </w:tc>
              <w:tc>
                <w:tcPr>
                  <w:tcW w:w="2344" w:type="dxa"/>
                  <w:vAlign w:val="center"/>
                </w:tcPr>
                <w:p w14:paraId="74B2CFA0">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c>
                <w:tcPr>
                  <w:tcW w:w="2344" w:type="dxa"/>
                  <w:vAlign w:val="center"/>
                </w:tcPr>
                <w:p w14:paraId="0AD430ED">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c>
                <w:tcPr>
                  <w:tcW w:w="2131" w:type="dxa"/>
                  <w:vAlign w:val="center"/>
                </w:tcPr>
                <w:p w14:paraId="0965BB0F">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r>
            <w:tr w14:paraId="6359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03" w:type="dxa"/>
                  <w:vAlign w:val="center"/>
                </w:tcPr>
                <w:p w14:paraId="288D31DE">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C13</w:t>
                  </w:r>
                </w:p>
              </w:tc>
              <w:tc>
                <w:tcPr>
                  <w:tcW w:w="2344" w:type="dxa"/>
                  <w:vAlign w:val="center"/>
                </w:tcPr>
                <w:p w14:paraId="4BBECE31">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c>
                <w:tcPr>
                  <w:tcW w:w="2344" w:type="dxa"/>
                  <w:vAlign w:val="center"/>
                </w:tcPr>
                <w:p w14:paraId="71F8FEA5">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c>
                <w:tcPr>
                  <w:tcW w:w="2131" w:type="dxa"/>
                  <w:vAlign w:val="center"/>
                </w:tcPr>
                <w:p w14:paraId="784DFFC4">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r>
            <w:tr w14:paraId="0ACD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03" w:type="dxa"/>
                  <w:vAlign w:val="center"/>
                </w:tcPr>
                <w:p w14:paraId="0E6EA94A">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平均值</w:t>
                  </w:r>
                </w:p>
              </w:tc>
              <w:tc>
                <w:tcPr>
                  <w:tcW w:w="2344" w:type="dxa"/>
                  <w:vAlign w:val="center"/>
                </w:tcPr>
                <w:p w14:paraId="466146F6">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c>
                <w:tcPr>
                  <w:tcW w:w="2344" w:type="dxa"/>
                  <w:vAlign w:val="center"/>
                </w:tcPr>
                <w:p w14:paraId="1CEC255C">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c>
                <w:tcPr>
                  <w:tcW w:w="2131" w:type="dxa"/>
                  <w:vAlign w:val="center"/>
                </w:tcPr>
                <w:p w14:paraId="2A61F3AB">
                  <w:pPr>
                    <w:keepNext w:val="0"/>
                    <w:keepLines w:val="0"/>
                    <w:suppressLineNumbers w:val="0"/>
                    <w:spacing w:before="0" w:beforeAutospacing="0" w:after="0" w:afterAutospacing="0" w:line="0" w:lineRule="atLeast"/>
                    <w:ind w:left="0" w:right="0"/>
                    <w:jc w:val="center"/>
                    <w:rPr>
                      <w:rFonts w:hint="eastAsia"/>
                      <w:b w:val="0"/>
                      <w:bCs/>
                      <w:color w:val="000000" w:themeColor="text1"/>
                      <w:sz w:val="21"/>
                      <w:szCs w:val="21"/>
                      <w14:textFill>
                        <w14:solidFill>
                          <w14:schemeClr w14:val="tx1"/>
                        </w14:solidFill>
                      </w14:textFill>
                    </w:rPr>
                  </w:pPr>
                </w:p>
              </w:tc>
            </w:tr>
          </w:tbl>
          <w:p w14:paraId="36ACC6E5">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kern w:val="0"/>
                <w:sz w:val="24"/>
                <w:lang w:val="en-US" w:eastAsia="zh-CN"/>
              </w:rPr>
            </w:pPr>
            <w:r>
              <w:rPr>
                <w:rFonts w:hint="eastAsia" w:ascii="Times New Roman" w:hAnsi="Times New Roman" w:eastAsia="宋体" w:cs="Times New Roman"/>
                <w:b/>
                <w:color w:val="auto"/>
                <w:kern w:val="0"/>
                <w:sz w:val="24"/>
                <w:lang w:val="en-US" w:eastAsia="zh-CN"/>
              </w:rPr>
              <w:t>3.5.6渔业资源</w:t>
            </w:r>
          </w:p>
          <w:p w14:paraId="2280A3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1</w:t>
            </w: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鱼卵、</w:t>
            </w:r>
            <w:r>
              <w:rPr>
                <w:rFonts w:hint="eastAsia"/>
                <w:b/>
                <w:bCs/>
                <w:color w:val="000000" w:themeColor="text1"/>
                <w:sz w:val="24"/>
                <w:szCs w:val="24"/>
                <w14:textFill>
                  <w14:solidFill>
                    <w14:schemeClr w14:val="tx1"/>
                  </w14:solidFill>
                </w14:textFill>
              </w:rPr>
              <w:t>仔稚鱼</w:t>
            </w:r>
          </w:p>
          <w:p w14:paraId="22553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1）种类组成</w:t>
            </w:r>
          </w:p>
          <w:p w14:paraId="3B334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本次调查鱼类浮游生物水平和垂直采样调查共获得鱼卵6631ind，仔稚鱼307ind。经鉴定共有14种，其中鱼卵13种，仔稚鱼5种，隶属于鲱形目、鲻形目、鲈形目和鲽形目等4目12科</w:t>
            </w:r>
            <w:r>
              <w:rPr>
                <w:rFonts w:hint="eastAsia"/>
                <w:color w:val="auto"/>
                <w:sz w:val="24"/>
                <w:szCs w:val="24"/>
              </w:rPr>
              <w:t>。</w:t>
            </w:r>
          </w:p>
          <w:p w14:paraId="390B1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①水平拖网种类组成</w:t>
            </w:r>
          </w:p>
          <w:p w14:paraId="7A14D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鱼类浮游生物水平拖网调查共获得鱼卵6543ind，仔稚鱼300ind。经鉴定共有14种，隶属于4目12科，其中鲈形目为6种，占总种数42.86%；鲱形目为4种，占总种数的28.57%；鲽形目种类有3种，占总种数的21.43%；鲻形目种类仅1种，占总种数的7.14%（图</w:t>
            </w:r>
            <w:r>
              <w:rPr>
                <w:rFonts w:hint="eastAsia"/>
                <w:bCs/>
                <w:color w:val="000000" w:themeColor="text1"/>
                <w:sz w:val="24"/>
                <w:szCs w:val="24"/>
                <w:lang w:val="en-US" w:eastAsia="zh-CN"/>
                <w14:textFill>
                  <w14:solidFill>
                    <w14:schemeClr w14:val="tx1"/>
                  </w14:solidFill>
                </w14:textFill>
              </w:rPr>
              <w:t>3.5-5</w:t>
            </w:r>
            <w:r>
              <w:rPr>
                <w:rFonts w:hint="eastAsia"/>
                <w:bCs/>
                <w:color w:val="000000" w:themeColor="text1"/>
                <w:sz w:val="24"/>
                <w:szCs w:val="24"/>
                <w14:textFill>
                  <w14:solidFill>
                    <w14:schemeClr w14:val="tx1"/>
                  </w14:solidFill>
                </w14:textFill>
              </w:rPr>
              <w:t>）。水平拖网的鱼卵中发现鲈形目鲾科数量最多（2586ind），占总数比例39.52%，在本次调查鱼卵中具有数量上的绝对优势。仔稚鱼中发现鲈形目石首鱼科（211ind）最多，占总数比例70.33%，此种在仔稚鱼中具有数量上的绝对优势。</w:t>
            </w:r>
          </w:p>
          <w:p w14:paraId="0D7F6496">
            <w:pPr>
              <w:pStyle w:val="83"/>
              <w:keepNext w:val="0"/>
              <w:keepLines w:val="0"/>
              <w:suppressLineNumbers w:val="0"/>
              <w:spacing w:before="0" w:beforeAutospacing="0" w:after="0" w:afterAutospacing="0"/>
              <w:ind w:left="0" w:right="0" w:firstLine="0" w:firstLineChars="0"/>
              <w:jc w:val="center"/>
              <w:rPr>
                <w:rFonts w:hint="eastAsia"/>
                <w:bCs/>
                <w:color w:val="000000" w:themeColor="text1"/>
                <w14:textFill>
                  <w14:solidFill>
                    <w14:schemeClr w14:val="tx1"/>
                  </w14:solidFill>
                </w14:textFill>
              </w:rPr>
            </w:pPr>
            <w:r>
              <w:rPr>
                <w:rFonts w:hint="eastAsia"/>
                <w:sz w:val="24"/>
              </w:rPr>
              <w:t>*</w:t>
            </w:r>
            <w:r>
              <w:rPr>
                <w:sz w:val="24"/>
              </w:rPr>
              <w:t>**</w:t>
            </w:r>
          </w:p>
          <w:p w14:paraId="6B4274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en-US" w:eastAsia="zh-CN"/>
              </w:rPr>
              <w:t xml:space="preserve">图3.5-5  </w:t>
            </w:r>
            <w:r>
              <w:rPr>
                <w:rFonts w:hint="eastAsia" w:ascii="Times New Roman" w:hAnsi="Times New Roman" w:cs="Times New Roman"/>
                <w:b/>
                <w:bCs/>
                <w:color w:val="auto"/>
                <w:kern w:val="0"/>
                <w:sz w:val="21"/>
                <w:szCs w:val="21"/>
                <w:lang w:val="zh-CN" w:eastAsia="zh-CN"/>
              </w:rPr>
              <w:t>水平拖网鱼类浮游生物种类组成</w:t>
            </w:r>
          </w:p>
          <w:p w14:paraId="6F86E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②垂直拖网种类组成</w:t>
            </w:r>
          </w:p>
          <w:p w14:paraId="269FE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鱼类浮游生物垂直拖网调查共获得鱼卵88ind，仔稚鱼7ind。经鉴定共有10种，隶属于4目9科，其中鲈形目为5种，占总种数的50.00%；鲱形目为3种，占总种数的30.00%；鲻形目和鲽形目均为1种，各占总种数的10.00%（图3.</w:t>
            </w:r>
            <w:r>
              <w:rPr>
                <w:rFonts w:hint="eastAsia"/>
                <w:bCs/>
                <w:color w:val="000000" w:themeColor="text1"/>
                <w:sz w:val="24"/>
                <w:szCs w:val="24"/>
                <w:lang w:val="en-US" w:eastAsia="zh-CN"/>
                <w14:textFill>
                  <w14:solidFill>
                    <w14:schemeClr w14:val="tx1"/>
                  </w14:solidFill>
                </w14:textFill>
              </w:rPr>
              <w:t>5</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6</w:t>
            </w:r>
            <w:r>
              <w:rPr>
                <w:rFonts w:hint="eastAsia"/>
                <w:bCs/>
                <w:color w:val="000000" w:themeColor="text1"/>
                <w:sz w:val="24"/>
                <w:szCs w:val="24"/>
                <w14:textFill>
                  <w14:solidFill>
                    <w14:schemeClr w14:val="tx1"/>
                  </w14:solidFill>
                </w14:textFill>
              </w:rPr>
              <w:t>）。垂直拖网鱼卵中鲈形目鲾科发现数量最多（55ind），占总数比例62.50%，在本次调查鱼卵中具有数量上的绝对优势。垂直拖网调查发现仔稚鱼中仅有鲈形目石首鱼科7ind，其余种类均未发现。</w:t>
            </w:r>
          </w:p>
          <w:p w14:paraId="5EFA2192">
            <w:pPr>
              <w:pStyle w:val="83"/>
              <w:keepNext w:val="0"/>
              <w:keepLines w:val="0"/>
              <w:suppressLineNumbers w:val="0"/>
              <w:spacing w:before="0" w:beforeAutospacing="0" w:after="0" w:afterAutospacing="0"/>
              <w:ind w:left="0" w:right="0" w:firstLine="0" w:firstLineChars="0"/>
              <w:jc w:val="center"/>
              <w:rPr>
                <w:rFonts w:hint="eastAsia"/>
                <w:bCs/>
                <w:color w:val="000000" w:themeColor="text1"/>
                <w14:textFill>
                  <w14:solidFill>
                    <w14:schemeClr w14:val="tx1"/>
                  </w14:solidFill>
                </w14:textFill>
              </w:rPr>
            </w:pPr>
            <w:r>
              <w:rPr>
                <w:rFonts w:hint="eastAsia"/>
                <w:sz w:val="24"/>
              </w:rPr>
              <w:t>*</w:t>
            </w:r>
            <w:r>
              <w:rPr>
                <w:sz w:val="24"/>
              </w:rPr>
              <w:t>**</w:t>
            </w:r>
          </w:p>
          <w:p w14:paraId="3CE6D4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en-US" w:eastAsia="zh-CN"/>
              </w:rPr>
              <w:t>图3.5-6  垂直拖网鱼类浮游生物种类组成</w:t>
            </w:r>
          </w:p>
          <w:p w14:paraId="470D1D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14:textFill>
                  <w14:solidFill>
                    <w14:schemeClr w14:val="tx1"/>
                  </w14:solidFill>
                </w14:textFill>
              </w:rPr>
              <w:t>2）</w:t>
            </w:r>
            <w:r>
              <w:rPr>
                <w:rFonts w:hint="eastAsia"/>
                <w:bCs/>
                <w:color w:val="000000" w:themeColor="text1"/>
                <w:sz w:val="24"/>
                <w:szCs w:val="24"/>
                <w14:textFill>
                  <w14:solidFill>
                    <w14:schemeClr w14:val="tx1"/>
                  </w14:solidFill>
                </w14:textFill>
              </w:rPr>
              <w:t>数量分布</w:t>
            </w:r>
          </w:p>
          <w:p w14:paraId="5D26D9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本次水平拖网鱼类浮游生物的空间分布情况如表3</w:t>
            </w:r>
            <w:r>
              <w:rPr>
                <w:rFonts w:hint="eastAsia"/>
                <w:bCs/>
                <w:color w:val="000000" w:themeColor="text1"/>
                <w:sz w:val="24"/>
                <w:szCs w:val="24"/>
                <w:lang w:val="en-US" w:eastAsia="zh-CN"/>
                <w14:textFill>
                  <w14:solidFill>
                    <w14:schemeClr w14:val="tx1"/>
                  </w14:solidFill>
                </w14:textFill>
              </w:rPr>
              <w:t>.5-18</w:t>
            </w:r>
            <w:r>
              <w:rPr>
                <w:rFonts w:hint="eastAsia"/>
                <w:bCs/>
                <w:color w:val="000000" w:themeColor="text1"/>
                <w:sz w:val="24"/>
                <w:szCs w:val="24"/>
                <w14:textFill>
                  <w14:solidFill>
                    <w14:schemeClr w14:val="tx1"/>
                  </w14:solidFill>
                </w14:textFill>
              </w:rPr>
              <w:t>所示，鱼卵的数量分布范围在10</w:t>
            </w:r>
            <w:r>
              <w:rPr>
                <w:rFonts w:hint="eastAsia"/>
                <w:bCs/>
                <w:color w:val="000000" w:themeColor="text1"/>
                <w:sz w:val="24"/>
                <w:szCs w:val="24"/>
                <w:lang w:val="en-US" w:eastAsia="zh-CN"/>
                <w14:textFill>
                  <w14:solidFill>
                    <w14:schemeClr w14:val="tx1"/>
                  </w14:solidFill>
                </w14:textFill>
              </w:rPr>
              <w:t>~</w:t>
            </w:r>
            <w:r>
              <w:rPr>
                <w:rFonts w:hint="eastAsia"/>
                <w:bCs/>
                <w:color w:val="000000" w:themeColor="text1"/>
                <w:sz w:val="24"/>
                <w:szCs w:val="24"/>
                <w14:textFill>
                  <w14:solidFill>
                    <w14:schemeClr w14:val="tx1"/>
                  </w14:solidFill>
                </w14:textFill>
              </w:rPr>
              <w:t>1752ind/net之间，平均值为545.25ind/net，其中在38站位发现鱼卵数量最高（1752ind/net），其次为40号站位（1628ind/net），23号站位鱼卵数量最低（10ind/net）。仔稚鱼的数量分布范围在2</w:t>
            </w:r>
            <w:r>
              <w:rPr>
                <w:rFonts w:hint="eastAsia"/>
                <w:bCs/>
                <w:color w:val="000000" w:themeColor="text1"/>
                <w:sz w:val="24"/>
                <w:szCs w:val="24"/>
                <w:lang w:val="en-US" w:eastAsia="zh-CN"/>
                <w14:textFill>
                  <w14:solidFill>
                    <w14:schemeClr w14:val="tx1"/>
                  </w14:solidFill>
                </w14:textFill>
              </w:rPr>
              <w:t>~</w:t>
            </w:r>
            <w:r>
              <w:rPr>
                <w:rFonts w:hint="eastAsia"/>
                <w:bCs/>
                <w:color w:val="000000" w:themeColor="text1"/>
                <w:sz w:val="24"/>
                <w:szCs w:val="24"/>
                <w14:textFill>
                  <w14:solidFill>
                    <w14:schemeClr w14:val="tx1"/>
                  </w14:solidFill>
                </w14:textFill>
              </w:rPr>
              <w:t>78ind/net之间，平均数量为25.00ind/net，40号站位出现最高，数量为78ind/net，其次为35号站位（46ind/net），36号站位最低，数量为2ind/net。</w:t>
            </w:r>
          </w:p>
          <w:p w14:paraId="367188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3.5-18</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鱼类浮游生物水平拖网密度及其分布</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3039"/>
              <w:gridCol w:w="3681"/>
            </w:tblGrid>
            <w:tr w14:paraId="7DCE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Merge w:val="restart"/>
                  <w:vAlign w:val="center"/>
                </w:tcPr>
                <w:p w14:paraId="3C829119">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站位</w:t>
                  </w:r>
                </w:p>
              </w:tc>
              <w:tc>
                <w:tcPr>
                  <w:tcW w:w="3878" w:type="pct"/>
                  <w:gridSpan w:val="2"/>
                  <w:vAlign w:val="center"/>
                </w:tcPr>
                <w:p w14:paraId="780548FD">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鱼卵发育期</w:t>
                  </w:r>
                </w:p>
              </w:tc>
            </w:tr>
            <w:tr w14:paraId="55F2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Merge w:val="continue"/>
                  <w:vAlign w:val="center"/>
                </w:tcPr>
                <w:p w14:paraId="66F2A4C3">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p>
              </w:tc>
              <w:tc>
                <w:tcPr>
                  <w:tcW w:w="1754" w:type="pct"/>
                  <w:vAlign w:val="center"/>
                </w:tcPr>
                <w:p w14:paraId="05A7B179">
                  <w:pPr>
                    <w:keepNext w:val="0"/>
                    <w:keepLines w:val="0"/>
                    <w:suppressLineNumbers w:val="0"/>
                    <w:spacing w:before="0" w:beforeAutospacing="0" w:after="0" w:afterAutospacing="0" w:line="0" w:lineRule="atLeast"/>
                    <w:ind w:left="0" w:right="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鱼卵（ind/net）</w:t>
                  </w:r>
                </w:p>
              </w:tc>
              <w:tc>
                <w:tcPr>
                  <w:tcW w:w="2124" w:type="pct"/>
                  <w:vAlign w:val="center"/>
                </w:tcPr>
                <w:p w14:paraId="0D502043">
                  <w:pPr>
                    <w:keepNext w:val="0"/>
                    <w:keepLines w:val="0"/>
                    <w:suppressLineNumbers w:val="0"/>
                    <w:spacing w:before="0" w:beforeAutospacing="0" w:after="0" w:afterAutospacing="0" w:line="0" w:lineRule="atLeast"/>
                    <w:ind w:left="0" w:right="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仔稚鱼（ind/net）</w:t>
                  </w:r>
                </w:p>
              </w:tc>
            </w:tr>
            <w:tr w14:paraId="6CB1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51028A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w:t>
                  </w:r>
                </w:p>
              </w:tc>
              <w:tc>
                <w:tcPr>
                  <w:tcW w:w="1754" w:type="pct"/>
                  <w:vAlign w:val="center"/>
                </w:tcPr>
                <w:p w14:paraId="697C89E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sz w:val="24"/>
                    </w:rPr>
                    <w:t>*</w:t>
                  </w:r>
                  <w:r>
                    <w:rPr>
                      <w:sz w:val="24"/>
                    </w:rPr>
                    <w:t>**</w:t>
                  </w:r>
                </w:p>
              </w:tc>
              <w:tc>
                <w:tcPr>
                  <w:tcW w:w="2124" w:type="pct"/>
                  <w:vAlign w:val="center"/>
                </w:tcPr>
                <w:p w14:paraId="69C2AE9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7D2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7AF1D09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w:t>
                  </w:r>
                </w:p>
              </w:tc>
              <w:tc>
                <w:tcPr>
                  <w:tcW w:w="1754" w:type="pct"/>
                  <w:vAlign w:val="center"/>
                </w:tcPr>
                <w:p w14:paraId="29DCAAB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124" w:type="pct"/>
                  <w:vAlign w:val="center"/>
                </w:tcPr>
                <w:p w14:paraId="118F0C2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F04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2B8E1C1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w:t>
                  </w:r>
                </w:p>
              </w:tc>
              <w:tc>
                <w:tcPr>
                  <w:tcW w:w="1754" w:type="pct"/>
                  <w:vAlign w:val="center"/>
                </w:tcPr>
                <w:p w14:paraId="05D7F46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124" w:type="pct"/>
                  <w:vAlign w:val="center"/>
                </w:tcPr>
                <w:p w14:paraId="48C7AB5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605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51298F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w:t>
                  </w:r>
                </w:p>
              </w:tc>
              <w:tc>
                <w:tcPr>
                  <w:tcW w:w="1754" w:type="pct"/>
                  <w:vAlign w:val="center"/>
                </w:tcPr>
                <w:p w14:paraId="4282BB7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124" w:type="pct"/>
                  <w:vAlign w:val="center"/>
                </w:tcPr>
                <w:p w14:paraId="2C5E3AD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E63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7C144BC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w:t>
                  </w:r>
                </w:p>
              </w:tc>
              <w:tc>
                <w:tcPr>
                  <w:tcW w:w="1754" w:type="pct"/>
                  <w:vAlign w:val="center"/>
                </w:tcPr>
                <w:p w14:paraId="31AB957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124" w:type="pct"/>
                  <w:vAlign w:val="center"/>
                </w:tcPr>
                <w:p w14:paraId="1E92BCD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9F3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49874B8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27</w:t>
                  </w:r>
                </w:p>
              </w:tc>
              <w:tc>
                <w:tcPr>
                  <w:tcW w:w="1754" w:type="pct"/>
                  <w:vAlign w:val="center"/>
                </w:tcPr>
                <w:p w14:paraId="66685CC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124" w:type="pct"/>
                  <w:vAlign w:val="center"/>
                </w:tcPr>
                <w:p w14:paraId="4CBBC1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B5A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5DE932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31</w:t>
                  </w:r>
                </w:p>
              </w:tc>
              <w:tc>
                <w:tcPr>
                  <w:tcW w:w="1754" w:type="pct"/>
                  <w:vAlign w:val="center"/>
                </w:tcPr>
                <w:p w14:paraId="563B294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124" w:type="pct"/>
                  <w:vAlign w:val="center"/>
                </w:tcPr>
                <w:p w14:paraId="36AAA3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125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648510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1754" w:type="pct"/>
                  <w:vAlign w:val="center"/>
                </w:tcPr>
                <w:p w14:paraId="5FD8C45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124" w:type="pct"/>
                  <w:vAlign w:val="center"/>
                </w:tcPr>
                <w:p w14:paraId="19F0422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700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096980A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36</w:t>
                  </w:r>
                </w:p>
              </w:tc>
              <w:tc>
                <w:tcPr>
                  <w:tcW w:w="1754" w:type="pct"/>
                  <w:vAlign w:val="center"/>
                </w:tcPr>
                <w:p w14:paraId="2F79CF8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124" w:type="pct"/>
                  <w:vAlign w:val="center"/>
                </w:tcPr>
                <w:p w14:paraId="6F1C2D3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20D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51DFFAB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38</w:t>
                  </w:r>
                </w:p>
              </w:tc>
              <w:tc>
                <w:tcPr>
                  <w:tcW w:w="1754" w:type="pct"/>
                  <w:vAlign w:val="center"/>
                </w:tcPr>
                <w:p w14:paraId="18A20F8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124" w:type="pct"/>
                  <w:vAlign w:val="center"/>
                </w:tcPr>
                <w:p w14:paraId="1C3B82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188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560D1D7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39</w:t>
                  </w:r>
                </w:p>
              </w:tc>
              <w:tc>
                <w:tcPr>
                  <w:tcW w:w="1754" w:type="pct"/>
                  <w:vAlign w:val="center"/>
                </w:tcPr>
                <w:p w14:paraId="5030B97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124" w:type="pct"/>
                  <w:vAlign w:val="center"/>
                </w:tcPr>
                <w:p w14:paraId="78481CD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A25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6193722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1754" w:type="pct"/>
                  <w:vAlign w:val="center"/>
                </w:tcPr>
                <w:p w14:paraId="708E39A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124" w:type="pct"/>
                  <w:vAlign w:val="center"/>
                </w:tcPr>
                <w:p w14:paraId="1B467C8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0A5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010CEC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最小值</w:t>
                  </w:r>
                </w:p>
              </w:tc>
              <w:tc>
                <w:tcPr>
                  <w:tcW w:w="1754" w:type="pct"/>
                  <w:vAlign w:val="center"/>
                </w:tcPr>
                <w:p w14:paraId="67CA37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124" w:type="pct"/>
                  <w:vAlign w:val="center"/>
                </w:tcPr>
                <w:p w14:paraId="53C1E61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08B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72DA40E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最大值</w:t>
                  </w:r>
                </w:p>
              </w:tc>
              <w:tc>
                <w:tcPr>
                  <w:tcW w:w="1754" w:type="pct"/>
                  <w:vAlign w:val="center"/>
                </w:tcPr>
                <w:p w14:paraId="39FA17F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124" w:type="pct"/>
                  <w:vAlign w:val="center"/>
                </w:tcPr>
                <w:p w14:paraId="4A775F3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641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2" w:type="pct"/>
                  <w:vAlign w:val="center"/>
                </w:tcPr>
                <w:p w14:paraId="64DB2B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平均值</w:t>
                  </w:r>
                </w:p>
              </w:tc>
              <w:tc>
                <w:tcPr>
                  <w:tcW w:w="1754" w:type="pct"/>
                  <w:vAlign w:val="center"/>
                </w:tcPr>
                <w:p w14:paraId="472443B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2124" w:type="pct"/>
                  <w:vAlign w:val="center"/>
                </w:tcPr>
                <w:p w14:paraId="55472A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bl>
          <w:p w14:paraId="0DBB1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本次垂直拖网鱼类浮游生物的空间分布情况如表3.</w:t>
            </w:r>
            <w:r>
              <w:rPr>
                <w:rFonts w:hint="eastAsia"/>
                <w:bCs/>
                <w:color w:val="000000" w:themeColor="text1"/>
                <w:sz w:val="24"/>
                <w:szCs w:val="24"/>
                <w:lang w:val="en-US" w:eastAsia="zh-CN"/>
                <w14:textFill>
                  <w14:solidFill>
                    <w14:schemeClr w14:val="tx1"/>
                  </w14:solidFill>
                </w14:textFill>
              </w:rPr>
              <w:t>5-19</w:t>
            </w:r>
            <w:r>
              <w:rPr>
                <w:rFonts w:hint="eastAsia"/>
                <w:bCs/>
                <w:color w:val="000000" w:themeColor="text1"/>
                <w:sz w:val="24"/>
                <w:szCs w:val="24"/>
                <w14:textFill>
                  <w14:solidFill>
                    <w14:schemeClr w14:val="tx1"/>
                  </w14:solidFill>
                </w14:textFill>
              </w:rPr>
              <w:t>所示，鱼卵的密度分布范围在0.44-36.67ind/m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之间，平均值为10.76ind/m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，其中在31号站位发现鱼卵密度最高（36.67ind/m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），其次为38号站位（26.92ind/m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），24号站位密度最低（0.44ind/m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）；仔稚鱼的密度分布范围在0.002.63ind/m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之间，平均密度为0.85ind/m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，22号站位出现最高，密度为2.63ind/m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，其次为21号站位（2.17ind/m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），23号、24号、26号、31号、35号和40号站位仔稚鱼密度最低，均未发现仔稚鱼。</w:t>
            </w:r>
          </w:p>
          <w:p w14:paraId="5D2D41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3.5-19</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鱼类浮游生物垂直拖网密度及其分布</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3010"/>
              <w:gridCol w:w="3427"/>
            </w:tblGrid>
            <w:tr w14:paraId="100B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Merge w:val="restart"/>
                  <w:vAlign w:val="center"/>
                </w:tcPr>
                <w:p w14:paraId="2C2E345F">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站位</w:t>
                  </w:r>
                </w:p>
              </w:tc>
              <w:tc>
                <w:tcPr>
                  <w:tcW w:w="3715" w:type="pct"/>
                  <w:gridSpan w:val="2"/>
                  <w:vAlign w:val="center"/>
                </w:tcPr>
                <w:p w14:paraId="039BEE24">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鱼卵发育期</w:t>
                  </w:r>
                </w:p>
              </w:tc>
            </w:tr>
            <w:tr w14:paraId="2AAC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Merge w:val="continue"/>
                  <w:vAlign w:val="center"/>
                </w:tcPr>
                <w:p w14:paraId="2771235D">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p>
              </w:tc>
              <w:tc>
                <w:tcPr>
                  <w:tcW w:w="1737" w:type="pct"/>
                  <w:vAlign w:val="center"/>
                </w:tcPr>
                <w:p w14:paraId="3A665E4F">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鱼卵（ind/m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w:t>
                  </w:r>
                </w:p>
              </w:tc>
              <w:tc>
                <w:tcPr>
                  <w:tcW w:w="1978" w:type="pct"/>
                  <w:vAlign w:val="center"/>
                </w:tcPr>
                <w:p w14:paraId="043CC708">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仔稚鱼（ind/m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w:t>
                  </w:r>
                </w:p>
              </w:tc>
            </w:tr>
            <w:tr w14:paraId="4857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2C0341D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w:t>
                  </w:r>
                </w:p>
              </w:tc>
              <w:tc>
                <w:tcPr>
                  <w:tcW w:w="1737" w:type="pct"/>
                  <w:vAlign w:val="center"/>
                </w:tcPr>
                <w:p w14:paraId="140262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sz w:val="24"/>
                    </w:rPr>
                    <w:t>*</w:t>
                  </w:r>
                  <w:r>
                    <w:rPr>
                      <w:sz w:val="24"/>
                    </w:rPr>
                    <w:t>**</w:t>
                  </w:r>
                </w:p>
              </w:tc>
              <w:tc>
                <w:tcPr>
                  <w:tcW w:w="1978" w:type="pct"/>
                  <w:vAlign w:val="center"/>
                </w:tcPr>
                <w:p w14:paraId="3A82D5F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9EB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6BFEBBB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w:t>
                  </w:r>
                </w:p>
              </w:tc>
              <w:tc>
                <w:tcPr>
                  <w:tcW w:w="1737" w:type="pct"/>
                  <w:vAlign w:val="center"/>
                </w:tcPr>
                <w:p w14:paraId="267589A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978" w:type="pct"/>
                  <w:vAlign w:val="center"/>
                </w:tcPr>
                <w:p w14:paraId="062E512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6A8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85" w:type="pct"/>
                  <w:vAlign w:val="center"/>
                </w:tcPr>
                <w:p w14:paraId="1CEDB9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w:t>
                  </w:r>
                </w:p>
              </w:tc>
              <w:tc>
                <w:tcPr>
                  <w:tcW w:w="1737" w:type="pct"/>
                  <w:vAlign w:val="center"/>
                </w:tcPr>
                <w:p w14:paraId="66E142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978" w:type="pct"/>
                  <w:vAlign w:val="center"/>
                </w:tcPr>
                <w:p w14:paraId="6ACD725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C7A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85" w:type="pct"/>
                  <w:vAlign w:val="center"/>
                </w:tcPr>
                <w:p w14:paraId="641FA4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24</w:t>
                  </w:r>
                </w:p>
              </w:tc>
              <w:tc>
                <w:tcPr>
                  <w:tcW w:w="1737" w:type="pct"/>
                  <w:vAlign w:val="center"/>
                </w:tcPr>
                <w:p w14:paraId="2CE447A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978" w:type="pct"/>
                  <w:vAlign w:val="center"/>
                </w:tcPr>
                <w:p w14:paraId="4C9DCAD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0A2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7436163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w:t>
                  </w:r>
                </w:p>
              </w:tc>
              <w:tc>
                <w:tcPr>
                  <w:tcW w:w="1737" w:type="pct"/>
                  <w:vAlign w:val="center"/>
                </w:tcPr>
                <w:p w14:paraId="5A0019E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978" w:type="pct"/>
                  <w:vAlign w:val="center"/>
                </w:tcPr>
                <w:p w14:paraId="50EE4A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4B6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498AFC4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27</w:t>
                  </w:r>
                </w:p>
              </w:tc>
              <w:tc>
                <w:tcPr>
                  <w:tcW w:w="1737" w:type="pct"/>
                  <w:vAlign w:val="center"/>
                </w:tcPr>
                <w:p w14:paraId="73FD575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978" w:type="pct"/>
                  <w:vAlign w:val="center"/>
                </w:tcPr>
                <w:p w14:paraId="590C376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A35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2E4EBD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31</w:t>
                  </w:r>
                </w:p>
              </w:tc>
              <w:tc>
                <w:tcPr>
                  <w:tcW w:w="1737" w:type="pct"/>
                  <w:vAlign w:val="center"/>
                </w:tcPr>
                <w:p w14:paraId="1DD82D7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978" w:type="pct"/>
                  <w:vAlign w:val="center"/>
                </w:tcPr>
                <w:p w14:paraId="09562E2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91D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0D90B1D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1737" w:type="pct"/>
                  <w:vAlign w:val="center"/>
                </w:tcPr>
                <w:p w14:paraId="03041F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978" w:type="pct"/>
                  <w:vAlign w:val="center"/>
                </w:tcPr>
                <w:p w14:paraId="50452E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F2E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85" w:type="pct"/>
                  <w:vAlign w:val="center"/>
                </w:tcPr>
                <w:p w14:paraId="4A2FA74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36</w:t>
                  </w:r>
                </w:p>
              </w:tc>
              <w:tc>
                <w:tcPr>
                  <w:tcW w:w="1737" w:type="pct"/>
                  <w:vAlign w:val="center"/>
                </w:tcPr>
                <w:p w14:paraId="2130205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978" w:type="pct"/>
                  <w:vAlign w:val="center"/>
                </w:tcPr>
                <w:p w14:paraId="4E5648A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3EA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09029B9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38</w:t>
                  </w:r>
                </w:p>
              </w:tc>
              <w:tc>
                <w:tcPr>
                  <w:tcW w:w="1737" w:type="pct"/>
                  <w:vAlign w:val="center"/>
                </w:tcPr>
                <w:p w14:paraId="441872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978" w:type="pct"/>
                  <w:vAlign w:val="center"/>
                </w:tcPr>
                <w:p w14:paraId="78EDBFF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3B8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5C8B15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39</w:t>
                  </w:r>
                </w:p>
              </w:tc>
              <w:tc>
                <w:tcPr>
                  <w:tcW w:w="1737" w:type="pct"/>
                  <w:vAlign w:val="center"/>
                </w:tcPr>
                <w:p w14:paraId="5EB3C1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978" w:type="pct"/>
                  <w:vAlign w:val="center"/>
                </w:tcPr>
                <w:p w14:paraId="31040E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38E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4858317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1737" w:type="pct"/>
                  <w:vAlign w:val="center"/>
                </w:tcPr>
                <w:p w14:paraId="7A6FB9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978" w:type="pct"/>
                  <w:vAlign w:val="center"/>
                </w:tcPr>
                <w:p w14:paraId="2B338C0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600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42C0A3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最小值</w:t>
                  </w:r>
                </w:p>
              </w:tc>
              <w:tc>
                <w:tcPr>
                  <w:tcW w:w="1737" w:type="pct"/>
                  <w:vAlign w:val="center"/>
                </w:tcPr>
                <w:p w14:paraId="7347767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978" w:type="pct"/>
                  <w:vAlign w:val="center"/>
                </w:tcPr>
                <w:p w14:paraId="17983A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D46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1946489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最大值</w:t>
                  </w:r>
                </w:p>
              </w:tc>
              <w:tc>
                <w:tcPr>
                  <w:tcW w:w="1737" w:type="pct"/>
                  <w:vAlign w:val="center"/>
                </w:tcPr>
                <w:p w14:paraId="385AB0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978" w:type="pct"/>
                  <w:vAlign w:val="center"/>
                </w:tcPr>
                <w:p w14:paraId="0A38BA1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FA0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5" w:type="pct"/>
                  <w:vAlign w:val="center"/>
                </w:tcPr>
                <w:p w14:paraId="5AEC8A2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平均值</w:t>
                  </w:r>
                </w:p>
              </w:tc>
              <w:tc>
                <w:tcPr>
                  <w:tcW w:w="1737" w:type="pct"/>
                  <w:vAlign w:val="center"/>
                </w:tcPr>
                <w:p w14:paraId="3F7C66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978" w:type="pct"/>
                  <w:vAlign w:val="center"/>
                </w:tcPr>
                <w:p w14:paraId="22681F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bl>
          <w:p w14:paraId="37AFC4E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kern w:val="0"/>
                <w:sz w:val="24"/>
                <w:lang w:val="en-US" w:eastAsia="zh-CN"/>
              </w:rPr>
            </w:pPr>
            <w:r>
              <w:rPr>
                <w:rFonts w:hint="eastAsia" w:cs="Times New Roman"/>
                <w:b/>
                <w:color w:val="auto"/>
                <w:kern w:val="0"/>
                <w:sz w:val="24"/>
                <w:lang w:val="en-US" w:eastAsia="zh-CN"/>
              </w:rPr>
              <w:t>（2）游泳动物</w:t>
            </w:r>
          </w:p>
          <w:p w14:paraId="3DDC7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1）渔业资源种类组成</w:t>
            </w:r>
          </w:p>
          <w:p w14:paraId="574F62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bookmarkStart w:id="25" w:name="_Toc515635925"/>
            <w:bookmarkStart w:id="26" w:name="_Toc481503946"/>
            <w:r>
              <w:rPr>
                <w:rFonts w:hint="eastAsia"/>
                <w:bCs/>
                <w:color w:val="000000" w:themeColor="text1"/>
                <w:sz w:val="24"/>
                <w:szCs w:val="24"/>
                <w14:textFill>
                  <w14:solidFill>
                    <w14:schemeClr w14:val="tx1"/>
                  </w14:solidFill>
                </w14:textFill>
              </w:rPr>
              <w:t>①种类组成</w:t>
            </w:r>
            <w:bookmarkEnd w:id="25"/>
            <w:bookmarkEnd w:id="26"/>
          </w:p>
          <w:p w14:paraId="1B853D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本次调查共捕获游泳生物64种</w:t>
            </w:r>
            <w:r>
              <w:rPr>
                <w:rFonts w:hint="eastAsia"/>
                <w:bCs/>
                <w:color w:val="auto"/>
                <w:sz w:val="24"/>
                <w:szCs w:val="24"/>
              </w:rPr>
              <w:t>，</w:t>
            </w:r>
            <w:r>
              <w:rPr>
                <w:rFonts w:hint="eastAsia"/>
                <w:bCs/>
                <w:color w:val="000000" w:themeColor="text1"/>
                <w:sz w:val="24"/>
                <w:szCs w:val="24"/>
                <w14:textFill>
                  <w14:solidFill>
                    <w14:schemeClr w14:val="tx1"/>
                  </w14:solidFill>
                </w14:textFill>
              </w:rPr>
              <w:t>其中：鱼类36种，甲壳类25种（虾蛄类4种、虾类7种和蟹类14种）和头足类3种（图</w:t>
            </w:r>
            <w:r>
              <w:rPr>
                <w:rFonts w:hint="eastAsia"/>
                <w:bCs/>
                <w:color w:val="000000" w:themeColor="text1"/>
                <w:sz w:val="24"/>
                <w:szCs w:val="24"/>
                <w:lang w:val="en-US" w:eastAsia="zh-CN"/>
                <w14:textFill>
                  <w14:solidFill>
                    <w14:schemeClr w14:val="tx1"/>
                  </w14:solidFill>
                </w14:textFill>
              </w:rPr>
              <w:t>3.5-7</w:t>
            </w:r>
            <w:r>
              <w:rPr>
                <w:rFonts w:hint="eastAsia"/>
                <w:bCs/>
                <w:color w:val="000000" w:themeColor="text1"/>
                <w:sz w:val="24"/>
                <w:szCs w:val="24"/>
                <w14:textFill>
                  <w14:solidFill>
                    <w14:schemeClr w14:val="tx1"/>
                  </w14:solidFill>
                </w14:textFill>
              </w:rPr>
              <w:t>）。</w:t>
            </w:r>
          </w:p>
          <w:p w14:paraId="619AF580">
            <w:pPr>
              <w:keepNext w:val="0"/>
              <w:keepLines w:val="0"/>
              <w:suppressLineNumbers w:val="0"/>
              <w:spacing w:before="0" w:beforeAutospacing="0" w:after="0" w:afterAutospacing="0" w:line="360" w:lineRule="auto"/>
              <w:ind w:left="0" w:right="0"/>
              <w:jc w:val="center"/>
              <w:rPr>
                <w:rFonts w:hint="eastAsia"/>
                <w:color w:val="000000" w:themeColor="text1"/>
                <w14:textFill>
                  <w14:solidFill>
                    <w14:schemeClr w14:val="tx1"/>
                  </w14:solidFill>
                </w14:textFill>
              </w:rPr>
            </w:pPr>
            <w:r>
              <w:rPr>
                <w:rFonts w:hint="eastAsia"/>
                <w:sz w:val="24"/>
              </w:rPr>
              <w:t>*</w:t>
            </w:r>
            <w:r>
              <w:rPr>
                <w:sz w:val="24"/>
              </w:rPr>
              <w:t>**</w:t>
            </w:r>
          </w:p>
          <w:p w14:paraId="10C914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en-US" w:eastAsia="zh-CN"/>
              </w:rPr>
              <w:t xml:space="preserve">图3.5-7  </w:t>
            </w:r>
            <w:r>
              <w:rPr>
                <w:rFonts w:hint="eastAsia" w:ascii="Times New Roman" w:hAnsi="Times New Roman" w:cs="Times New Roman"/>
                <w:b/>
                <w:bCs/>
                <w:color w:val="auto"/>
                <w:kern w:val="0"/>
                <w:sz w:val="21"/>
                <w:szCs w:val="21"/>
                <w:lang w:val="zh-CN" w:eastAsia="zh-CN"/>
              </w:rPr>
              <w:t>游泳动物种类组成</w:t>
            </w:r>
          </w:p>
          <w:p w14:paraId="0D218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②多样性</w:t>
            </w:r>
          </w:p>
          <w:p w14:paraId="5B3055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bookmarkStart w:id="27" w:name="_Hlk10732672"/>
            <w:r>
              <w:rPr>
                <w:rFonts w:hint="eastAsia"/>
                <w:bCs/>
                <w:color w:val="000000" w:themeColor="text1"/>
                <w:sz w:val="24"/>
                <w:szCs w:val="24"/>
                <w14:textFill>
                  <w14:solidFill>
                    <w14:schemeClr w14:val="tx1"/>
                  </w14:solidFill>
                </w14:textFill>
              </w:rPr>
              <w:t>游泳生物的多样性指数分布范围在3.22</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3.93之间，平均为3.68，多样性指数最高值出现在25号断面，最低出现在22号断面，调查断面多样性指数处于较高水平；丰富度指数分布范围在2.16~3.43之间，平均为2.85，丰富度指数最高值出现在25号断面(3.43)，最低出现在38号断面(2.16)；均匀度分布范围在0.69</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0.84之间，平均为0.77，均匀度最高值出现在39号断面（0.84），最低出现在22号断面（0.69），调查断面均匀度指数处于一般水平（表</w:t>
            </w:r>
            <w:r>
              <w:rPr>
                <w:rFonts w:hint="eastAsia"/>
                <w:bCs/>
                <w:color w:val="000000" w:themeColor="text1"/>
                <w:sz w:val="24"/>
                <w:szCs w:val="24"/>
                <w:lang w:val="en-US" w:eastAsia="zh-CN"/>
                <w14:textFill>
                  <w14:solidFill>
                    <w14:schemeClr w14:val="tx1"/>
                  </w14:solidFill>
                </w14:textFill>
              </w:rPr>
              <w:t>3.5-20</w:t>
            </w:r>
            <w:r>
              <w:rPr>
                <w:rFonts w:hint="eastAsia"/>
                <w:bCs/>
                <w:color w:val="000000" w:themeColor="text1"/>
                <w:sz w:val="24"/>
                <w:szCs w:val="24"/>
                <w14:textFill>
                  <w14:solidFill>
                    <w14:schemeClr w14:val="tx1"/>
                  </w14:solidFill>
                </w14:textFill>
              </w:rPr>
              <w:t>）。</w:t>
            </w:r>
          </w:p>
          <w:bookmarkEnd w:id="27"/>
          <w:p w14:paraId="6839C0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3.5-20</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zh-CN" w:eastAsia="zh-CN"/>
              </w:rPr>
              <w:t>游泳生物多样性</w:t>
            </w:r>
          </w:p>
          <w:tbl>
            <w:tblPr>
              <w:tblStyle w:val="28"/>
              <w:tblW w:w="45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190"/>
              <w:gridCol w:w="1965"/>
              <w:gridCol w:w="1900"/>
              <w:gridCol w:w="1715"/>
            </w:tblGrid>
            <w:tr w14:paraId="3FE2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0A937257">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断面</w:t>
                  </w:r>
                </w:p>
              </w:tc>
              <w:tc>
                <w:tcPr>
                  <w:tcW w:w="747" w:type="pct"/>
                </w:tcPr>
                <w:p w14:paraId="55962CB3">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种类数</w:t>
                  </w:r>
                </w:p>
              </w:tc>
              <w:tc>
                <w:tcPr>
                  <w:tcW w:w="1235" w:type="pct"/>
                </w:tcPr>
                <w:p w14:paraId="7D3DB899">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多样性指数(</w:t>
                  </w:r>
                  <w:r>
                    <w:rPr>
                      <w:rFonts w:hint="eastAsia"/>
                      <w:b/>
                      <w:bCs/>
                      <w:i/>
                      <w:iCs/>
                      <w:color w:val="000000" w:themeColor="text1"/>
                      <w:sz w:val="21"/>
                      <w:szCs w:val="21"/>
                      <w14:textFill>
                        <w14:solidFill>
                          <w14:schemeClr w14:val="tx1"/>
                        </w14:solidFill>
                      </w14:textFill>
                    </w:rPr>
                    <w:t>H</w:t>
                  </w:r>
                  <w:r>
                    <w:rPr>
                      <w:rFonts w:hint="eastAsia"/>
                      <w:b/>
                      <w:bCs/>
                      <w:color w:val="000000" w:themeColor="text1"/>
                      <w:sz w:val="21"/>
                      <w:szCs w:val="21"/>
                      <w14:textFill>
                        <w14:solidFill>
                          <w14:schemeClr w14:val="tx1"/>
                        </w14:solidFill>
                      </w14:textFill>
                    </w:rPr>
                    <w:t>´)</w:t>
                  </w:r>
                </w:p>
              </w:tc>
              <w:tc>
                <w:tcPr>
                  <w:tcW w:w="1194" w:type="pct"/>
                </w:tcPr>
                <w:p w14:paraId="43DFC329">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丰富度指数（</w:t>
                  </w:r>
                  <w:r>
                    <w:rPr>
                      <w:rFonts w:hint="eastAsia"/>
                      <w:b/>
                      <w:bCs/>
                      <w:i/>
                      <w:color w:val="000000" w:themeColor="text1"/>
                      <w:sz w:val="21"/>
                      <w:szCs w:val="21"/>
                      <w14:textFill>
                        <w14:solidFill>
                          <w14:schemeClr w14:val="tx1"/>
                        </w14:solidFill>
                      </w14:textFill>
                    </w:rPr>
                    <w:t>d</w:t>
                  </w:r>
                  <w:r>
                    <w:rPr>
                      <w:rFonts w:hint="eastAsia"/>
                      <w:b/>
                      <w:bCs/>
                      <w:color w:val="000000" w:themeColor="text1"/>
                      <w:sz w:val="21"/>
                      <w:szCs w:val="21"/>
                      <w14:textFill>
                        <w14:solidFill>
                          <w14:schemeClr w14:val="tx1"/>
                        </w14:solidFill>
                      </w14:textFill>
                    </w:rPr>
                    <w:t>）</w:t>
                  </w:r>
                </w:p>
              </w:tc>
              <w:tc>
                <w:tcPr>
                  <w:tcW w:w="1077" w:type="pct"/>
                </w:tcPr>
                <w:p w14:paraId="7A4EE637">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均匀度（</w:t>
                  </w:r>
                  <w:r>
                    <w:rPr>
                      <w:rFonts w:hint="eastAsia"/>
                      <w:b/>
                      <w:bCs/>
                      <w:i/>
                      <w:iCs/>
                      <w:color w:val="000000" w:themeColor="text1"/>
                      <w:sz w:val="21"/>
                      <w:szCs w:val="21"/>
                      <w14:textFill>
                        <w14:solidFill>
                          <w14:schemeClr w14:val="tx1"/>
                        </w14:solidFill>
                      </w14:textFill>
                    </w:rPr>
                    <w:t>J</w:t>
                  </w:r>
                  <w:r>
                    <w:rPr>
                      <w:rFonts w:hint="eastAsia"/>
                      <w:b/>
                      <w:bCs/>
                      <w:color w:val="000000" w:themeColor="text1"/>
                      <w:sz w:val="21"/>
                      <w:szCs w:val="21"/>
                      <w14:textFill>
                        <w14:solidFill>
                          <w14:schemeClr w14:val="tx1"/>
                        </w14:solidFill>
                      </w14:textFill>
                    </w:rPr>
                    <w:t>)</w:t>
                  </w:r>
                </w:p>
              </w:tc>
            </w:tr>
            <w:tr w14:paraId="4940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794D299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21</w:t>
                  </w:r>
                </w:p>
              </w:tc>
              <w:tc>
                <w:tcPr>
                  <w:tcW w:w="747" w:type="pct"/>
                </w:tcPr>
                <w:p w14:paraId="2040F4A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sz w:val="24"/>
                    </w:rPr>
                    <w:t>*</w:t>
                  </w:r>
                  <w:r>
                    <w:rPr>
                      <w:sz w:val="24"/>
                    </w:rPr>
                    <w:t>**</w:t>
                  </w:r>
                </w:p>
              </w:tc>
              <w:tc>
                <w:tcPr>
                  <w:tcW w:w="1235" w:type="pct"/>
                </w:tcPr>
                <w:p w14:paraId="76F55A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4" w:type="pct"/>
                </w:tcPr>
                <w:p w14:paraId="3D95C39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077" w:type="pct"/>
                </w:tcPr>
                <w:p w14:paraId="357E4C4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130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401F4E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22</w:t>
                  </w:r>
                </w:p>
              </w:tc>
              <w:tc>
                <w:tcPr>
                  <w:tcW w:w="747" w:type="pct"/>
                </w:tcPr>
                <w:p w14:paraId="0C008A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235" w:type="pct"/>
                </w:tcPr>
                <w:p w14:paraId="0BBFE0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4" w:type="pct"/>
                </w:tcPr>
                <w:p w14:paraId="5B2545E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077" w:type="pct"/>
                </w:tcPr>
                <w:p w14:paraId="3FF8A7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BCE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0125115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23</w:t>
                  </w:r>
                </w:p>
              </w:tc>
              <w:tc>
                <w:tcPr>
                  <w:tcW w:w="747" w:type="pct"/>
                </w:tcPr>
                <w:p w14:paraId="0615DE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235" w:type="pct"/>
                </w:tcPr>
                <w:p w14:paraId="1000676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194" w:type="pct"/>
                </w:tcPr>
                <w:p w14:paraId="7A8AF88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077" w:type="pct"/>
                </w:tcPr>
                <w:p w14:paraId="406CDF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1AE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216EB66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25</w:t>
                  </w:r>
                </w:p>
              </w:tc>
              <w:tc>
                <w:tcPr>
                  <w:tcW w:w="747" w:type="pct"/>
                </w:tcPr>
                <w:p w14:paraId="2F59819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235" w:type="pct"/>
                </w:tcPr>
                <w:p w14:paraId="17CD39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4" w:type="pct"/>
                </w:tcPr>
                <w:p w14:paraId="371DEDB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077" w:type="pct"/>
                </w:tcPr>
                <w:p w14:paraId="12354B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ADF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300CCC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26</w:t>
                  </w:r>
                </w:p>
              </w:tc>
              <w:tc>
                <w:tcPr>
                  <w:tcW w:w="747" w:type="pct"/>
                </w:tcPr>
                <w:p w14:paraId="761103A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235" w:type="pct"/>
                </w:tcPr>
                <w:p w14:paraId="05C73A1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194" w:type="pct"/>
                </w:tcPr>
                <w:p w14:paraId="470BBB2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077" w:type="pct"/>
                </w:tcPr>
                <w:p w14:paraId="28178F4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40C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558E695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27</w:t>
                  </w:r>
                </w:p>
              </w:tc>
              <w:tc>
                <w:tcPr>
                  <w:tcW w:w="747" w:type="pct"/>
                </w:tcPr>
                <w:p w14:paraId="536CB09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235" w:type="pct"/>
                </w:tcPr>
                <w:p w14:paraId="0BBF2CE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194" w:type="pct"/>
                </w:tcPr>
                <w:p w14:paraId="40298B0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077" w:type="pct"/>
                </w:tcPr>
                <w:p w14:paraId="14C77C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FC2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3E71F89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31</w:t>
                  </w:r>
                </w:p>
              </w:tc>
              <w:tc>
                <w:tcPr>
                  <w:tcW w:w="747" w:type="pct"/>
                </w:tcPr>
                <w:p w14:paraId="355AD5F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235" w:type="pct"/>
                </w:tcPr>
                <w:p w14:paraId="78CFD43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194" w:type="pct"/>
                </w:tcPr>
                <w:p w14:paraId="580C967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077" w:type="pct"/>
                </w:tcPr>
                <w:p w14:paraId="75F47F3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DB2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11E997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35</w:t>
                  </w:r>
                </w:p>
              </w:tc>
              <w:tc>
                <w:tcPr>
                  <w:tcW w:w="747" w:type="pct"/>
                </w:tcPr>
                <w:p w14:paraId="497216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235" w:type="pct"/>
                </w:tcPr>
                <w:p w14:paraId="38CD64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194" w:type="pct"/>
                </w:tcPr>
                <w:p w14:paraId="3A8630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077" w:type="pct"/>
                </w:tcPr>
                <w:p w14:paraId="48F1576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A6F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00CC421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36</w:t>
                  </w:r>
                </w:p>
              </w:tc>
              <w:tc>
                <w:tcPr>
                  <w:tcW w:w="747" w:type="pct"/>
                </w:tcPr>
                <w:p w14:paraId="3710516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235" w:type="pct"/>
                </w:tcPr>
                <w:p w14:paraId="0810EA7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194" w:type="pct"/>
                </w:tcPr>
                <w:p w14:paraId="0BFEAB3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077" w:type="pct"/>
                </w:tcPr>
                <w:p w14:paraId="43FA753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EDD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177CCC4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38</w:t>
                  </w:r>
                </w:p>
              </w:tc>
              <w:tc>
                <w:tcPr>
                  <w:tcW w:w="747" w:type="pct"/>
                </w:tcPr>
                <w:p w14:paraId="29B5D1D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235" w:type="pct"/>
                </w:tcPr>
                <w:p w14:paraId="3F3F8C8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194" w:type="pct"/>
                </w:tcPr>
                <w:p w14:paraId="03FF011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077" w:type="pct"/>
                </w:tcPr>
                <w:p w14:paraId="68D8C3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FAD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01022BD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39</w:t>
                  </w:r>
                </w:p>
              </w:tc>
              <w:tc>
                <w:tcPr>
                  <w:tcW w:w="747" w:type="pct"/>
                </w:tcPr>
                <w:p w14:paraId="4B579C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235" w:type="pct"/>
                </w:tcPr>
                <w:p w14:paraId="7B2B62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194" w:type="pct"/>
                </w:tcPr>
                <w:p w14:paraId="4A5C5B2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077" w:type="pct"/>
                </w:tcPr>
                <w:p w14:paraId="542161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861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6C736C8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40</w:t>
                  </w:r>
                </w:p>
              </w:tc>
              <w:tc>
                <w:tcPr>
                  <w:tcW w:w="747" w:type="pct"/>
                </w:tcPr>
                <w:p w14:paraId="23170EB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235" w:type="pct"/>
                </w:tcPr>
                <w:p w14:paraId="469C91F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194" w:type="pct"/>
                </w:tcPr>
                <w:p w14:paraId="7F98AAD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077" w:type="pct"/>
                </w:tcPr>
                <w:p w14:paraId="1EDFBCF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C22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1C3DE7B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平均</w:t>
                  </w:r>
                </w:p>
              </w:tc>
              <w:tc>
                <w:tcPr>
                  <w:tcW w:w="747" w:type="pct"/>
                </w:tcPr>
                <w:p w14:paraId="0DEF2FD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35" w:type="pct"/>
                </w:tcPr>
                <w:p w14:paraId="2C0A6B0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4" w:type="pct"/>
                </w:tcPr>
                <w:p w14:paraId="26B98A7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077" w:type="pct"/>
                </w:tcPr>
                <w:p w14:paraId="3700FE2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63C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tcPr>
                <w:p w14:paraId="1BC39BC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范围</w:t>
                  </w:r>
                </w:p>
              </w:tc>
              <w:tc>
                <w:tcPr>
                  <w:tcW w:w="747" w:type="pct"/>
                </w:tcPr>
                <w:p w14:paraId="3A3C762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35" w:type="pct"/>
                </w:tcPr>
                <w:p w14:paraId="3C8E04A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194" w:type="pct"/>
                </w:tcPr>
                <w:p w14:paraId="2F56050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77" w:type="pct"/>
                </w:tcPr>
                <w:p w14:paraId="120C203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bl>
          <w:p w14:paraId="06558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③</w:t>
            </w:r>
            <w:r>
              <w:rPr>
                <w:rFonts w:hint="eastAsia"/>
                <w:bCs/>
                <w:color w:val="000000" w:themeColor="text1"/>
                <w:sz w:val="24"/>
                <w:szCs w:val="24"/>
                <w14:textFill>
                  <w14:solidFill>
                    <w14:schemeClr w14:val="tx1"/>
                  </w14:solidFill>
                </w14:textFill>
              </w:rPr>
              <w:t>幼体比例</w:t>
            </w:r>
          </w:p>
          <w:p w14:paraId="1B7CA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次调查幼体群体占所有游泳生物群体的平均比例28.59%。渔获物中，鱼类幼体比例为29.63%，虾类幼体比例为35.62%，蟹类幼体比例为25.07%，虾蛄类幼体比为22.77%，头足类幼体比例为27.82%。各类群成体尾数、幼体尾数和幼体比例见表</w:t>
            </w:r>
            <w:r>
              <w:rPr>
                <w:rFonts w:hint="eastAsia"/>
                <w:bCs/>
                <w:color w:val="000000" w:themeColor="text1"/>
                <w:sz w:val="24"/>
                <w:szCs w:val="24"/>
                <w:lang w:val="en-US" w:eastAsia="zh-CN"/>
                <w14:textFill>
                  <w14:solidFill>
                    <w14:schemeClr w14:val="tx1"/>
                  </w14:solidFill>
                </w14:textFill>
              </w:rPr>
              <w:t>3.5-21</w:t>
            </w:r>
            <w:r>
              <w:rPr>
                <w:rFonts w:hint="eastAsia"/>
                <w:bCs/>
                <w:color w:val="000000" w:themeColor="text1"/>
                <w:sz w:val="24"/>
                <w:szCs w:val="24"/>
                <w14:textFill>
                  <w14:solidFill>
                    <w14:schemeClr w14:val="tx1"/>
                  </w14:solidFill>
                </w14:textFill>
              </w:rPr>
              <w:t>，渔获物各种类幼体比例见表</w:t>
            </w:r>
            <w:r>
              <w:rPr>
                <w:rFonts w:hint="eastAsia"/>
                <w:bCs/>
                <w:color w:val="000000" w:themeColor="text1"/>
                <w:sz w:val="24"/>
                <w:szCs w:val="24"/>
                <w:lang w:val="en-US" w:eastAsia="zh-CN"/>
                <w14:textFill>
                  <w14:solidFill>
                    <w14:schemeClr w14:val="tx1"/>
                  </w14:solidFill>
                </w14:textFill>
              </w:rPr>
              <w:t>3.5-22</w:t>
            </w:r>
            <w:r>
              <w:rPr>
                <w:rFonts w:hint="eastAsia"/>
                <w:bCs/>
                <w:color w:val="000000" w:themeColor="text1"/>
                <w:sz w:val="24"/>
                <w:szCs w:val="24"/>
                <w14:textFill>
                  <w14:solidFill>
                    <w14:schemeClr w14:val="tx1"/>
                  </w14:solidFill>
                </w14:textFill>
              </w:rPr>
              <w:t>。</w:t>
            </w:r>
          </w:p>
          <w:p w14:paraId="18E668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bookmarkStart w:id="28" w:name="_Ref325620252"/>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 xml:space="preserve">3.5-21 </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zh-CN" w:eastAsia="zh-CN"/>
              </w:rPr>
              <w:t>游泳生物拖网分类群成体尾数、幼体尾数和幼体比例（%）</w:t>
            </w:r>
            <w:bookmarkEnd w:id="28"/>
          </w:p>
          <w:tbl>
            <w:tblPr>
              <w:tblStyle w:val="28"/>
              <w:tblW w:w="85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2"/>
              <w:gridCol w:w="2381"/>
              <w:gridCol w:w="1839"/>
              <w:gridCol w:w="1737"/>
              <w:gridCol w:w="1403"/>
            </w:tblGrid>
            <w:tr w14:paraId="7A9559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blHeader/>
                <w:jc w:val="center"/>
              </w:trPr>
              <w:tc>
                <w:tcPr>
                  <w:tcW w:w="1162" w:type="dxa"/>
                  <w:tcBorders>
                    <w:top w:val="single" w:color="000000" w:sz="4" w:space="0"/>
                    <w:left w:val="single" w:color="000000" w:sz="4" w:space="0"/>
                    <w:bottom w:val="single" w:color="000000" w:sz="4" w:space="0"/>
                    <w:right w:val="single" w:color="000000" w:sz="4" w:space="0"/>
                  </w:tcBorders>
                  <w:vAlign w:val="center"/>
                </w:tcPr>
                <w:p w14:paraId="5A5454D7">
                  <w:pPr>
                    <w:keepNext w:val="0"/>
                    <w:keepLines w:val="0"/>
                    <w:suppressLineNumbers w:val="0"/>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bookmarkStart w:id="29" w:name="_Ref326153965"/>
                  <w:r>
                    <w:rPr>
                      <w:rFonts w:hint="eastAsia"/>
                      <w:b/>
                      <w:bCs/>
                      <w:color w:val="000000" w:themeColor="text1"/>
                      <w:sz w:val="21"/>
                      <w:szCs w:val="21"/>
                      <w14:textFill>
                        <w14:solidFill>
                          <w14:schemeClr w14:val="tx1"/>
                        </w14:solidFill>
                      </w14:textFill>
                    </w:rPr>
                    <w:t>类群</w:t>
                  </w:r>
                </w:p>
              </w:tc>
              <w:tc>
                <w:tcPr>
                  <w:tcW w:w="2381" w:type="dxa"/>
                  <w:tcBorders>
                    <w:top w:val="single" w:color="000000" w:sz="4" w:space="0"/>
                    <w:left w:val="single" w:color="000000" w:sz="4" w:space="0"/>
                    <w:bottom w:val="single" w:color="000000" w:sz="4" w:space="0"/>
                    <w:right w:val="single" w:color="000000" w:sz="4" w:space="0"/>
                  </w:tcBorders>
                  <w:vAlign w:val="center"/>
                </w:tcPr>
                <w:p w14:paraId="7047A8E6">
                  <w:pPr>
                    <w:keepNext w:val="0"/>
                    <w:keepLines w:val="0"/>
                    <w:suppressLineNumbers w:val="0"/>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成体尾数（ind）</w:t>
                  </w:r>
                </w:p>
              </w:tc>
              <w:tc>
                <w:tcPr>
                  <w:tcW w:w="1839" w:type="dxa"/>
                  <w:tcBorders>
                    <w:top w:val="single" w:color="000000" w:sz="4" w:space="0"/>
                    <w:left w:val="single" w:color="000000" w:sz="4" w:space="0"/>
                    <w:bottom w:val="single" w:color="000000" w:sz="4" w:space="0"/>
                    <w:right w:val="single" w:color="000000" w:sz="4" w:space="0"/>
                  </w:tcBorders>
                  <w:vAlign w:val="center"/>
                </w:tcPr>
                <w:p w14:paraId="082775DF">
                  <w:pPr>
                    <w:keepNext w:val="0"/>
                    <w:keepLines w:val="0"/>
                    <w:suppressLineNumbers w:val="0"/>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幼体尾数（ind）</w:t>
                  </w:r>
                </w:p>
              </w:tc>
              <w:tc>
                <w:tcPr>
                  <w:tcW w:w="1737" w:type="dxa"/>
                  <w:tcBorders>
                    <w:top w:val="single" w:color="000000" w:sz="4" w:space="0"/>
                    <w:left w:val="single" w:color="000000" w:sz="4" w:space="0"/>
                    <w:bottom w:val="single" w:color="000000" w:sz="4" w:space="0"/>
                    <w:right w:val="single" w:color="000000" w:sz="4" w:space="0"/>
                  </w:tcBorders>
                  <w:vAlign w:val="center"/>
                </w:tcPr>
                <w:p w14:paraId="6CE1984B">
                  <w:pPr>
                    <w:keepNext w:val="0"/>
                    <w:keepLines w:val="0"/>
                    <w:suppressLineNumbers w:val="0"/>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总尾数（ind）</w:t>
                  </w:r>
                </w:p>
              </w:tc>
              <w:tc>
                <w:tcPr>
                  <w:tcW w:w="1403" w:type="dxa"/>
                  <w:tcBorders>
                    <w:top w:val="single" w:color="000000" w:sz="4" w:space="0"/>
                    <w:left w:val="single" w:color="000000" w:sz="4" w:space="0"/>
                    <w:bottom w:val="single" w:color="000000" w:sz="4" w:space="0"/>
                    <w:right w:val="single" w:color="000000" w:sz="4" w:space="0"/>
                  </w:tcBorders>
                  <w:vAlign w:val="center"/>
                </w:tcPr>
                <w:p w14:paraId="259C5C80">
                  <w:pPr>
                    <w:keepNext w:val="0"/>
                    <w:keepLines w:val="0"/>
                    <w:suppressLineNumbers w:val="0"/>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幼体比%</w:t>
                  </w:r>
                </w:p>
              </w:tc>
            </w:tr>
            <w:tr w14:paraId="3C8B8C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62" w:type="dxa"/>
                  <w:tcBorders>
                    <w:top w:val="single" w:color="000000" w:sz="4" w:space="0"/>
                    <w:left w:val="single" w:color="000000" w:sz="4" w:space="0"/>
                    <w:bottom w:val="single" w:color="000000" w:sz="4" w:space="0"/>
                    <w:right w:val="single" w:color="000000" w:sz="4" w:space="0"/>
                  </w:tcBorders>
                  <w:vAlign w:val="center"/>
                </w:tcPr>
                <w:p w14:paraId="4E9DAD5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2381" w:type="dxa"/>
                  <w:tcBorders>
                    <w:top w:val="single" w:color="000000" w:sz="4" w:space="0"/>
                    <w:left w:val="single" w:color="000000" w:sz="4" w:space="0"/>
                    <w:bottom w:val="single" w:color="000000" w:sz="4" w:space="0"/>
                    <w:right w:val="single" w:color="000000" w:sz="4" w:space="0"/>
                  </w:tcBorders>
                  <w:vAlign w:val="center"/>
                </w:tcPr>
                <w:p w14:paraId="120EDF4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sz w:val="24"/>
                    </w:rPr>
                    <w:t>*</w:t>
                  </w:r>
                  <w:r>
                    <w:rPr>
                      <w:sz w:val="24"/>
                    </w:rPr>
                    <w:t>**</w:t>
                  </w:r>
                </w:p>
              </w:tc>
              <w:tc>
                <w:tcPr>
                  <w:tcW w:w="1839" w:type="dxa"/>
                  <w:tcBorders>
                    <w:top w:val="single" w:color="000000" w:sz="4" w:space="0"/>
                    <w:left w:val="single" w:color="000000" w:sz="4" w:space="0"/>
                    <w:bottom w:val="single" w:color="000000" w:sz="4" w:space="0"/>
                    <w:right w:val="single" w:color="000000" w:sz="4" w:space="0"/>
                  </w:tcBorders>
                  <w:vAlign w:val="center"/>
                </w:tcPr>
                <w:p w14:paraId="5F97B0D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737" w:type="dxa"/>
                  <w:tcBorders>
                    <w:top w:val="single" w:color="000000" w:sz="4" w:space="0"/>
                    <w:left w:val="single" w:color="000000" w:sz="4" w:space="0"/>
                    <w:bottom w:val="single" w:color="000000" w:sz="4" w:space="0"/>
                    <w:right w:val="single" w:color="000000" w:sz="4" w:space="0"/>
                  </w:tcBorders>
                  <w:vAlign w:val="center"/>
                </w:tcPr>
                <w:p w14:paraId="59689F2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vAlign w:val="center"/>
                </w:tcPr>
                <w:p w14:paraId="1DAE23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E8D71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62" w:type="dxa"/>
                  <w:tcBorders>
                    <w:top w:val="single" w:color="000000" w:sz="4" w:space="0"/>
                    <w:left w:val="single" w:color="000000" w:sz="4" w:space="0"/>
                    <w:bottom w:val="single" w:color="000000" w:sz="4" w:space="0"/>
                    <w:right w:val="single" w:color="000000" w:sz="4" w:space="0"/>
                  </w:tcBorders>
                  <w:vAlign w:val="center"/>
                </w:tcPr>
                <w:p w14:paraId="50999E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虾蛄类</w:t>
                  </w:r>
                </w:p>
              </w:tc>
              <w:tc>
                <w:tcPr>
                  <w:tcW w:w="2381" w:type="dxa"/>
                  <w:tcBorders>
                    <w:top w:val="single" w:color="000000" w:sz="4" w:space="0"/>
                    <w:left w:val="single" w:color="000000" w:sz="4" w:space="0"/>
                    <w:bottom w:val="single" w:color="000000" w:sz="4" w:space="0"/>
                    <w:right w:val="single" w:color="000000" w:sz="4" w:space="0"/>
                  </w:tcBorders>
                  <w:vAlign w:val="center"/>
                </w:tcPr>
                <w:p w14:paraId="306B476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839" w:type="dxa"/>
                  <w:tcBorders>
                    <w:top w:val="single" w:color="000000" w:sz="4" w:space="0"/>
                    <w:left w:val="single" w:color="000000" w:sz="4" w:space="0"/>
                    <w:bottom w:val="single" w:color="000000" w:sz="4" w:space="0"/>
                    <w:right w:val="single" w:color="000000" w:sz="4" w:space="0"/>
                  </w:tcBorders>
                  <w:vAlign w:val="center"/>
                </w:tcPr>
                <w:p w14:paraId="1E9FCB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737" w:type="dxa"/>
                  <w:tcBorders>
                    <w:top w:val="single" w:color="000000" w:sz="4" w:space="0"/>
                    <w:left w:val="single" w:color="000000" w:sz="4" w:space="0"/>
                    <w:bottom w:val="single" w:color="000000" w:sz="4" w:space="0"/>
                    <w:right w:val="single" w:color="000000" w:sz="4" w:space="0"/>
                  </w:tcBorders>
                  <w:vAlign w:val="center"/>
                </w:tcPr>
                <w:p w14:paraId="73589C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vAlign w:val="center"/>
                </w:tcPr>
                <w:p w14:paraId="29892CE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8010FE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62" w:type="dxa"/>
                  <w:tcBorders>
                    <w:top w:val="single" w:color="000000" w:sz="4" w:space="0"/>
                    <w:left w:val="single" w:color="000000" w:sz="4" w:space="0"/>
                    <w:bottom w:val="single" w:color="000000" w:sz="4" w:space="0"/>
                    <w:right w:val="single" w:color="000000" w:sz="4" w:space="0"/>
                  </w:tcBorders>
                  <w:vAlign w:val="center"/>
                </w:tcPr>
                <w:p w14:paraId="634C74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虾类</w:t>
                  </w:r>
                </w:p>
              </w:tc>
              <w:tc>
                <w:tcPr>
                  <w:tcW w:w="2381" w:type="dxa"/>
                  <w:tcBorders>
                    <w:top w:val="single" w:color="000000" w:sz="4" w:space="0"/>
                    <w:left w:val="single" w:color="000000" w:sz="4" w:space="0"/>
                    <w:bottom w:val="single" w:color="000000" w:sz="4" w:space="0"/>
                    <w:right w:val="single" w:color="000000" w:sz="4" w:space="0"/>
                  </w:tcBorders>
                  <w:vAlign w:val="center"/>
                </w:tcPr>
                <w:p w14:paraId="07310FC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839" w:type="dxa"/>
                  <w:tcBorders>
                    <w:top w:val="single" w:color="000000" w:sz="4" w:space="0"/>
                    <w:left w:val="single" w:color="000000" w:sz="4" w:space="0"/>
                    <w:bottom w:val="single" w:color="000000" w:sz="4" w:space="0"/>
                    <w:right w:val="single" w:color="000000" w:sz="4" w:space="0"/>
                  </w:tcBorders>
                  <w:vAlign w:val="center"/>
                </w:tcPr>
                <w:p w14:paraId="00367D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737" w:type="dxa"/>
                  <w:tcBorders>
                    <w:top w:val="single" w:color="000000" w:sz="4" w:space="0"/>
                    <w:left w:val="single" w:color="000000" w:sz="4" w:space="0"/>
                    <w:bottom w:val="single" w:color="000000" w:sz="4" w:space="0"/>
                    <w:right w:val="single" w:color="000000" w:sz="4" w:space="0"/>
                  </w:tcBorders>
                  <w:vAlign w:val="center"/>
                </w:tcPr>
                <w:p w14:paraId="4574243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vAlign w:val="center"/>
                </w:tcPr>
                <w:p w14:paraId="139F0E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6E6334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62" w:type="dxa"/>
                  <w:tcBorders>
                    <w:top w:val="single" w:color="000000" w:sz="4" w:space="0"/>
                    <w:left w:val="single" w:color="000000" w:sz="4" w:space="0"/>
                    <w:bottom w:val="single" w:color="000000" w:sz="4" w:space="0"/>
                    <w:right w:val="single" w:color="000000" w:sz="4" w:space="0"/>
                  </w:tcBorders>
                  <w:vAlign w:val="center"/>
                </w:tcPr>
                <w:p w14:paraId="3BCAF8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蟹类</w:t>
                  </w:r>
                </w:p>
              </w:tc>
              <w:tc>
                <w:tcPr>
                  <w:tcW w:w="2381" w:type="dxa"/>
                  <w:tcBorders>
                    <w:top w:val="single" w:color="000000" w:sz="4" w:space="0"/>
                    <w:left w:val="single" w:color="000000" w:sz="4" w:space="0"/>
                    <w:bottom w:val="single" w:color="000000" w:sz="4" w:space="0"/>
                    <w:right w:val="single" w:color="000000" w:sz="4" w:space="0"/>
                  </w:tcBorders>
                  <w:vAlign w:val="center"/>
                </w:tcPr>
                <w:p w14:paraId="74BDE7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839" w:type="dxa"/>
                  <w:tcBorders>
                    <w:top w:val="single" w:color="000000" w:sz="4" w:space="0"/>
                    <w:left w:val="single" w:color="000000" w:sz="4" w:space="0"/>
                    <w:bottom w:val="single" w:color="000000" w:sz="4" w:space="0"/>
                    <w:right w:val="single" w:color="000000" w:sz="4" w:space="0"/>
                  </w:tcBorders>
                  <w:vAlign w:val="center"/>
                </w:tcPr>
                <w:p w14:paraId="34664C0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737" w:type="dxa"/>
                  <w:tcBorders>
                    <w:top w:val="single" w:color="000000" w:sz="4" w:space="0"/>
                    <w:left w:val="single" w:color="000000" w:sz="4" w:space="0"/>
                    <w:bottom w:val="single" w:color="000000" w:sz="4" w:space="0"/>
                    <w:right w:val="single" w:color="000000" w:sz="4" w:space="0"/>
                  </w:tcBorders>
                  <w:vAlign w:val="center"/>
                </w:tcPr>
                <w:p w14:paraId="537F633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vAlign w:val="center"/>
                </w:tcPr>
                <w:p w14:paraId="590DF11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41444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62" w:type="dxa"/>
                  <w:tcBorders>
                    <w:top w:val="single" w:color="000000" w:sz="4" w:space="0"/>
                    <w:left w:val="single" w:color="000000" w:sz="4" w:space="0"/>
                    <w:bottom w:val="single" w:color="000000" w:sz="4" w:space="0"/>
                    <w:right w:val="single" w:color="000000" w:sz="4" w:space="0"/>
                  </w:tcBorders>
                  <w:vAlign w:val="center"/>
                </w:tcPr>
                <w:p w14:paraId="484B03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头足类</w:t>
                  </w:r>
                </w:p>
              </w:tc>
              <w:tc>
                <w:tcPr>
                  <w:tcW w:w="2381" w:type="dxa"/>
                  <w:tcBorders>
                    <w:top w:val="single" w:color="000000" w:sz="4" w:space="0"/>
                    <w:left w:val="single" w:color="000000" w:sz="4" w:space="0"/>
                    <w:bottom w:val="single" w:color="000000" w:sz="4" w:space="0"/>
                    <w:right w:val="single" w:color="000000" w:sz="4" w:space="0"/>
                  </w:tcBorders>
                  <w:vAlign w:val="center"/>
                </w:tcPr>
                <w:p w14:paraId="00C5353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839" w:type="dxa"/>
                  <w:tcBorders>
                    <w:top w:val="single" w:color="000000" w:sz="4" w:space="0"/>
                    <w:left w:val="single" w:color="000000" w:sz="4" w:space="0"/>
                    <w:bottom w:val="single" w:color="000000" w:sz="4" w:space="0"/>
                    <w:right w:val="single" w:color="000000" w:sz="4" w:space="0"/>
                  </w:tcBorders>
                  <w:vAlign w:val="center"/>
                </w:tcPr>
                <w:p w14:paraId="2896E8A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737" w:type="dxa"/>
                  <w:tcBorders>
                    <w:top w:val="single" w:color="000000" w:sz="4" w:space="0"/>
                    <w:left w:val="single" w:color="000000" w:sz="4" w:space="0"/>
                    <w:bottom w:val="single" w:color="000000" w:sz="4" w:space="0"/>
                    <w:right w:val="single" w:color="000000" w:sz="4" w:space="0"/>
                  </w:tcBorders>
                  <w:vAlign w:val="center"/>
                </w:tcPr>
                <w:p w14:paraId="4068239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vAlign w:val="center"/>
                </w:tcPr>
                <w:p w14:paraId="762928E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bookmarkEnd w:id="29"/>
          </w:tbl>
          <w:p w14:paraId="388BF730">
            <w:pPr>
              <w:keepNext w:val="0"/>
              <w:keepLines w:val="0"/>
              <w:suppressLineNumbers w:val="0"/>
              <w:snapToGrid w:val="0"/>
              <w:spacing w:before="0" w:beforeAutospacing="0" w:after="0" w:afterAutospacing="0" w:line="200" w:lineRule="exact"/>
              <w:ind w:left="420" w:leftChars="200" w:right="0"/>
              <w:jc w:val="center"/>
              <w:rPr>
                <w:rFonts w:hint="eastAsia"/>
                <w:b/>
                <w:bCs/>
                <w:color w:val="000000" w:themeColor="text1"/>
                <w:sz w:val="21"/>
                <w:szCs w:val="21"/>
                <w14:textFill>
                  <w14:solidFill>
                    <w14:schemeClr w14:val="tx1"/>
                  </w14:solidFill>
                </w14:textFill>
              </w:rPr>
            </w:pPr>
          </w:p>
          <w:p w14:paraId="6C96CA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3.5-22</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zh-CN" w:eastAsia="zh-CN"/>
              </w:rPr>
              <w:t>游泳生物拖网分类群成体尾数、幼体尾数和幼体比例（%）</w:t>
            </w:r>
          </w:p>
          <w:tbl>
            <w:tblPr>
              <w:tblStyle w:val="28"/>
              <w:tblW w:w="8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97"/>
              <w:gridCol w:w="965"/>
              <w:gridCol w:w="965"/>
              <w:gridCol w:w="964"/>
              <w:gridCol w:w="964"/>
              <w:gridCol w:w="964"/>
            </w:tblGrid>
            <w:tr w14:paraId="3EAFE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3697" w:type="dxa"/>
                  <w:noWrap/>
                  <w:vAlign w:val="center"/>
                </w:tcPr>
                <w:p w14:paraId="6FDF7C59">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类群</w:t>
                  </w:r>
                </w:p>
              </w:tc>
              <w:tc>
                <w:tcPr>
                  <w:tcW w:w="965" w:type="dxa"/>
                  <w:noWrap/>
                  <w:vAlign w:val="center"/>
                </w:tcPr>
                <w:p w14:paraId="6BB265AE">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鱼类</w:t>
                  </w:r>
                </w:p>
              </w:tc>
              <w:tc>
                <w:tcPr>
                  <w:tcW w:w="965" w:type="dxa"/>
                  <w:noWrap/>
                  <w:vAlign w:val="center"/>
                </w:tcPr>
                <w:p w14:paraId="35F3AE16">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虾蛄类</w:t>
                  </w:r>
                </w:p>
              </w:tc>
              <w:tc>
                <w:tcPr>
                  <w:tcW w:w="964" w:type="dxa"/>
                  <w:noWrap/>
                  <w:vAlign w:val="center"/>
                </w:tcPr>
                <w:p w14:paraId="606A4ECB">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虾类</w:t>
                  </w:r>
                </w:p>
              </w:tc>
              <w:tc>
                <w:tcPr>
                  <w:tcW w:w="964" w:type="dxa"/>
                  <w:noWrap/>
                  <w:vAlign w:val="center"/>
                </w:tcPr>
                <w:p w14:paraId="695DA28D">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蟹类</w:t>
                  </w:r>
                </w:p>
              </w:tc>
              <w:tc>
                <w:tcPr>
                  <w:tcW w:w="964" w:type="dxa"/>
                  <w:noWrap/>
                  <w:vAlign w:val="center"/>
                </w:tcPr>
                <w:p w14:paraId="4831EF23">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头足类</w:t>
                  </w:r>
                </w:p>
              </w:tc>
            </w:tr>
            <w:tr w14:paraId="01FFA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7DE9986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幼体尾数（ind）</w:t>
                  </w:r>
                </w:p>
              </w:tc>
              <w:tc>
                <w:tcPr>
                  <w:tcW w:w="965" w:type="dxa"/>
                  <w:noWrap/>
                  <w:vAlign w:val="center"/>
                </w:tcPr>
                <w:p w14:paraId="0587EB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sz w:val="24"/>
                    </w:rPr>
                    <w:t>*</w:t>
                  </w:r>
                  <w:r>
                    <w:rPr>
                      <w:sz w:val="24"/>
                    </w:rPr>
                    <w:t>**</w:t>
                  </w:r>
                </w:p>
              </w:tc>
              <w:tc>
                <w:tcPr>
                  <w:tcW w:w="965" w:type="dxa"/>
                  <w:noWrap/>
                  <w:vAlign w:val="center"/>
                </w:tcPr>
                <w:p w14:paraId="4A6175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17D8E8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77530C8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4815A8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914B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476ED2E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成体尾数（ind）</w:t>
                  </w:r>
                </w:p>
              </w:tc>
              <w:tc>
                <w:tcPr>
                  <w:tcW w:w="965" w:type="dxa"/>
                  <w:noWrap/>
                  <w:vAlign w:val="center"/>
                </w:tcPr>
                <w:p w14:paraId="019EDC8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467F70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21FB6FD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45FEF9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61B789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18C03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0A99866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总尾数（ind）</w:t>
                  </w:r>
                </w:p>
              </w:tc>
              <w:tc>
                <w:tcPr>
                  <w:tcW w:w="965" w:type="dxa"/>
                  <w:noWrap/>
                  <w:vAlign w:val="center"/>
                </w:tcPr>
                <w:p w14:paraId="3EC65AF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5A9D648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6325F6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42619D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35EE79B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10D8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203ADB4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幼体比%</w:t>
                  </w:r>
                </w:p>
              </w:tc>
              <w:tc>
                <w:tcPr>
                  <w:tcW w:w="965" w:type="dxa"/>
                  <w:noWrap/>
                  <w:vAlign w:val="center"/>
                </w:tcPr>
                <w:p w14:paraId="0CFAE47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101BB9D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12B55C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52B11E1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6FDBDF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1AA5B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5F52916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幼体平均体重（g/ind）</w:t>
                  </w:r>
                </w:p>
              </w:tc>
              <w:tc>
                <w:tcPr>
                  <w:tcW w:w="965" w:type="dxa"/>
                  <w:noWrap/>
                  <w:vAlign w:val="center"/>
                </w:tcPr>
                <w:p w14:paraId="7DA1E5A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46F4167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1D0E317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448B729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34B83A6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DACB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6385B98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幼体平均重量渔获率（kg/h）</w:t>
                  </w:r>
                </w:p>
              </w:tc>
              <w:tc>
                <w:tcPr>
                  <w:tcW w:w="965" w:type="dxa"/>
                  <w:noWrap/>
                  <w:vAlign w:val="center"/>
                </w:tcPr>
                <w:p w14:paraId="1C2C2B0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657C102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638462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68CDAE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35A59E0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9F64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55126F7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幼体平均个体渔获率（ind/h）</w:t>
                  </w:r>
                </w:p>
              </w:tc>
              <w:tc>
                <w:tcPr>
                  <w:tcW w:w="965" w:type="dxa"/>
                  <w:noWrap/>
                  <w:vAlign w:val="center"/>
                </w:tcPr>
                <w:p w14:paraId="3F4ACCD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33A25A0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7664C8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1371E5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1390ED8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1ECD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382EC21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幼体平均个体密度（×10</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ind/km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965" w:type="dxa"/>
                  <w:noWrap/>
                  <w:vAlign w:val="center"/>
                </w:tcPr>
                <w:p w14:paraId="74D9EFE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67D49C0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627273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5BD1C00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18C1126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CEE8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35AC002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幼体平均重量密度（kg/km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965" w:type="dxa"/>
                  <w:noWrap/>
                  <w:vAlign w:val="center"/>
                </w:tcPr>
                <w:p w14:paraId="228ECF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5BCAB4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0A86D4D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719F468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06621C9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D8FB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64CB47C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成体平均体重（g/ind）</w:t>
                  </w:r>
                </w:p>
              </w:tc>
              <w:tc>
                <w:tcPr>
                  <w:tcW w:w="965" w:type="dxa"/>
                  <w:noWrap/>
                  <w:vAlign w:val="center"/>
                </w:tcPr>
                <w:p w14:paraId="658EBDD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3014F1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2E74A3D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4BBF13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7C5540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2230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3D81EC2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成体平均重量渔获率（kg/h）</w:t>
                  </w:r>
                </w:p>
              </w:tc>
              <w:tc>
                <w:tcPr>
                  <w:tcW w:w="965" w:type="dxa"/>
                  <w:noWrap/>
                  <w:vAlign w:val="center"/>
                </w:tcPr>
                <w:p w14:paraId="3C4D49B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7C12D2F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7935335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09004F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6BF99DA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E2AE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7625D5C6">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成体平均个体渔获率（ind/h）</w:t>
                  </w:r>
                </w:p>
              </w:tc>
              <w:tc>
                <w:tcPr>
                  <w:tcW w:w="965" w:type="dxa"/>
                  <w:noWrap/>
                  <w:vAlign w:val="center"/>
                </w:tcPr>
                <w:p w14:paraId="24870A5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6BA547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3EC6685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5C9E49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3F7DF4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FA3A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2FBE511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成体平均个体密度（×10</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ind/km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965" w:type="dxa"/>
                  <w:noWrap/>
                  <w:vAlign w:val="center"/>
                </w:tcPr>
                <w:p w14:paraId="3338F01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2A5F5F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27F0AC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571A09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1CE59C2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A506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345A1F9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成体平均重量密度（kg/km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965" w:type="dxa"/>
                  <w:noWrap/>
                  <w:vAlign w:val="center"/>
                </w:tcPr>
                <w:p w14:paraId="0079CEE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5C03237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7F75A61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5F7195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237A6A6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9B52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693EC52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总平均重量渔获率（kg/h）</w:t>
                  </w:r>
                </w:p>
              </w:tc>
              <w:tc>
                <w:tcPr>
                  <w:tcW w:w="965" w:type="dxa"/>
                  <w:noWrap/>
                  <w:vAlign w:val="center"/>
                </w:tcPr>
                <w:p w14:paraId="281F40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520B1F1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0FB572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3F05D9D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5E81EED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9C93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3697" w:type="dxa"/>
                  <w:noWrap/>
                  <w:vAlign w:val="center"/>
                </w:tcPr>
                <w:p w14:paraId="76F6FEE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总平均个体渔获率（ind/h）</w:t>
                  </w:r>
                </w:p>
              </w:tc>
              <w:tc>
                <w:tcPr>
                  <w:tcW w:w="965" w:type="dxa"/>
                  <w:noWrap/>
                  <w:vAlign w:val="center"/>
                </w:tcPr>
                <w:p w14:paraId="7C9D7E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411CB99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060903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22E2403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5CC702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3B56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184C490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总平均个体密度（×10</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ind/km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965" w:type="dxa"/>
                  <w:noWrap/>
                  <w:vAlign w:val="center"/>
                </w:tcPr>
                <w:p w14:paraId="419A91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61D8FD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5C9268B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77C89C8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6629FC0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ECCD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97" w:type="dxa"/>
                  <w:noWrap/>
                  <w:vAlign w:val="center"/>
                </w:tcPr>
                <w:p w14:paraId="11A6340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总平均重量密度（kg/km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965" w:type="dxa"/>
                  <w:noWrap/>
                  <w:vAlign w:val="center"/>
                </w:tcPr>
                <w:p w14:paraId="3027C02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5" w:type="dxa"/>
                  <w:noWrap/>
                  <w:vAlign w:val="center"/>
                </w:tcPr>
                <w:p w14:paraId="00033B1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16FE87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3D95589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4" w:type="dxa"/>
                  <w:noWrap/>
                  <w:vAlign w:val="center"/>
                </w:tcPr>
                <w:p w14:paraId="25746E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bl>
          <w:p w14:paraId="7C49626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b/>
                <w:color w:val="000000" w:themeColor="text1"/>
                <w:sz w:val="24"/>
                <w:szCs w:val="24"/>
                <w:lang w:bidi="en-US"/>
                <w14:textFill>
                  <w14:solidFill>
                    <w14:schemeClr w14:val="tx1"/>
                  </w14:solidFill>
                </w14:textFill>
              </w:rPr>
            </w:pPr>
            <w:r>
              <w:rPr>
                <w:rFonts w:hint="eastAsia"/>
                <w:b/>
                <w:color w:val="000000" w:themeColor="text1"/>
                <w:sz w:val="24"/>
                <w:szCs w:val="24"/>
                <w:lang w:bidi="en-US"/>
                <w14:textFill>
                  <w14:solidFill>
                    <w14:schemeClr w14:val="tx1"/>
                  </w14:solidFill>
                </w14:textFill>
              </w:rPr>
              <w:t>2）渔获率</w:t>
            </w:r>
          </w:p>
          <w:p w14:paraId="2651B1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i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渔业资源的平均总重量渔获率和平均总个体渔获率分别为7.71kg/h和576.33ind/h，其中：甲壳类（虾类、蟹类、虾蛄类）的平均重量渔获率和平均个体渔获率分别为3.15kg/h和289.50ind/h，占平均总重量渔获率和平均总个体渔获率分别为40.91%和50.23%；鱼类平均重量渔获率和平均个体渔获率分别为4.21kg/h和250.58ind/h，占平均总重量渔获率和平均总个体渔获率分别为54.57%和43.48%；头足类重量渔获率和个体渔获率分别为0.35kg/h和36.25ind/h，占平均总重量渔获率和平均总个体渔获率分别为4.53%和6.29%（表3.</w:t>
            </w:r>
            <w:r>
              <w:rPr>
                <w:rFonts w:hint="eastAsia"/>
                <w:color w:val="000000" w:themeColor="text1"/>
                <w:sz w:val="24"/>
                <w:szCs w:val="24"/>
                <w:lang w:val="en-US" w:eastAsia="zh-CN"/>
                <w14:textFill>
                  <w14:solidFill>
                    <w14:schemeClr w14:val="tx1"/>
                  </w14:solidFill>
                </w14:textFill>
              </w:rPr>
              <w:t>5-23</w:t>
            </w:r>
            <w:r>
              <w:rPr>
                <w:rFonts w:hint="eastAsia"/>
                <w:color w:val="000000" w:themeColor="text1"/>
                <w:sz w:val="24"/>
                <w:szCs w:val="24"/>
                <w14:textFill>
                  <w14:solidFill>
                    <w14:schemeClr w14:val="tx1"/>
                  </w14:solidFill>
                </w14:textFill>
              </w:rPr>
              <w:t>）。</w:t>
            </w:r>
          </w:p>
          <w:p w14:paraId="0C5B7A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p>
          <w:p w14:paraId="271D48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3.5-23</w:t>
            </w:r>
            <w:r>
              <w:rPr>
                <w:rFonts w:hint="default" w:ascii="Times New Roman" w:hAnsi="Times New Roman" w:cs="Times New Roman"/>
                <w:b/>
                <w:bCs/>
                <w:color w:val="auto"/>
                <w:kern w:val="0"/>
                <w:sz w:val="21"/>
                <w:szCs w:val="21"/>
                <w:lang w:val="zh-CN" w:eastAsia="zh-CN"/>
              </w:rPr>
              <w:t xml:space="preserve"> </w:t>
            </w:r>
            <w:r>
              <w:rPr>
                <w:rFonts w:hint="eastAsia"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zh-CN" w:eastAsia="zh-CN"/>
              </w:rPr>
              <w:t>各断面渔获率及各类群百分比</w:t>
            </w:r>
            <w:bookmarkStart w:id="30" w:name="_Toc481503948"/>
            <w:bookmarkStart w:id="31" w:name="_Toc515635927"/>
          </w:p>
          <w:tbl>
            <w:tblPr>
              <w:tblStyle w:val="28"/>
              <w:tblW w:w="8522"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45"/>
              <w:gridCol w:w="1028"/>
              <w:gridCol w:w="979"/>
              <w:gridCol w:w="960"/>
              <w:gridCol w:w="960"/>
              <w:gridCol w:w="960"/>
              <w:gridCol w:w="960"/>
              <w:gridCol w:w="960"/>
              <w:gridCol w:w="970"/>
            </w:tblGrid>
            <w:tr w14:paraId="7484A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vAlign w:val="center"/>
                </w:tcPr>
                <w:p w14:paraId="296B903C">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断面</w:t>
                  </w:r>
                </w:p>
              </w:tc>
              <w:tc>
                <w:tcPr>
                  <w:tcW w:w="1028" w:type="dxa"/>
                  <w:vMerge w:val="restart"/>
                  <w:tcBorders>
                    <w:tl2br w:val="nil"/>
                    <w:tr2bl w:val="nil"/>
                  </w:tcBorders>
                  <w:vAlign w:val="center"/>
                </w:tcPr>
                <w:p w14:paraId="1E89149B">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总个体渔获率</w:t>
                  </w:r>
                </w:p>
                <w:p w14:paraId="0BE84ABD">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ind/h</w:t>
                  </w:r>
                </w:p>
              </w:tc>
              <w:tc>
                <w:tcPr>
                  <w:tcW w:w="979" w:type="dxa"/>
                  <w:vMerge w:val="restart"/>
                  <w:tcBorders>
                    <w:tl2br w:val="nil"/>
                    <w:tr2bl w:val="nil"/>
                  </w:tcBorders>
                  <w:vAlign w:val="center"/>
                </w:tcPr>
                <w:p w14:paraId="6987F2A0">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总重量渔获率</w:t>
                  </w:r>
                </w:p>
                <w:p w14:paraId="1F73C649">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kg/h</w:t>
                  </w:r>
                </w:p>
              </w:tc>
              <w:tc>
                <w:tcPr>
                  <w:tcW w:w="2880" w:type="dxa"/>
                  <w:gridSpan w:val="3"/>
                  <w:tcBorders>
                    <w:tl2br w:val="nil"/>
                    <w:tr2bl w:val="nil"/>
                  </w:tcBorders>
                  <w:noWrap/>
                  <w:vAlign w:val="center"/>
                </w:tcPr>
                <w:p w14:paraId="378A900C">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类群</w:t>
                  </w:r>
                </w:p>
              </w:tc>
              <w:tc>
                <w:tcPr>
                  <w:tcW w:w="2890" w:type="dxa"/>
                  <w:gridSpan w:val="3"/>
                  <w:tcBorders>
                    <w:tl2br w:val="nil"/>
                    <w:tr2bl w:val="nil"/>
                  </w:tcBorders>
                  <w:noWrap/>
                  <w:vAlign w:val="center"/>
                </w:tcPr>
                <w:p w14:paraId="59C4F8AB">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类群</w:t>
                  </w:r>
                </w:p>
              </w:tc>
            </w:tr>
            <w:tr w14:paraId="4F215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vAlign w:val="center"/>
                </w:tcPr>
                <w:p w14:paraId="215E2850">
                  <w:pPr>
                    <w:keepNext w:val="0"/>
                    <w:keepLines w:val="0"/>
                    <w:suppressLineNumbers w:val="0"/>
                    <w:spacing w:before="0" w:beforeAutospacing="0" w:after="0" w:afterAutospacing="0" w:line="0" w:lineRule="atLeast"/>
                    <w:ind w:left="0" w:right="0"/>
                    <w:jc w:val="center"/>
                    <w:rPr>
                      <w:rFonts w:hint="eastAsia"/>
                      <w:b w:val="0"/>
                      <w:bCs w:val="0"/>
                      <w:color w:val="000000" w:themeColor="text1"/>
                      <w:sz w:val="21"/>
                      <w:szCs w:val="21"/>
                      <w14:textFill>
                        <w14:solidFill>
                          <w14:schemeClr w14:val="tx1"/>
                        </w14:solidFill>
                      </w14:textFill>
                    </w:rPr>
                  </w:pPr>
                </w:p>
              </w:tc>
              <w:tc>
                <w:tcPr>
                  <w:tcW w:w="1028" w:type="dxa"/>
                  <w:vMerge w:val="continue"/>
                  <w:tcBorders>
                    <w:tl2br w:val="nil"/>
                    <w:tr2bl w:val="nil"/>
                  </w:tcBorders>
                  <w:vAlign w:val="center"/>
                </w:tcPr>
                <w:p w14:paraId="343D3970">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p>
              </w:tc>
              <w:tc>
                <w:tcPr>
                  <w:tcW w:w="979" w:type="dxa"/>
                  <w:vMerge w:val="continue"/>
                  <w:tcBorders>
                    <w:tl2br w:val="nil"/>
                    <w:tr2bl w:val="nil"/>
                  </w:tcBorders>
                  <w:vAlign w:val="center"/>
                </w:tcPr>
                <w:p w14:paraId="2BD15641">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p>
              </w:tc>
              <w:tc>
                <w:tcPr>
                  <w:tcW w:w="960" w:type="dxa"/>
                  <w:tcBorders>
                    <w:tl2br w:val="nil"/>
                    <w:tr2bl w:val="nil"/>
                  </w:tcBorders>
                  <w:vAlign w:val="center"/>
                </w:tcPr>
                <w:p w14:paraId="18E6C9EB">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鱼类</w:t>
                  </w:r>
                </w:p>
              </w:tc>
              <w:tc>
                <w:tcPr>
                  <w:tcW w:w="960" w:type="dxa"/>
                  <w:tcBorders>
                    <w:tl2br w:val="nil"/>
                    <w:tr2bl w:val="nil"/>
                  </w:tcBorders>
                  <w:vAlign w:val="center"/>
                </w:tcPr>
                <w:p w14:paraId="68DCE8BA">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甲壳类</w:t>
                  </w:r>
                </w:p>
              </w:tc>
              <w:tc>
                <w:tcPr>
                  <w:tcW w:w="960" w:type="dxa"/>
                  <w:tcBorders>
                    <w:tl2br w:val="nil"/>
                    <w:tr2bl w:val="nil"/>
                  </w:tcBorders>
                  <w:vAlign w:val="center"/>
                </w:tcPr>
                <w:p w14:paraId="7DD915C9">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头足类</w:t>
                  </w:r>
                </w:p>
              </w:tc>
              <w:tc>
                <w:tcPr>
                  <w:tcW w:w="960" w:type="dxa"/>
                  <w:tcBorders>
                    <w:tl2br w:val="nil"/>
                    <w:tr2bl w:val="nil"/>
                  </w:tcBorders>
                  <w:vAlign w:val="center"/>
                </w:tcPr>
                <w:p w14:paraId="0C25C7A5">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鱼类</w:t>
                  </w:r>
                </w:p>
              </w:tc>
              <w:tc>
                <w:tcPr>
                  <w:tcW w:w="960" w:type="dxa"/>
                  <w:tcBorders>
                    <w:tl2br w:val="nil"/>
                    <w:tr2bl w:val="nil"/>
                  </w:tcBorders>
                  <w:vAlign w:val="center"/>
                </w:tcPr>
                <w:p w14:paraId="2068AFBA">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甲壳类</w:t>
                  </w:r>
                </w:p>
              </w:tc>
              <w:tc>
                <w:tcPr>
                  <w:tcW w:w="970" w:type="dxa"/>
                  <w:tcBorders>
                    <w:tl2br w:val="nil"/>
                    <w:tr2bl w:val="nil"/>
                  </w:tcBorders>
                  <w:vAlign w:val="center"/>
                </w:tcPr>
                <w:p w14:paraId="6B2A418B">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头足类</w:t>
                  </w:r>
                </w:p>
              </w:tc>
            </w:tr>
            <w:tr w14:paraId="7F74A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vAlign w:val="center"/>
                </w:tcPr>
                <w:p w14:paraId="4DE9163E">
                  <w:pPr>
                    <w:keepNext w:val="0"/>
                    <w:keepLines w:val="0"/>
                    <w:suppressLineNumbers w:val="0"/>
                    <w:spacing w:before="0" w:beforeAutospacing="0" w:after="0" w:afterAutospacing="0" w:line="0" w:lineRule="atLeast"/>
                    <w:ind w:left="0" w:right="0"/>
                    <w:jc w:val="center"/>
                    <w:rPr>
                      <w:rFonts w:hint="eastAsia"/>
                      <w:b w:val="0"/>
                      <w:bCs w:val="0"/>
                      <w:color w:val="000000" w:themeColor="text1"/>
                      <w:sz w:val="21"/>
                      <w:szCs w:val="21"/>
                      <w14:textFill>
                        <w14:solidFill>
                          <w14:schemeClr w14:val="tx1"/>
                        </w14:solidFill>
                      </w14:textFill>
                    </w:rPr>
                  </w:pPr>
                </w:p>
              </w:tc>
              <w:tc>
                <w:tcPr>
                  <w:tcW w:w="1028" w:type="dxa"/>
                  <w:vMerge w:val="continue"/>
                  <w:tcBorders>
                    <w:tl2br w:val="nil"/>
                    <w:tr2bl w:val="nil"/>
                  </w:tcBorders>
                  <w:vAlign w:val="center"/>
                </w:tcPr>
                <w:p w14:paraId="02073420">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p>
              </w:tc>
              <w:tc>
                <w:tcPr>
                  <w:tcW w:w="979" w:type="dxa"/>
                  <w:vMerge w:val="continue"/>
                  <w:tcBorders>
                    <w:tl2br w:val="nil"/>
                    <w:tr2bl w:val="nil"/>
                  </w:tcBorders>
                  <w:vAlign w:val="center"/>
                </w:tcPr>
                <w:p w14:paraId="69675CCE">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p>
              </w:tc>
              <w:tc>
                <w:tcPr>
                  <w:tcW w:w="2880" w:type="dxa"/>
                  <w:gridSpan w:val="3"/>
                  <w:tcBorders>
                    <w:tl2br w:val="nil"/>
                    <w:tr2bl w:val="nil"/>
                  </w:tcBorders>
                  <w:vAlign w:val="center"/>
                </w:tcPr>
                <w:p w14:paraId="3D6038FC">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个体渔获率(ind/h)</w:t>
                  </w:r>
                </w:p>
              </w:tc>
              <w:tc>
                <w:tcPr>
                  <w:tcW w:w="2890" w:type="dxa"/>
                  <w:gridSpan w:val="3"/>
                  <w:tcBorders>
                    <w:tl2br w:val="nil"/>
                    <w:tr2bl w:val="nil"/>
                  </w:tcBorders>
                  <w:vAlign w:val="center"/>
                </w:tcPr>
                <w:p w14:paraId="2F76E67A">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重量渔获率(kg/h)</w:t>
                  </w:r>
                </w:p>
              </w:tc>
            </w:tr>
            <w:tr w14:paraId="34FE1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vAlign w:val="center"/>
                </w:tcPr>
                <w:p w14:paraId="3885FE5D">
                  <w:pPr>
                    <w:keepNext w:val="0"/>
                    <w:keepLines w:val="0"/>
                    <w:suppressLineNumbers w:val="0"/>
                    <w:spacing w:before="0" w:beforeAutospacing="0" w:after="0" w:afterAutospacing="0" w:line="0" w:lineRule="atLeast"/>
                    <w:ind w:left="0" w:right="0"/>
                    <w:jc w:val="center"/>
                    <w:rPr>
                      <w:rFonts w:hint="eastAsia"/>
                      <w:b w:val="0"/>
                      <w:bCs w:val="0"/>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077C0656">
                  <w:pPr>
                    <w:keepNext w:val="0"/>
                    <w:keepLines w:val="0"/>
                    <w:suppressLineNumbers w:val="0"/>
                    <w:spacing w:before="0" w:beforeAutospacing="0" w:after="0" w:afterAutospacing="0" w:line="0" w:lineRule="atLeast"/>
                    <w:ind w:left="0" w:right="0"/>
                    <w:jc w:val="center"/>
                    <w:rPr>
                      <w:rFonts w:hint="eastAsia"/>
                      <w:b w:val="0"/>
                      <w:bCs w:val="0"/>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3C0BCED5">
                  <w:pPr>
                    <w:keepNext w:val="0"/>
                    <w:keepLines w:val="0"/>
                    <w:suppressLineNumbers w:val="0"/>
                    <w:spacing w:before="0" w:beforeAutospacing="0" w:after="0" w:afterAutospacing="0" w:line="0" w:lineRule="atLeast"/>
                    <w:ind w:left="0" w:right="0"/>
                    <w:jc w:val="center"/>
                    <w:rPr>
                      <w:rFonts w:hint="eastAsia"/>
                      <w:b w:val="0"/>
                      <w:bCs w:val="0"/>
                      <w:color w:val="000000" w:themeColor="text1"/>
                      <w:sz w:val="21"/>
                      <w:szCs w:val="21"/>
                      <w14:textFill>
                        <w14:solidFill>
                          <w14:schemeClr w14:val="tx1"/>
                        </w14:solidFill>
                      </w14:textFill>
                    </w:rPr>
                  </w:pPr>
                </w:p>
              </w:tc>
              <w:tc>
                <w:tcPr>
                  <w:tcW w:w="2880" w:type="dxa"/>
                  <w:gridSpan w:val="3"/>
                  <w:tcBorders>
                    <w:tl2br w:val="nil"/>
                    <w:tr2bl w:val="nil"/>
                  </w:tcBorders>
                  <w:vAlign w:val="center"/>
                </w:tcPr>
                <w:p w14:paraId="2C0AA70F">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个体渔获比例(%)</w:t>
                  </w:r>
                </w:p>
              </w:tc>
              <w:tc>
                <w:tcPr>
                  <w:tcW w:w="2890" w:type="dxa"/>
                  <w:gridSpan w:val="3"/>
                  <w:tcBorders>
                    <w:tl2br w:val="nil"/>
                    <w:tr2bl w:val="nil"/>
                  </w:tcBorders>
                  <w:vAlign w:val="center"/>
                </w:tcPr>
                <w:p w14:paraId="2FB7B095">
                  <w:pPr>
                    <w:keepNext w:val="0"/>
                    <w:keepLines w:val="0"/>
                    <w:suppressLineNumbers w:val="0"/>
                    <w:spacing w:before="0" w:beforeAutospacing="0" w:after="0" w:afterAutospacing="0" w:line="0" w:lineRule="atLeast"/>
                    <w:ind w:left="0" w:right="0"/>
                    <w:jc w:val="center"/>
                    <w:textAlignment w:val="bottom"/>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bidi="ar"/>
                      <w14:textFill>
                        <w14:solidFill>
                          <w14:schemeClr w14:val="tx1"/>
                        </w14:solidFill>
                      </w14:textFill>
                    </w:rPr>
                    <w:t>重量渔获比例(%)</w:t>
                  </w:r>
                </w:p>
              </w:tc>
            </w:tr>
            <w:tr w14:paraId="1C2AC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13E783B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21</w:t>
                  </w:r>
                </w:p>
              </w:tc>
              <w:tc>
                <w:tcPr>
                  <w:tcW w:w="1028" w:type="dxa"/>
                  <w:vMerge w:val="restart"/>
                  <w:tcBorders>
                    <w:tl2br w:val="nil"/>
                    <w:tr2bl w:val="nil"/>
                  </w:tcBorders>
                  <w:noWrap/>
                  <w:vAlign w:val="center"/>
                </w:tcPr>
                <w:p w14:paraId="33B57BB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sz w:val="24"/>
                    </w:rPr>
                    <w:t>*</w:t>
                  </w:r>
                  <w:r>
                    <w:rPr>
                      <w:sz w:val="24"/>
                    </w:rPr>
                    <w:t>**</w:t>
                  </w:r>
                </w:p>
              </w:tc>
              <w:tc>
                <w:tcPr>
                  <w:tcW w:w="979" w:type="dxa"/>
                  <w:vMerge w:val="restart"/>
                  <w:tcBorders>
                    <w:tl2br w:val="nil"/>
                    <w:tr2bl w:val="nil"/>
                  </w:tcBorders>
                  <w:noWrap/>
                  <w:vAlign w:val="center"/>
                </w:tcPr>
                <w:p w14:paraId="5458131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51E0491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461EAD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5B7B76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A85922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1440B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0A849A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471B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2FEB9AB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7C9BE67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03E4C6E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AAF994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D993C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AA641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71D13A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518711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45C011A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F0AC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48A7A53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22</w:t>
                  </w:r>
                </w:p>
              </w:tc>
              <w:tc>
                <w:tcPr>
                  <w:tcW w:w="1028" w:type="dxa"/>
                  <w:vMerge w:val="restart"/>
                  <w:tcBorders>
                    <w:tl2br w:val="nil"/>
                    <w:tr2bl w:val="nil"/>
                  </w:tcBorders>
                  <w:noWrap/>
                  <w:vAlign w:val="center"/>
                </w:tcPr>
                <w:p w14:paraId="627A88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11DED5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CA1010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7B0920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BDEEA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1D2BBA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C748C9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6E416D4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C658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3B61ABA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2D02F07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64CF29E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A86FF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814D06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18B1CB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0DA500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23D26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1F05CB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0814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1F32FE8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23</w:t>
                  </w:r>
                </w:p>
              </w:tc>
              <w:tc>
                <w:tcPr>
                  <w:tcW w:w="1028" w:type="dxa"/>
                  <w:vMerge w:val="restart"/>
                  <w:tcBorders>
                    <w:tl2br w:val="nil"/>
                    <w:tr2bl w:val="nil"/>
                  </w:tcBorders>
                  <w:noWrap/>
                  <w:vAlign w:val="center"/>
                </w:tcPr>
                <w:p w14:paraId="025A5B1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5F64DB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B3D9B9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58714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A34C1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4F9CA1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DCA273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4F508E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77E3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5A92554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3ADDE5D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6DC78EF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BC5AC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9709DF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06978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92DA5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573A3D4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704DE6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8E1C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4061EB9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25</w:t>
                  </w:r>
                </w:p>
              </w:tc>
              <w:tc>
                <w:tcPr>
                  <w:tcW w:w="1028" w:type="dxa"/>
                  <w:vMerge w:val="restart"/>
                  <w:tcBorders>
                    <w:tl2br w:val="nil"/>
                    <w:tr2bl w:val="nil"/>
                  </w:tcBorders>
                  <w:noWrap/>
                  <w:vAlign w:val="center"/>
                </w:tcPr>
                <w:p w14:paraId="079718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4A8F20F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FF1B5B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6D540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5E2923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B30EC2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EE15C2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3698397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094D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59C8FFE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0F0ED734">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4762B0E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029143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2F93F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F000A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5F90804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59709A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4E5A12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4A19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1A14651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26</w:t>
                  </w:r>
                </w:p>
              </w:tc>
              <w:tc>
                <w:tcPr>
                  <w:tcW w:w="1028" w:type="dxa"/>
                  <w:vMerge w:val="restart"/>
                  <w:tcBorders>
                    <w:tl2br w:val="nil"/>
                    <w:tr2bl w:val="nil"/>
                  </w:tcBorders>
                  <w:noWrap/>
                  <w:vAlign w:val="center"/>
                </w:tcPr>
                <w:p w14:paraId="1B75D4E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127678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5EDBF7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CD67B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B59B1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AFBB04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4A75F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0401D05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2190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57449DE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7E69FA5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42B58C2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9CECF5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DF543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530371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5BEC27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236A6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058ECB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CB61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26198D8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27</w:t>
                  </w:r>
                </w:p>
              </w:tc>
              <w:tc>
                <w:tcPr>
                  <w:tcW w:w="1028" w:type="dxa"/>
                  <w:vMerge w:val="restart"/>
                  <w:tcBorders>
                    <w:tl2br w:val="nil"/>
                    <w:tr2bl w:val="nil"/>
                  </w:tcBorders>
                  <w:noWrap/>
                  <w:vAlign w:val="center"/>
                </w:tcPr>
                <w:p w14:paraId="3D569F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3F38757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3FED9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2EBE99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F6CD55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D4241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1DC863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4416E0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737B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2FFA6203">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338ED625">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09BA271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57AEC3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7C580D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EEC26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487FC4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FE6D2E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1535422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B871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70697C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31</w:t>
                  </w:r>
                </w:p>
              </w:tc>
              <w:tc>
                <w:tcPr>
                  <w:tcW w:w="1028" w:type="dxa"/>
                  <w:vMerge w:val="restart"/>
                  <w:tcBorders>
                    <w:tl2br w:val="nil"/>
                    <w:tr2bl w:val="nil"/>
                  </w:tcBorders>
                  <w:noWrap/>
                  <w:vAlign w:val="center"/>
                </w:tcPr>
                <w:p w14:paraId="19D60B1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4373D6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E0297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5486B70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F28E87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F6B75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87825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044A90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285C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48174D0B">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40F3814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58B44CC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7F328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66672E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F77201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817838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91E86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231E75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8D24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407986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35</w:t>
                  </w:r>
                </w:p>
              </w:tc>
              <w:tc>
                <w:tcPr>
                  <w:tcW w:w="1028" w:type="dxa"/>
                  <w:vMerge w:val="restart"/>
                  <w:tcBorders>
                    <w:tl2br w:val="nil"/>
                    <w:tr2bl w:val="nil"/>
                  </w:tcBorders>
                  <w:noWrap/>
                  <w:vAlign w:val="center"/>
                </w:tcPr>
                <w:p w14:paraId="1133B03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06FB415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0064B8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C8D02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08A189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8279E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62FF174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6F2C12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B152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05E1012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23F4DEB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04113E9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49B097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6AC6CF3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6807E7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1255F6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06EFABF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33A3B9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2C9C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6649E0B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36</w:t>
                  </w:r>
                </w:p>
              </w:tc>
              <w:tc>
                <w:tcPr>
                  <w:tcW w:w="1028" w:type="dxa"/>
                  <w:vMerge w:val="restart"/>
                  <w:tcBorders>
                    <w:tl2br w:val="nil"/>
                    <w:tr2bl w:val="nil"/>
                  </w:tcBorders>
                  <w:noWrap/>
                  <w:vAlign w:val="center"/>
                </w:tcPr>
                <w:p w14:paraId="3B3FF0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1EFB4F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A26916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24A538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7180A0C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6EA5EF9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6EE5CF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0143D83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ADCC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31DED7D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4D0A2F80">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1ACD1709">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8F961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2225068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017883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076119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32BB5B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2EE824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C710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232C688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38</w:t>
                  </w:r>
                </w:p>
              </w:tc>
              <w:tc>
                <w:tcPr>
                  <w:tcW w:w="1028" w:type="dxa"/>
                  <w:vMerge w:val="restart"/>
                  <w:tcBorders>
                    <w:tl2br w:val="nil"/>
                    <w:tr2bl w:val="nil"/>
                  </w:tcBorders>
                  <w:noWrap/>
                  <w:vAlign w:val="center"/>
                </w:tcPr>
                <w:p w14:paraId="79B28D0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51D9D59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2CE319E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1F669B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E72CC6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551769B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7E3FB8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6DA134B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3A0E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781455EF">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3F31AE0E">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6FEF2F3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5F352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22C066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4A3941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117F91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660F78F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7AA053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C088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000560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39</w:t>
                  </w:r>
                </w:p>
              </w:tc>
              <w:tc>
                <w:tcPr>
                  <w:tcW w:w="1028" w:type="dxa"/>
                  <w:vMerge w:val="restart"/>
                  <w:tcBorders>
                    <w:tl2br w:val="nil"/>
                    <w:tr2bl w:val="nil"/>
                  </w:tcBorders>
                  <w:noWrap/>
                  <w:vAlign w:val="center"/>
                </w:tcPr>
                <w:p w14:paraId="696539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6B6EBEC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29AE4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5B37A39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008CCA7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43F86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04215F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0F6AB7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E6D1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3E27F77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1E4C9C82">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7C1CD8FA">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9BCE00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5DEBA4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41DCC6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763737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F6954E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46EA87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24DA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noWrap/>
                  <w:vAlign w:val="center"/>
                </w:tcPr>
                <w:p w14:paraId="2AB4F73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40</w:t>
                  </w:r>
                </w:p>
              </w:tc>
              <w:tc>
                <w:tcPr>
                  <w:tcW w:w="1028" w:type="dxa"/>
                  <w:vMerge w:val="restart"/>
                  <w:tcBorders>
                    <w:tl2br w:val="nil"/>
                    <w:tr2bl w:val="nil"/>
                  </w:tcBorders>
                  <w:noWrap/>
                  <w:vAlign w:val="center"/>
                </w:tcPr>
                <w:p w14:paraId="7B7D5C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noWrap/>
                  <w:vAlign w:val="center"/>
                </w:tcPr>
                <w:p w14:paraId="1362459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C1572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1DCFAF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4383D11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2F9563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226C72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357C72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CBBF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noWrap/>
                  <w:vAlign w:val="center"/>
                </w:tcPr>
                <w:p w14:paraId="7834B251">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noWrap/>
                  <w:vAlign w:val="center"/>
                </w:tcPr>
                <w:p w14:paraId="18A9C51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noWrap/>
                  <w:vAlign w:val="center"/>
                </w:tcPr>
                <w:p w14:paraId="43FAD0E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082D2E0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484C4D1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2353C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3F580A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60" w:type="dxa"/>
                  <w:tcBorders>
                    <w:tl2br w:val="nil"/>
                    <w:tr2bl w:val="nil"/>
                  </w:tcBorders>
                  <w:noWrap/>
                  <w:vAlign w:val="center"/>
                </w:tcPr>
                <w:p w14:paraId="2F8497A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970" w:type="dxa"/>
                  <w:tcBorders>
                    <w:tl2br w:val="nil"/>
                    <w:tr2bl w:val="nil"/>
                  </w:tcBorders>
                  <w:noWrap/>
                  <w:vAlign w:val="center"/>
                </w:tcPr>
                <w:p w14:paraId="0CBA28C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F96A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restart"/>
                  <w:tcBorders>
                    <w:tl2br w:val="nil"/>
                    <w:tr2bl w:val="nil"/>
                  </w:tcBorders>
                  <w:vAlign w:val="center"/>
                </w:tcPr>
                <w:p w14:paraId="3250DA07">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平均值</w:t>
                  </w:r>
                </w:p>
              </w:tc>
              <w:tc>
                <w:tcPr>
                  <w:tcW w:w="1028" w:type="dxa"/>
                  <w:vMerge w:val="restart"/>
                  <w:tcBorders>
                    <w:tl2br w:val="nil"/>
                    <w:tr2bl w:val="nil"/>
                  </w:tcBorders>
                  <w:vAlign w:val="center"/>
                </w:tcPr>
                <w:p w14:paraId="62C908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9" w:type="dxa"/>
                  <w:vMerge w:val="restart"/>
                  <w:tcBorders>
                    <w:tl2br w:val="nil"/>
                    <w:tr2bl w:val="nil"/>
                  </w:tcBorders>
                  <w:vAlign w:val="center"/>
                </w:tcPr>
                <w:p w14:paraId="5549755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E27498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43D498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E3A15B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55FA8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11DF925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48FDE7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8F58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745" w:type="dxa"/>
                  <w:vMerge w:val="continue"/>
                  <w:tcBorders>
                    <w:tl2br w:val="nil"/>
                    <w:tr2bl w:val="nil"/>
                  </w:tcBorders>
                  <w:vAlign w:val="center"/>
                </w:tcPr>
                <w:p w14:paraId="622DFCAC">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028" w:type="dxa"/>
                  <w:vMerge w:val="continue"/>
                  <w:tcBorders>
                    <w:tl2br w:val="nil"/>
                    <w:tr2bl w:val="nil"/>
                  </w:tcBorders>
                  <w:vAlign w:val="center"/>
                </w:tcPr>
                <w:p w14:paraId="19434D98">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79" w:type="dxa"/>
                  <w:vMerge w:val="continue"/>
                  <w:tcBorders>
                    <w:tl2br w:val="nil"/>
                    <w:tr2bl w:val="nil"/>
                  </w:tcBorders>
                  <w:vAlign w:val="center"/>
                </w:tcPr>
                <w:p w14:paraId="46048467">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3658487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73E20B3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41D66B4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59DEFC6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60" w:type="dxa"/>
                  <w:tcBorders>
                    <w:tl2br w:val="nil"/>
                    <w:tr2bl w:val="nil"/>
                  </w:tcBorders>
                  <w:noWrap/>
                  <w:vAlign w:val="center"/>
                </w:tcPr>
                <w:p w14:paraId="5A84F0C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70" w:type="dxa"/>
                  <w:tcBorders>
                    <w:tl2br w:val="nil"/>
                    <w:tr2bl w:val="nil"/>
                  </w:tcBorders>
                  <w:noWrap/>
                  <w:vAlign w:val="center"/>
                </w:tcPr>
                <w:p w14:paraId="3916C0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bookmarkEnd w:id="30"/>
            <w:bookmarkEnd w:id="31"/>
          </w:tbl>
          <w:p w14:paraId="25ABB249">
            <w:pPr>
              <w:keepNext w:val="0"/>
              <w:keepLines w:val="0"/>
              <w:suppressLineNumbers w:val="0"/>
              <w:spacing w:before="0" w:beforeAutospacing="0" w:after="0" w:afterAutospacing="0"/>
              <w:ind w:left="0" w:right="0" w:firstLine="420" w:firstLineChars="200"/>
              <w:rPr>
                <w:rFonts w:hint="eastAsia"/>
                <w:bCs/>
                <w:color w:val="000000" w:themeColor="text1"/>
                <w:lang w:bidi="en-US"/>
                <w14:textFill>
                  <w14:solidFill>
                    <w14:schemeClr w14:val="tx1"/>
                  </w14:solidFill>
                </w14:textFill>
              </w:rPr>
            </w:pPr>
          </w:p>
          <w:p w14:paraId="61965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color w:val="000000" w:themeColor="text1"/>
                <w:sz w:val="24"/>
                <w:szCs w:val="24"/>
                <w:lang w:bidi="en-US"/>
                <w14:textFill>
                  <w14:solidFill>
                    <w14:schemeClr w14:val="tx1"/>
                  </w14:solidFill>
                </w14:textFill>
              </w:rPr>
            </w:pPr>
            <w:r>
              <w:rPr>
                <w:rFonts w:hint="eastAsia"/>
                <w:b/>
                <w:color w:val="000000" w:themeColor="text1"/>
                <w:sz w:val="24"/>
                <w:szCs w:val="24"/>
                <w:lang w:bidi="en-US"/>
                <w14:textFill>
                  <w14:solidFill>
                    <w14:schemeClr w14:val="tx1"/>
                  </w14:solidFill>
                </w14:textFill>
              </w:rPr>
              <w:t>3）渔业资源密度</w:t>
            </w:r>
          </w:p>
          <w:p w14:paraId="605BF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本次调查各断面渔业资源密度分布见表</w:t>
            </w:r>
            <w:r>
              <w:rPr>
                <w:rFonts w:hint="eastAsia"/>
                <w:color w:val="000000" w:themeColor="text1"/>
                <w:sz w:val="24"/>
                <w:szCs w:val="24"/>
                <w:lang w:val="en-US" w:eastAsia="zh-CN"/>
                <w14:textFill>
                  <w14:solidFill>
                    <w14:schemeClr w14:val="tx1"/>
                  </w14:solidFill>
                </w14:textFill>
              </w:rPr>
              <w:t>3.5-24</w:t>
            </w:r>
            <w:r>
              <w:rPr>
                <w:rFonts w:hint="eastAsia"/>
                <w:color w:val="000000" w:themeColor="text1"/>
                <w:sz w:val="24"/>
                <w:szCs w:val="24"/>
                <w14:textFill>
                  <w14:solidFill>
                    <w14:schemeClr w14:val="tx1"/>
                  </w14:solidFill>
                </w14:textFill>
              </w:rPr>
              <w:t>。平均重量密度为693.59kg/km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，范围为497.43kg/km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~863.74kg/km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，40号断面最高（863.74kg/km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），39号断面最低（497.43kg/km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）；平均个体密度为51.87×10</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ind/km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，个体密度最高的断面为40号断面，其值为66.95×10</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ind/km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，最低为25号断面，其个体密度为38.97×10</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ind/km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p>
          <w:p w14:paraId="425A5C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3.5-24</w:t>
            </w:r>
            <w:r>
              <w:rPr>
                <w:rFonts w:hint="default" w:ascii="Times New Roman" w:hAnsi="Times New Roman" w:cs="Times New Roman"/>
                <w:b/>
                <w:bCs/>
                <w:color w:val="auto"/>
                <w:kern w:val="0"/>
                <w:sz w:val="21"/>
                <w:szCs w:val="21"/>
                <w:lang w:val="zh-CN" w:eastAsia="zh-CN"/>
              </w:rPr>
              <w:t xml:space="preserve"> 各调查断面的渔业资源密度</w:t>
            </w:r>
          </w:p>
          <w:tbl>
            <w:tblPr>
              <w:tblStyle w:val="28"/>
              <w:tblW w:w="43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2390"/>
              <w:gridCol w:w="3357"/>
            </w:tblGrid>
            <w:tr w14:paraId="0467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59" w:type="pct"/>
                  <w:vAlign w:val="center"/>
                </w:tcPr>
                <w:p w14:paraId="1FAA53BF">
                  <w:pPr>
                    <w:keepNext w:val="0"/>
                    <w:keepLines w:val="0"/>
                    <w:suppressLineNumbers w:val="0"/>
                    <w:spacing w:before="0" w:beforeAutospacing="0" w:after="0" w:afterAutospacing="0" w:line="0" w:lineRule="atLeast"/>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断面</w:t>
                  </w:r>
                </w:p>
              </w:tc>
              <w:tc>
                <w:tcPr>
                  <w:tcW w:w="1596" w:type="pct"/>
                  <w:vAlign w:val="center"/>
                </w:tcPr>
                <w:p w14:paraId="645B93B6">
                  <w:pPr>
                    <w:keepNext w:val="0"/>
                    <w:keepLines w:val="0"/>
                    <w:suppressLineNumbers w:val="0"/>
                    <w:spacing w:before="0" w:beforeAutospacing="0" w:after="0" w:afterAutospacing="0" w:line="0" w:lineRule="atLeast"/>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重量密度(kg/km</w:t>
                  </w:r>
                  <w:r>
                    <w:rPr>
                      <w:rFonts w:hint="eastAsia"/>
                      <w:b/>
                      <w:color w:val="000000" w:themeColor="text1"/>
                      <w:sz w:val="21"/>
                      <w:szCs w:val="21"/>
                      <w:vertAlign w:val="superscript"/>
                      <w14:textFill>
                        <w14:solidFill>
                          <w14:schemeClr w14:val="tx1"/>
                        </w14:solidFill>
                      </w14:textFill>
                    </w:rPr>
                    <w:t>2</w:t>
                  </w:r>
                  <w:r>
                    <w:rPr>
                      <w:rFonts w:hint="eastAsia"/>
                      <w:b/>
                      <w:color w:val="000000" w:themeColor="text1"/>
                      <w:sz w:val="21"/>
                      <w:szCs w:val="21"/>
                      <w14:textFill>
                        <w14:solidFill>
                          <w14:schemeClr w14:val="tx1"/>
                        </w14:solidFill>
                      </w14:textFill>
                    </w:rPr>
                    <w:t>)</w:t>
                  </w:r>
                </w:p>
              </w:tc>
              <w:tc>
                <w:tcPr>
                  <w:tcW w:w="2243" w:type="pct"/>
                  <w:vAlign w:val="center"/>
                </w:tcPr>
                <w:p w14:paraId="283E9857">
                  <w:pPr>
                    <w:keepNext w:val="0"/>
                    <w:keepLines w:val="0"/>
                    <w:suppressLineNumbers w:val="0"/>
                    <w:spacing w:before="0" w:beforeAutospacing="0" w:after="0" w:afterAutospacing="0" w:line="0" w:lineRule="atLeast"/>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个体密度(×10</w:t>
                  </w:r>
                  <w:r>
                    <w:rPr>
                      <w:rFonts w:hint="eastAsia"/>
                      <w:b/>
                      <w:color w:val="000000" w:themeColor="text1"/>
                      <w:sz w:val="21"/>
                      <w:szCs w:val="21"/>
                      <w:vertAlign w:val="superscript"/>
                      <w14:textFill>
                        <w14:solidFill>
                          <w14:schemeClr w14:val="tx1"/>
                        </w14:solidFill>
                      </w14:textFill>
                    </w:rPr>
                    <w:t>3</w:t>
                  </w:r>
                  <w:r>
                    <w:rPr>
                      <w:rFonts w:hint="eastAsia"/>
                      <w:b/>
                      <w:color w:val="000000" w:themeColor="text1"/>
                      <w:sz w:val="21"/>
                      <w:szCs w:val="21"/>
                      <w14:textFill>
                        <w14:solidFill>
                          <w14:schemeClr w14:val="tx1"/>
                        </w14:solidFill>
                      </w14:textFill>
                    </w:rPr>
                    <w:t>ind/km</w:t>
                  </w:r>
                  <w:r>
                    <w:rPr>
                      <w:rFonts w:hint="eastAsia"/>
                      <w:b/>
                      <w:color w:val="000000" w:themeColor="text1"/>
                      <w:sz w:val="21"/>
                      <w:szCs w:val="21"/>
                      <w:vertAlign w:val="superscript"/>
                      <w14:textFill>
                        <w14:solidFill>
                          <w14:schemeClr w14:val="tx1"/>
                        </w14:solidFill>
                      </w14:textFill>
                    </w:rPr>
                    <w:t>2</w:t>
                  </w:r>
                  <w:r>
                    <w:rPr>
                      <w:rFonts w:hint="eastAsia"/>
                      <w:b/>
                      <w:color w:val="000000" w:themeColor="text1"/>
                      <w:sz w:val="21"/>
                      <w:szCs w:val="21"/>
                      <w14:textFill>
                        <w14:solidFill>
                          <w14:schemeClr w14:val="tx1"/>
                        </w14:solidFill>
                      </w14:textFill>
                    </w:rPr>
                    <w:t>)</w:t>
                  </w:r>
                </w:p>
              </w:tc>
            </w:tr>
            <w:tr w14:paraId="168D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022A5A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21</w:t>
                  </w:r>
                </w:p>
              </w:tc>
              <w:tc>
                <w:tcPr>
                  <w:tcW w:w="1596" w:type="pct"/>
                  <w:vAlign w:val="center"/>
                </w:tcPr>
                <w:p w14:paraId="2DECF56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sz w:val="24"/>
                    </w:rPr>
                    <w:t>*</w:t>
                  </w:r>
                  <w:r>
                    <w:rPr>
                      <w:sz w:val="24"/>
                    </w:rPr>
                    <w:t>**</w:t>
                  </w:r>
                </w:p>
              </w:tc>
              <w:tc>
                <w:tcPr>
                  <w:tcW w:w="2243" w:type="pct"/>
                  <w:vAlign w:val="center"/>
                </w:tcPr>
                <w:p w14:paraId="76903D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B6E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4F1EE26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22</w:t>
                  </w:r>
                </w:p>
              </w:tc>
              <w:tc>
                <w:tcPr>
                  <w:tcW w:w="1596" w:type="pct"/>
                  <w:vAlign w:val="center"/>
                </w:tcPr>
                <w:p w14:paraId="6EDF6C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243" w:type="pct"/>
                  <w:vAlign w:val="center"/>
                </w:tcPr>
                <w:p w14:paraId="0C6435B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56A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5CA9D1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23</w:t>
                  </w:r>
                </w:p>
              </w:tc>
              <w:tc>
                <w:tcPr>
                  <w:tcW w:w="1596" w:type="pct"/>
                  <w:vAlign w:val="center"/>
                </w:tcPr>
                <w:p w14:paraId="79CE01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243" w:type="pct"/>
                  <w:vAlign w:val="center"/>
                </w:tcPr>
                <w:p w14:paraId="6F254F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CE1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6CB904B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25</w:t>
                  </w:r>
                </w:p>
              </w:tc>
              <w:tc>
                <w:tcPr>
                  <w:tcW w:w="1596" w:type="pct"/>
                  <w:vAlign w:val="center"/>
                </w:tcPr>
                <w:p w14:paraId="10F6720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243" w:type="pct"/>
                  <w:vAlign w:val="center"/>
                </w:tcPr>
                <w:p w14:paraId="5980CA6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B7C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44076F5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26</w:t>
                  </w:r>
                </w:p>
              </w:tc>
              <w:tc>
                <w:tcPr>
                  <w:tcW w:w="1596" w:type="pct"/>
                  <w:vAlign w:val="center"/>
                </w:tcPr>
                <w:p w14:paraId="6C4632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243" w:type="pct"/>
                  <w:vAlign w:val="center"/>
                </w:tcPr>
                <w:p w14:paraId="5C1E24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D2B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30C24D8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27</w:t>
                  </w:r>
                </w:p>
              </w:tc>
              <w:tc>
                <w:tcPr>
                  <w:tcW w:w="1596" w:type="pct"/>
                  <w:vAlign w:val="center"/>
                </w:tcPr>
                <w:p w14:paraId="2924AAD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243" w:type="pct"/>
                  <w:vAlign w:val="center"/>
                </w:tcPr>
                <w:p w14:paraId="7EBA53B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447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17EEE50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31</w:t>
                  </w:r>
                </w:p>
              </w:tc>
              <w:tc>
                <w:tcPr>
                  <w:tcW w:w="1596" w:type="pct"/>
                  <w:vAlign w:val="center"/>
                </w:tcPr>
                <w:p w14:paraId="42D544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243" w:type="pct"/>
                  <w:vAlign w:val="center"/>
                </w:tcPr>
                <w:p w14:paraId="0AA8AE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1119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33F0E9F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35</w:t>
                  </w:r>
                </w:p>
              </w:tc>
              <w:tc>
                <w:tcPr>
                  <w:tcW w:w="1596" w:type="pct"/>
                  <w:vAlign w:val="center"/>
                </w:tcPr>
                <w:p w14:paraId="3C4CC1B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243" w:type="pct"/>
                  <w:vAlign w:val="center"/>
                </w:tcPr>
                <w:p w14:paraId="67B11F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491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1C4FF36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36</w:t>
                  </w:r>
                </w:p>
              </w:tc>
              <w:tc>
                <w:tcPr>
                  <w:tcW w:w="1596" w:type="pct"/>
                  <w:vAlign w:val="center"/>
                </w:tcPr>
                <w:p w14:paraId="4238D9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243" w:type="pct"/>
                  <w:vAlign w:val="center"/>
                </w:tcPr>
                <w:p w14:paraId="1A0E604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2BB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40205F8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38</w:t>
                  </w:r>
                </w:p>
              </w:tc>
              <w:tc>
                <w:tcPr>
                  <w:tcW w:w="1596" w:type="pct"/>
                  <w:vAlign w:val="center"/>
                </w:tcPr>
                <w:p w14:paraId="34FEC9D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243" w:type="pct"/>
                  <w:vAlign w:val="center"/>
                </w:tcPr>
                <w:p w14:paraId="2D911AB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05D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5F32EE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39</w:t>
                  </w:r>
                </w:p>
              </w:tc>
              <w:tc>
                <w:tcPr>
                  <w:tcW w:w="1596" w:type="pct"/>
                  <w:vAlign w:val="center"/>
                </w:tcPr>
                <w:p w14:paraId="400433D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243" w:type="pct"/>
                  <w:vAlign w:val="center"/>
                </w:tcPr>
                <w:p w14:paraId="7C44A43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23D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429F5D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40</w:t>
                  </w:r>
                </w:p>
              </w:tc>
              <w:tc>
                <w:tcPr>
                  <w:tcW w:w="1596" w:type="pct"/>
                  <w:vAlign w:val="center"/>
                </w:tcPr>
                <w:p w14:paraId="76E512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2243" w:type="pct"/>
                  <w:vAlign w:val="center"/>
                </w:tcPr>
                <w:p w14:paraId="4CF6C70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702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pct"/>
                  <w:vAlign w:val="center"/>
                </w:tcPr>
                <w:p w14:paraId="6D342F5D">
                  <w:pPr>
                    <w:keepNext w:val="0"/>
                    <w:keepLines w:val="0"/>
                    <w:suppressLineNumbers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平均值</w:t>
                  </w:r>
                </w:p>
              </w:tc>
              <w:tc>
                <w:tcPr>
                  <w:tcW w:w="1596" w:type="pct"/>
                  <w:vAlign w:val="center"/>
                </w:tcPr>
                <w:p w14:paraId="0609F38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2243" w:type="pct"/>
                  <w:vAlign w:val="center"/>
                </w:tcPr>
                <w:p w14:paraId="46D1504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bl>
          <w:p w14:paraId="512D6022">
            <w:pPr>
              <w:keepNext w:val="0"/>
              <w:keepLines w:val="0"/>
              <w:suppressLineNumbers w:val="0"/>
              <w:spacing w:before="0" w:beforeAutospacing="0" w:after="0" w:afterAutospacing="0"/>
              <w:ind w:left="0" w:right="0" w:firstLine="422" w:firstLineChars="200"/>
              <w:rPr>
                <w:rFonts w:hint="eastAsia"/>
                <w:b/>
                <w:color w:val="000000" w:themeColor="text1"/>
                <w:lang w:bidi="en-US"/>
                <w14:textFill>
                  <w14:solidFill>
                    <w14:schemeClr w14:val="tx1"/>
                  </w14:solidFill>
                </w14:textFill>
              </w:rPr>
            </w:pPr>
          </w:p>
          <w:p w14:paraId="54CDD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color w:val="000000" w:themeColor="text1"/>
                <w:sz w:val="24"/>
                <w:szCs w:val="24"/>
                <w:lang w:bidi="en-US"/>
                <w14:textFill>
                  <w14:solidFill>
                    <w14:schemeClr w14:val="tx1"/>
                  </w14:solidFill>
                </w14:textFill>
              </w:rPr>
            </w:pPr>
            <w:r>
              <w:rPr>
                <w:rFonts w:hint="eastAsia"/>
                <w:b/>
                <w:color w:val="000000" w:themeColor="text1"/>
                <w:sz w:val="24"/>
                <w:szCs w:val="24"/>
                <w:lang w:bidi="en-US"/>
                <w14:textFill>
                  <w14:solidFill>
                    <w14:schemeClr w14:val="tx1"/>
                  </w14:solidFill>
                </w14:textFill>
              </w:rPr>
              <w:t>4）优势种类和主要经济种类</w:t>
            </w:r>
          </w:p>
          <w:p w14:paraId="78D9FE64">
            <w:pPr>
              <w:keepNext w:val="0"/>
              <w:keepLines w:val="0"/>
              <w:pageBreakBefore w:val="0"/>
              <w:widowControl w:val="0"/>
              <w:suppressLineNumbers w:val="0"/>
              <w:tabs>
                <w:tab w:val="left" w:pos="2880"/>
                <w:tab w:val="left" w:pos="4680"/>
                <w:tab w:val="left" w:pos="75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将鱼类</w:t>
            </w:r>
            <w:r>
              <w:rPr>
                <w:rFonts w:hint="eastAsia"/>
                <w:i/>
                <w:iCs/>
                <w:color w:val="000000" w:themeColor="text1"/>
                <w:sz w:val="24"/>
                <w:szCs w:val="24"/>
                <w14:textFill>
                  <w14:solidFill>
                    <w14:schemeClr w14:val="tx1"/>
                  </w14:solidFill>
                </w14:textFill>
              </w:rPr>
              <w:t>IRI</w:t>
            </w:r>
            <w:r>
              <w:rPr>
                <w:rFonts w:hint="eastAsia"/>
                <w:color w:val="000000" w:themeColor="text1"/>
                <w:sz w:val="24"/>
                <w:szCs w:val="24"/>
                <w14:textFill>
                  <w14:solidFill>
                    <w14:schemeClr w14:val="tx1"/>
                  </w14:solidFill>
                </w14:textFill>
              </w:rPr>
              <w:t>指数列于表3.3-</w:t>
            </w:r>
            <w:r>
              <w:rPr>
                <w:rFonts w:hint="eastAsia"/>
                <w:color w:val="000000" w:themeColor="text1"/>
                <w:sz w:val="24"/>
                <w:szCs w:val="24"/>
                <w:lang w:val="en-US" w:eastAsia="zh-CN"/>
                <w14:textFill>
                  <w14:solidFill>
                    <w14:schemeClr w14:val="tx1"/>
                  </w14:solidFill>
                </w14:textFill>
              </w:rPr>
              <w:t>25</w:t>
            </w:r>
            <w:r>
              <w:rPr>
                <w:rFonts w:hint="eastAsia"/>
                <w:color w:val="000000" w:themeColor="text1"/>
                <w:sz w:val="24"/>
                <w:szCs w:val="24"/>
                <w14:textFill>
                  <w14:solidFill>
                    <w14:schemeClr w14:val="tx1"/>
                  </w14:solidFill>
                </w14:textFill>
              </w:rPr>
              <w:t>。从表中可得出，鱼类</w:t>
            </w:r>
            <w:r>
              <w:rPr>
                <w:rFonts w:hint="eastAsia"/>
                <w:i/>
                <w:iCs/>
                <w:color w:val="000000" w:themeColor="text1"/>
                <w:sz w:val="24"/>
                <w:szCs w:val="24"/>
                <w14:textFill>
                  <w14:solidFill>
                    <w14:schemeClr w14:val="tx1"/>
                  </w14:solidFill>
                </w14:textFill>
              </w:rPr>
              <w:t>IRI</w:t>
            </w:r>
            <w:r>
              <w:rPr>
                <w:rFonts w:hint="eastAsia"/>
                <w:color w:val="000000" w:themeColor="text1"/>
                <w:sz w:val="24"/>
                <w:szCs w:val="24"/>
                <w14:textFill>
                  <w14:solidFill>
                    <w14:schemeClr w14:val="tx1"/>
                  </w14:solidFill>
                </w14:textFill>
              </w:rPr>
              <w:t>值在1000以上的优势种有3种：条马鲾、</w:t>
            </w:r>
            <w:r>
              <w:rPr>
                <w:rFonts w:hint="eastAsia"/>
                <w:color w:val="000000" w:themeColor="text1"/>
                <w:sz w:val="24"/>
                <w:szCs w:val="24"/>
                <w:lang w:bidi="ar"/>
                <w14:textFill>
                  <w14:solidFill>
                    <w14:schemeClr w14:val="tx1"/>
                  </w14:solidFill>
                </w14:textFill>
              </w:rPr>
              <w:t>黑口鳓和金钱鱼</w:t>
            </w:r>
            <w:r>
              <w:rPr>
                <w:rFonts w:hint="eastAsia"/>
                <w:color w:val="000000" w:themeColor="text1"/>
                <w:sz w:val="24"/>
                <w:szCs w:val="24"/>
                <w14:textFill>
                  <w14:solidFill>
                    <w14:schemeClr w14:val="tx1"/>
                  </w14:solidFill>
                </w14:textFill>
              </w:rPr>
              <w:t>，这3种鱼类的重量渔获率之和为33.02kg/h，占鱼类总重量渔获率（50.47kg/h）的65.43%；这3种鱼类的个体渔获率之和为2153ind/h，占鱼类总个体渔获率（3007ind/h）的71.60%。</w:t>
            </w:r>
          </w:p>
          <w:p w14:paraId="5E012E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3.5-25</w:t>
            </w:r>
            <w:r>
              <w:rPr>
                <w:rFonts w:hint="default" w:ascii="Times New Roman" w:hAnsi="Times New Roman" w:cs="Times New Roman"/>
                <w:b/>
                <w:bCs/>
                <w:color w:val="auto"/>
                <w:kern w:val="0"/>
                <w:sz w:val="21"/>
                <w:szCs w:val="21"/>
                <w:lang w:val="zh-CN" w:eastAsia="zh-CN"/>
              </w:rPr>
              <w:t xml:space="preserve"> 鱼类的IRI指数</w:t>
            </w:r>
          </w:p>
          <w:tbl>
            <w:tblPr>
              <w:tblStyle w:val="28"/>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1775"/>
              <w:gridCol w:w="1260"/>
              <w:gridCol w:w="1120"/>
              <w:gridCol w:w="757"/>
              <w:gridCol w:w="932"/>
              <w:gridCol w:w="758"/>
              <w:gridCol w:w="1196"/>
            </w:tblGrid>
            <w:tr w14:paraId="2007C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Merge w:val="restart"/>
                  <w:vAlign w:val="center"/>
                </w:tcPr>
                <w:p w14:paraId="6E62AF9B">
                  <w:pPr>
                    <w:keepNext w:val="0"/>
                    <w:keepLines w:val="0"/>
                    <w:suppressLineNumbers w:val="0"/>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1775" w:type="dxa"/>
                  <w:vMerge w:val="restart"/>
                  <w:vAlign w:val="center"/>
                </w:tcPr>
                <w:p w14:paraId="5AF7C0D9">
                  <w:pPr>
                    <w:keepNext w:val="0"/>
                    <w:keepLines w:val="0"/>
                    <w:suppressLineNumbers w:val="0"/>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种名</w:t>
                  </w:r>
                </w:p>
              </w:tc>
              <w:tc>
                <w:tcPr>
                  <w:tcW w:w="1260" w:type="dxa"/>
                  <w:vMerge w:val="restart"/>
                  <w:vAlign w:val="center"/>
                </w:tcPr>
                <w:p w14:paraId="6DAE2244">
                  <w:pPr>
                    <w:keepNext w:val="0"/>
                    <w:keepLines w:val="0"/>
                    <w:suppressLineNumbers w:val="0"/>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出现频率F（%）</w:t>
                  </w:r>
                </w:p>
              </w:tc>
              <w:tc>
                <w:tcPr>
                  <w:tcW w:w="1877" w:type="dxa"/>
                  <w:gridSpan w:val="2"/>
                  <w:vAlign w:val="center"/>
                </w:tcPr>
                <w:p w14:paraId="4C6577F3">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重量渔获率</w:t>
                  </w:r>
                </w:p>
              </w:tc>
              <w:tc>
                <w:tcPr>
                  <w:tcW w:w="1690" w:type="dxa"/>
                  <w:gridSpan w:val="2"/>
                  <w:vAlign w:val="center"/>
                </w:tcPr>
                <w:p w14:paraId="6BB778D2">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个体渔获率</w:t>
                  </w:r>
                </w:p>
              </w:tc>
              <w:tc>
                <w:tcPr>
                  <w:tcW w:w="1196" w:type="dxa"/>
                  <w:vMerge w:val="restart"/>
                  <w:vAlign w:val="center"/>
                </w:tcPr>
                <w:p w14:paraId="78A2FE6E">
                  <w:pPr>
                    <w:keepNext w:val="0"/>
                    <w:keepLines w:val="0"/>
                    <w:suppressLineNumbers w:val="0"/>
                    <w:adjustRightInd w:val="0"/>
                    <w:snapToGrid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i/>
                      <w:iCs/>
                      <w:color w:val="000000" w:themeColor="text1"/>
                      <w:sz w:val="21"/>
                      <w:szCs w:val="21"/>
                      <w14:textFill>
                        <w14:solidFill>
                          <w14:schemeClr w14:val="tx1"/>
                        </w14:solidFill>
                      </w14:textFill>
                    </w:rPr>
                    <w:t>IRI</w:t>
                  </w:r>
                </w:p>
              </w:tc>
            </w:tr>
            <w:tr w14:paraId="75BA5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Merge w:val="continue"/>
                  <w:vAlign w:val="center"/>
                </w:tcPr>
                <w:p w14:paraId="64C795F8">
                  <w:pPr>
                    <w:keepNext w:val="0"/>
                    <w:keepLines w:val="0"/>
                    <w:suppressLineNumbers w:val="0"/>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775" w:type="dxa"/>
                  <w:vMerge w:val="continue"/>
                  <w:vAlign w:val="center"/>
                </w:tcPr>
                <w:p w14:paraId="57D130D8">
                  <w:pPr>
                    <w:keepNext w:val="0"/>
                    <w:keepLines w:val="0"/>
                    <w:suppressLineNumbers w:val="0"/>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260" w:type="dxa"/>
                  <w:vMerge w:val="continue"/>
                  <w:vAlign w:val="center"/>
                </w:tcPr>
                <w:p w14:paraId="0F4BC1F0">
                  <w:pPr>
                    <w:keepNext w:val="0"/>
                    <w:keepLines w:val="0"/>
                    <w:suppressLineNumbers w:val="0"/>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c>
                <w:tcPr>
                  <w:tcW w:w="1120" w:type="dxa"/>
                  <w:vAlign w:val="center"/>
                </w:tcPr>
                <w:p w14:paraId="685BC424">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kg/h</w:t>
                  </w:r>
                </w:p>
              </w:tc>
              <w:tc>
                <w:tcPr>
                  <w:tcW w:w="757" w:type="dxa"/>
                  <w:vAlign w:val="center"/>
                </w:tcPr>
                <w:p w14:paraId="23807C83">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W</w:t>
                  </w:r>
                </w:p>
              </w:tc>
              <w:tc>
                <w:tcPr>
                  <w:tcW w:w="932" w:type="dxa"/>
                  <w:vAlign w:val="center"/>
                </w:tcPr>
                <w:p w14:paraId="1335627E">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ind/h</w:t>
                  </w:r>
                </w:p>
              </w:tc>
              <w:tc>
                <w:tcPr>
                  <w:tcW w:w="758" w:type="dxa"/>
                  <w:vAlign w:val="center"/>
                </w:tcPr>
                <w:p w14:paraId="02103865">
                  <w:pPr>
                    <w:keepNext w:val="0"/>
                    <w:keepLines w:val="0"/>
                    <w:suppressLineNumbers w:val="0"/>
                    <w:spacing w:before="0" w:beforeAutospacing="0" w:after="0" w:afterAutospacing="0" w:line="0" w:lineRule="atLeast"/>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N</w:t>
                  </w:r>
                </w:p>
              </w:tc>
              <w:tc>
                <w:tcPr>
                  <w:tcW w:w="1196" w:type="dxa"/>
                  <w:vMerge w:val="continue"/>
                  <w:vAlign w:val="center"/>
                </w:tcPr>
                <w:p w14:paraId="43502C25">
                  <w:pPr>
                    <w:keepNext w:val="0"/>
                    <w:keepLines w:val="0"/>
                    <w:suppressLineNumbers w:val="0"/>
                    <w:adjustRightInd w:val="0"/>
                    <w:snapToGrid w:val="0"/>
                    <w:spacing w:before="0" w:beforeAutospacing="0" w:after="0" w:afterAutospacing="0" w:line="0" w:lineRule="atLeast"/>
                    <w:ind w:left="0" w:right="0"/>
                    <w:jc w:val="center"/>
                    <w:rPr>
                      <w:rFonts w:hint="eastAsia"/>
                      <w:color w:val="000000" w:themeColor="text1"/>
                      <w:sz w:val="21"/>
                      <w:szCs w:val="21"/>
                      <w14:textFill>
                        <w14:solidFill>
                          <w14:schemeClr w14:val="tx1"/>
                        </w14:solidFill>
                      </w14:textFill>
                    </w:rPr>
                  </w:pPr>
                </w:p>
              </w:tc>
            </w:tr>
            <w:tr w14:paraId="1AEDE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09867798">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w:t>
                  </w:r>
                </w:p>
              </w:tc>
              <w:tc>
                <w:tcPr>
                  <w:tcW w:w="1775" w:type="dxa"/>
                  <w:vAlign w:val="center"/>
                </w:tcPr>
                <w:p w14:paraId="06A6BD5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条马鲾</w:t>
                  </w:r>
                </w:p>
              </w:tc>
              <w:tc>
                <w:tcPr>
                  <w:tcW w:w="1260" w:type="dxa"/>
                  <w:vAlign w:val="center"/>
                </w:tcPr>
                <w:p w14:paraId="45BA722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sz w:val="24"/>
                    </w:rPr>
                    <w:t>*</w:t>
                  </w:r>
                  <w:r>
                    <w:rPr>
                      <w:sz w:val="24"/>
                    </w:rPr>
                    <w:t>**</w:t>
                  </w:r>
                </w:p>
              </w:tc>
              <w:tc>
                <w:tcPr>
                  <w:tcW w:w="1120" w:type="dxa"/>
                  <w:vAlign w:val="center"/>
                </w:tcPr>
                <w:p w14:paraId="1CB9D0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1F7FCC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04DF12A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7CDB8B3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D79F66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1E99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3419A89F">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w:t>
                  </w:r>
                </w:p>
              </w:tc>
              <w:tc>
                <w:tcPr>
                  <w:tcW w:w="1775" w:type="dxa"/>
                  <w:vAlign w:val="center"/>
                </w:tcPr>
                <w:p w14:paraId="57669EF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1260" w:type="dxa"/>
                  <w:vAlign w:val="center"/>
                </w:tcPr>
                <w:p w14:paraId="16ED8D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3260E9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4AF67A5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6CC175F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54D83ED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6EF35A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41DA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19CFD356">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w:t>
                  </w:r>
                </w:p>
              </w:tc>
              <w:tc>
                <w:tcPr>
                  <w:tcW w:w="1775" w:type="dxa"/>
                  <w:vAlign w:val="center"/>
                </w:tcPr>
                <w:p w14:paraId="54EB394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1260" w:type="dxa"/>
                  <w:vAlign w:val="center"/>
                </w:tcPr>
                <w:p w14:paraId="5F01F52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692672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030EB43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6625172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37F5CCD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BC15D1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927C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300FDB82">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4</w:t>
                  </w:r>
                </w:p>
              </w:tc>
              <w:tc>
                <w:tcPr>
                  <w:tcW w:w="1775" w:type="dxa"/>
                  <w:vAlign w:val="center"/>
                </w:tcPr>
                <w:p w14:paraId="6B64C5CB">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鲬</w:t>
                  </w:r>
                </w:p>
              </w:tc>
              <w:tc>
                <w:tcPr>
                  <w:tcW w:w="1260" w:type="dxa"/>
                  <w:vAlign w:val="center"/>
                </w:tcPr>
                <w:p w14:paraId="1404E6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1AFC0F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52ED25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6ECE4A4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7B049E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7B528E3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189A6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7567450B">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5</w:t>
                  </w:r>
                </w:p>
              </w:tc>
              <w:tc>
                <w:tcPr>
                  <w:tcW w:w="1775" w:type="dxa"/>
                  <w:vAlign w:val="center"/>
                </w:tcPr>
                <w:p w14:paraId="15D0BC8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棕斑兔头魨</w:t>
                  </w:r>
                </w:p>
              </w:tc>
              <w:tc>
                <w:tcPr>
                  <w:tcW w:w="1260" w:type="dxa"/>
                  <w:vAlign w:val="center"/>
                </w:tcPr>
                <w:p w14:paraId="03DD08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518F28E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7C20B9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0E83BF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6F67405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71B2D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69CD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7684D8BB">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6</w:t>
                  </w:r>
                </w:p>
              </w:tc>
              <w:tc>
                <w:tcPr>
                  <w:tcW w:w="1775" w:type="dxa"/>
                  <w:vAlign w:val="center"/>
                </w:tcPr>
                <w:p w14:paraId="617B65B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及达副叶鯵</w:t>
                  </w:r>
                </w:p>
              </w:tc>
              <w:tc>
                <w:tcPr>
                  <w:tcW w:w="1260" w:type="dxa"/>
                  <w:vAlign w:val="center"/>
                </w:tcPr>
                <w:p w14:paraId="55F9C09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695F74D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0E1352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16406C2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408313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7F875A3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D5CE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284" w:hRule="atLeast"/>
                <w:jc w:val="center"/>
              </w:trPr>
              <w:tc>
                <w:tcPr>
                  <w:tcW w:w="724" w:type="dxa"/>
                  <w:vAlign w:val="center"/>
                </w:tcPr>
                <w:p w14:paraId="4B10AB57">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7</w:t>
                  </w:r>
                </w:p>
              </w:tc>
              <w:tc>
                <w:tcPr>
                  <w:tcW w:w="1775" w:type="dxa"/>
                  <w:vAlign w:val="center"/>
                </w:tcPr>
                <w:p w14:paraId="598A167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刺鲳</w:t>
                  </w:r>
                </w:p>
              </w:tc>
              <w:tc>
                <w:tcPr>
                  <w:tcW w:w="1260" w:type="dxa"/>
                  <w:vAlign w:val="center"/>
                </w:tcPr>
                <w:p w14:paraId="218C1E8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177D133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3455FD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61FCCB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3A0FB89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8284E9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C323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406C2A24">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8</w:t>
                  </w:r>
                </w:p>
              </w:tc>
              <w:tc>
                <w:tcPr>
                  <w:tcW w:w="1775" w:type="dxa"/>
                  <w:vAlign w:val="center"/>
                </w:tcPr>
                <w:p w14:paraId="109979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黄吻棱鳀</w:t>
                  </w:r>
                </w:p>
              </w:tc>
              <w:tc>
                <w:tcPr>
                  <w:tcW w:w="1260" w:type="dxa"/>
                  <w:vAlign w:val="center"/>
                </w:tcPr>
                <w:p w14:paraId="6ACE563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08CF138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0B2D639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67522B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5666A3F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3AAE4FA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3444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3D70D3BF">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9</w:t>
                  </w:r>
                </w:p>
              </w:tc>
              <w:tc>
                <w:tcPr>
                  <w:tcW w:w="1775" w:type="dxa"/>
                  <w:vAlign w:val="center"/>
                </w:tcPr>
                <w:p w14:paraId="2C78171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大吻斜齿鲨</w:t>
                  </w:r>
                </w:p>
              </w:tc>
              <w:tc>
                <w:tcPr>
                  <w:tcW w:w="1260" w:type="dxa"/>
                  <w:vAlign w:val="center"/>
                </w:tcPr>
                <w:p w14:paraId="161A72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0FA835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4322F3F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2EF7510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60EC801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BFBBB1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E2EB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5EAC75B7">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10</w:t>
                  </w:r>
                </w:p>
              </w:tc>
              <w:tc>
                <w:tcPr>
                  <w:tcW w:w="1775" w:type="dxa"/>
                  <w:vAlign w:val="center"/>
                </w:tcPr>
                <w:p w14:paraId="192CCEB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二长棘犁齿鲷</w:t>
                  </w:r>
                </w:p>
              </w:tc>
              <w:tc>
                <w:tcPr>
                  <w:tcW w:w="1260" w:type="dxa"/>
                  <w:vAlign w:val="center"/>
                </w:tcPr>
                <w:p w14:paraId="6703F9A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1E8D896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36DE34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0588502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597893A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1C56E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7EA8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30D02CFC">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11</w:t>
                  </w:r>
                </w:p>
              </w:tc>
              <w:tc>
                <w:tcPr>
                  <w:tcW w:w="1775" w:type="dxa"/>
                  <w:vAlign w:val="center"/>
                </w:tcPr>
                <w:p w14:paraId="3D5A81C9">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短吻鲾</w:t>
                  </w:r>
                </w:p>
              </w:tc>
              <w:tc>
                <w:tcPr>
                  <w:tcW w:w="1260" w:type="dxa"/>
                  <w:vAlign w:val="center"/>
                </w:tcPr>
                <w:p w14:paraId="5431C56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146DC70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5279E2A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28F95C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015656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833024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E700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4B8D0CD5">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12</w:t>
                  </w:r>
                </w:p>
              </w:tc>
              <w:tc>
                <w:tcPr>
                  <w:tcW w:w="1775" w:type="dxa"/>
                  <w:vAlign w:val="center"/>
                </w:tcPr>
                <w:p w14:paraId="7D32347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皮氏叫姑鱼</w:t>
                  </w:r>
                </w:p>
              </w:tc>
              <w:tc>
                <w:tcPr>
                  <w:tcW w:w="1260" w:type="dxa"/>
                  <w:vAlign w:val="center"/>
                </w:tcPr>
                <w:p w14:paraId="0A13F1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3A2F47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42E305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1A5D952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132F51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194385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72B7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3B685AD7">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13</w:t>
                  </w:r>
                </w:p>
              </w:tc>
              <w:tc>
                <w:tcPr>
                  <w:tcW w:w="1775" w:type="dxa"/>
                  <w:vAlign w:val="center"/>
                </w:tcPr>
                <w:p w14:paraId="2D71C02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截尾银姑鱼</w:t>
                  </w:r>
                </w:p>
              </w:tc>
              <w:tc>
                <w:tcPr>
                  <w:tcW w:w="1260" w:type="dxa"/>
                  <w:vAlign w:val="center"/>
                </w:tcPr>
                <w:p w14:paraId="7FE4532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7557F77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4ABD252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55467D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0C40737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1F9A8D4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E7E4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29F8C51D">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14</w:t>
                  </w:r>
                </w:p>
              </w:tc>
              <w:tc>
                <w:tcPr>
                  <w:tcW w:w="1775" w:type="dxa"/>
                  <w:vAlign w:val="center"/>
                </w:tcPr>
                <w:p w14:paraId="47AEB8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斑鰶</w:t>
                  </w:r>
                </w:p>
              </w:tc>
              <w:tc>
                <w:tcPr>
                  <w:tcW w:w="1260" w:type="dxa"/>
                  <w:vAlign w:val="center"/>
                </w:tcPr>
                <w:p w14:paraId="14F4BD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0C2180A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7C51DFE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6C06D10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5C8E7B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11A06A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9836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0DE11C9B">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15</w:t>
                  </w:r>
                </w:p>
              </w:tc>
              <w:tc>
                <w:tcPr>
                  <w:tcW w:w="1775" w:type="dxa"/>
                  <w:vAlign w:val="center"/>
                </w:tcPr>
                <w:p w14:paraId="10131A7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拟矛尾鰕虎鱼</w:t>
                  </w:r>
                </w:p>
              </w:tc>
              <w:tc>
                <w:tcPr>
                  <w:tcW w:w="1260" w:type="dxa"/>
                  <w:vAlign w:val="center"/>
                </w:tcPr>
                <w:p w14:paraId="47EAE4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194DE9B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5D0B96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2093CD1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6130CA3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27CB9E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17C6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50F4A804">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16</w:t>
                  </w:r>
                </w:p>
              </w:tc>
              <w:tc>
                <w:tcPr>
                  <w:tcW w:w="1775" w:type="dxa"/>
                  <w:vAlign w:val="center"/>
                </w:tcPr>
                <w:p w14:paraId="54DE74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多鳞鱚</w:t>
                  </w:r>
                </w:p>
              </w:tc>
              <w:tc>
                <w:tcPr>
                  <w:tcW w:w="1260" w:type="dxa"/>
                  <w:vAlign w:val="center"/>
                </w:tcPr>
                <w:p w14:paraId="7518CA5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5317044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350B28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0824406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71C6804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73543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7637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1DA66CA7">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17</w:t>
                  </w:r>
                </w:p>
              </w:tc>
              <w:tc>
                <w:tcPr>
                  <w:tcW w:w="1775" w:type="dxa"/>
                  <w:vAlign w:val="center"/>
                </w:tcPr>
                <w:p w14:paraId="14A2F69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截尾天竺鲷</w:t>
                  </w:r>
                </w:p>
              </w:tc>
              <w:tc>
                <w:tcPr>
                  <w:tcW w:w="1260" w:type="dxa"/>
                  <w:vAlign w:val="center"/>
                </w:tcPr>
                <w:p w14:paraId="4ADB05D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4F7BD86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5D2A51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3B90B92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3A1CEA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267E90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CBC1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6E5A7DA1">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18</w:t>
                  </w:r>
                </w:p>
              </w:tc>
              <w:tc>
                <w:tcPr>
                  <w:tcW w:w="1775" w:type="dxa"/>
                  <w:vAlign w:val="center"/>
                </w:tcPr>
                <w:p w14:paraId="209288A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白腹小沙丁鱼</w:t>
                  </w:r>
                </w:p>
              </w:tc>
              <w:tc>
                <w:tcPr>
                  <w:tcW w:w="1260" w:type="dxa"/>
                  <w:vAlign w:val="center"/>
                </w:tcPr>
                <w:p w14:paraId="3090DED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40C26B4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7D993B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7A7D783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3A7A98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C40CB1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DA47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284" w:hRule="atLeast"/>
                <w:jc w:val="center"/>
              </w:trPr>
              <w:tc>
                <w:tcPr>
                  <w:tcW w:w="724" w:type="dxa"/>
                  <w:vAlign w:val="center"/>
                </w:tcPr>
                <w:p w14:paraId="46C3DACA">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19</w:t>
                  </w:r>
                </w:p>
              </w:tc>
              <w:tc>
                <w:tcPr>
                  <w:tcW w:w="1775" w:type="dxa"/>
                  <w:vAlign w:val="center"/>
                </w:tcPr>
                <w:p w14:paraId="62AD5E2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黑棘鲷</w:t>
                  </w:r>
                </w:p>
              </w:tc>
              <w:tc>
                <w:tcPr>
                  <w:tcW w:w="1260" w:type="dxa"/>
                  <w:vAlign w:val="center"/>
                </w:tcPr>
                <w:p w14:paraId="300313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00FCF6B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03918C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01D318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1A4F451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E1A2F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39DC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29AA7CC0">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20</w:t>
                  </w:r>
                </w:p>
              </w:tc>
              <w:tc>
                <w:tcPr>
                  <w:tcW w:w="1775" w:type="dxa"/>
                  <w:vAlign w:val="center"/>
                </w:tcPr>
                <w:p w14:paraId="0C809A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带鱼</w:t>
                  </w:r>
                </w:p>
              </w:tc>
              <w:tc>
                <w:tcPr>
                  <w:tcW w:w="1260" w:type="dxa"/>
                  <w:vAlign w:val="center"/>
                </w:tcPr>
                <w:p w14:paraId="3CA2EF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51D5F70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18723E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71C549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38A68B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849D5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94F8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075309B3">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21</w:t>
                  </w:r>
                </w:p>
              </w:tc>
              <w:tc>
                <w:tcPr>
                  <w:tcW w:w="1775" w:type="dxa"/>
                  <w:vAlign w:val="center"/>
                </w:tcPr>
                <w:p w14:paraId="17A7DE3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犬牙缰鰕虎鱼</w:t>
                  </w:r>
                </w:p>
              </w:tc>
              <w:tc>
                <w:tcPr>
                  <w:tcW w:w="1260" w:type="dxa"/>
                  <w:vAlign w:val="center"/>
                </w:tcPr>
                <w:p w14:paraId="1E05853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54D3FAD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634A4F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34E4AC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43B16E0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8D75E7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7B572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0BD80204">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22</w:t>
                  </w:r>
                </w:p>
              </w:tc>
              <w:tc>
                <w:tcPr>
                  <w:tcW w:w="1775" w:type="dxa"/>
                  <w:vAlign w:val="center"/>
                </w:tcPr>
                <w:p w14:paraId="78D1F98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粗高鳍鮋</w:t>
                  </w:r>
                </w:p>
              </w:tc>
              <w:tc>
                <w:tcPr>
                  <w:tcW w:w="1260" w:type="dxa"/>
                  <w:vAlign w:val="center"/>
                </w:tcPr>
                <w:p w14:paraId="2A5E214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782FA9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578219D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35258B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7C786F0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334864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6830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5A1C910E">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23</w:t>
                  </w:r>
                </w:p>
              </w:tc>
              <w:tc>
                <w:tcPr>
                  <w:tcW w:w="1775" w:type="dxa"/>
                  <w:vAlign w:val="center"/>
                </w:tcPr>
                <w:p w14:paraId="14F5AA6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前鳞骨鲻</w:t>
                  </w:r>
                </w:p>
              </w:tc>
              <w:tc>
                <w:tcPr>
                  <w:tcW w:w="1260" w:type="dxa"/>
                  <w:vAlign w:val="center"/>
                </w:tcPr>
                <w:p w14:paraId="2F9786A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6315FFA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5DFD5F9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5C4A01D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1E35A65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B3A4C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68FC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7AA6FC2B">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24</w:t>
                  </w:r>
                </w:p>
              </w:tc>
              <w:tc>
                <w:tcPr>
                  <w:tcW w:w="1775" w:type="dxa"/>
                  <w:vAlign w:val="center"/>
                </w:tcPr>
                <w:p w14:paraId="7324F5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孔鰕虎鱼</w:t>
                  </w:r>
                </w:p>
              </w:tc>
              <w:tc>
                <w:tcPr>
                  <w:tcW w:w="1260" w:type="dxa"/>
                  <w:vAlign w:val="center"/>
                </w:tcPr>
                <w:p w14:paraId="6BFC870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51D5EF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175ED72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2C7101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064EDD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1A811F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119E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35538A42">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25</w:t>
                  </w:r>
                </w:p>
              </w:tc>
              <w:tc>
                <w:tcPr>
                  <w:tcW w:w="1775" w:type="dxa"/>
                  <w:vAlign w:val="center"/>
                </w:tcPr>
                <w:p w14:paraId="60EBE77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䲢头鮋</w:t>
                  </w:r>
                </w:p>
              </w:tc>
              <w:tc>
                <w:tcPr>
                  <w:tcW w:w="1260" w:type="dxa"/>
                  <w:vAlign w:val="center"/>
                </w:tcPr>
                <w:p w14:paraId="551B596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1541C5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174ED7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46A8EE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59E44D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268F436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A51B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3AE76E3F">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26</w:t>
                  </w:r>
                </w:p>
              </w:tc>
              <w:tc>
                <w:tcPr>
                  <w:tcW w:w="1775" w:type="dxa"/>
                  <w:vAlign w:val="center"/>
                </w:tcPr>
                <w:p w14:paraId="5B7D2E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矛尾鰕虎鱼</w:t>
                  </w:r>
                </w:p>
              </w:tc>
              <w:tc>
                <w:tcPr>
                  <w:tcW w:w="1260" w:type="dxa"/>
                  <w:vAlign w:val="center"/>
                </w:tcPr>
                <w:p w14:paraId="6C62F12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2ACB85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5CDD6D4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35B6F02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4627BF1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7DDAB4A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1955C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3C42373A">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27</w:t>
                  </w:r>
                </w:p>
              </w:tc>
              <w:tc>
                <w:tcPr>
                  <w:tcW w:w="1775" w:type="dxa"/>
                  <w:vAlign w:val="center"/>
                </w:tcPr>
                <w:p w14:paraId="534D7640">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似原鹤海鳗</w:t>
                  </w:r>
                </w:p>
              </w:tc>
              <w:tc>
                <w:tcPr>
                  <w:tcW w:w="1260" w:type="dxa"/>
                  <w:vAlign w:val="center"/>
                </w:tcPr>
                <w:p w14:paraId="5DBE485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67EA42A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210C66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73CF8C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7C596A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D4E8B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4CA53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0A3B41FA">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28</w:t>
                  </w:r>
                </w:p>
              </w:tc>
              <w:tc>
                <w:tcPr>
                  <w:tcW w:w="1775" w:type="dxa"/>
                  <w:vAlign w:val="center"/>
                </w:tcPr>
                <w:p w14:paraId="1E5EDA2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铅点多纪鲀</w:t>
                  </w:r>
                </w:p>
              </w:tc>
              <w:tc>
                <w:tcPr>
                  <w:tcW w:w="1260" w:type="dxa"/>
                  <w:vAlign w:val="center"/>
                </w:tcPr>
                <w:p w14:paraId="37E4DF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62665F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0C7D732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43B898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1BC822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7EB659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10C06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284" w:hRule="atLeast"/>
                <w:jc w:val="center"/>
              </w:trPr>
              <w:tc>
                <w:tcPr>
                  <w:tcW w:w="724" w:type="dxa"/>
                  <w:vAlign w:val="center"/>
                </w:tcPr>
                <w:p w14:paraId="78AC7045">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29</w:t>
                  </w:r>
                </w:p>
              </w:tc>
              <w:tc>
                <w:tcPr>
                  <w:tcW w:w="1775" w:type="dxa"/>
                  <w:vAlign w:val="center"/>
                </w:tcPr>
                <w:p w14:paraId="0A5C0C98">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鹿斑仰口鰏</w:t>
                  </w:r>
                </w:p>
              </w:tc>
              <w:tc>
                <w:tcPr>
                  <w:tcW w:w="1260" w:type="dxa"/>
                  <w:vAlign w:val="center"/>
                </w:tcPr>
                <w:p w14:paraId="085BCAB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447C510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703D5A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7CB75C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216998F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B1E9E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0E53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40340E5A">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30</w:t>
                  </w:r>
                </w:p>
              </w:tc>
              <w:tc>
                <w:tcPr>
                  <w:tcW w:w="1775" w:type="dxa"/>
                  <w:vAlign w:val="center"/>
                </w:tcPr>
                <w:p w14:paraId="28176AA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长蛇鲻</w:t>
                  </w:r>
                </w:p>
              </w:tc>
              <w:tc>
                <w:tcPr>
                  <w:tcW w:w="1260" w:type="dxa"/>
                  <w:vAlign w:val="center"/>
                </w:tcPr>
                <w:p w14:paraId="2563B8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7DB092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79E48D3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500A016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2AE463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16BB77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EE10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63D55535">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31</w:t>
                  </w:r>
                </w:p>
              </w:tc>
              <w:tc>
                <w:tcPr>
                  <w:tcW w:w="1775" w:type="dxa"/>
                  <w:vAlign w:val="center"/>
                </w:tcPr>
                <w:p w14:paraId="0A32CDF7">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细纹鲾</w:t>
                  </w:r>
                </w:p>
              </w:tc>
              <w:tc>
                <w:tcPr>
                  <w:tcW w:w="1260" w:type="dxa"/>
                  <w:vAlign w:val="center"/>
                </w:tcPr>
                <w:p w14:paraId="5A142BE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52E65A4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6A22F3B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59ECB91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698508E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2FB49C6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57EE0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597AFC23">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32</w:t>
                  </w:r>
                </w:p>
              </w:tc>
              <w:tc>
                <w:tcPr>
                  <w:tcW w:w="1775" w:type="dxa"/>
                  <w:vAlign w:val="center"/>
                </w:tcPr>
                <w:p w14:paraId="5E27A3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六带石斑鱼</w:t>
                  </w:r>
                </w:p>
              </w:tc>
              <w:tc>
                <w:tcPr>
                  <w:tcW w:w="1260" w:type="dxa"/>
                  <w:vAlign w:val="center"/>
                </w:tcPr>
                <w:p w14:paraId="31AFCF7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40B68E3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367B0E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29F87B5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3CA1230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0CCAB77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0214E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6103CF2A">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33</w:t>
                  </w:r>
                </w:p>
              </w:tc>
              <w:tc>
                <w:tcPr>
                  <w:tcW w:w="1775" w:type="dxa"/>
                  <w:vAlign w:val="center"/>
                </w:tcPr>
                <w:p w14:paraId="6A2F69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细鳞鯻</w:t>
                  </w:r>
                </w:p>
              </w:tc>
              <w:tc>
                <w:tcPr>
                  <w:tcW w:w="1260" w:type="dxa"/>
                  <w:vAlign w:val="center"/>
                </w:tcPr>
                <w:p w14:paraId="37FFA9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66289F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3F7B0C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6E9583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78F313E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204E977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621C7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7637C7E6">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34</w:t>
                  </w:r>
                </w:p>
              </w:tc>
              <w:tc>
                <w:tcPr>
                  <w:tcW w:w="1775" w:type="dxa"/>
                  <w:vAlign w:val="center"/>
                </w:tcPr>
                <w:p w14:paraId="54FCB3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大头银姑鱼</w:t>
                  </w:r>
                </w:p>
              </w:tc>
              <w:tc>
                <w:tcPr>
                  <w:tcW w:w="1260" w:type="dxa"/>
                  <w:vAlign w:val="center"/>
                </w:tcPr>
                <w:p w14:paraId="7D8F4E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7DCD432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46958DD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726EB81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1C98F51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32FE555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25D12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284" w:hRule="atLeast"/>
                <w:jc w:val="center"/>
              </w:trPr>
              <w:tc>
                <w:tcPr>
                  <w:tcW w:w="724" w:type="dxa"/>
                  <w:vAlign w:val="center"/>
                </w:tcPr>
                <w:p w14:paraId="78B3C4D1">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35</w:t>
                  </w:r>
                </w:p>
              </w:tc>
              <w:tc>
                <w:tcPr>
                  <w:tcW w:w="1775" w:type="dxa"/>
                  <w:vAlign w:val="center"/>
                </w:tcPr>
                <w:p w14:paraId="23926ED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李氏䲗</w:t>
                  </w:r>
                </w:p>
              </w:tc>
              <w:tc>
                <w:tcPr>
                  <w:tcW w:w="1260" w:type="dxa"/>
                  <w:vAlign w:val="center"/>
                </w:tcPr>
                <w:p w14:paraId="43B279E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30FA95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1851333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7E2572E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7DB515A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270C81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r w14:paraId="36BE9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724" w:type="dxa"/>
                  <w:vAlign w:val="center"/>
                </w:tcPr>
                <w:p w14:paraId="644415D0">
                  <w:pPr>
                    <w:keepNext w:val="0"/>
                    <w:keepLines w:val="0"/>
                    <w:suppressLineNumbers w:val="0"/>
                    <w:spacing w:before="0" w:beforeAutospacing="0" w:after="0" w:afterAutospacing="0" w:line="0" w:lineRule="atLeast"/>
                    <w:ind w:left="0" w:right="0"/>
                    <w:jc w:val="center"/>
                    <w:textAlignment w:val="bottom"/>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36</w:t>
                  </w:r>
                </w:p>
              </w:tc>
              <w:tc>
                <w:tcPr>
                  <w:tcW w:w="1775" w:type="dxa"/>
                  <w:vAlign w:val="center"/>
                </w:tcPr>
                <w:p w14:paraId="2305BD0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红丝鰕虎鱼</w:t>
                  </w:r>
                </w:p>
              </w:tc>
              <w:tc>
                <w:tcPr>
                  <w:tcW w:w="1260" w:type="dxa"/>
                  <w:vAlign w:val="center"/>
                </w:tcPr>
                <w:p w14:paraId="2E31A80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20" w:type="dxa"/>
                  <w:vAlign w:val="center"/>
                </w:tcPr>
                <w:p w14:paraId="420829B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7" w:type="dxa"/>
                  <w:vAlign w:val="center"/>
                </w:tcPr>
                <w:p w14:paraId="4E3590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932" w:type="dxa"/>
                  <w:vAlign w:val="center"/>
                </w:tcPr>
                <w:p w14:paraId="7802AB3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758" w:type="dxa"/>
                  <w:vAlign w:val="center"/>
                </w:tcPr>
                <w:p w14:paraId="196F941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c>
                <w:tcPr>
                  <w:tcW w:w="1196" w:type="dxa"/>
                  <w:vAlign w:val="center"/>
                </w:tcPr>
                <w:p w14:paraId="6891A6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14:textFill>
                        <w14:solidFill>
                          <w14:schemeClr w14:val="tx1"/>
                        </w14:solidFill>
                      </w14:textFill>
                    </w:rPr>
                  </w:pPr>
                </w:p>
              </w:tc>
            </w:tr>
          </w:tbl>
          <w:p w14:paraId="7EB91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color w:val="000000" w:themeColor="text1"/>
                <w:sz w:val="24"/>
                <w:szCs w:val="24"/>
                <w:lang w:bidi="en-US"/>
                <w14:textFill>
                  <w14:solidFill>
                    <w14:schemeClr w14:val="tx1"/>
                  </w14:solidFill>
                </w14:textFill>
              </w:rPr>
            </w:pPr>
            <w:r>
              <w:rPr>
                <w:rFonts w:hint="eastAsia"/>
                <w:b/>
                <w:color w:val="000000" w:themeColor="text1"/>
                <w:sz w:val="24"/>
                <w:szCs w:val="24"/>
                <w:lang w:bidi="en-US"/>
                <w14:textFill>
                  <w14:solidFill>
                    <w14:schemeClr w14:val="tx1"/>
                  </w14:solidFill>
                </w14:textFill>
              </w:rPr>
              <w:t>5）</w:t>
            </w:r>
            <w:r>
              <w:rPr>
                <w:rFonts w:hint="eastAsia" w:ascii="宋体" w:hAnsi="宋体" w:cs="宋体"/>
                <w:b/>
                <w:color w:val="000000" w:themeColor="text1"/>
                <w:sz w:val="24"/>
                <w:szCs w:val="24"/>
                <w:lang w:bidi="en-US"/>
                <w14:textFill>
                  <w14:solidFill>
                    <w14:schemeClr w14:val="tx1"/>
                  </w14:solidFill>
                </w14:textFill>
              </w:rPr>
              <w:t>小结</w:t>
            </w:r>
          </w:p>
          <w:p w14:paraId="1E3B2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共采集到游泳动物64种，隶属于11目33科，其中鱼类为7目22科36种，头足类为2目2科3种，甲壳类2目9科25种。游泳动物的平均渔获率为7.71kg/h和576.33ind/h。其中，鱼类为4.21kg/h和250.58ind/h，头足类的平均渔获率为0.35kg/h和36.25ind/h，甲壳类的平均渔获率为3.15kg/h和289.50ind/h。根据扫海面积法估算，12个站位目前游泳动物的平均资源密度约为693.59kg/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和51.87×10</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ind/km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，其中鱼类约为378.46kg/km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和22.55×10</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ind/km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，头足类约为31.40kg/km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和3.26×10</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ind/km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，甲壳类约为283.72kg/km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和26.06×10</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ind/km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。根据相对重要性指数（</w:t>
            </w:r>
            <w:r>
              <w:rPr>
                <w:rFonts w:hint="eastAsia"/>
                <w:i/>
                <w:iCs/>
                <w:color w:val="000000" w:themeColor="text1"/>
                <w:sz w:val="24"/>
                <w:szCs w:val="24"/>
                <w14:textFill>
                  <w14:solidFill>
                    <w14:schemeClr w14:val="tx1"/>
                  </w14:solidFill>
                </w14:textFill>
              </w:rPr>
              <w:t>IRI</w:t>
            </w:r>
            <w:r>
              <w:rPr>
                <w:rFonts w:hint="eastAsia"/>
                <w:color w:val="000000" w:themeColor="text1"/>
                <w:sz w:val="24"/>
                <w:szCs w:val="24"/>
                <w14:textFill>
                  <w14:solidFill>
                    <w14:schemeClr w14:val="tx1"/>
                  </w14:solidFill>
                </w14:textFill>
              </w:rPr>
              <w:t>）公式计算评价调查海域内的相对重要性指标（</w:t>
            </w:r>
            <w:r>
              <w:rPr>
                <w:rFonts w:hint="eastAsia"/>
                <w:i/>
                <w:iCs/>
                <w:color w:val="000000" w:themeColor="text1"/>
                <w:sz w:val="24"/>
                <w:szCs w:val="24"/>
                <w14:textFill>
                  <w14:solidFill>
                    <w14:schemeClr w14:val="tx1"/>
                  </w14:solidFill>
                </w14:textFill>
              </w:rPr>
              <w:t>IRI</w:t>
            </w:r>
            <w:r>
              <w:rPr>
                <w:rFonts w:hint="eastAsia"/>
                <w:color w:val="000000" w:themeColor="text1"/>
                <w:sz w:val="24"/>
                <w:szCs w:val="24"/>
                <w14:textFill>
                  <w14:solidFill>
                    <w14:schemeClr w14:val="tx1"/>
                  </w14:solidFill>
                </w14:textFill>
              </w:rPr>
              <w:t>），并以</w:t>
            </w:r>
            <w:r>
              <w:rPr>
                <w:rFonts w:hint="eastAsia"/>
                <w:i/>
                <w:iCs/>
                <w:color w:val="000000" w:themeColor="text1"/>
                <w:sz w:val="24"/>
                <w:szCs w:val="24"/>
                <w14:textFill>
                  <w14:solidFill>
                    <w14:schemeClr w14:val="tx1"/>
                  </w14:solidFill>
                </w14:textFill>
              </w:rPr>
              <w:t>IRI</w:t>
            </w:r>
            <w:r>
              <w:rPr>
                <w:rFonts w:hint="eastAsia"/>
                <w:color w:val="000000" w:themeColor="text1"/>
                <w:sz w:val="24"/>
                <w:szCs w:val="24"/>
                <w14:textFill>
                  <w14:solidFill>
                    <w14:schemeClr w14:val="tx1"/>
                  </w14:solidFill>
                </w14:textFill>
              </w:rPr>
              <w:t>大于1000作为优势渔获物的判断指标，本次调查的优势渔获种类共有10种。其中鱼类优势种有3种，分别为条马鲾（9506.78）、</w:t>
            </w:r>
            <w:r>
              <w:rPr>
                <w:rFonts w:hint="eastAsia"/>
                <w:color w:val="000000" w:themeColor="text1"/>
                <w:sz w:val="24"/>
                <w:szCs w:val="24"/>
                <w:lang w:bidi="ar"/>
                <w14:textFill>
                  <w14:solidFill>
                    <w14:schemeClr w14:val="tx1"/>
                  </w14:solidFill>
                </w14:textFill>
              </w:rPr>
              <w:t>黑口鳓（2540.64）</w:t>
            </w:r>
            <w:r>
              <w:rPr>
                <w:rFonts w:hint="eastAsia"/>
                <w:color w:val="000000" w:themeColor="text1"/>
                <w:sz w:val="24"/>
                <w:szCs w:val="24"/>
                <w14:textFill>
                  <w14:solidFill>
                    <w14:schemeClr w14:val="tx1"/>
                  </w14:solidFill>
                </w14:textFill>
              </w:rPr>
              <w:t>和</w:t>
            </w:r>
            <w:r>
              <w:rPr>
                <w:rFonts w:hint="eastAsia"/>
                <w:color w:val="000000" w:themeColor="text1"/>
                <w:sz w:val="24"/>
                <w:szCs w:val="24"/>
                <w:lang w:bidi="ar"/>
                <w14:textFill>
                  <w14:solidFill>
                    <w14:schemeClr w14:val="tx1"/>
                  </w14:solidFill>
                </w14:textFill>
              </w:rPr>
              <w:t>金钱鱼（1425.43）</w:t>
            </w:r>
            <w:r>
              <w:rPr>
                <w:rFonts w:hint="eastAsia"/>
                <w:color w:val="000000" w:themeColor="text1"/>
                <w:sz w:val="24"/>
                <w:szCs w:val="24"/>
                <w14:textFill>
                  <w14:solidFill>
                    <w14:schemeClr w14:val="tx1"/>
                  </w14:solidFill>
                </w14:textFill>
              </w:rPr>
              <w:t>；甲壳类优势种有6种，分别为双额短桨蟹（5410.26）、门司赤虾（2473.70）、黑斑口虾蛄（2453.82）猛虾蛄（1682.11）、隆线强蟹（1568.57）和银光梭子蟹（1435.05）；软体类优势种有1种，为火枪乌贼（17299.85）。本次调查海域渔获物中，鱼类平均幼体比例为29.63%；虾蛄类平均幼体比例为22.77%；虾类平均幼体比例为35.82%；蟹类平均幼体比例为25.07%；头足类平均幼体比例为27.82%。项目海域渔获物丰富度指数（</w:t>
            </w:r>
            <w:r>
              <w:rPr>
                <w:rFonts w:hint="eastAsia"/>
                <w:i/>
                <w:iCs/>
                <w:color w:val="000000" w:themeColor="text1"/>
                <w:sz w:val="24"/>
                <w:szCs w:val="24"/>
                <w14:textFill>
                  <w14:solidFill>
                    <w14:schemeClr w14:val="tx1"/>
                  </w14:solidFill>
                </w14:textFill>
              </w:rPr>
              <w:t>d</w:t>
            </w:r>
            <w:r>
              <w:rPr>
                <w:rFonts w:hint="eastAsia"/>
                <w:color w:val="000000" w:themeColor="text1"/>
                <w:sz w:val="24"/>
                <w:szCs w:val="24"/>
                <w14:textFill>
                  <w14:solidFill>
                    <w14:schemeClr w14:val="tx1"/>
                  </w14:solidFill>
                </w14:textFill>
              </w:rPr>
              <w:t>）均值为2.85（2.16~3.43），多样性指数（</w:t>
            </w:r>
            <w:r>
              <w:rPr>
                <w:rFonts w:hint="eastAsia"/>
                <w:i/>
                <w:iCs/>
                <w:color w:val="000000" w:themeColor="text1"/>
                <w:sz w:val="24"/>
                <w:szCs w:val="24"/>
                <w14:textFill>
                  <w14:solidFill>
                    <w14:schemeClr w14:val="tx1"/>
                  </w14:solidFill>
                </w14:textFill>
              </w:rPr>
              <w:t>H'</w:t>
            </w:r>
            <w:r>
              <w:rPr>
                <w:rFonts w:hint="eastAsia"/>
                <w:color w:val="000000" w:themeColor="text1"/>
                <w:sz w:val="24"/>
                <w:szCs w:val="24"/>
                <w14:textFill>
                  <w14:solidFill>
                    <w14:schemeClr w14:val="tx1"/>
                  </w14:solidFill>
                </w14:textFill>
              </w:rPr>
              <w:t>）均值为3.68（3.22~3.93），均匀度指数（</w:t>
            </w:r>
            <w:r>
              <w:rPr>
                <w:rFonts w:hint="eastAsia"/>
                <w:i/>
                <w:iCs/>
                <w:color w:val="000000" w:themeColor="text1"/>
                <w:sz w:val="24"/>
                <w:szCs w:val="24"/>
                <w14:textFill>
                  <w14:solidFill>
                    <w14:schemeClr w14:val="tx1"/>
                  </w14:solidFill>
                </w14:textFill>
              </w:rPr>
              <w:t>J</w:t>
            </w:r>
            <w:r>
              <w:rPr>
                <w:rFonts w:hint="eastAsia"/>
                <w:color w:val="000000" w:themeColor="text1"/>
                <w:sz w:val="24"/>
                <w:szCs w:val="24"/>
                <w14:textFill>
                  <w14:solidFill>
                    <w14:schemeClr w14:val="tx1"/>
                  </w14:solidFill>
                </w14:textFill>
              </w:rPr>
              <w:t>）均值为0.77（0.69-0.84）。</w:t>
            </w:r>
          </w:p>
          <w:p w14:paraId="4D2D1EEA">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color w:val="auto"/>
                <w:kern w:val="0"/>
                <w:sz w:val="24"/>
              </w:rPr>
            </w:pPr>
            <w:r>
              <w:rPr>
                <w:rFonts w:hint="eastAsia" w:ascii="Times New Roman" w:hAnsi="Times New Roman" w:eastAsia="宋体" w:cs="Times New Roman"/>
                <w:b/>
                <w:color w:val="auto"/>
                <w:kern w:val="0"/>
                <w:sz w:val="24"/>
                <w:lang w:val="en-US" w:eastAsia="zh-CN"/>
              </w:rPr>
              <w:t>3.5.7海洋生物体质量调查与评价</w:t>
            </w:r>
          </w:p>
          <w:p w14:paraId="5707C468">
            <w:pPr>
              <w:pStyle w:val="5"/>
              <w:keepNext w:val="0"/>
              <w:keepLines w:val="0"/>
              <w:pageBreakBefore w:val="0"/>
              <w:widowControl w:val="0"/>
              <w:numPr>
                <w:ilvl w:val="3"/>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olor w:val="000000" w:themeColor="text1"/>
                <w:kern w:val="13"/>
                <w:sz w:val="24"/>
                <w:szCs w:val="24"/>
                <w14:textFill>
                  <w14:solidFill>
                    <w14:schemeClr w14:val="tx1"/>
                  </w14:solidFill>
                </w14:textFill>
              </w:rPr>
            </w:pPr>
            <w:bookmarkStart w:id="32" w:name="_Toc317003534"/>
            <w:bookmarkStart w:id="33" w:name="_Toc232154469"/>
            <w:bookmarkStart w:id="34" w:name="_Toc247517306"/>
            <w:bookmarkStart w:id="35" w:name="_Toc247517476"/>
            <w:bookmarkStart w:id="36" w:name="_Toc317003254"/>
            <w:bookmarkStart w:id="37" w:name="_Toc247517549"/>
            <w:r>
              <w:rPr>
                <w:rFonts w:hint="eastAsia" w:cs="Times New Roman"/>
                <w:color w:val="000000" w:themeColor="text1"/>
                <w:kern w:val="13"/>
                <w:sz w:val="24"/>
                <w:szCs w:val="24"/>
                <w:lang w:val="en-US" w:eastAsia="zh-CN" w:bidi="ar-SA"/>
                <w14:textFill>
                  <w14:solidFill>
                    <w14:schemeClr w14:val="tx1"/>
                  </w14:solidFill>
                </w14:textFill>
              </w:rPr>
              <w:t>（1）</w:t>
            </w:r>
            <w:r>
              <w:rPr>
                <w:rFonts w:hint="eastAsia"/>
                <w:color w:val="000000" w:themeColor="text1"/>
                <w:kern w:val="13"/>
                <w:sz w:val="24"/>
                <w:szCs w:val="24"/>
                <w14:textFill>
                  <w14:solidFill>
                    <w14:schemeClr w14:val="tx1"/>
                  </w14:solidFill>
                </w14:textFill>
              </w:rPr>
              <w:t>调查项目及采样分析方法</w:t>
            </w:r>
          </w:p>
          <w:p w14:paraId="6006B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通过与海水水质调查同期开展的生物生态现状调查，采集了代表性生物样品，检测项目包括总汞、砷、铅、铜、锌、镉、总铬和石油烃共8项。</w:t>
            </w:r>
          </w:p>
          <w:p w14:paraId="7D661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采样和分析方法主要参照《海洋监测规范 第6部分：生物体分析》（GB 17378.6-2007）中规定的方法进行，见表3.</w:t>
            </w:r>
            <w:r>
              <w:rPr>
                <w:rFonts w:hint="eastAsia"/>
                <w:bCs/>
                <w:color w:val="000000" w:themeColor="text1"/>
                <w:sz w:val="24"/>
                <w:szCs w:val="24"/>
                <w:lang w:val="en-US" w:eastAsia="zh-CN"/>
                <w14:textFill>
                  <w14:solidFill>
                    <w14:schemeClr w14:val="tx1"/>
                  </w14:solidFill>
                </w14:textFill>
              </w:rPr>
              <w:t>5-26</w:t>
            </w:r>
            <w:r>
              <w:rPr>
                <w:rFonts w:hint="eastAsia"/>
                <w:bCs/>
                <w:color w:val="000000" w:themeColor="text1"/>
                <w:sz w:val="24"/>
                <w:szCs w:val="24"/>
                <w14:textFill>
                  <w14:solidFill>
                    <w14:schemeClr w14:val="tx1"/>
                  </w14:solidFill>
                </w14:textFill>
              </w:rPr>
              <w:t>。</w:t>
            </w:r>
          </w:p>
          <w:p w14:paraId="4FDCD6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3.5-26</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监测项目分析方法一览表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440"/>
              <w:gridCol w:w="4897"/>
              <w:gridCol w:w="1641"/>
            </w:tblGrid>
            <w:tr w14:paraId="65A1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96" w:type="pct"/>
                  <w:vAlign w:val="center"/>
                </w:tcPr>
                <w:p w14:paraId="661177C1">
                  <w:pPr>
                    <w:keepNext w:val="0"/>
                    <w:keepLines w:val="0"/>
                    <w:suppressLineNumbers w:val="0"/>
                    <w:adjustRightInd w:val="0"/>
                    <w:spacing w:before="0" w:beforeAutospacing="0" w:after="0" w:afterAutospacing="0"/>
                    <w:ind w:left="0" w:right="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序号</w:t>
                  </w:r>
                </w:p>
              </w:tc>
              <w:tc>
                <w:tcPr>
                  <w:tcW w:w="831" w:type="pct"/>
                  <w:vAlign w:val="center"/>
                </w:tcPr>
                <w:p w14:paraId="472C072C">
                  <w:pPr>
                    <w:keepNext w:val="0"/>
                    <w:keepLines w:val="0"/>
                    <w:suppressLineNumbers w:val="0"/>
                    <w:adjustRightInd w:val="0"/>
                    <w:spacing w:before="0" w:beforeAutospacing="0" w:after="0" w:afterAutospacing="0"/>
                    <w:ind w:left="0" w:right="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检测项目</w:t>
                  </w:r>
                </w:p>
              </w:tc>
              <w:tc>
                <w:tcPr>
                  <w:tcW w:w="2826" w:type="pct"/>
                  <w:vAlign w:val="center"/>
                </w:tcPr>
                <w:p w14:paraId="7F1BF793">
                  <w:pPr>
                    <w:keepNext w:val="0"/>
                    <w:keepLines w:val="0"/>
                    <w:suppressLineNumbers w:val="0"/>
                    <w:adjustRightInd w:val="0"/>
                    <w:spacing w:before="0" w:beforeAutospacing="0" w:after="0" w:afterAutospacing="0"/>
                    <w:ind w:left="0" w:right="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方法依据</w:t>
                  </w:r>
                </w:p>
              </w:tc>
              <w:tc>
                <w:tcPr>
                  <w:tcW w:w="947" w:type="pct"/>
                  <w:vAlign w:val="center"/>
                </w:tcPr>
                <w:p w14:paraId="6EF5C560">
                  <w:pPr>
                    <w:keepNext w:val="0"/>
                    <w:keepLines w:val="0"/>
                    <w:suppressLineNumbers w:val="0"/>
                    <w:adjustRightInd w:val="0"/>
                    <w:spacing w:before="0" w:beforeAutospacing="0" w:after="0" w:afterAutospacing="0"/>
                    <w:ind w:left="0" w:right="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检出限（10</w:t>
                  </w:r>
                  <w:r>
                    <w:rPr>
                      <w:rFonts w:hint="eastAsia"/>
                      <w:b w:val="0"/>
                      <w:bCs w:val="0"/>
                      <w:color w:val="000000" w:themeColor="text1"/>
                      <w:sz w:val="21"/>
                      <w:szCs w:val="21"/>
                      <w:vertAlign w:val="superscript"/>
                      <w14:textFill>
                        <w14:solidFill>
                          <w14:schemeClr w14:val="tx1"/>
                        </w14:solidFill>
                      </w14:textFill>
                    </w:rPr>
                    <w:t>-6</w:t>
                  </w:r>
                  <w:r>
                    <w:rPr>
                      <w:rFonts w:hint="eastAsia"/>
                      <w:b w:val="0"/>
                      <w:bCs w:val="0"/>
                      <w:color w:val="000000" w:themeColor="text1"/>
                      <w:sz w:val="21"/>
                      <w:szCs w:val="21"/>
                      <w14:textFill>
                        <w14:solidFill>
                          <w14:schemeClr w14:val="tx1"/>
                        </w14:solidFill>
                      </w14:textFill>
                    </w:rPr>
                    <w:t>）</w:t>
                  </w:r>
                </w:p>
              </w:tc>
            </w:tr>
            <w:tr w14:paraId="1F18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6" w:type="pct"/>
                  <w:vAlign w:val="center"/>
                </w:tcPr>
                <w:p w14:paraId="0E49159B">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31" w:type="pct"/>
                  <w:vAlign w:val="center"/>
                </w:tcPr>
                <w:p w14:paraId="24CE9801">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总汞</w:t>
                  </w:r>
                </w:p>
              </w:tc>
              <w:tc>
                <w:tcPr>
                  <w:tcW w:w="2826" w:type="pct"/>
                  <w:vAlign w:val="center"/>
                </w:tcPr>
                <w:p w14:paraId="24AA16C9">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GB17378.6-2007（5.1）原子荧光法</w:t>
                  </w:r>
                </w:p>
              </w:tc>
              <w:tc>
                <w:tcPr>
                  <w:tcW w:w="947" w:type="pct"/>
                  <w:vAlign w:val="center"/>
                </w:tcPr>
                <w:p w14:paraId="2C38EE3E">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0.0001</w:t>
                  </w:r>
                </w:p>
              </w:tc>
            </w:tr>
            <w:tr w14:paraId="0BEF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6" w:type="pct"/>
                  <w:vAlign w:val="center"/>
                </w:tcPr>
                <w:p w14:paraId="0D513A2F">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831" w:type="pct"/>
                  <w:vAlign w:val="center"/>
                </w:tcPr>
                <w:p w14:paraId="0031E695">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砷</w:t>
                  </w:r>
                </w:p>
              </w:tc>
              <w:tc>
                <w:tcPr>
                  <w:tcW w:w="2826" w:type="pct"/>
                  <w:vAlign w:val="center"/>
                </w:tcPr>
                <w:p w14:paraId="15679CE0">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GB17378.6-2007（11.1）原子荧光法</w:t>
                  </w:r>
                </w:p>
              </w:tc>
              <w:tc>
                <w:tcPr>
                  <w:tcW w:w="947" w:type="pct"/>
                  <w:vAlign w:val="center"/>
                </w:tcPr>
                <w:p w14:paraId="42FA0070">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0.003</w:t>
                  </w:r>
                </w:p>
              </w:tc>
            </w:tr>
            <w:tr w14:paraId="63C0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6" w:type="pct"/>
                  <w:vAlign w:val="center"/>
                </w:tcPr>
                <w:p w14:paraId="02E6D285">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831" w:type="pct"/>
                  <w:vAlign w:val="center"/>
                </w:tcPr>
                <w:p w14:paraId="6C26F289">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铜</w:t>
                  </w:r>
                </w:p>
              </w:tc>
              <w:tc>
                <w:tcPr>
                  <w:tcW w:w="2826" w:type="pct"/>
                  <w:vAlign w:val="center"/>
                </w:tcPr>
                <w:p w14:paraId="2D3350C8">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GB17378.6-2007（6.1）无火焰原子吸收分光光度法</w:t>
                  </w:r>
                </w:p>
              </w:tc>
              <w:tc>
                <w:tcPr>
                  <w:tcW w:w="947" w:type="pct"/>
                  <w:vAlign w:val="center"/>
                </w:tcPr>
                <w:p w14:paraId="24AEDF80">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w:t>
                  </w:r>
                </w:p>
              </w:tc>
            </w:tr>
            <w:tr w14:paraId="7DAB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6" w:type="pct"/>
                  <w:vAlign w:val="center"/>
                </w:tcPr>
                <w:p w14:paraId="7D1C99F5">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831" w:type="pct"/>
                  <w:vAlign w:val="center"/>
                </w:tcPr>
                <w:p w14:paraId="4D4B57F8">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铅</w:t>
                  </w:r>
                </w:p>
              </w:tc>
              <w:tc>
                <w:tcPr>
                  <w:tcW w:w="2826" w:type="pct"/>
                  <w:vAlign w:val="center"/>
                </w:tcPr>
                <w:p w14:paraId="5E7AAA9F">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GB17378.6-2007（7.1）无火焰原子吸收分光光度法</w:t>
                  </w:r>
                </w:p>
              </w:tc>
              <w:tc>
                <w:tcPr>
                  <w:tcW w:w="947" w:type="pct"/>
                  <w:vAlign w:val="center"/>
                </w:tcPr>
                <w:p w14:paraId="22F07453">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w:t>
                  </w:r>
                </w:p>
              </w:tc>
            </w:tr>
            <w:tr w14:paraId="6D18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6" w:type="pct"/>
                  <w:vAlign w:val="center"/>
                </w:tcPr>
                <w:p w14:paraId="303AEDE7">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831" w:type="pct"/>
                  <w:vAlign w:val="center"/>
                </w:tcPr>
                <w:p w14:paraId="5FC57661">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镉</w:t>
                  </w:r>
                </w:p>
              </w:tc>
              <w:tc>
                <w:tcPr>
                  <w:tcW w:w="2826" w:type="pct"/>
                  <w:vAlign w:val="center"/>
                </w:tcPr>
                <w:p w14:paraId="355B61AC">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GB17378.6-2007（8.1）无火焰原子吸收分光光度法</w:t>
                  </w:r>
                </w:p>
              </w:tc>
              <w:tc>
                <w:tcPr>
                  <w:tcW w:w="947" w:type="pct"/>
                  <w:vAlign w:val="center"/>
                </w:tcPr>
                <w:p w14:paraId="0DBED5AF">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0.001</w:t>
                  </w:r>
                </w:p>
              </w:tc>
            </w:tr>
            <w:tr w14:paraId="3070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6" w:type="pct"/>
                  <w:vAlign w:val="center"/>
                </w:tcPr>
                <w:p w14:paraId="59F56931">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831" w:type="pct"/>
                  <w:vAlign w:val="center"/>
                </w:tcPr>
                <w:p w14:paraId="36D1719D">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锌</w:t>
                  </w:r>
                </w:p>
              </w:tc>
              <w:tc>
                <w:tcPr>
                  <w:tcW w:w="2826" w:type="pct"/>
                  <w:vAlign w:val="center"/>
                </w:tcPr>
                <w:p w14:paraId="1C0074B2">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GB17378.6-2007（9.1）火焰原子吸收分光光度法</w:t>
                  </w:r>
                </w:p>
              </w:tc>
              <w:tc>
                <w:tcPr>
                  <w:tcW w:w="947" w:type="pct"/>
                  <w:vAlign w:val="center"/>
                </w:tcPr>
                <w:p w14:paraId="58899047">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r>
            <w:tr w14:paraId="2300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6" w:type="pct"/>
                  <w:vAlign w:val="center"/>
                </w:tcPr>
                <w:p w14:paraId="73C6E36D">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831" w:type="pct"/>
                  <w:vAlign w:val="center"/>
                </w:tcPr>
                <w:p w14:paraId="300FB127">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总铬</w:t>
                  </w:r>
                </w:p>
              </w:tc>
              <w:tc>
                <w:tcPr>
                  <w:tcW w:w="2826" w:type="pct"/>
                  <w:vAlign w:val="center"/>
                </w:tcPr>
                <w:p w14:paraId="650BF603">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GB17378.6-2007（10.1）无火焰原子吸收分光光度法</w:t>
                  </w:r>
                </w:p>
              </w:tc>
              <w:tc>
                <w:tcPr>
                  <w:tcW w:w="947" w:type="pct"/>
                  <w:vAlign w:val="center"/>
                </w:tcPr>
                <w:p w14:paraId="16E9D0EC">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w:t>
                  </w:r>
                </w:p>
              </w:tc>
            </w:tr>
            <w:tr w14:paraId="7B44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6" w:type="pct"/>
                  <w:vAlign w:val="center"/>
                </w:tcPr>
                <w:p w14:paraId="69832E4E">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831" w:type="pct"/>
                  <w:vAlign w:val="center"/>
                </w:tcPr>
                <w:p w14:paraId="6894590D">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石油烃</w:t>
                  </w:r>
                </w:p>
              </w:tc>
              <w:tc>
                <w:tcPr>
                  <w:tcW w:w="2826" w:type="pct"/>
                  <w:vAlign w:val="center"/>
                </w:tcPr>
                <w:p w14:paraId="1E292516">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GB17378.6-2007（13）荧光分光光度法</w:t>
                  </w:r>
                </w:p>
              </w:tc>
              <w:tc>
                <w:tcPr>
                  <w:tcW w:w="947" w:type="pct"/>
                  <w:vAlign w:val="center"/>
                </w:tcPr>
                <w:p w14:paraId="2B807CE8">
                  <w:pPr>
                    <w:keepNext w:val="0"/>
                    <w:keepLines w:val="0"/>
                    <w:suppressLineNumbers w:val="0"/>
                    <w:adjustRightIn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r>
          </w:tbl>
          <w:p w14:paraId="13E61CF2">
            <w:pPr>
              <w:pStyle w:val="5"/>
              <w:keepNext w:val="0"/>
              <w:keepLines w:val="0"/>
              <w:pageBreakBefore w:val="0"/>
              <w:widowControl w:val="0"/>
              <w:numPr>
                <w:ilvl w:val="3"/>
                <w:numId w:val="0"/>
              </w:numPr>
              <w:suppressLineNumbers w:val="0"/>
              <w:kinsoku/>
              <w:wordWrap/>
              <w:overflowPunct/>
              <w:topLinePunct w:val="0"/>
              <w:autoSpaceDE/>
              <w:autoSpaceDN/>
              <w:bidi w:val="0"/>
              <w:adjustRightInd/>
              <w:spacing w:before="0" w:beforeAutospacing="0" w:after="0" w:afterAutospacing="0" w:line="360" w:lineRule="auto"/>
              <w:ind w:left="0" w:leftChars="0" w:right="0" w:firstLine="480" w:firstLineChars="200"/>
              <w:textAlignment w:val="auto"/>
              <w:rPr>
                <w:rFonts w:hint="eastAsia"/>
                <w:color w:val="000000" w:themeColor="text1"/>
                <w:kern w:val="13"/>
                <w:sz w:val="24"/>
                <w:szCs w:val="24"/>
                <w14:textFill>
                  <w14:solidFill>
                    <w14:schemeClr w14:val="tx1"/>
                  </w14:solidFill>
                </w14:textFill>
              </w:rPr>
            </w:pPr>
            <w:r>
              <w:rPr>
                <w:rFonts w:hint="eastAsia" w:ascii="Times New Roman" w:hAnsi="Times New Roman" w:cs="Times New Roman"/>
                <w:color w:val="000000" w:themeColor="text1"/>
                <w:kern w:val="13"/>
                <w:sz w:val="24"/>
                <w:szCs w:val="24"/>
                <w:lang w:val="en-US" w:eastAsia="zh-CN"/>
                <w14:textFill>
                  <w14:solidFill>
                    <w14:schemeClr w14:val="tx1"/>
                  </w14:solidFill>
                </w14:textFill>
              </w:rPr>
              <w:t>（2）</w:t>
            </w:r>
            <w:r>
              <w:rPr>
                <w:rFonts w:hint="eastAsia" w:ascii="Times New Roman" w:hAnsi="Times New Roman" w:cs="Times New Roman"/>
                <w:color w:val="000000" w:themeColor="text1"/>
                <w:kern w:val="13"/>
                <w:sz w:val="24"/>
                <w:szCs w:val="24"/>
                <w14:textFill>
                  <w14:solidFill>
                    <w14:schemeClr w14:val="tx1"/>
                  </w14:solidFill>
                </w14:textFill>
              </w:rPr>
              <w:t>价</w:t>
            </w:r>
            <w:r>
              <w:rPr>
                <w:rFonts w:hint="eastAsia"/>
                <w:color w:val="000000" w:themeColor="text1"/>
                <w:kern w:val="13"/>
                <w:sz w:val="24"/>
                <w:szCs w:val="24"/>
                <w14:textFill>
                  <w14:solidFill>
                    <w14:schemeClr w14:val="tx1"/>
                  </w14:solidFill>
                </w14:textFill>
              </w:rPr>
              <w:t>标准及方法</w:t>
            </w:r>
          </w:p>
          <w:p w14:paraId="7DF12F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bookmarkStart w:id="38" w:name="_Ref519846036"/>
            <w:r>
              <w:rPr>
                <w:rFonts w:hint="eastAsia"/>
                <w:color w:val="000000" w:themeColor="text1"/>
                <w:sz w:val="24"/>
                <w:szCs w:val="24"/>
                <w14:textFill>
                  <w14:solidFill>
                    <w14:schemeClr w14:val="tx1"/>
                  </w14:solidFill>
                </w14:textFill>
              </w:rPr>
              <w:t>生物体质量评价中，贝类生物体内污染物质含量评价标准采用《海洋生物质量》（GB18421-2001），软体动物、甲壳动物、鱼类生物体内污染物质（除石油烃外）含量评价标准采用《全国海岸带和海涂资源综合调查简明规程》，石油烃含量的评价标准采用《第二次全国海洋污染基线调查技术规程》（第二分册）中规定的生物质量标准，具体标准值如表3.</w:t>
            </w:r>
            <w:r>
              <w:rPr>
                <w:rFonts w:hint="eastAsia"/>
                <w:color w:val="000000" w:themeColor="text1"/>
                <w:sz w:val="24"/>
                <w:szCs w:val="24"/>
                <w:lang w:val="en-US" w:eastAsia="zh-CN"/>
                <w14:textFill>
                  <w14:solidFill>
                    <w14:schemeClr w14:val="tx1"/>
                  </w14:solidFill>
                </w14:textFill>
              </w:rPr>
              <w:t>5-27</w:t>
            </w:r>
            <w:r>
              <w:rPr>
                <w:rFonts w:hint="eastAsia"/>
                <w:color w:val="000000" w:themeColor="text1"/>
                <w:sz w:val="24"/>
                <w:szCs w:val="24"/>
                <w14:textFill>
                  <w14:solidFill>
                    <w14:schemeClr w14:val="tx1"/>
                  </w14:solidFill>
                </w14:textFill>
              </w:rPr>
              <w:t>和表</w:t>
            </w:r>
            <w:r>
              <w:rPr>
                <w:rFonts w:hint="eastAsia"/>
                <w:color w:val="000000" w:themeColor="text1"/>
                <w:sz w:val="24"/>
                <w:szCs w:val="24"/>
                <w:lang w:val="en-US" w:eastAsia="zh-CN"/>
                <w14:textFill>
                  <w14:solidFill>
                    <w14:schemeClr w14:val="tx1"/>
                  </w14:solidFill>
                </w14:textFill>
              </w:rPr>
              <w:t>3.5-22</w:t>
            </w:r>
            <w:r>
              <w:rPr>
                <w:rFonts w:hint="eastAsia"/>
                <w:color w:val="000000" w:themeColor="text1"/>
                <w:sz w:val="24"/>
                <w:szCs w:val="24"/>
                <w14:textFill>
                  <w14:solidFill>
                    <w14:schemeClr w14:val="tx1"/>
                  </w14:solidFill>
                </w14:textFill>
              </w:rPr>
              <w:t>所示。海洋生物污染物残留量评价方法采用单因子指数法。公式如下：</w:t>
            </w:r>
          </w:p>
          <w:p w14:paraId="28BEEFCB">
            <w:pPr>
              <w:keepNext w:val="0"/>
              <w:keepLines w:val="0"/>
              <w:pageBreakBefore w:val="0"/>
              <w:widowControl w:val="0"/>
              <w:suppressLineNumbers w:val="0"/>
              <w:kinsoku/>
              <w:wordWrap/>
              <w:overflowPunct/>
              <w:topLinePunct w:val="0"/>
              <w:autoSpaceDE/>
              <w:autoSpaceDN/>
              <w:bidi w:val="0"/>
              <w:adjustRightInd/>
              <w:snapToGrid w:val="0"/>
              <w:spacing w:before="120" w:beforeAutospacing="0" w:after="120" w:afterAutospacing="0" w:line="360" w:lineRule="auto"/>
              <w:ind w:left="0" w:right="0" w:firstLine="480" w:firstLineChars="200"/>
              <w:jc w:val="center"/>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I</w:t>
            </w:r>
            <w:r>
              <w:rPr>
                <w:rFonts w:hint="eastAsia"/>
                <w:i/>
                <w:color w:val="000000" w:themeColor="text1"/>
                <w:sz w:val="24"/>
                <w:szCs w:val="24"/>
                <w:vertAlign w:val="subscript"/>
                <w14:textFill>
                  <w14:solidFill>
                    <w14:schemeClr w14:val="tx1"/>
                  </w14:solidFill>
                </w14:textFill>
              </w:rPr>
              <w:t>i</w:t>
            </w:r>
            <w:r>
              <w:rPr>
                <w:rFonts w:hint="eastAsia"/>
                <w:color w:val="000000" w:themeColor="text1"/>
                <w:sz w:val="24"/>
                <w:szCs w:val="24"/>
                <w14:textFill>
                  <w14:solidFill>
                    <w14:schemeClr w14:val="tx1"/>
                  </w14:solidFill>
                </w14:textFill>
              </w:rPr>
              <w:t>=C</w:t>
            </w:r>
            <w:r>
              <w:rPr>
                <w:rFonts w:hint="eastAsia"/>
                <w:i/>
                <w:color w:val="000000" w:themeColor="text1"/>
                <w:sz w:val="24"/>
                <w:szCs w:val="24"/>
                <w:vertAlign w:val="subscript"/>
                <w14:textFill>
                  <w14:solidFill>
                    <w14:schemeClr w14:val="tx1"/>
                  </w14:solidFill>
                </w14:textFill>
              </w:rPr>
              <w:t>i</w:t>
            </w:r>
            <w:r>
              <w:rPr>
                <w:rFonts w:hint="eastAsia"/>
                <w:color w:val="000000" w:themeColor="text1"/>
                <w:sz w:val="24"/>
                <w:szCs w:val="24"/>
                <w14:textFill>
                  <w14:solidFill>
                    <w14:schemeClr w14:val="tx1"/>
                  </w14:solidFill>
                </w14:textFill>
              </w:rPr>
              <w:t>/S</w:t>
            </w:r>
            <w:r>
              <w:rPr>
                <w:rFonts w:hint="eastAsia"/>
                <w:i/>
                <w:color w:val="000000" w:themeColor="text1"/>
                <w:sz w:val="24"/>
                <w:szCs w:val="24"/>
                <w:vertAlign w:val="subscript"/>
                <w14:textFill>
                  <w14:solidFill>
                    <w14:schemeClr w14:val="tx1"/>
                  </w14:solidFill>
                </w14:textFill>
              </w:rPr>
              <w:t>i</w:t>
            </w:r>
          </w:p>
          <w:p w14:paraId="400200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式中：I</w:t>
            </w:r>
            <w:r>
              <w:rPr>
                <w:rFonts w:hint="eastAsia"/>
                <w:i/>
                <w:color w:val="000000" w:themeColor="text1"/>
                <w:sz w:val="24"/>
                <w:szCs w:val="24"/>
                <w:vertAlign w:val="subscript"/>
                <w14:textFill>
                  <w14:solidFill>
                    <w14:schemeClr w14:val="tx1"/>
                  </w14:solidFill>
                </w14:textFill>
              </w:rPr>
              <w:t>i</w:t>
            </w:r>
            <w:r>
              <w:rPr>
                <w:rFonts w:hint="eastAsia"/>
                <w:color w:val="000000" w:themeColor="text1"/>
                <w:sz w:val="24"/>
                <w:szCs w:val="24"/>
                <w14:textFill>
                  <w14:solidFill>
                    <w14:schemeClr w14:val="tx1"/>
                  </w14:solidFill>
                </w14:textFill>
              </w:rPr>
              <w:t>—i项评价因子的标准指数；</w:t>
            </w:r>
          </w:p>
          <w:p w14:paraId="27DE2D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rFonts w:hint="eastAsia"/>
                <w:i/>
                <w:color w:val="000000" w:themeColor="text1"/>
                <w:sz w:val="24"/>
                <w:szCs w:val="24"/>
                <w:vertAlign w:val="subscript"/>
                <w14:textFill>
                  <w14:solidFill>
                    <w14:schemeClr w14:val="tx1"/>
                  </w14:solidFill>
                </w14:textFill>
              </w:rPr>
              <w:t>i</w:t>
            </w:r>
            <w:r>
              <w:rPr>
                <w:rFonts w:hint="eastAsia"/>
                <w:color w:val="000000" w:themeColor="text1"/>
                <w:sz w:val="24"/>
                <w:szCs w:val="24"/>
                <w14:textFill>
                  <w14:solidFill>
                    <w14:schemeClr w14:val="tx1"/>
                  </w14:solidFill>
                </w14:textFill>
              </w:rPr>
              <w:t>—i项评价因子的实测值；</w:t>
            </w:r>
          </w:p>
          <w:p w14:paraId="11863B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S</w:t>
            </w:r>
            <w:r>
              <w:rPr>
                <w:rFonts w:hint="eastAsia"/>
                <w:i/>
                <w:color w:val="000000" w:themeColor="text1"/>
                <w:sz w:val="24"/>
                <w:szCs w:val="24"/>
                <w:vertAlign w:val="subscript"/>
                <w14:textFill>
                  <w14:solidFill>
                    <w14:schemeClr w14:val="tx1"/>
                  </w14:solidFill>
                </w14:textFill>
              </w:rPr>
              <w:t>i</w:t>
            </w:r>
            <w:r>
              <w:rPr>
                <w:rFonts w:hint="eastAsia"/>
                <w:color w:val="000000" w:themeColor="text1"/>
                <w:sz w:val="24"/>
                <w:szCs w:val="24"/>
                <w14:textFill>
                  <w14:solidFill>
                    <w14:schemeClr w14:val="tx1"/>
                  </w14:solidFill>
                </w14:textFill>
              </w:rPr>
              <w:t>—i项评价因子的评价标准值。</w:t>
            </w:r>
          </w:p>
          <w:p w14:paraId="757B3D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评价因子的标准指数&gt;1，则表明该项生物体质量已超过了规定的标准。</w:t>
            </w:r>
          </w:p>
          <w:bookmarkEnd w:id="38"/>
          <w:p w14:paraId="13FF1D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 xml:space="preserve">3.5-27  </w:t>
            </w:r>
            <w:r>
              <w:rPr>
                <w:rFonts w:hint="eastAsia" w:ascii="Times New Roman" w:hAnsi="Times New Roman" w:cs="Times New Roman"/>
                <w:b/>
                <w:bCs/>
                <w:color w:val="auto"/>
                <w:kern w:val="0"/>
                <w:sz w:val="21"/>
                <w:szCs w:val="21"/>
                <w:lang w:val="zh-CN" w:eastAsia="zh-CN"/>
              </w:rPr>
              <w:t>海洋生物（贝类）质量标准（鲜重：×10</w:t>
            </w:r>
            <w:r>
              <w:rPr>
                <w:rFonts w:hint="eastAsia" w:ascii="Times New Roman" w:hAnsi="Times New Roman" w:cs="Times New Roman"/>
                <w:b/>
                <w:bCs/>
                <w:color w:val="auto"/>
                <w:kern w:val="0"/>
                <w:sz w:val="21"/>
                <w:szCs w:val="21"/>
                <w:vertAlign w:val="superscript"/>
                <w:lang w:val="zh-CN" w:eastAsia="zh-CN"/>
              </w:rPr>
              <w:t>-6</w:t>
            </w:r>
            <w:r>
              <w:rPr>
                <w:rFonts w:hint="eastAsia" w:ascii="Times New Roman" w:hAnsi="Times New Roman" w:cs="Times New Roman"/>
                <w:b/>
                <w:bCs/>
                <w:color w:val="auto"/>
                <w:kern w:val="0"/>
                <w:sz w:val="21"/>
                <w:szCs w:val="21"/>
                <w:lang w:val="zh-CN" w:eastAsia="zh-CN"/>
              </w:rPr>
              <w:t>）</w:t>
            </w:r>
          </w:p>
          <w:tbl>
            <w:tblPr>
              <w:tblStyle w:val="28"/>
              <w:tblW w:w="44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201"/>
              <w:gridCol w:w="1676"/>
              <w:gridCol w:w="1836"/>
              <w:gridCol w:w="1992"/>
            </w:tblGrid>
            <w:tr w14:paraId="1409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428" w:type="pct"/>
                  <w:vAlign w:val="center"/>
                </w:tcPr>
                <w:p w14:paraId="3D1A5465">
                  <w:pPr>
                    <w:keepNext w:val="0"/>
                    <w:keepLines w:val="0"/>
                    <w:suppressLineNumbers w:val="0"/>
                    <w:spacing w:before="0" w:beforeAutospacing="0" w:after="0" w:afterAutospacing="0" w:line="0" w:lineRule="atLeast"/>
                    <w:ind w:left="0" w:right="0"/>
                    <w:jc w:val="center"/>
                    <w:rPr>
                      <w:rFonts w:hint="eastAsia"/>
                      <w:b/>
                      <w:snapToGrid w:val="0"/>
                      <w:color w:val="000000" w:themeColor="text1"/>
                      <w:kern w:val="10"/>
                      <w:sz w:val="21"/>
                      <w:szCs w:val="21"/>
                      <w14:textFill>
                        <w14:solidFill>
                          <w14:schemeClr w14:val="tx1"/>
                        </w14:solidFill>
                      </w14:textFill>
                    </w:rPr>
                  </w:pPr>
                  <w:r>
                    <w:rPr>
                      <w:rFonts w:hint="eastAsia"/>
                      <w:b/>
                      <w:snapToGrid w:val="0"/>
                      <w:color w:val="000000" w:themeColor="text1"/>
                      <w:kern w:val="10"/>
                      <w:sz w:val="21"/>
                      <w:szCs w:val="21"/>
                      <w14:textFill>
                        <w14:solidFill>
                          <w14:schemeClr w14:val="tx1"/>
                        </w14:solidFill>
                      </w14:textFill>
                    </w:rPr>
                    <w:t>项目</w:t>
                  </w:r>
                </w:p>
              </w:tc>
              <w:tc>
                <w:tcPr>
                  <w:tcW w:w="1087" w:type="pct"/>
                  <w:vAlign w:val="center"/>
                </w:tcPr>
                <w:p w14:paraId="36246B54">
                  <w:pPr>
                    <w:keepNext w:val="0"/>
                    <w:keepLines w:val="0"/>
                    <w:suppressLineNumbers w:val="0"/>
                    <w:spacing w:before="0" w:beforeAutospacing="0" w:after="0" w:afterAutospacing="0" w:line="0" w:lineRule="atLeast"/>
                    <w:ind w:left="0" w:right="0"/>
                    <w:jc w:val="center"/>
                    <w:rPr>
                      <w:rFonts w:hint="eastAsia"/>
                      <w:b/>
                      <w:snapToGrid w:val="0"/>
                      <w:color w:val="000000" w:themeColor="text1"/>
                      <w:kern w:val="10"/>
                      <w:sz w:val="21"/>
                      <w:szCs w:val="21"/>
                      <w14:textFill>
                        <w14:solidFill>
                          <w14:schemeClr w14:val="tx1"/>
                        </w14:solidFill>
                      </w14:textFill>
                    </w:rPr>
                  </w:pPr>
                  <w:r>
                    <w:rPr>
                      <w:rFonts w:hint="eastAsia"/>
                      <w:b/>
                      <w:snapToGrid w:val="0"/>
                      <w:color w:val="000000" w:themeColor="text1"/>
                      <w:kern w:val="10"/>
                      <w:sz w:val="21"/>
                      <w:szCs w:val="21"/>
                      <w14:textFill>
                        <w14:solidFill>
                          <w14:schemeClr w14:val="tx1"/>
                        </w14:solidFill>
                      </w14:textFill>
                    </w:rPr>
                    <w:t>第一类</w:t>
                  </w:r>
                </w:p>
              </w:tc>
              <w:tc>
                <w:tcPr>
                  <w:tcW w:w="1191" w:type="pct"/>
                  <w:vAlign w:val="center"/>
                </w:tcPr>
                <w:p w14:paraId="2E3637AE">
                  <w:pPr>
                    <w:keepNext w:val="0"/>
                    <w:keepLines w:val="0"/>
                    <w:suppressLineNumbers w:val="0"/>
                    <w:spacing w:before="0" w:beforeAutospacing="0" w:after="0" w:afterAutospacing="0" w:line="0" w:lineRule="atLeast"/>
                    <w:ind w:left="0" w:right="0"/>
                    <w:jc w:val="center"/>
                    <w:rPr>
                      <w:rFonts w:hint="eastAsia"/>
                      <w:b/>
                      <w:snapToGrid w:val="0"/>
                      <w:color w:val="000000" w:themeColor="text1"/>
                      <w:kern w:val="10"/>
                      <w:sz w:val="21"/>
                      <w:szCs w:val="21"/>
                      <w14:textFill>
                        <w14:solidFill>
                          <w14:schemeClr w14:val="tx1"/>
                        </w14:solidFill>
                      </w14:textFill>
                    </w:rPr>
                  </w:pPr>
                  <w:r>
                    <w:rPr>
                      <w:rFonts w:hint="eastAsia"/>
                      <w:b/>
                      <w:snapToGrid w:val="0"/>
                      <w:color w:val="000000" w:themeColor="text1"/>
                      <w:kern w:val="10"/>
                      <w:sz w:val="21"/>
                      <w:szCs w:val="21"/>
                      <w14:textFill>
                        <w14:solidFill>
                          <w14:schemeClr w14:val="tx1"/>
                        </w14:solidFill>
                      </w14:textFill>
                    </w:rPr>
                    <w:t>第二类</w:t>
                  </w:r>
                </w:p>
              </w:tc>
              <w:tc>
                <w:tcPr>
                  <w:tcW w:w="1292" w:type="pct"/>
                  <w:vAlign w:val="center"/>
                </w:tcPr>
                <w:p w14:paraId="7102D098">
                  <w:pPr>
                    <w:keepNext w:val="0"/>
                    <w:keepLines w:val="0"/>
                    <w:suppressLineNumbers w:val="0"/>
                    <w:spacing w:before="0" w:beforeAutospacing="0" w:after="0" w:afterAutospacing="0" w:line="0" w:lineRule="atLeast"/>
                    <w:ind w:left="0" w:right="0"/>
                    <w:jc w:val="center"/>
                    <w:rPr>
                      <w:rFonts w:hint="eastAsia"/>
                      <w:b/>
                      <w:snapToGrid w:val="0"/>
                      <w:color w:val="000000" w:themeColor="text1"/>
                      <w:kern w:val="10"/>
                      <w:sz w:val="21"/>
                      <w:szCs w:val="21"/>
                      <w14:textFill>
                        <w14:solidFill>
                          <w14:schemeClr w14:val="tx1"/>
                        </w14:solidFill>
                      </w14:textFill>
                    </w:rPr>
                  </w:pPr>
                  <w:r>
                    <w:rPr>
                      <w:rFonts w:hint="eastAsia"/>
                      <w:b/>
                      <w:snapToGrid w:val="0"/>
                      <w:color w:val="000000" w:themeColor="text1"/>
                      <w:kern w:val="10"/>
                      <w:sz w:val="21"/>
                      <w:szCs w:val="21"/>
                      <w14:textFill>
                        <w14:solidFill>
                          <w14:schemeClr w14:val="tx1"/>
                        </w14:solidFill>
                      </w14:textFill>
                    </w:rPr>
                    <w:t>第三类</w:t>
                  </w:r>
                </w:p>
              </w:tc>
            </w:tr>
            <w:tr w14:paraId="06A9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428" w:type="pct"/>
                  <w:vAlign w:val="center"/>
                </w:tcPr>
                <w:p w14:paraId="4509E061">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总汞≤</w:t>
                  </w:r>
                </w:p>
              </w:tc>
              <w:tc>
                <w:tcPr>
                  <w:tcW w:w="1087" w:type="pct"/>
                  <w:vAlign w:val="center"/>
                </w:tcPr>
                <w:p w14:paraId="26F1BC43">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0.05</w:t>
                  </w:r>
                </w:p>
              </w:tc>
              <w:tc>
                <w:tcPr>
                  <w:tcW w:w="1191" w:type="pct"/>
                  <w:vAlign w:val="center"/>
                </w:tcPr>
                <w:p w14:paraId="22D013B5">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0.1</w:t>
                  </w:r>
                </w:p>
              </w:tc>
              <w:tc>
                <w:tcPr>
                  <w:tcW w:w="1292" w:type="pct"/>
                  <w:vAlign w:val="center"/>
                </w:tcPr>
                <w:p w14:paraId="2390D787">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0.3</w:t>
                  </w:r>
                </w:p>
              </w:tc>
            </w:tr>
            <w:tr w14:paraId="7D9D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428" w:type="pct"/>
                  <w:vAlign w:val="center"/>
                </w:tcPr>
                <w:p w14:paraId="22850F73">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砷≤</w:t>
                  </w:r>
                </w:p>
              </w:tc>
              <w:tc>
                <w:tcPr>
                  <w:tcW w:w="1087" w:type="pct"/>
                  <w:vAlign w:val="center"/>
                </w:tcPr>
                <w:p w14:paraId="65AE7608">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1.0</w:t>
                  </w:r>
                </w:p>
              </w:tc>
              <w:tc>
                <w:tcPr>
                  <w:tcW w:w="1191" w:type="pct"/>
                  <w:vAlign w:val="center"/>
                </w:tcPr>
                <w:p w14:paraId="70F30724">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5.0</w:t>
                  </w:r>
                </w:p>
              </w:tc>
              <w:tc>
                <w:tcPr>
                  <w:tcW w:w="1292" w:type="pct"/>
                  <w:vAlign w:val="center"/>
                </w:tcPr>
                <w:p w14:paraId="3665E20C">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8.0</w:t>
                  </w:r>
                </w:p>
              </w:tc>
            </w:tr>
            <w:tr w14:paraId="736F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428" w:type="pct"/>
                  <w:vAlign w:val="center"/>
                </w:tcPr>
                <w:p w14:paraId="23BBA60D">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镉≤</w:t>
                  </w:r>
                </w:p>
              </w:tc>
              <w:tc>
                <w:tcPr>
                  <w:tcW w:w="1087" w:type="pct"/>
                  <w:vAlign w:val="center"/>
                </w:tcPr>
                <w:p w14:paraId="70DE105E">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0.2</w:t>
                  </w:r>
                </w:p>
              </w:tc>
              <w:tc>
                <w:tcPr>
                  <w:tcW w:w="1191" w:type="pct"/>
                  <w:vAlign w:val="center"/>
                </w:tcPr>
                <w:p w14:paraId="1226E993">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2.0</w:t>
                  </w:r>
                </w:p>
              </w:tc>
              <w:tc>
                <w:tcPr>
                  <w:tcW w:w="1292" w:type="pct"/>
                  <w:vAlign w:val="center"/>
                </w:tcPr>
                <w:p w14:paraId="79DB76F4">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5.0</w:t>
                  </w:r>
                </w:p>
              </w:tc>
            </w:tr>
            <w:tr w14:paraId="1190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428" w:type="pct"/>
                  <w:vAlign w:val="center"/>
                </w:tcPr>
                <w:p w14:paraId="13725803">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总铬≤</w:t>
                  </w:r>
                </w:p>
              </w:tc>
              <w:tc>
                <w:tcPr>
                  <w:tcW w:w="1087" w:type="pct"/>
                  <w:vAlign w:val="center"/>
                </w:tcPr>
                <w:p w14:paraId="24A72144">
                  <w:pPr>
                    <w:keepNext w:val="0"/>
                    <w:keepLines w:val="0"/>
                    <w:widowControl/>
                    <w:suppressLineNumbers w:val="0"/>
                    <w:adjustRightInd w:val="0"/>
                    <w:snapToGrid w:val="0"/>
                    <w:spacing w:before="0" w:beforeAutospacing="0" w:after="0" w:afterAutospacing="0" w:line="0" w:lineRule="atLeast"/>
                    <w:ind w:left="0" w:right="0"/>
                    <w:jc w:val="center"/>
                    <w:textAlignment w:val="center"/>
                    <w:rPr>
                      <w:rFonts w:hint="eastAsia"/>
                      <w:bCs/>
                      <w:snapToGrid w:val="0"/>
                      <w:color w:val="000000" w:themeColor="text1"/>
                      <w:kern w:val="10"/>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0.5</w:t>
                  </w:r>
                </w:p>
              </w:tc>
              <w:tc>
                <w:tcPr>
                  <w:tcW w:w="1191" w:type="pct"/>
                  <w:vAlign w:val="center"/>
                </w:tcPr>
                <w:p w14:paraId="3AB3EDB1">
                  <w:pPr>
                    <w:keepNext w:val="0"/>
                    <w:keepLines w:val="0"/>
                    <w:widowControl/>
                    <w:suppressLineNumbers w:val="0"/>
                    <w:adjustRightInd w:val="0"/>
                    <w:snapToGrid w:val="0"/>
                    <w:spacing w:before="0" w:beforeAutospacing="0" w:after="0" w:afterAutospacing="0" w:line="0" w:lineRule="atLeast"/>
                    <w:ind w:left="0" w:right="0"/>
                    <w:jc w:val="center"/>
                    <w:textAlignment w:val="center"/>
                    <w:rPr>
                      <w:rFonts w:hint="eastAsia"/>
                      <w:bCs/>
                      <w:snapToGrid w:val="0"/>
                      <w:color w:val="000000" w:themeColor="text1"/>
                      <w:kern w:val="10"/>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1292" w:type="pct"/>
                  <w:vAlign w:val="center"/>
                </w:tcPr>
                <w:p w14:paraId="23B27DCA">
                  <w:pPr>
                    <w:keepNext w:val="0"/>
                    <w:keepLines w:val="0"/>
                    <w:widowControl/>
                    <w:suppressLineNumbers w:val="0"/>
                    <w:adjustRightInd w:val="0"/>
                    <w:snapToGrid w:val="0"/>
                    <w:spacing w:before="0" w:beforeAutospacing="0" w:after="0" w:afterAutospacing="0" w:line="0" w:lineRule="atLeast"/>
                    <w:ind w:left="0" w:right="0"/>
                    <w:jc w:val="center"/>
                    <w:textAlignment w:val="center"/>
                    <w:rPr>
                      <w:rFonts w:hint="eastAsia"/>
                      <w:bCs/>
                      <w:snapToGrid w:val="0"/>
                      <w:color w:val="000000" w:themeColor="text1"/>
                      <w:kern w:val="10"/>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6.0</w:t>
                  </w:r>
                </w:p>
              </w:tc>
            </w:tr>
            <w:tr w14:paraId="75F5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428" w:type="pct"/>
                  <w:vAlign w:val="center"/>
                </w:tcPr>
                <w:p w14:paraId="6B4EE35C">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铅≤</w:t>
                  </w:r>
                </w:p>
              </w:tc>
              <w:tc>
                <w:tcPr>
                  <w:tcW w:w="1087" w:type="pct"/>
                  <w:vAlign w:val="center"/>
                </w:tcPr>
                <w:p w14:paraId="4C7525E0">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0.1</w:t>
                  </w:r>
                </w:p>
              </w:tc>
              <w:tc>
                <w:tcPr>
                  <w:tcW w:w="1191" w:type="pct"/>
                  <w:vAlign w:val="center"/>
                </w:tcPr>
                <w:p w14:paraId="453ADA1E">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2.0</w:t>
                  </w:r>
                </w:p>
              </w:tc>
              <w:tc>
                <w:tcPr>
                  <w:tcW w:w="1292" w:type="pct"/>
                  <w:vAlign w:val="center"/>
                </w:tcPr>
                <w:p w14:paraId="7DCE7F45">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6.0</w:t>
                  </w:r>
                </w:p>
              </w:tc>
            </w:tr>
            <w:tr w14:paraId="706F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428" w:type="pct"/>
                  <w:vAlign w:val="center"/>
                </w:tcPr>
                <w:p w14:paraId="655ABB12">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铜≤</w:t>
                  </w:r>
                </w:p>
              </w:tc>
              <w:tc>
                <w:tcPr>
                  <w:tcW w:w="1087" w:type="pct"/>
                  <w:vAlign w:val="center"/>
                </w:tcPr>
                <w:p w14:paraId="64C78A36">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10.0</w:t>
                  </w:r>
                </w:p>
              </w:tc>
              <w:tc>
                <w:tcPr>
                  <w:tcW w:w="1191" w:type="pct"/>
                  <w:vAlign w:val="center"/>
                </w:tcPr>
                <w:p w14:paraId="560E304D">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25.0</w:t>
                  </w:r>
                </w:p>
              </w:tc>
              <w:tc>
                <w:tcPr>
                  <w:tcW w:w="1292" w:type="pct"/>
                  <w:vAlign w:val="center"/>
                </w:tcPr>
                <w:p w14:paraId="795FEF62">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50.0（牡蛎100）</w:t>
                  </w:r>
                </w:p>
              </w:tc>
            </w:tr>
            <w:tr w14:paraId="1A00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428" w:type="pct"/>
                  <w:vAlign w:val="center"/>
                </w:tcPr>
                <w:p w14:paraId="7EDAA319">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锌≤</w:t>
                  </w:r>
                </w:p>
              </w:tc>
              <w:tc>
                <w:tcPr>
                  <w:tcW w:w="1087" w:type="pct"/>
                  <w:vAlign w:val="center"/>
                </w:tcPr>
                <w:p w14:paraId="24AFE919">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20.0</w:t>
                  </w:r>
                </w:p>
              </w:tc>
              <w:tc>
                <w:tcPr>
                  <w:tcW w:w="1191" w:type="pct"/>
                  <w:vAlign w:val="center"/>
                </w:tcPr>
                <w:p w14:paraId="0B8E3708">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50.0</w:t>
                  </w:r>
                </w:p>
              </w:tc>
              <w:tc>
                <w:tcPr>
                  <w:tcW w:w="1292" w:type="pct"/>
                  <w:vAlign w:val="center"/>
                </w:tcPr>
                <w:p w14:paraId="69E1E44D">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100.0（牡蛎500）</w:t>
                  </w:r>
                </w:p>
              </w:tc>
            </w:tr>
            <w:tr w14:paraId="7A14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1428" w:type="pct"/>
                  <w:vAlign w:val="center"/>
                </w:tcPr>
                <w:p w14:paraId="1A6BFE8F">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石油烃≤</w:t>
                  </w:r>
                </w:p>
              </w:tc>
              <w:tc>
                <w:tcPr>
                  <w:tcW w:w="1087" w:type="pct"/>
                  <w:vAlign w:val="center"/>
                </w:tcPr>
                <w:p w14:paraId="3C116A6C">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15.0</w:t>
                  </w:r>
                </w:p>
              </w:tc>
              <w:tc>
                <w:tcPr>
                  <w:tcW w:w="1191" w:type="pct"/>
                  <w:vAlign w:val="center"/>
                </w:tcPr>
                <w:p w14:paraId="032C8D1A">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50.0</w:t>
                  </w:r>
                </w:p>
              </w:tc>
              <w:tc>
                <w:tcPr>
                  <w:tcW w:w="1292" w:type="pct"/>
                  <w:vAlign w:val="center"/>
                </w:tcPr>
                <w:p w14:paraId="5F2DC615">
                  <w:pPr>
                    <w:keepNext w:val="0"/>
                    <w:keepLines w:val="0"/>
                    <w:suppressLineNumbers w:val="0"/>
                    <w:spacing w:before="0" w:beforeAutospacing="0" w:after="0" w:afterAutospacing="0" w:line="0" w:lineRule="atLeast"/>
                    <w:ind w:left="0" w:right="0"/>
                    <w:jc w:val="center"/>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80.0</w:t>
                  </w:r>
                </w:p>
              </w:tc>
            </w:tr>
            <w:tr w14:paraId="1AB1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000" w:type="pct"/>
                  <w:gridSpan w:val="4"/>
                  <w:vAlign w:val="center"/>
                </w:tcPr>
                <w:p w14:paraId="10685774">
                  <w:pPr>
                    <w:keepNext w:val="0"/>
                    <w:keepLines w:val="0"/>
                    <w:suppressLineNumbers w:val="0"/>
                    <w:spacing w:before="0" w:beforeAutospacing="0" w:after="0" w:afterAutospacing="0" w:line="0" w:lineRule="atLeast"/>
                    <w:ind w:left="0" w:right="0"/>
                    <w:jc w:val="left"/>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注：以贝类去壳部分的鲜重计</w:t>
                  </w:r>
                </w:p>
                <w:p w14:paraId="0DEFAD9F">
                  <w:pPr>
                    <w:keepNext w:val="0"/>
                    <w:keepLines w:val="0"/>
                    <w:suppressLineNumbers w:val="0"/>
                    <w:spacing w:before="0" w:beforeAutospacing="0" w:after="0" w:afterAutospacing="0" w:line="0" w:lineRule="atLeast"/>
                    <w:ind w:left="0" w:right="0"/>
                    <w:jc w:val="left"/>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第一类，适用于海洋渔业海域、海水养殖区、海洋自然保护区，与人类食用直接有关的工业用水区。</w:t>
                  </w:r>
                </w:p>
                <w:p w14:paraId="3EE4743E">
                  <w:pPr>
                    <w:keepNext w:val="0"/>
                    <w:keepLines w:val="0"/>
                    <w:suppressLineNumbers w:val="0"/>
                    <w:spacing w:before="0" w:beforeAutospacing="0" w:after="0" w:afterAutospacing="0" w:line="0" w:lineRule="atLeast"/>
                    <w:ind w:left="0" w:right="0"/>
                    <w:jc w:val="left"/>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第二类，适用于一般工业用水区、滨海风景旅游区。</w:t>
                  </w:r>
                </w:p>
                <w:p w14:paraId="5D4C534D">
                  <w:pPr>
                    <w:keepNext w:val="0"/>
                    <w:keepLines w:val="0"/>
                    <w:suppressLineNumbers w:val="0"/>
                    <w:spacing w:before="0" w:beforeAutospacing="0" w:after="0" w:afterAutospacing="0" w:line="0" w:lineRule="atLeast"/>
                    <w:ind w:left="0" w:right="0"/>
                    <w:jc w:val="left"/>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第三类，适用于港口海域和海洋开发作业区。</w:t>
                  </w:r>
                </w:p>
                <w:p w14:paraId="54249693">
                  <w:pPr>
                    <w:keepNext w:val="0"/>
                    <w:keepLines w:val="0"/>
                    <w:suppressLineNumbers w:val="0"/>
                    <w:spacing w:before="0" w:beforeAutospacing="0" w:after="0" w:afterAutospacing="0" w:line="0" w:lineRule="atLeast"/>
                    <w:ind w:left="0" w:right="0"/>
                    <w:jc w:val="left"/>
                    <w:rPr>
                      <w:rFonts w:hint="eastAsia"/>
                      <w:bCs/>
                      <w:snapToGrid w:val="0"/>
                      <w:color w:val="000000" w:themeColor="text1"/>
                      <w:kern w:val="10"/>
                      <w:sz w:val="21"/>
                      <w:szCs w:val="21"/>
                      <w14:textFill>
                        <w14:solidFill>
                          <w14:schemeClr w14:val="tx1"/>
                        </w14:solidFill>
                      </w14:textFill>
                    </w:rPr>
                  </w:pPr>
                  <w:r>
                    <w:rPr>
                      <w:rFonts w:hint="eastAsia"/>
                      <w:bCs/>
                      <w:snapToGrid w:val="0"/>
                      <w:color w:val="000000" w:themeColor="text1"/>
                      <w:kern w:val="10"/>
                      <w:sz w:val="21"/>
                      <w:szCs w:val="21"/>
                      <w14:textFill>
                        <w14:solidFill>
                          <w14:schemeClr w14:val="tx1"/>
                        </w14:solidFill>
                      </w14:textFill>
                    </w:rPr>
                    <w:t>表5.5-3海洋生物体评价标准(×10</w:t>
                  </w:r>
                  <w:r>
                    <w:rPr>
                      <w:rFonts w:hint="eastAsia"/>
                      <w:bCs/>
                      <w:snapToGrid w:val="0"/>
                      <w:color w:val="000000" w:themeColor="text1"/>
                      <w:kern w:val="10"/>
                      <w:sz w:val="21"/>
                      <w:szCs w:val="21"/>
                      <w:vertAlign w:val="superscript"/>
                      <w14:textFill>
                        <w14:solidFill>
                          <w14:schemeClr w14:val="tx1"/>
                        </w14:solidFill>
                      </w14:textFill>
                    </w:rPr>
                    <w:t>-6</w:t>
                  </w:r>
                  <w:r>
                    <w:rPr>
                      <w:rFonts w:hint="eastAsia"/>
                      <w:bCs/>
                      <w:snapToGrid w:val="0"/>
                      <w:color w:val="000000" w:themeColor="text1"/>
                      <w:kern w:val="10"/>
                      <w:sz w:val="21"/>
                      <w:szCs w:val="21"/>
                      <w14:textFill>
                        <w14:solidFill>
                          <w14:schemeClr w14:val="tx1"/>
                        </w14:solidFill>
                      </w14:textFill>
                    </w:rPr>
                    <w:t>湿重)</w:t>
                  </w:r>
                </w:p>
              </w:tc>
            </w:tr>
          </w:tbl>
          <w:p w14:paraId="23600B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3.5-28</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zh-CN" w:eastAsia="zh-CN"/>
              </w:rPr>
              <w:t>海洋生物体评价标准 (×10</w:t>
            </w:r>
            <w:r>
              <w:rPr>
                <w:rFonts w:hint="eastAsia" w:ascii="Times New Roman" w:hAnsi="Times New Roman" w:cs="Times New Roman"/>
                <w:b/>
                <w:bCs/>
                <w:color w:val="auto"/>
                <w:kern w:val="0"/>
                <w:sz w:val="21"/>
                <w:szCs w:val="21"/>
                <w:vertAlign w:val="superscript"/>
                <w:lang w:val="zh-CN" w:eastAsia="zh-CN"/>
              </w:rPr>
              <w:t>-6</w:t>
            </w:r>
            <w:r>
              <w:rPr>
                <w:rFonts w:hint="eastAsia" w:ascii="Times New Roman" w:hAnsi="Times New Roman" w:cs="Times New Roman"/>
                <w:b/>
                <w:bCs/>
                <w:color w:val="auto"/>
                <w:kern w:val="0"/>
                <w:sz w:val="21"/>
                <w:szCs w:val="21"/>
                <w:lang w:val="zh-CN" w:eastAsia="zh-CN"/>
              </w:rPr>
              <w:t>湿重)</w:t>
            </w:r>
          </w:p>
          <w:tbl>
            <w:tblPr>
              <w:tblStyle w:val="28"/>
              <w:tblW w:w="7638" w:type="dxa"/>
              <w:tblInd w:w="5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36"/>
              <w:gridCol w:w="804"/>
              <w:gridCol w:w="882"/>
              <w:gridCol w:w="702"/>
              <w:gridCol w:w="641"/>
              <w:gridCol w:w="843"/>
              <w:gridCol w:w="700"/>
              <w:gridCol w:w="858"/>
              <w:gridCol w:w="972"/>
            </w:tblGrid>
            <w:tr w14:paraId="79FC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1236" w:type="dxa"/>
                  <w:vAlign w:val="center"/>
                </w:tcPr>
                <w:p w14:paraId="3693A17F">
                  <w:pPr>
                    <w:keepNext w:val="0"/>
                    <w:keepLines w:val="0"/>
                    <w:suppressLineNumbers w:val="0"/>
                    <w:spacing w:before="0" w:beforeAutospacing="0" w:after="0" w:afterAutospacing="0"/>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生物类别</w:t>
                  </w:r>
                </w:p>
              </w:tc>
              <w:tc>
                <w:tcPr>
                  <w:tcW w:w="804" w:type="dxa"/>
                  <w:vAlign w:val="center"/>
                </w:tcPr>
                <w:p w14:paraId="58A76771">
                  <w:pPr>
                    <w:keepNext w:val="0"/>
                    <w:keepLines w:val="0"/>
                    <w:suppressLineNumbers w:val="0"/>
                    <w:spacing w:before="0" w:beforeAutospacing="0" w:after="0" w:afterAutospacing="0"/>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铜</w:t>
                  </w:r>
                </w:p>
              </w:tc>
              <w:tc>
                <w:tcPr>
                  <w:tcW w:w="882" w:type="dxa"/>
                  <w:vAlign w:val="center"/>
                </w:tcPr>
                <w:p w14:paraId="29383FE1">
                  <w:pPr>
                    <w:keepNext w:val="0"/>
                    <w:keepLines w:val="0"/>
                    <w:suppressLineNumbers w:val="0"/>
                    <w:spacing w:before="0" w:beforeAutospacing="0" w:after="0" w:afterAutospacing="0"/>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铅</w:t>
                  </w:r>
                </w:p>
              </w:tc>
              <w:tc>
                <w:tcPr>
                  <w:tcW w:w="702" w:type="dxa"/>
                  <w:vAlign w:val="center"/>
                </w:tcPr>
                <w:p w14:paraId="6DF76ECE">
                  <w:pPr>
                    <w:keepNext w:val="0"/>
                    <w:keepLines w:val="0"/>
                    <w:suppressLineNumbers w:val="0"/>
                    <w:spacing w:before="0" w:beforeAutospacing="0" w:after="0" w:afterAutospacing="0"/>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镉</w:t>
                  </w:r>
                </w:p>
              </w:tc>
              <w:tc>
                <w:tcPr>
                  <w:tcW w:w="641" w:type="dxa"/>
                  <w:vAlign w:val="center"/>
                </w:tcPr>
                <w:p w14:paraId="4862CD65">
                  <w:pPr>
                    <w:keepNext w:val="0"/>
                    <w:keepLines w:val="0"/>
                    <w:suppressLineNumbers w:val="0"/>
                    <w:spacing w:before="0" w:beforeAutospacing="0" w:after="0" w:afterAutospacing="0"/>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锌</w:t>
                  </w:r>
                </w:p>
              </w:tc>
              <w:tc>
                <w:tcPr>
                  <w:tcW w:w="843" w:type="dxa"/>
                  <w:vAlign w:val="center"/>
                </w:tcPr>
                <w:p w14:paraId="116E7F93">
                  <w:pPr>
                    <w:keepNext w:val="0"/>
                    <w:keepLines w:val="0"/>
                    <w:suppressLineNumbers w:val="0"/>
                    <w:spacing w:before="0" w:beforeAutospacing="0" w:after="0" w:afterAutospacing="0"/>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总汞</w:t>
                  </w:r>
                </w:p>
              </w:tc>
              <w:tc>
                <w:tcPr>
                  <w:tcW w:w="700" w:type="dxa"/>
                  <w:vAlign w:val="center"/>
                </w:tcPr>
                <w:p w14:paraId="5720E2BF">
                  <w:pPr>
                    <w:keepNext w:val="0"/>
                    <w:keepLines w:val="0"/>
                    <w:suppressLineNumbers w:val="0"/>
                    <w:spacing w:before="0" w:beforeAutospacing="0" w:after="0" w:afterAutospacing="0"/>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砷</w:t>
                  </w:r>
                </w:p>
              </w:tc>
              <w:tc>
                <w:tcPr>
                  <w:tcW w:w="858" w:type="dxa"/>
                  <w:vAlign w:val="center"/>
                </w:tcPr>
                <w:p w14:paraId="23A7AA02">
                  <w:pPr>
                    <w:keepNext w:val="0"/>
                    <w:keepLines w:val="0"/>
                    <w:suppressLineNumbers w:val="0"/>
                    <w:spacing w:before="0" w:beforeAutospacing="0" w:after="0" w:afterAutospacing="0"/>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总铬</w:t>
                  </w:r>
                </w:p>
              </w:tc>
              <w:tc>
                <w:tcPr>
                  <w:tcW w:w="972" w:type="dxa"/>
                  <w:vAlign w:val="center"/>
                </w:tcPr>
                <w:p w14:paraId="7231C26D">
                  <w:pPr>
                    <w:keepNext w:val="0"/>
                    <w:keepLines w:val="0"/>
                    <w:suppressLineNumbers w:val="0"/>
                    <w:spacing w:before="0" w:beforeAutospacing="0" w:after="0" w:afterAutospacing="0"/>
                    <w:ind w:left="0" w:right="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石油烃</w:t>
                  </w:r>
                </w:p>
              </w:tc>
            </w:tr>
            <w:tr w14:paraId="725C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1236" w:type="dxa"/>
                  <w:vAlign w:val="center"/>
                </w:tcPr>
                <w:p w14:paraId="6EE5A972">
                  <w:pPr>
                    <w:keepNext w:val="0"/>
                    <w:keepLines w:val="0"/>
                    <w:suppressLineNumbers w:val="0"/>
                    <w:spacing w:before="0" w:beforeAutospacing="0" w:after="0" w:afterAutospacing="0"/>
                    <w:ind w:left="0" w:right="0"/>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鱼类</w:t>
                  </w:r>
                </w:p>
              </w:tc>
              <w:tc>
                <w:tcPr>
                  <w:tcW w:w="804" w:type="dxa"/>
                  <w:vAlign w:val="center"/>
                </w:tcPr>
                <w:p w14:paraId="7BA2772B">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882" w:type="dxa"/>
                  <w:vAlign w:val="center"/>
                </w:tcPr>
                <w:p w14:paraId="22C29719">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702" w:type="dxa"/>
                  <w:vAlign w:val="center"/>
                </w:tcPr>
                <w:p w14:paraId="1E2B51E8">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0.6</w:t>
                  </w:r>
                </w:p>
              </w:tc>
              <w:tc>
                <w:tcPr>
                  <w:tcW w:w="641" w:type="dxa"/>
                  <w:vAlign w:val="center"/>
                </w:tcPr>
                <w:p w14:paraId="7EF1F11E">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843" w:type="dxa"/>
                  <w:vAlign w:val="center"/>
                </w:tcPr>
                <w:p w14:paraId="22BC02D0">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w:t>
                  </w:r>
                </w:p>
              </w:tc>
              <w:tc>
                <w:tcPr>
                  <w:tcW w:w="700" w:type="dxa"/>
                  <w:vAlign w:val="center"/>
                </w:tcPr>
                <w:p w14:paraId="21C4A33B">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58" w:type="dxa"/>
                  <w:vAlign w:val="center"/>
                </w:tcPr>
                <w:p w14:paraId="0FB6D4B8">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972" w:type="dxa"/>
                  <w:vAlign w:val="center"/>
                </w:tcPr>
                <w:p w14:paraId="740B58DA">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r>
            <w:tr w14:paraId="3B96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1236" w:type="dxa"/>
                  <w:vAlign w:val="center"/>
                </w:tcPr>
                <w:p w14:paraId="671AB00B">
                  <w:pPr>
                    <w:keepNext w:val="0"/>
                    <w:keepLines w:val="0"/>
                    <w:suppressLineNumbers w:val="0"/>
                    <w:spacing w:before="0" w:beforeAutospacing="0" w:after="0" w:afterAutospacing="0"/>
                    <w:ind w:left="0" w:right="0"/>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甲壳类</w:t>
                  </w:r>
                </w:p>
              </w:tc>
              <w:tc>
                <w:tcPr>
                  <w:tcW w:w="804" w:type="dxa"/>
                  <w:vAlign w:val="center"/>
                </w:tcPr>
                <w:p w14:paraId="05E0869E">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882" w:type="dxa"/>
                  <w:vAlign w:val="center"/>
                </w:tcPr>
                <w:p w14:paraId="11990F1A">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702" w:type="dxa"/>
                  <w:vAlign w:val="center"/>
                </w:tcPr>
                <w:p w14:paraId="37E518A9">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641" w:type="dxa"/>
                  <w:vAlign w:val="center"/>
                </w:tcPr>
                <w:p w14:paraId="6AEFD86B">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843" w:type="dxa"/>
                  <w:vAlign w:val="center"/>
                </w:tcPr>
                <w:p w14:paraId="0E4E7696">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c>
                <w:tcPr>
                  <w:tcW w:w="700" w:type="dxa"/>
                  <w:vAlign w:val="center"/>
                </w:tcPr>
                <w:p w14:paraId="732819C0">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58" w:type="dxa"/>
                  <w:vAlign w:val="center"/>
                </w:tcPr>
                <w:p w14:paraId="6470E2F8">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972" w:type="dxa"/>
                  <w:vAlign w:val="center"/>
                </w:tcPr>
                <w:p w14:paraId="59C026A0">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r>
            <w:tr w14:paraId="572C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1236" w:type="dxa"/>
                  <w:vAlign w:val="center"/>
                </w:tcPr>
                <w:p w14:paraId="1BFE7BD8">
                  <w:pPr>
                    <w:keepNext w:val="0"/>
                    <w:keepLines w:val="0"/>
                    <w:suppressLineNumbers w:val="0"/>
                    <w:spacing w:before="0" w:beforeAutospacing="0" w:after="0" w:afterAutospacing="0"/>
                    <w:ind w:left="0" w:right="0"/>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软体类</w:t>
                  </w:r>
                </w:p>
              </w:tc>
              <w:tc>
                <w:tcPr>
                  <w:tcW w:w="804" w:type="dxa"/>
                  <w:vAlign w:val="center"/>
                </w:tcPr>
                <w:p w14:paraId="0CE1E0CB">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882" w:type="dxa"/>
                  <w:vAlign w:val="center"/>
                </w:tcPr>
                <w:p w14:paraId="50797E9F">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702" w:type="dxa"/>
                  <w:vAlign w:val="center"/>
                </w:tcPr>
                <w:p w14:paraId="5FFB8069">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641" w:type="dxa"/>
                  <w:vAlign w:val="center"/>
                </w:tcPr>
                <w:p w14:paraId="4E7A3680">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843" w:type="dxa"/>
                  <w:vAlign w:val="center"/>
                </w:tcPr>
                <w:p w14:paraId="4189BE17">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w:t>
                  </w:r>
                </w:p>
              </w:tc>
              <w:tc>
                <w:tcPr>
                  <w:tcW w:w="700" w:type="dxa"/>
                  <w:vAlign w:val="center"/>
                </w:tcPr>
                <w:p w14:paraId="5C4E6048">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58" w:type="dxa"/>
                  <w:vAlign w:val="center"/>
                </w:tcPr>
                <w:p w14:paraId="45D08186">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972" w:type="dxa"/>
                  <w:vAlign w:val="center"/>
                </w:tcPr>
                <w:p w14:paraId="6B05C393">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r>
          </w:tbl>
          <w:p w14:paraId="6CB5B0E3">
            <w:pPr>
              <w:pStyle w:val="5"/>
              <w:keepNext w:val="0"/>
              <w:keepLines w:val="0"/>
              <w:pageBreakBefore w:val="0"/>
              <w:widowControl w:val="0"/>
              <w:numPr>
                <w:ilvl w:val="3"/>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olor w:val="000000" w:themeColor="text1"/>
                <w:kern w:val="13"/>
                <w:sz w:val="24"/>
                <w:szCs w:val="24"/>
                <w14:textFill>
                  <w14:solidFill>
                    <w14:schemeClr w14:val="tx1"/>
                  </w14:solidFill>
                </w14:textFill>
              </w:rPr>
            </w:pPr>
            <w:r>
              <w:rPr>
                <w:rFonts w:hint="eastAsia" w:cs="Times New Roman"/>
                <w:color w:val="000000" w:themeColor="text1"/>
                <w:kern w:val="13"/>
                <w:sz w:val="24"/>
                <w:szCs w:val="24"/>
                <w:lang w:val="en-US" w:eastAsia="zh-CN" w:bidi="ar-SA"/>
                <w14:textFill>
                  <w14:solidFill>
                    <w14:schemeClr w14:val="tx1"/>
                  </w14:solidFill>
                </w14:textFill>
              </w:rPr>
              <w:t>（3）</w:t>
            </w:r>
            <w:r>
              <w:rPr>
                <w:rFonts w:hint="eastAsia"/>
                <w:color w:val="000000" w:themeColor="text1"/>
                <w:kern w:val="13"/>
                <w:sz w:val="24"/>
                <w:szCs w:val="24"/>
                <w14:textFill>
                  <w14:solidFill>
                    <w14:schemeClr w14:val="tx1"/>
                  </w14:solidFill>
                </w14:textFill>
              </w:rPr>
              <w:t>生物体质量环境跟踪监测结果</w:t>
            </w:r>
          </w:p>
          <w:p w14:paraId="4178C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生物体挑取了个体较大且优势度较高的鱼类、甲壳类和软体类进行生物体质量检测，采集了斑鰶、多鳞鱚、黑斑口虾蛄、黑棘鲷、黑口鳓、火枪乌贼、金钱鱼、金乌贼、近缘新对虾、门司赤虾、猛虾蛄、皮氏叫姑鱼、条马鲾、远洋梭子蟹，共14种生物样品，检测项目包括总汞、砷、铅、铜、锌、镉、总铬和石油烃共8项，检测结果为干重值，本报告湿重值是根据干重检测值和含水率换算后得到，详见表3.</w:t>
            </w:r>
            <w:r>
              <w:rPr>
                <w:rFonts w:hint="eastAsia"/>
                <w:color w:val="000000" w:themeColor="text1"/>
                <w:sz w:val="24"/>
                <w:szCs w:val="24"/>
                <w:lang w:val="en-US" w:eastAsia="zh-CN"/>
                <w14:textFill>
                  <w14:solidFill>
                    <w14:schemeClr w14:val="tx1"/>
                  </w14:solidFill>
                </w14:textFill>
              </w:rPr>
              <w:t>5-29</w:t>
            </w:r>
            <w:r>
              <w:rPr>
                <w:rFonts w:hint="eastAsia"/>
                <w:color w:val="000000" w:themeColor="text1"/>
                <w:sz w:val="24"/>
                <w:szCs w:val="24"/>
                <w14:textFill>
                  <w14:solidFill>
                    <w14:schemeClr w14:val="tx1"/>
                  </w14:solidFill>
                </w14:textFill>
              </w:rPr>
              <w:t>及表3</w:t>
            </w:r>
            <w:r>
              <w:rPr>
                <w:rFonts w:hint="eastAsia"/>
                <w:color w:val="000000" w:themeColor="text1"/>
                <w:sz w:val="24"/>
                <w:szCs w:val="24"/>
                <w:lang w:val="en-US" w:eastAsia="zh-CN"/>
                <w14:textFill>
                  <w14:solidFill>
                    <w14:schemeClr w14:val="tx1"/>
                  </w14:solidFill>
                </w14:textFill>
              </w:rPr>
              <w:t>5-30</w:t>
            </w:r>
            <w:r>
              <w:rPr>
                <w:rFonts w:hint="eastAsia"/>
                <w:color w:val="000000" w:themeColor="text1"/>
                <w:sz w:val="24"/>
                <w:szCs w:val="24"/>
                <w14:textFill>
                  <w14:solidFill>
                    <w14:schemeClr w14:val="tx1"/>
                  </w14:solidFill>
                </w14:textFill>
              </w:rPr>
              <w:t>。</w:t>
            </w:r>
          </w:p>
          <w:p w14:paraId="524316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0" w:firstLineChars="200"/>
              <w:textAlignment w:val="auto"/>
              <w:rPr>
                <w:rFonts w:hint="eastAsia"/>
                <w:bCs/>
                <w:color w:val="000000" w:themeColor="text1"/>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调查期间监测海域海洋生物体中石油烃含量变化范围为（2.6</w:t>
            </w:r>
            <w:r>
              <w:rPr>
                <w:rFonts w:hint="eastAsia"/>
                <w:color w:val="000000" w:themeColor="text1"/>
                <w:spacing w:val="10"/>
                <w:sz w:val="24"/>
                <w:szCs w:val="24"/>
                <w:lang w:eastAsia="zh-CN"/>
                <w14:textFill>
                  <w14:solidFill>
                    <w14:schemeClr w14:val="tx1"/>
                  </w14:solidFill>
                </w14:textFill>
              </w:rPr>
              <w:t>~</w:t>
            </w:r>
            <w:r>
              <w:rPr>
                <w:rFonts w:hint="eastAsia"/>
                <w:color w:val="000000" w:themeColor="text1"/>
                <w:spacing w:val="10"/>
                <w:sz w:val="24"/>
                <w:szCs w:val="24"/>
                <w14:textFill>
                  <w14:solidFill>
                    <w14:schemeClr w14:val="tx1"/>
                  </w14:solidFill>
                </w14:textFill>
              </w:rPr>
              <w:t>78.2）×10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，平均值为4</w:t>
            </w:r>
            <w:bookmarkStart w:id="39" w:name="OLE_LINK69"/>
            <w:r>
              <w:rPr>
                <w:rFonts w:hint="eastAsia"/>
                <w:color w:val="000000" w:themeColor="text1"/>
                <w:spacing w:val="10"/>
                <w:sz w:val="24"/>
                <w:szCs w:val="24"/>
                <w14:textFill>
                  <w14:solidFill>
                    <w14:schemeClr w14:val="tx1"/>
                  </w14:solidFill>
                </w14:textFill>
              </w:rPr>
              <w:t>4.9×10</w:t>
            </w:r>
            <w:r>
              <w:rPr>
                <w:rFonts w:hint="eastAsia"/>
                <w:color w:val="000000" w:themeColor="text1"/>
                <w:spacing w:val="11"/>
                <w:sz w:val="24"/>
                <w:szCs w:val="24"/>
                <w:vertAlign w:val="superscript"/>
                <w14:textFill>
                  <w14:solidFill>
                    <w14:schemeClr w14:val="tx1"/>
                  </w14:solidFill>
                </w14:textFill>
              </w:rPr>
              <w:t>-6</w:t>
            </w:r>
            <w:bookmarkEnd w:id="39"/>
            <w:r>
              <w:rPr>
                <w:rFonts w:hint="eastAsia"/>
                <w:color w:val="000000" w:themeColor="text1"/>
                <w:spacing w:val="10"/>
                <w:sz w:val="24"/>
                <w:szCs w:val="24"/>
                <w14:textFill>
                  <w14:solidFill>
                    <w14:schemeClr w14:val="tx1"/>
                  </w14:solidFill>
                </w14:textFill>
              </w:rPr>
              <w:t>；总汞含量变化范围为（0.0240</w:t>
            </w:r>
            <w:r>
              <w:rPr>
                <w:rFonts w:hint="eastAsia"/>
                <w:color w:val="000000" w:themeColor="text1"/>
                <w:spacing w:val="10"/>
                <w:sz w:val="24"/>
                <w:szCs w:val="24"/>
                <w:lang w:eastAsia="zh-CN"/>
                <w14:textFill>
                  <w14:solidFill>
                    <w14:schemeClr w14:val="tx1"/>
                  </w14:solidFill>
                </w14:textFill>
              </w:rPr>
              <w:t>~</w:t>
            </w:r>
            <w:r>
              <w:rPr>
                <w:rFonts w:hint="eastAsia"/>
                <w:color w:val="000000" w:themeColor="text1"/>
                <w:spacing w:val="10"/>
                <w:sz w:val="24"/>
                <w:szCs w:val="24"/>
                <w14:textFill>
                  <w14:solidFill>
                    <w14:schemeClr w14:val="tx1"/>
                  </w14:solidFill>
                </w14:textFill>
              </w:rPr>
              <w:t>0.3802）×10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，平均值为0.1700×10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；砷含量变化范围为（2.581~20.082）×10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，平均值为6.880×10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；镉含量变化范围为（20.9</w:t>
            </w:r>
            <w:r>
              <w:rPr>
                <w:rFonts w:hint="eastAsia"/>
                <w:color w:val="000000" w:themeColor="text1"/>
                <w:spacing w:val="10"/>
                <w:sz w:val="24"/>
                <w:szCs w:val="24"/>
                <w:lang w:eastAsia="zh-CN"/>
                <w14:textFill>
                  <w14:solidFill>
                    <w14:schemeClr w14:val="tx1"/>
                  </w14:solidFill>
                </w14:textFill>
              </w:rPr>
              <w:t>~</w:t>
            </w:r>
            <w:r>
              <w:rPr>
                <w:rFonts w:hint="eastAsia"/>
                <w:color w:val="000000" w:themeColor="text1"/>
                <w:spacing w:val="10"/>
                <w:sz w:val="24"/>
                <w:szCs w:val="24"/>
                <w14:textFill>
                  <w14:solidFill>
                    <w14:schemeClr w14:val="tx1"/>
                  </w14:solidFill>
                </w14:textFill>
              </w:rPr>
              <w:t>105.0）×10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，平均值为52.0×10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；铅含量变化范围为（0.24</w:t>
            </w:r>
            <w:r>
              <w:rPr>
                <w:rFonts w:hint="eastAsia"/>
                <w:color w:val="000000" w:themeColor="text1"/>
                <w:spacing w:val="10"/>
                <w:sz w:val="24"/>
                <w:szCs w:val="24"/>
                <w:lang w:eastAsia="zh-CN"/>
                <w14:textFill>
                  <w14:solidFill>
                    <w14:schemeClr w14:val="tx1"/>
                  </w14:solidFill>
                </w14:textFill>
              </w:rPr>
              <w:t>~</w:t>
            </w:r>
            <w:r>
              <w:rPr>
                <w:rFonts w:hint="eastAsia"/>
                <w:color w:val="000000" w:themeColor="text1"/>
                <w:spacing w:val="10"/>
                <w:sz w:val="24"/>
                <w:szCs w:val="24"/>
                <w14:textFill>
                  <w14:solidFill>
                    <w14:schemeClr w14:val="tx1"/>
                  </w14:solidFill>
                </w14:textFill>
              </w:rPr>
              <w:t>0.52）×10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，平均值为0.34×10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；铜含量变化范围为（1.1</w:t>
            </w:r>
            <w:r>
              <w:rPr>
                <w:rFonts w:hint="eastAsia"/>
                <w:color w:val="000000" w:themeColor="text1"/>
                <w:spacing w:val="10"/>
                <w:sz w:val="24"/>
                <w:szCs w:val="24"/>
                <w:lang w:eastAsia="zh-CN"/>
                <w14:textFill>
                  <w14:solidFill>
                    <w14:schemeClr w14:val="tx1"/>
                  </w14:solidFill>
                </w14:textFill>
              </w:rPr>
              <w:t>~</w:t>
            </w:r>
            <w:r>
              <w:rPr>
                <w:rFonts w:hint="eastAsia"/>
                <w:color w:val="000000" w:themeColor="text1"/>
                <w:spacing w:val="10"/>
                <w:sz w:val="24"/>
                <w:szCs w:val="24"/>
                <w14:textFill>
                  <w14:solidFill>
                    <w14:schemeClr w14:val="tx1"/>
                  </w14:solidFill>
                </w14:textFill>
              </w:rPr>
              <w:t>107.0）×10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，平均值为22.4×10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；锌含量变化范围为（0.010</w:t>
            </w:r>
            <w:r>
              <w:rPr>
                <w:rFonts w:hint="eastAsia"/>
                <w:color w:val="000000" w:themeColor="text1"/>
                <w:spacing w:val="10"/>
                <w:sz w:val="24"/>
                <w:szCs w:val="24"/>
                <w:lang w:eastAsia="zh-CN"/>
                <w14:textFill>
                  <w14:solidFill>
                    <w14:schemeClr w14:val="tx1"/>
                  </w14:solidFill>
                </w14:textFill>
              </w:rPr>
              <w:t>~</w:t>
            </w:r>
            <w:r>
              <w:rPr>
                <w:rFonts w:hint="eastAsia"/>
                <w:color w:val="000000" w:themeColor="text1"/>
                <w:spacing w:val="10"/>
                <w:sz w:val="24"/>
                <w:szCs w:val="24"/>
                <w14:textFill>
                  <w14:solidFill>
                    <w14:schemeClr w14:val="tx1"/>
                  </w14:solidFill>
                </w14:textFill>
              </w:rPr>
              <w:t>2.293）×10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，平均值为0.470×10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；总铬含量变化范围为（0.21</w:t>
            </w:r>
            <w:r>
              <w:rPr>
                <w:rFonts w:hint="eastAsia"/>
                <w:color w:val="000000" w:themeColor="text1"/>
                <w:spacing w:val="10"/>
                <w:sz w:val="24"/>
                <w:szCs w:val="24"/>
                <w:lang w:eastAsia="zh-CN"/>
                <w14:textFill>
                  <w14:solidFill>
                    <w14:schemeClr w14:val="tx1"/>
                  </w14:solidFill>
                </w14:textFill>
              </w:rPr>
              <w:t>~</w:t>
            </w:r>
            <w:r>
              <w:rPr>
                <w:rFonts w:hint="eastAsia"/>
                <w:color w:val="000000" w:themeColor="text1"/>
                <w:spacing w:val="10"/>
                <w:sz w:val="24"/>
                <w:szCs w:val="24"/>
                <w14:textFill>
                  <w14:solidFill>
                    <w14:schemeClr w14:val="tx1"/>
                  </w14:solidFill>
                </w14:textFill>
              </w:rPr>
              <w:t>0.34）×10</w:t>
            </w:r>
            <w:r>
              <w:rPr>
                <w:rFonts w:hint="eastAsia"/>
                <w:color w:val="000000" w:themeColor="text1"/>
                <w:spacing w:val="11"/>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，平均值为0.28×10</w:t>
            </w:r>
            <w:r>
              <w:rPr>
                <w:rFonts w:hint="eastAsia"/>
                <w:color w:val="000000" w:themeColor="text1"/>
                <w:spacing w:val="10"/>
                <w:sz w:val="24"/>
                <w:szCs w:val="24"/>
                <w:vertAlign w:val="superscript"/>
                <w14:textFill>
                  <w14:solidFill>
                    <w14:schemeClr w14:val="tx1"/>
                  </w14:solidFill>
                </w14:textFill>
              </w:rPr>
              <w:t>-6</w:t>
            </w:r>
            <w:r>
              <w:rPr>
                <w:rFonts w:hint="eastAsia"/>
                <w:color w:val="000000" w:themeColor="text1"/>
                <w:spacing w:val="10"/>
                <w:sz w:val="24"/>
                <w:szCs w:val="24"/>
                <w14:textFill>
                  <w14:solidFill>
                    <w14:schemeClr w14:val="tx1"/>
                  </w14:solidFill>
                </w14:textFill>
              </w:rPr>
              <w:t>。</w:t>
            </w:r>
          </w:p>
          <w:p w14:paraId="72CE3B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3.5-29</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zh-CN" w:eastAsia="zh-CN"/>
              </w:rPr>
              <w:t>生物体质量检测结果（干重：×10</w:t>
            </w:r>
            <w:r>
              <w:rPr>
                <w:rFonts w:hint="eastAsia" w:ascii="Times New Roman" w:hAnsi="Times New Roman" w:cs="Times New Roman"/>
                <w:b/>
                <w:bCs/>
                <w:color w:val="auto"/>
                <w:kern w:val="0"/>
                <w:sz w:val="21"/>
                <w:szCs w:val="21"/>
                <w:vertAlign w:val="superscript"/>
                <w:lang w:val="zh-CN" w:eastAsia="zh-CN"/>
              </w:rPr>
              <w:t>-6</w:t>
            </w:r>
            <w:r>
              <w:rPr>
                <w:rFonts w:hint="eastAsia" w:ascii="Times New Roman" w:hAnsi="Times New Roman" w:cs="Times New Roman"/>
                <w:b/>
                <w:bCs/>
                <w:color w:val="auto"/>
                <w:kern w:val="0"/>
                <w:sz w:val="21"/>
                <w:szCs w:val="21"/>
                <w:lang w:val="zh-CN" w:eastAsia="zh-CN"/>
              </w:rPr>
              <w:t>）</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63"/>
              <w:gridCol w:w="1355"/>
              <w:gridCol w:w="721"/>
              <w:gridCol w:w="686"/>
              <w:gridCol w:w="915"/>
              <w:gridCol w:w="614"/>
              <w:gridCol w:w="593"/>
              <w:gridCol w:w="686"/>
              <w:gridCol w:w="634"/>
              <w:gridCol w:w="588"/>
              <w:gridCol w:w="693"/>
              <w:gridCol w:w="716"/>
            </w:tblGrid>
            <w:tr w14:paraId="09C56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tblHeader/>
                <w:jc w:val="center"/>
              </w:trPr>
              <w:tc>
                <w:tcPr>
                  <w:tcW w:w="267" w:type="pct"/>
                  <w:vAlign w:val="center"/>
                </w:tcPr>
                <w:p w14:paraId="6CD2F0DF">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站位</w:t>
                  </w:r>
                </w:p>
              </w:tc>
              <w:tc>
                <w:tcPr>
                  <w:tcW w:w="782" w:type="pct"/>
                  <w:vAlign w:val="center"/>
                </w:tcPr>
                <w:p w14:paraId="736F833C">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样品名称</w:t>
                  </w:r>
                </w:p>
              </w:tc>
              <w:tc>
                <w:tcPr>
                  <w:tcW w:w="416" w:type="pct"/>
                  <w:vAlign w:val="center"/>
                </w:tcPr>
                <w:p w14:paraId="180A881D">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类别</w:t>
                  </w:r>
                </w:p>
              </w:tc>
              <w:tc>
                <w:tcPr>
                  <w:tcW w:w="396" w:type="pct"/>
                  <w:vAlign w:val="center"/>
                </w:tcPr>
                <w:p w14:paraId="671488FD">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干湿比</w:t>
                  </w:r>
                </w:p>
              </w:tc>
              <w:tc>
                <w:tcPr>
                  <w:tcW w:w="528" w:type="pct"/>
                  <w:vAlign w:val="center"/>
                </w:tcPr>
                <w:p w14:paraId="19D8448E">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Hg</w:t>
                  </w:r>
                </w:p>
              </w:tc>
              <w:tc>
                <w:tcPr>
                  <w:tcW w:w="354" w:type="pct"/>
                  <w:vAlign w:val="center"/>
                </w:tcPr>
                <w:p w14:paraId="18CAAB9E">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As</w:t>
                  </w:r>
                </w:p>
              </w:tc>
              <w:tc>
                <w:tcPr>
                  <w:tcW w:w="342" w:type="pct"/>
                  <w:vAlign w:val="center"/>
                </w:tcPr>
                <w:p w14:paraId="3226906F">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Cu</w:t>
                  </w:r>
                </w:p>
              </w:tc>
              <w:tc>
                <w:tcPr>
                  <w:tcW w:w="396" w:type="pct"/>
                  <w:vAlign w:val="center"/>
                </w:tcPr>
                <w:p w14:paraId="0C7FC978">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Pb</w:t>
                  </w:r>
                </w:p>
              </w:tc>
              <w:tc>
                <w:tcPr>
                  <w:tcW w:w="366" w:type="pct"/>
                  <w:vAlign w:val="center"/>
                </w:tcPr>
                <w:p w14:paraId="1D60BD96">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Cd</w:t>
                  </w:r>
                </w:p>
              </w:tc>
              <w:tc>
                <w:tcPr>
                  <w:tcW w:w="339" w:type="pct"/>
                  <w:vAlign w:val="center"/>
                </w:tcPr>
                <w:p w14:paraId="2355F7CA">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Zn</w:t>
                  </w:r>
                </w:p>
              </w:tc>
              <w:tc>
                <w:tcPr>
                  <w:tcW w:w="400" w:type="pct"/>
                  <w:vAlign w:val="center"/>
                </w:tcPr>
                <w:p w14:paraId="340FC11F">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Cr</w:t>
                  </w:r>
                </w:p>
              </w:tc>
              <w:tc>
                <w:tcPr>
                  <w:tcW w:w="413" w:type="pct"/>
                  <w:vAlign w:val="center"/>
                </w:tcPr>
                <w:p w14:paraId="5B7099B4">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石油烃</w:t>
                  </w:r>
                </w:p>
              </w:tc>
            </w:tr>
            <w:tr w14:paraId="0A0D6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751712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21</w:t>
                  </w:r>
                </w:p>
              </w:tc>
              <w:tc>
                <w:tcPr>
                  <w:tcW w:w="782" w:type="pct"/>
                  <w:vAlign w:val="center"/>
                </w:tcPr>
                <w:p w14:paraId="1138919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16" w:type="pct"/>
                  <w:vAlign w:val="center"/>
                </w:tcPr>
                <w:p w14:paraId="42374A1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5E23341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sz w:val="24"/>
                    </w:rPr>
                    <w:t>*</w:t>
                  </w:r>
                  <w:r>
                    <w:rPr>
                      <w:sz w:val="24"/>
                    </w:rPr>
                    <w:t>**</w:t>
                  </w:r>
                </w:p>
              </w:tc>
              <w:tc>
                <w:tcPr>
                  <w:tcW w:w="528" w:type="pct"/>
                  <w:vAlign w:val="center"/>
                </w:tcPr>
                <w:p w14:paraId="079161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6F6363F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5300273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47EE6E3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2107BF2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413DF0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004D83F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38CC20A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1816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3F4AA65A">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2DDC96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猛虾蛄</w:t>
                  </w:r>
                </w:p>
              </w:tc>
              <w:tc>
                <w:tcPr>
                  <w:tcW w:w="416" w:type="pct"/>
                  <w:vAlign w:val="center"/>
                </w:tcPr>
                <w:p w14:paraId="028765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1F5287E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3C33E45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2DCC86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1A527C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698409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0960D1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624940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2F42E2F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34093D4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5533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3D946C52">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020C496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金乌贼</w:t>
                  </w:r>
                </w:p>
              </w:tc>
              <w:tc>
                <w:tcPr>
                  <w:tcW w:w="416" w:type="pct"/>
                  <w:vAlign w:val="center"/>
                </w:tcPr>
                <w:p w14:paraId="2C67BB9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396" w:type="pct"/>
                  <w:vAlign w:val="center"/>
                </w:tcPr>
                <w:p w14:paraId="2293A5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154AEC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7660C3D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794616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10D16F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4DA95C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755A42D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22C43E6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5D9AC3B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44CC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35474E8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22</w:t>
                  </w:r>
                </w:p>
              </w:tc>
              <w:tc>
                <w:tcPr>
                  <w:tcW w:w="782" w:type="pct"/>
                  <w:vAlign w:val="center"/>
                </w:tcPr>
                <w:p w14:paraId="0B9C98A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斑鰶</w:t>
                  </w:r>
                </w:p>
              </w:tc>
              <w:tc>
                <w:tcPr>
                  <w:tcW w:w="416" w:type="pct"/>
                  <w:vAlign w:val="center"/>
                </w:tcPr>
                <w:p w14:paraId="119982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493A0D8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53254DE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592A85A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4F56901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46E1B6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5C2A67F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61E3230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61C3BB8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2CFD164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A165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0F8FD008">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1B2C6C0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416" w:type="pct"/>
                  <w:vAlign w:val="center"/>
                </w:tcPr>
                <w:p w14:paraId="1239B12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4A4CC4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7E2ADF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4DCE49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7DF174B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3317825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27F153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702E582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3CF8F0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3527272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5A92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076465BB">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319F58A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远洋梭子蟹</w:t>
                  </w:r>
                </w:p>
              </w:tc>
              <w:tc>
                <w:tcPr>
                  <w:tcW w:w="416" w:type="pct"/>
                  <w:vAlign w:val="center"/>
                </w:tcPr>
                <w:p w14:paraId="4918CE7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57B5963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6C5117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7E030A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55C8A38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0D3697B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0266EBE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417494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307854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1343A8A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2FB5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64AAAA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23</w:t>
                  </w:r>
                </w:p>
              </w:tc>
              <w:tc>
                <w:tcPr>
                  <w:tcW w:w="782" w:type="pct"/>
                  <w:vAlign w:val="center"/>
                </w:tcPr>
                <w:p w14:paraId="024AE96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黑棘鲷</w:t>
                  </w:r>
                </w:p>
              </w:tc>
              <w:tc>
                <w:tcPr>
                  <w:tcW w:w="416" w:type="pct"/>
                  <w:vAlign w:val="center"/>
                </w:tcPr>
                <w:p w14:paraId="0EE7DF3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706C1F6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7EFE51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7D7CBDD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358C4F4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62CB27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26BADE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69EDAD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5E2D5B1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0D0C112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D2A4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20696529">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065A8B3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16" w:type="pct"/>
                  <w:vAlign w:val="center"/>
                </w:tcPr>
                <w:p w14:paraId="5A9CAF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4816E2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3104F7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2698B67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4B9D6E9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71A966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0AC9A64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74FCC23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1FB2A7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23DCEA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BED2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0ABABB77">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38B683D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猛虾蛄</w:t>
                  </w:r>
                </w:p>
              </w:tc>
              <w:tc>
                <w:tcPr>
                  <w:tcW w:w="416" w:type="pct"/>
                  <w:vAlign w:val="center"/>
                </w:tcPr>
                <w:p w14:paraId="4CECD77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35132D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3BBCBAF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525E263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00EE0A6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471261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274447C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01833BF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22A0714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0026CF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4BC8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054189F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25</w:t>
                  </w:r>
                </w:p>
              </w:tc>
              <w:tc>
                <w:tcPr>
                  <w:tcW w:w="782" w:type="pct"/>
                  <w:vAlign w:val="center"/>
                </w:tcPr>
                <w:p w14:paraId="3E56575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16" w:type="pct"/>
                  <w:vAlign w:val="center"/>
                </w:tcPr>
                <w:p w14:paraId="11618E8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66A6B1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23EBEC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2CEB1F6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5321481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3ED7ED6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7CBC629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621EF53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58B278B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51CE5C6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13AD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7FB2CB3D">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092BE87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黑斑口虾蛄</w:t>
                  </w:r>
                </w:p>
              </w:tc>
              <w:tc>
                <w:tcPr>
                  <w:tcW w:w="416" w:type="pct"/>
                  <w:vAlign w:val="center"/>
                </w:tcPr>
                <w:p w14:paraId="7481AFB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2E3FBA5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5DDC0C3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5DCE9DA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5A832EE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75AABA2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31B3E4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5D5976F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4C3627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5492079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DC85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4910C93B">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2404CAE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金乌贼</w:t>
                  </w:r>
                </w:p>
              </w:tc>
              <w:tc>
                <w:tcPr>
                  <w:tcW w:w="416" w:type="pct"/>
                  <w:vAlign w:val="center"/>
                </w:tcPr>
                <w:p w14:paraId="66E7F50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396" w:type="pct"/>
                  <w:vAlign w:val="center"/>
                </w:tcPr>
                <w:p w14:paraId="6BAEE3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2F6CEC0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00A691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1122B28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7B281C3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4CD060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7104E64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6402D0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5B119D3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5B8D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1963EA6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26</w:t>
                  </w:r>
                </w:p>
              </w:tc>
              <w:tc>
                <w:tcPr>
                  <w:tcW w:w="782" w:type="pct"/>
                  <w:vAlign w:val="center"/>
                </w:tcPr>
                <w:p w14:paraId="292333B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16" w:type="pct"/>
                  <w:vAlign w:val="center"/>
                </w:tcPr>
                <w:p w14:paraId="468337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32E817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0CDF5F5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705A77D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59B4FD2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0F61817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2AB15F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71AD13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17C382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426C745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336B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2F92A68D">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280C4A0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黑棘鲷</w:t>
                  </w:r>
                </w:p>
              </w:tc>
              <w:tc>
                <w:tcPr>
                  <w:tcW w:w="416" w:type="pct"/>
                  <w:vAlign w:val="center"/>
                </w:tcPr>
                <w:p w14:paraId="7A811AC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45EE1B0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5A8F3BB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43F2144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390192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0C598D3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628B927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1F7E68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4F8263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584251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EC1F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6658F175">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7D3414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416" w:type="pct"/>
                  <w:vAlign w:val="center"/>
                </w:tcPr>
                <w:p w14:paraId="51F26C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396" w:type="pct"/>
                  <w:vAlign w:val="center"/>
                </w:tcPr>
                <w:p w14:paraId="5C3097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4F3B07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26ADF07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79EFD01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000FC7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7858A65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7BF263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1CD18C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2DF9AF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006E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51E15F9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27</w:t>
                  </w:r>
                </w:p>
              </w:tc>
              <w:tc>
                <w:tcPr>
                  <w:tcW w:w="782" w:type="pct"/>
                  <w:vAlign w:val="center"/>
                </w:tcPr>
                <w:p w14:paraId="4E1DD69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16" w:type="pct"/>
                  <w:vAlign w:val="center"/>
                </w:tcPr>
                <w:p w14:paraId="69BF10E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61F9A11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40A63B1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443590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55EC28F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5FEB6D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65DF6F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47C1321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59AB38E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18B2D7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CF25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443B54B7">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332DBFA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16" w:type="pct"/>
                  <w:vAlign w:val="center"/>
                </w:tcPr>
                <w:p w14:paraId="7D1F4F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354634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6163C2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4B28E31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7A9DC81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121224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5D10006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49ECFD9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23CA235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1CBB6A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D739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573EA4C1">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194352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门司赤虾</w:t>
                  </w:r>
                </w:p>
              </w:tc>
              <w:tc>
                <w:tcPr>
                  <w:tcW w:w="416" w:type="pct"/>
                  <w:vAlign w:val="center"/>
                </w:tcPr>
                <w:p w14:paraId="46D0837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48506F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50DB2A4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02F2D6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3910DA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56A2828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337772A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08764E2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3DA2089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0C2F4B9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9649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26EAA9E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31</w:t>
                  </w:r>
                </w:p>
              </w:tc>
              <w:tc>
                <w:tcPr>
                  <w:tcW w:w="782" w:type="pct"/>
                  <w:vAlign w:val="center"/>
                </w:tcPr>
                <w:p w14:paraId="138535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16" w:type="pct"/>
                  <w:vAlign w:val="center"/>
                </w:tcPr>
                <w:p w14:paraId="786CB6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7DA2814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5E474C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7048E9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382E93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6DD2A8C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45A1C78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6A70CC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0468F6F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49D8489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CC3B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722C0FFC">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1F6E2D6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黑斑口虾蛄</w:t>
                  </w:r>
                </w:p>
              </w:tc>
              <w:tc>
                <w:tcPr>
                  <w:tcW w:w="416" w:type="pct"/>
                  <w:vAlign w:val="center"/>
                </w:tcPr>
                <w:p w14:paraId="60CFE5B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22AD550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6EA3F7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2365B8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106CA83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337D138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6061FC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2A10584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501804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447522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07BC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5BD4DAA4">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0FD4B2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金乌贼</w:t>
                  </w:r>
                </w:p>
              </w:tc>
              <w:tc>
                <w:tcPr>
                  <w:tcW w:w="416" w:type="pct"/>
                  <w:vAlign w:val="center"/>
                </w:tcPr>
                <w:p w14:paraId="6DBD7D7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396" w:type="pct"/>
                  <w:vAlign w:val="center"/>
                </w:tcPr>
                <w:p w14:paraId="19834B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5CFEA30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2FC2057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415759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4F1B003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59E3A2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0CDD2F7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1C7389F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178125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1137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3832F2E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35</w:t>
                  </w:r>
                </w:p>
              </w:tc>
              <w:tc>
                <w:tcPr>
                  <w:tcW w:w="782" w:type="pct"/>
                  <w:vAlign w:val="center"/>
                </w:tcPr>
                <w:p w14:paraId="159E89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16" w:type="pct"/>
                  <w:vAlign w:val="center"/>
                </w:tcPr>
                <w:p w14:paraId="7E1C220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185338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4B9BD5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3465CE3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40A535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1D0BE6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6CA267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2D74B35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7111976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4AE93E9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23CE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12A9B38E">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135A175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猛虾蛄</w:t>
                  </w:r>
                </w:p>
              </w:tc>
              <w:tc>
                <w:tcPr>
                  <w:tcW w:w="416" w:type="pct"/>
                  <w:vAlign w:val="center"/>
                </w:tcPr>
                <w:p w14:paraId="023E4C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2B13746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2464BF8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4813718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2CF84F8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4D1064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08DD4D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2CE4C5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5F73E9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7CDC808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7CD5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65302F6F">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0498917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416" w:type="pct"/>
                  <w:vAlign w:val="center"/>
                </w:tcPr>
                <w:p w14:paraId="6C122B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102BC97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7ADC8DB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7A352A6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64A9712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536627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111786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4E811BD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4A16EDD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6CB0056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2CC9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5CAE183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36</w:t>
                  </w:r>
                </w:p>
              </w:tc>
              <w:tc>
                <w:tcPr>
                  <w:tcW w:w="782" w:type="pct"/>
                  <w:vAlign w:val="center"/>
                </w:tcPr>
                <w:p w14:paraId="1DE3715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皮氏叫姑鱼</w:t>
                  </w:r>
                </w:p>
              </w:tc>
              <w:tc>
                <w:tcPr>
                  <w:tcW w:w="416" w:type="pct"/>
                  <w:vAlign w:val="center"/>
                </w:tcPr>
                <w:p w14:paraId="397FC00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74F72A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492B4B0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1CE99A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48E8E1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2916DA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6CD78FC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24B48FC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3DFD8DB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4332114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7F1D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2E9A6CE0">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754F8E5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16" w:type="pct"/>
                  <w:vAlign w:val="center"/>
                </w:tcPr>
                <w:p w14:paraId="081465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118A1E8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7AC1341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60F878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3742027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7A6567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1F518B2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165421B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349E85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407F1F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C5C0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43DC800E">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7D297AF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远洋梭子蟹</w:t>
                  </w:r>
                </w:p>
              </w:tc>
              <w:tc>
                <w:tcPr>
                  <w:tcW w:w="416" w:type="pct"/>
                  <w:vAlign w:val="center"/>
                </w:tcPr>
                <w:p w14:paraId="3B5E51E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2C7A045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600507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3C08EB8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3D41AD9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1BADF9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7C4147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6F61CFF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16754E4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2D485E7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4684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01F064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38</w:t>
                  </w:r>
                </w:p>
              </w:tc>
              <w:tc>
                <w:tcPr>
                  <w:tcW w:w="782" w:type="pct"/>
                  <w:vAlign w:val="center"/>
                </w:tcPr>
                <w:p w14:paraId="7E3BF0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条马鲾</w:t>
                  </w:r>
                </w:p>
              </w:tc>
              <w:tc>
                <w:tcPr>
                  <w:tcW w:w="416" w:type="pct"/>
                  <w:vAlign w:val="center"/>
                </w:tcPr>
                <w:p w14:paraId="5C8B7E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6E8E2F4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5FB9D9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77E510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29B2CF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4BD8E9A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5B8914B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34EBC6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5434CF0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08F61A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C8B1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10847891">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4512191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416" w:type="pct"/>
                  <w:vAlign w:val="center"/>
                </w:tcPr>
                <w:p w14:paraId="625A171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3535D2D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6CE615A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51D9DDE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2E226A7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795A392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154E9D2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03EFA5E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1BBB71D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010C364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7C0E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0F5C8B47">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6C57E5B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416" w:type="pct"/>
                  <w:vAlign w:val="center"/>
                </w:tcPr>
                <w:p w14:paraId="03140C1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396" w:type="pct"/>
                  <w:vAlign w:val="center"/>
                </w:tcPr>
                <w:p w14:paraId="3320EF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1191DCB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23CD650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19AA4D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357BA13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62E5607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14B2EE7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2F72B29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5E39BA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F5B8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6EBA4F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39</w:t>
                  </w:r>
                </w:p>
              </w:tc>
              <w:tc>
                <w:tcPr>
                  <w:tcW w:w="782" w:type="pct"/>
                  <w:vAlign w:val="center"/>
                </w:tcPr>
                <w:p w14:paraId="7C7A549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多鳞鱚</w:t>
                  </w:r>
                </w:p>
              </w:tc>
              <w:tc>
                <w:tcPr>
                  <w:tcW w:w="416" w:type="pct"/>
                  <w:vAlign w:val="center"/>
                </w:tcPr>
                <w:p w14:paraId="7C0B25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52B23AF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1A8BED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051843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0EE7398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5795BE5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26B2E29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37ABD1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559AF8E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354CD3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2963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5589F7C0">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28F2568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黑斑口虾蛄</w:t>
                  </w:r>
                </w:p>
              </w:tc>
              <w:tc>
                <w:tcPr>
                  <w:tcW w:w="416" w:type="pct"/>
                  <w:vAlign w:val="center"/>
                </w:tcPr>
                <w:p w14:paraId="73EEEB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2FCDD25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060B0DA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711876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529703B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067758E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2B9B723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057859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74FF271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7B8B85B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D987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47022BDE">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3959B0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416" w:type="pct"/>
                  <w:vAlign w:val="center"/>
                </w:tcPr>
                <w:p w14:paraId="40DBAC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396" w:type="pct"/>
                  <w:vAlign w:val="center"/>
                </w:tcPr>
                <w:p w14:paraId="4669E1B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670504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468570A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083F7C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06A0BF0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5FCDC9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74C3E89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1ABF7D6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3F3B36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86BA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restart"/>
                  <w:vAlign w:val="center"/>
                </w:tcPr>
                <w:p w14:paraId="3DDB3C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40</w:t>
                  </w:r>
                </w:p>
              </w:tc>
              <w:tc>
                <w:tcPr>
                  <w:tcW w:w="782" w:type="pct"/>
                  <w:vAlign w:val="center"/>
                </w:tcPr>
                <w:p w14:paraId="1EA3AB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16" w:type="pct"/>
                  <w:vAlign w:val="center"/>
                </w:tcPr>
                <w:p w14:paraId="08010E0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396" w:type="pct"/>
                  <w:vAlign w:val="center"/>
                </w:tcPr>
                <w:p w14:paraId="2B836F7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6C57208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658803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2DFA6C1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7B12539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091EF8B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04386B5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037B6AF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30C31E3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C448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64DEAFD9">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4E0CF8A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416" w:type="pct"/>
                  <w:vAlign w:val="center"/>
                </w:tcPr>
                <w:p w14:paraId="62AB792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396" w:type="pct"/>
                  <w:vAlign w:val="center"/>
                </w:tcPr>
                <w:p w14:paraId="6752C0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6CB976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22100D7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5CE04F8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2458306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6645E65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22A35C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702BBDD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592003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5D32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67" w:type="pct"/>
                  <w:vMerge w:val="continue"/>
                  <w:vAlign w:val="center"/>
                </w:tcPr>
                <w:p w14:paraId="2D500487">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782" w:type="pct"/>
                  <w:vAlign w:val="center"/>
                </w:tcPr>
                <w:p w14:paraId="71CA707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416" w:type="pct"/>
                  <w:vAlign w:val="center"/>
                </w:tcPr>
                <w:p w14:paraId="7E4901E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396" w:type="pct"/>
                  <w:vAlign w:val="center"/>
                </w:tcPr>
                <w:p w14:paraId="51DC07F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012A55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50319A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1A0BDCA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541BAF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452D94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00AA74A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2649A73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72A101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6C18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1465" w:type="pct"/>
                  <w:gridSpan w:val="3"/>
                  <w:vAlign w:val="center"/>
                </w:tcPr>
                <w:p w14:paraId="2FE211E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最小值</w:t>
                  </w:r>
                </w:p>
              </w:tc>
              <w:tc>
                <w:tcPr>
                  <w:tcW w:w="396" w:type="pct"/>
                  <w:vAlign w:val="center"/>
                </w:tcPr>
                <w:p w14:paraId="0ED4D29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159F82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236DE3E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49CC3A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3AF2110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7384DC0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4AFA4DF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7F8CD60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58FB2B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C0FD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1465" w:type="pct"/>
                  <w:gridSpan w:val="3"/>
                  <w:vAlign w:val="center"/>
                </w:tcPr>
                <w:p w14:paraId="393F85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最大值</w:t>
                  </w:r>
                </w:p>
              </w:tc>
              <w:tc>
                <w:tcPr>
                  <w:tcW w:w="396" w:type="pct"/>
                  <w:vAlign w:val="center"/>
                </w:tcPr>
                <w:p w14:paraId="55017E3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355492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08953A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5FED827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35B3DA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4FDD48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7720394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2A42871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5544D0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FFFA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1465" w:type="pct"/>
                  <w:gridSpan w:val="3"/>
                  <w:vAlign w:val="center"/>
                </w:tcPr>
                <w:p w14:paraId="160EB11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平均值</w:t>
                  </w:r>
                </w:p>
              </w:tc>
              <w:tc>
                <w:tcPr>
                  <w:tcW w:w="396" w:type="pct"/>
                  <w:vAlign w:val="center"/>
                </w:tcPr>
                <w:p w14:paraId="4CAB94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28" w:type="pct"/>
                  <w:vAlign w:val="center"/>
                </w:tcPr>
                <w:p w14:paraId="6D6207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4" w:type="pct"/>
                  <w:vAlign w:val="center"/>
                </w:tcPr>
                <w:p w14:paraId="64BE0D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42" w:type="pct"/>
                  <w:vAlign w:val="center"/>
                </w:tcPr>
                <w:p w14:paraId="6A2A177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96" w:type="pct"/>
                  <w:vAlign w:val="center"/>
                </w:tcPr>
                <w:p w14:paraId="6BD40C0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6" w:type="pct"/>
                  <w:vAlign w:val="center"/>
                </w:tcPr>
                <w:p w14:paraId="40DF08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39" w:type="pct"/>
                  <w:vAlign w:val="center"/>
                </w:tcPr>
                <w:p w14:paraId="4766E4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00" w:type="pct"/>
                  <w:vAlign w:val="center"/>
                </w:tcPr>
                <w:p w14:paraId="515E07F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3" w:type="pct"/>
                  <w:vAlign w:val="center"/>
                </w:tcPr>
                <w:p w14:paraId="1F63BAB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bl>
          <w:p w14:paraId="2100A3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3.5-30</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zh-CN" w:eastAsia="zh-CN"/>
              </w:rPr>
              <w:t>生物体质量检测结果（湿重：×10</w:t>
            </w:r>
            <w:r>
              <w:rPr>
                <w:rFonts w:hint="eastAsia" w:ascii="Times New Roman" w:hAnsi="Times New Roman" w:cs="Times New Roman"/>
                <w:b/>
                <w:bCs/>
                <w:color w:val="auto"/>
                <w:kern w:val="0"/>
                <w:sz w:val="21"/>
                <w:szCs w:val="21"/>
                <w:vertAlign w:val="superscript"/>
                <w:lang w:val="zh-CN" w:eastAsia="zh-CN"/>
              </w:rPr>
              <w:t>-6</w:t>
            </w:r>
            <w:r>
              <w:rPr>
                <w:rFonts w:hint="eastAsia" w:ascii="Times New Roman" w:hAnsi="Times New Roman" w:cs="Times New Roman"/>
                <w:b/>
                <w:bCs/>
                <w:color w:val="auto"/>
                <w:kern w:val="0"/>
                <w:sz w:val="21"/>
                <w:szCs w:val="21"/>
                <w:lang w:val="zh-CN" w:eastAsia="zh-CN"/>
              </w:rPr>
              <w:t>）</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85"/>
              <w:gridCol w:w="1414"/>
              <w:gridCol w:w="731"/>
              <w:gridCol w:w="721"/>
              <w:gridCol w:w="766"/>
              <w:gridCol w:w="532"/>
              <w:gridCol w:w="610"/>
              <w:gridCol w:w="721"/>
              <w:gridCol w:w="626"/>
              <w:gridCol w:w="615"/>
              <w:gridCol w:w="723"/>
              <w:gridCol w:w="720"/>
            </w:tblGrid>
            <w:tr w14:paraId="11D0E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tblHeader/>
                <w:jc w:val="center"/>
              </w:trPr>
              <w:tc>
                <w:tcPr>
                  <w:tcW w:w="280" w:type="pct"/>
                  <w:vAlign w:val="center"/>
                </w:tcPr>
                <w:p w14:paraId="3099A53A">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站位</w:t>
                  </w:r>
                </w:p>
              </w:tc>
              <w:tc>
                <w:tcPr>
                  <w:tcW w:w="816" w:type="pct"/>
                  <w:vAlign w:val="center"/>
                </w:tcPr>
                <w:p w14:paraId="1164782B">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样品名称</w:t>
                  </w:r>
                </w:p>
              </w:tc>
              <w:tc>
                <w:tcPr>
                  <w:tcW w:w="422" w:type="pct"/>
                  <w:vAlign w:val="center"/>
                </w:tcPr>
                <w:p w14:paraId="5662B1C8">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类别</w:t>
                  </w:r>
                </w:p>
              </w:tc>
              <w:tc>
                <w:tcPr>
                  <w:tcW w:w="416" w:type="pct"/>
                  <w:vAlign w:val="center"/>
                </w:tcPr>
                <w:p w14:paraId="234B2D49">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干湿比</w:t>
                  </w:r>
                </w:p>
              </w:tc>
              <w:tc>
                <w:tcPr>
                  <w:tcW w:w="442" w:type="pct"/>
                  <w:vAlign w:val="center"/>
                </w:tcPr>
                <w:p w14:paraId="16150504">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Hg</w:t>
                  </w:r>
                </w:p>
              </w:tc>
              <w:tc>
                <w:tcPr>
                  <w:tcW w:w="307" w:type="pct"/>
                  <w:vAlign w:val="center"/>
                </w:tcPr>
                <w:p w14:paraId="3F6E2679">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As</w:t>
                  </w:r>
                </w:p>
              </w:tc>
              <w:tc>
                <w:tcPr>
                  <w:tcW w:w="352" w:type="pct"/>
                  <w:vAlign w:val="center"/>
                </w:tcPr>
                <w:p w14:paraId="7FC6B663">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Cu</w:t>
                  </w:r>
                </w:p>
              </w:tc>
              <w:tc>
                <w:tcPr>
                  <w:tcW w:w="416" w:type="pct"/>
                  <w:vAlign w:val="center"/>
                </w:tcPr>
                <w:p w14:paraId="054FEA48">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Pb</w:t>
                  </w:r>
                </w:p>
              </w:tc>
              <w:tc>
                <w:tcPr>
                  <w:tcW w:w="361" w:type="pct"/>
                  <w:vAlign w:val="center"/>
                </w:tcPr>
                <w:p w14:paraId="65DB7870">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Cd</w:t>
                  </w:r>
                </w:p>
              </w:tc>
              <w:tc>
                <w:tcPr>
                  <w:tcW w:w="355" w:type="pct"/>
                  <w:vAlign w:val="center"/>
                </w:tcPr>
                <w:p w14:paraId="2FA847F1">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Zn</w:t>
                  </w:r>
                </w:p>
              </w:tc>
              <w:tc>
                <w:tcPr>
                  <w:tcW w:w="417" w:type="pct"/>
                  <w:vAlign w:val="center"/>
                </w:tcPr>
                <w:p w14:paraId="65DCA790">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Cr</w:t>
                  </w:r>
                </w:p>
              </w:tc>
              <w:tc>
                <w:tcPr>
                  <w:tcW w:w="415" w:type="pct"/>
                  <w:vAlign w:val="center"/>
                </w:tcPr>
                <w:p w14:paraId="5D15364C">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石油烃</w:t>
                  </w:r>
                </w:p>
              </w:tc>
            </w:tr>
            <w:tr w14:paraId="7C20A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170EFE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21</w:t>
                  </w:r>
                </w:p>
              </w:tc>
              <w:tc>
                <w:tcPr>
                  <w:tcW w:w="816" w:type="pct"/>
                  <w:vAlign w:val="center"/>
                </w:tcPr>
                <w:p w14:paraId="3558103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22" w:type="pct"/>
                  <w:vAlign w:val="center"/>
                </w:tcPr>
                <w:p w14:paraId="0E73CB1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0B428CB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sz w:val="24"/>
                    </w:rPr>
                    <w:t>*</w:t>
                  </w:r>
                  <w:r>
                    <w:rPr>
                      <w:sz w:val="24"/>
                    </w:rPr>
                    <w:t>**</w:t>
                  </w:r>
                </w:p>
              </w:tc>
              <w:tc>
                <w:tcPr>
                  <w:tcW w:w="442" w:type="pct"/>
                  <w:vAlign w:val="center"/>
                </w:tcPr>
                <w:p w14:paraId="131D292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60C009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4240AD4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464579A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7258E0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569EBB6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2288506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6280A4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BA60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0B2CC62F">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4FBBAF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猛虾蛄</w:t>
                  </w:r>
                </w:p>
              </w:tc>
              <w:tc>
                <w:tcPr>
                  <w:tcW w:w="422" w:type="pct"/>
                  <w:vAlign w:val="center"/>
                </w:tcPr>
                <w:p w14:paraId="6E4A69B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37C6AC3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5BC94A8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543D6F7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53E91D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3124C86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6B28B4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13986B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597100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5F347C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C321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2B230944">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7A2739F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金乌贼</w:t>
                  </w:r>
                </w:p>
              </w:tc>
              <w:tc>
                <w:tcPr>
                  <w:tcW w:w="422" w:type="pct"/>
                  <w:vAlign w:val="center"/>
                </w:tcPr>
                <w:p w14:paraId="4DE77E6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416" w:type="pct"/>
                  <w:vAlign w:val="center"/>
                </w:tcPr>
                <w:p w14:paraId="44E97FA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4CD2E6A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51E7B5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4132080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376B3F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285F94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75DB0D6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6F9D047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75C185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209F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47C6981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22</w:t>
                  </w:r>
                </w:p>
              </w:tc>
              <w:tc>
                <w:tcPr>
                  <w:tcW w:w="816" w:type="pct"/>
                  <w:vAlign w:val="center"/>
                </w:tcPr>
                <w:p w14:paraId="28C48F8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斑鰶</w:t>
                  </w:r>
                </w:p>
              </w:tc>
              <w:tc>
                <w:tcPr>
                  <w:tcW w:w="422" w:type="pct"/>
                  <w:vAlign w:val="center"/>
                </w:tcPr>
                <w:p w14:paraId="17C40A1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56C3BD1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2E3AFA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27AA8D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550CBDC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64D8D8D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6E03019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046045F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7C68B5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57F58C0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675C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54071878">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2F428A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422" w:type="pct"/>
                  <w:vAlign w:val="center"/>
                </w:tcPr>
                <w:p w14:paraId="26C0096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3036A4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3B618A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2812481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6063B4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6C22BD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0BDB19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6F610B3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78F733B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3E87AF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3FCA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1F6906FD">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1B3DE8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远洋梭子蟹</w:t>
                  </w:r>
                </w:p>
              </w:tc>
              <w:tc>
                <w:tcPr>
                  <w:tcW w:w="422" w:type="pct"/>
                  <w:vAlign w:val="center"/>
                </w:tcPr>
                <w:p w14:paraId="311733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623079B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78BB5C0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46C5F82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33CE67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1054715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128C9D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377A66A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6DC05DB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07D93C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6FC6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7E85EC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23</w:t>
                  </w:r>
                </w:p>
              </w:tc>
              <w:tc>
                <w:tcPr>
                  <w:tcW w:w="816" w:type="pct"/>
                  <w:vAlign w:val="center"/>
                </w:tcPr>
                <w:p w14:paraId="72C0CBB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黑棘鲷</w:t>
                  </w:r>
                </w:p>
              </w:tc>
              <w:tc>
                <w:tcPr>
                  <w:tcW w:w="422" w:type="pct"/>
                  <w:vAlign w:val="center"/>
                </w:tcPr>
                <w:p w14:paraId="6953EC9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53A8573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7C26A43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71766D2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6747552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369A921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62E406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60EB7C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451DE83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276208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D4F4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4B6E0196">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563FBF9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22" w:type="pct"/>
                  <w:vAlign w:val="center"/>
                </w:tcPr>
                <w:p w14:paraId="66A502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637020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5FA8A0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632D203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553934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0EB006E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12054B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7038907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450B25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57AAC4D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3D1D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766CFEF8">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4E7E5E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猛虾蛄</w:t>
                  </w:r>
                </w:p>
              </w:tc>
              <w:tc>
                <w:tcPr>
                  <w:tcW w:w="422" w:type="pct"/>
                  <w:vAlign w:val="center"/>
                </w:tcPr>
                <w:p w14:paraId="610363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5A13A03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3DF72D6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4E96DD0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0CAA505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7CD95B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39931AB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5B7491C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220A75F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065B337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D889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55175B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25</w:t>
                  </w:r>
                </w:p>
              </w:tc>
              <w:tc>
                <w:tcPr>
                  <w:tcW w:w="816" w:type="pct"/>
                  <w:vAlign w:val="center"/>
                </w:tcPr>
                <w:p w14:paraId="7C307B1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22" w:type="pct"/>
                  <w:vAlign w:val="center"/>
                </w:tcPr>
                <w:p w14:paraId="6AEEB8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6331D1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0940CC3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15E62F9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3ABCB21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7409B8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33F73E7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2F2552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45E258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175F49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A0E9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3C84DB01">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4FD296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黑斑口虾蛄</w:t>
                  </w:r>
                </w:p>
              </w:tc>
              <w:tc>
                <w:tcPr>
                  <w:tcW w:w="422" w:type="pct"/>
                  <w:vAlign w:val="center"/>
                </w:tcPr>
                <w:p w14:paraId="5CD223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04B404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09272A1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3E85B2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2A2680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222192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7CF970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086463B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0E52D0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1A14C67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7FD3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0DBDCC70">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4558A5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金乌贼</w:t>
                  </w:r>
                </w:p>
              </w:tc>
              <w:tc>
                <w:tcPr>
                  <w:tcW w:w="422" w:type="pct"/>
                  <w:vAlign w:val="center"/>
                </w:tcPr>
                <w:p w14:paraId="74CC3E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416" w:type="pct"/>
                  <w:vAlign w:val="center"/>
                </w:tcPr>
                <w:p w14:paraId="5A79D49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0EDE283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7BB85F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6B40154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147E6F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519438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3E4D6F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3BCB9F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0DA397A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5048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2840A00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26</w:t>
                  </w:r>
                </w:p>
              </w:tc>
              <w:tc>
                <w:tcPr>
                  <w:tcW w:w="816" w:type="pct"/>
                  <w:vAlign w:val="center"/>
                </w:tcPr>
                <w:p w14:paraId="524818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22" w:type="pct"/>
                  <w:vAlign w:val="center"/>
                </w:tcPr>
                <w:p w14:paraId="32ECCF7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41DFAA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3CACFD6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5381E77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399A20B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68E5ED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57E11C8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72104A5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76001F7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7DC4768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F385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4A2115A5">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724836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黑棘鲷</w:t>
                  </w:r>
                </w:p>
              </w:tc>
              <w:tc>
                <w:tcPr>
                  <w:tcW w:w="422" w:type="pct"/>
                  <w:vAlign w:val="center"/>
                </w:tcPr>
                <w:p w14:paraId="57572BB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4635EBD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1DA6874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18A1852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077D8C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768B619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5C2C421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28F02A9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209FED6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32645C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12A1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40C623BA">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0C557BB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422" w:type="pct"/>
                  <w:vAlign w:val="center"/>
                </w:tcPr>
                <w:p w14:paraId="46784A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416" w:type="pct"/>
                  <w:vAlign w:val="center"/>
                </w:tcPr>
                <w:p w14:paraId="0FC6C9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5838C4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14CE5C2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4BB1991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774AA9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0661CC6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70EB9A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19800B9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6049FAD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D5F8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165C9F2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27</w:t>
                  </w:r>
                </w:p>
              </w:tc>
              <w:tc>
                <w:tcPr>
                  <w:tcW w:w="816" w:type="pct"/>
                  <w:vAlign w:val="center"/>
                </w:tcPr>
                <w:p w14:paraId="7A51C9A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22" w:type="pct"/>
                  <w:vAlign w:val="center"/>
                </w:tcPr>
                <w:p w14:paraId="2EB1A72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7066E99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371B74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335C08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6CBE18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53C91F5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65C474D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3CC26D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09FB90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12D0BF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0021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0580A4AF">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333A8A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22" w:type="pct"/>
                  <w:vAlign w:val="center"/>
                </w:tcPr>
                <w:p w14:paraId="67F1105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260C12A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3834439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4812F20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19DB79B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13D846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6B24F05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032462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25F37ED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095654D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6BB8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7A2CC3E9">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2264C1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门司赤虾</w:t>
                  </w:r>
                </w:p>
              </w:tc>
              <w:tc>
                <w:tcPr>
                  <w:tcW w:w="422" w:type="pct"/>
                  <w:vAlign w:val="center"/>
                </w:tcPr>
                <w:p w14:paraId="0E6A93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29B44B1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04B2106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3E2CA8E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525832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1C9F0C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1C9FDE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3C2B39F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615AD2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745407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79DA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72AD217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31</w:t>
                  </w:r>
                </w:p>
              </w:tc>
              <w:tc>
                <w:tcPr>
                  <w:tcW w:w="816" w:type="pct"/>
                  <w:vAlign w:val="center"/>
                </w:tcPr>
                <w:p w14:paraId="76E8E5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22" w:type="pct"/>
                  <w:vAlign w:val="center"/>
                </w:tcPr>
                <w:p w14:paraId="5FAB379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467FBD5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2D90BD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24C1D49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3B05E5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6C39734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7308B4F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3012AAD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572FD3F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60E4765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00E8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35DE3AAD">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297DE0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黑斑口虾蛄</w:t>
                  </w:r>
                </w:p>
              </w:tc>
              <w:tc>
                <w:tcPr>
                  <w:tcW w:w="422" w:type="pct"/>
                  <w:vAlign w:val="center"/>
                </w:tcPr>
                <w:p w14:paraId="5D251BA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73A24B4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342DCCF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5C1BE23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34C309D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395D421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49BE378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21657D4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4D83E5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5819C7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EA9F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77C67AF0">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146734B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金乌贼</w:t>
                  </w:r>
                </w:p>
              </w:tc>
              <w:tc>
                <w:tcPr>
                  <w:tcW w:w="422" w:type="pct"/>
                  <w:vAlign w:val="center"/>
                </w:tcPr>
                <w:p w14:paraId="565DF6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416" w:type="pct"/>
                  <w:vAlign w:val="center"/>
                </w:tcPr>
                <w:p w14:paraId="6DD0B66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7AF3BC7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739293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593BEBB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6ACED5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1BD2F9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07CBCA8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3024679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7FA602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E330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79A4AF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35</w:t>
                  </w:r>
                </w:p>
              </w:tc>
              <w:tc>
                <w:tcPr>
                  <w:tcW w:w="816" w:type="pct"/>
                  <w:vAlign w:val="center"/>
                </w:tcPr>
                <w:p w14:paraId="3DF900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22" w:type="pct"/>
                  <w:vAlign w:val="center"/>
                </w:tcPr>
                <w:p w14:paraId="1484A0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3F0114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278695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7115770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5F840A4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678C262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06A1965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00125D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5BAB304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51672C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C14B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075804C0">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56BAEE6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猛虾蛄</w:t>
                  </w:r>
                </w:p>
              </w:tc>
              <w:tc>
                <w:tcPr>
                  <w:tcW w:w="422" w:type="pct"/>
                  <w:vAlign w:val="center"/>
                </w:tcPr>
                <w:p w14:paraId="5C5999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74693FA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04BC30F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42AFC6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6C705A3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2D4155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3E7558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36BE228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373FCB7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256E85E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F235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61C430A2">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3E8A974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422" w:type="pct"/>
                  <w:vAlign w:val="center"/>
                </w:tcPr>
                <w:p w14:paraId="65DA9C9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0EB63B3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000AE8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3D95AE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325AE4A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640214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3EE3449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2FCC620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4EDA61D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2AE85C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9426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7979FFA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36</w:t>
                  </w:r>
                </w:p>
              </w:tc>
              <w:tc>
                <w:tcPr>
                  <w:tcW w:w="816" w:type="pct"/>
                  <w:vAlign w:val="center"/>
                </w:tcPr>
                <w:p w14:paraId="5850FA0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皮氏叫姑鱼</w:t>
                  </w:r>
                </w:p>
              </w:tc>
              <w:tc>
                <w:tcPr>
                  <w:tcW w:w="422" w:type="pct"/>
                  <w:vAlign w:val="center"/>
                </w:tcPr>
                <w:p w14:paraId="3594313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1130C29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16A5791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652237B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6CC0970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336F248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49D8935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1498B9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4220E28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02A0434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EC29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63B71CFA">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02DF890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422" w:type="pct"/>
                  <w:vAlign w:val="center"/>
                </w:tcPr>
                <w:p w14:paraId="54987BB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78CF72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49697B5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6EAE5B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3206957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41A08C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4740089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7E96EF6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7F6B657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5620434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A932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79FF4EDC">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528147F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远洋梭子蟹</w:t>
                  </w:r>
                </w:p>
              </w:tc>
              <w:tc>
                <w:tcPr>
                  <w:tcW w:w="422" w:type="pct"/>
                  <w:vAlign w:val="center"/>
                </w:tcPr>
                <w:p w14:paraId="44B33D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2B5D78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3BF17B7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3A1B4A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441031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3C4E5F9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25B6D27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71B5F80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6CF9E11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493E00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6991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2AE212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38</w:t>
                  </w:r>
                </w:p>
              </w:tc>
              <w:tc>
                <w:tcPr>
                  <w:tcW w:w="816" w:type="pct"/>
                  <w:vAlign w:val="center"/>
                </w:tcPr>
                <w:p w14:paraId="3DF9DF6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条马鲾</w:t>
                  </w:r>
                </w:p>
              </w:tc>
              <w:tc>
                <w:tcPr>
                  <w:tcW w:w="422" w:type="pct"/>
                  <w:vAlign w:val="center"/>
                </w:tcPr>
                <w:p w14:paraId="35FB70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0A0BED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06A24D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1B9025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03F643D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19956DE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14A5950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2F53E9A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413805B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1D3FE0A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7A5C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29C27213">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239F0C2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422" w:type="pct"/>
                  <w:vAlign w:val="center"/>
                </w:tcPr>
                <w:p w14:paraId="27A3334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3AF2FA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1675FE8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47B14B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77A156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038354A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6053E2F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0D37C69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2FCAA86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0CAA986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120A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7D04A36D">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35FE7DA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422" w:type="pct"/>
                  <w:vAlign w:val="center"/>
                </w:tcPr>
                <w:p w14:paraId="7F27C05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416" w:type="pct"/>
                  <w:vAlign w:val="center"/>
                </w:tcPr>
                <w:p w14:paraId="330AC4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3F2C448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204E1C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6FB0E70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709CFBF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517B4A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01F5A33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47823A6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6A079D0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C9E9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1D2A91F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39</w:t>
                  </w:r>
                </w:p>
              </w:tc>
              <w:tc>
                <w:tcPr>
                  <w:tcW w:w="816" w:type="pct"/>
                  <w:vAlign w:val="center"/>
                </w:tcPr>
                <w:p w14:paraId="052FA25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多鳞鱚</w:t>
                  </w:r>
                </w:p>
              </w:tc>
              <w:tc>
                <w:tcPr>
                  <w:tcW w:w="422" w:type="pct"/>
                  <w:vAlign w:val="center"/>
                </w:tcPr>
                <w:p w14:paraId="0F7431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77A7A73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75C7D5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0E5989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1C0B1AA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7109A4E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1A07E28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3B8AEA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5B4D623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42BD20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0DE5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1A3A686F">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4DC53C3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黑斑口虾蛄</w:t>
                  </w:r>
                </w:p>
              </w:tc>
              <w:tc>
                <w:tcPr>
                  <w:tcW w:w="422" w:type="pct"/>
                  <w:vAlign w:val="center"/>
                </w:tcPr>
                <w:p w14:paraId="22A41EA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0D383B7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414D2A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4874AD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3F3F33C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76B33FF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55AA210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7AC0EC6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563AA28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227A175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D11E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2E135347">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366EA3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422" w:type="pct"/>
                  <w:vAlign w:val="center"/>
                </w:tcPr>
                <w:p w14:paraId="4D838E7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416" w:type="pct"/>
                  <w:vAlign w:val="center"/>
                </w:tcPr>
                <w:p w14:paraId="4AFD35B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6F024FB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46B9466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4CCF6B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4C5779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52E68A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7169875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7879ECA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787860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E5EC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restart"/>
                  <w:vAlign w:val="center"/>
                </w:tcPr>
                <w:p w14:paraId="71EFB8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40</w:t>
                  </w:r>
                </w:p>
              </w:tc>
              <w:tc>
                <w:tcPr>
                  <w:tcW w:w="816" w:type="pct"/>
                  <w:vAlign w:val="center"/>
                </w:tcPr>
                <w:p w14:paraId="149140E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422" w:type="pct"/>
                  <w:vAlign w:val="center"/>
                </w:tcPr>
                <w:p w14:paraId="2372B86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416" w:type="pct"/>
                  <w:vAlign w:val="center"/>
                </w:tcPr>
                <w:p w14:paraId="031917E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74B662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13F9AF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6CC95F9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046632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5FB0F2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224B52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3EABC7D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5F1F49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08DB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2549B145">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17226D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422" w:type="pct"/>
                  <w:vAlign w:val="center"/>
                </w:tcPr>
                <w:p w14:paraId="1EC6DBA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416" w:type="pct"/>
                  <w:vAlign w:val="center"/>
                </w:tcPr>
                <w:p w14:paraId="4DE5DC4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064164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15AAAD3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4FC2DF8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0207319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690724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52106C3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5B14546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35F76F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A0FC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280" w:type="pct"/>
                  <w:vMerge w:val="continue"/>
                  <w:vAlign w:val="center"/>
                </w:tcPr>
                <w:p w14:paraId="07877054">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816" w:type="pct"/>
                  <w:vAlign w:val="center"/>
                </w:tcPr>
                <w:p w14:paraId="71ECF61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422" w:type="pct"/>
                  <w:vAlign w:val="center"/>
                </w:tcPr>
                <w:p w14:paraId="2AA9DDA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416" w:type="pct"/>
                  <w:vAlign w:val="center"/>
                </w:tcPr>
                <w:p w14:paraId="51A9D92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7BFC02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0E02ADA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17CCF68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2D1958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4069E0F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38E7703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21C7DE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0BA3E83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05DE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1518" w:type="pct"/>
                  <w:gridSpan w:val="3"/>
                  <w:vAlign w:val="center"/>
                </w:tcPr>
                <w:p w14:paraId="39D25A7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最小值</w:t>
                  </w:r>
                </w:p>
              </w:tc>
              <w:tc>
                <w:tcPr>
                  <w:tcW w:w="416" w:type="pct"/>
                  <w:vAlign w:val="center"/>
                </w:tcPr>
                <w:p w14:paraId="55E5CE9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6C3444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2C26CA2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6726397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4077A1B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48848DC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203FD50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4BDC16D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5564A0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1D3C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1518" w:type="pct"/>
                  <w:gridSpan w:val="3"/>
                  <w:vAlign w:val="center"/>
                </w:tcPr>
                <w:p w14:paraId="7DDA2D1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最大值</w:t>
                  </w:r>
                </w:p>
              </w:tc>
              <w:tc>
                <w:tcPr>
                  <w:tcW w:w="416" w:type="pct"/>
                  <w:vAlign w:val="center"/>
                </w:tcPr>
                <w:p w14:paraId="3601DC9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0078A77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2FBC1C9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5EA1FA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070707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33C1DE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2F929D3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26A717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7334209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356F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61" w:hRule="atLeast"/>
                <w:jc w:val="center"/>
              </w:trPr>
              <w:tc>
                <w:tcPr>
                  <w:tcW w:w="1518" w:type="pct"/>
                  <w:gridSpan w:val="3"/>
                  <w:vAlign w:val="center"/>
                </w:tcPr>
                <w:p w14:paraId="25985A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平均值</w:t>
                  </w:r>
                </w:p>
              </w:tc>
              <w:tc>
                <w:tcPr>
                  <w:tcW w:w="416" w:type="pct"/>
                  <w:vAlign w:val="center"/>
                </w:tcPr>
                <w:p w14:paraId="60DE54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42" w:type="pct"/>
                  <w:vAlign w:val="center"/>
                </w:tcPr>
                <w:p w14:paraId="4C5CFA7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07" w:type="pct"/>
                  <w:vAlign w:val="center"/>
                </w:tcPr>
                <w:p w14:paraId="260239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2" w:type="pct"/>
                  <w:vAlign w:val="center"/>
                </w:tcPr>
                <w:p w14:paraId="3E58037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6" w:type="pct"/>
                  <w:vAlign w:val="center"/>
                </w:tcPr>
                <w:p w14:paraId="51897B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61" w:type="pct"/>
                  <w:vAlign w:val="center"/>
                </w:tcPr>
                <w:p w14:paraId="224E932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355" w:type="pct"/>
                  <w:vAlign w:val="center"/>
                </w:tcPr>
                <w:p w14:paraId="3B6FF60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7" w:type="pct"/>
                  <w:vAlign w:val="center"/>
                </w:tcPr>
                <w:p w14:paraId="513DCF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15" w:type="pct"/>
                  <w:vAlign w:val="center"/>
                </w:tcPr>
                <w:p w14:paraId="4B597E8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bl>
          <w:p w14:paraId="15D66F63">
            <w:pPr>
              <w:keepNext w:val="0"/>
              <w:keepLines w:val="0"/>
              <w:suppressLineNumbers w:val="0"/>
              <w:spacing w:before="0" w:beforeAutospacing="0" w:after="0" w:afterAutospacing="0"/>
              <w:ind w:left="0" w:right="0" w:firstLine="420" w:firstLineChars="200"/>
              <w:rPr>
                <w:rFonts w:hint="eastAsia"/>
                <w:bCs/>
                <w:color w:val="000000" w:themeColor="text1"/>
                <w14:textFill>
                  <w14:solidFill>
                    <w14:schemeClr w14:val="tx1"/>
                  </w14:solidFill>
                </w14:textFill>
              </w:rPr>
            </w:pPr>
          </w:p>
          <w:p w14:paraId="5E7BE0A3">
            <w:pPr>
              <w:pStyle w:val="5"/>
              <w:keepNext w:val="0"/>
              <w:keepLines w:val="0"/>
              <w:pageBreakBefore w:val="0"/>
              <w:widowControl w:val="0"/>
              <w:numPr>
                <w:ilvl w:val="3"/>
                <w:numId w:val="0"/>
              </w:numPr>
              <w:suppressLineNumbers w:val="0"/>
              <w:kinsoku/>
              <w:wordWrap/>
              <w:overflowPunct/>
              <w:topLinePunct w:val="0"/>
              <w:autoSpaceDE/>
              <w:autoSpaceDN/>
              <w:bidi w:val="0"/>
              <w:adjustRightInd/>
              <w:spacing w:before="0" w:beforeAutospacing="0" w:after="0" w:afterAutospacing="0" w:line="360" w:lineRule="auto"/>
              <w:ind w:left="0" w:leftChars="0" w:right="0" w:firstLine="480" w:firstLineChars="200"/>
              <w:textAlignment w:val="auto"/>
              <w:rPr>
                <w:rFonts w:hint="eastAsia"/>
                <w:color w:val="000000" w:themeColor="text1"/>
                <w:kern w:val="13"/>
                <w:sz w:val="24"/>
                <w:szCs w:val="24"/>
                <w14:textFill>
                  <w14:solidFill>
                    <w14:schemeClr w14:val="tx1"/>
                  </w14:solidFill>
                </w14:textFill>
              </w:rPr>
            </w:pPr>
            <w:r>
              <w:rPr>
                <w:rFonts w:hint="eastAsia" w:cs="Times New Roman"/>
                <w:color w:val="000000" w:themeColor="text1"/>
                <w:kern w:val="13"/>
                <w:sz w:val="24"/>
                <w:szCs w:val="24"/>
                <w:lang w:val="en-US" w:eastAsia="zh-CN" w:bidi="ar-SA"/>
                <w14:textFill>
                  <w14:solidFill>
                    <w14:schemeClr w14:val="tx1"/>
                  </w14:solidFill>
                </w14:textFill>
              </w:rPr>
              <w:t>（4）</w:t>
            </w:r>
            <w:r>
              <w:rPr>
                <w:rFonts w:hint="eastAsia"/>
                <w:color w:val="000000" w:themeColor="text1"/>
                <w:kern w:val="13"/>
                <w:sz w:val="24"/>
                <w:szCs w:val="24"/>
                <w14:textFill>
                  <w14:solidFill>
                    <w14:schemeClr w14:val="tx1"/>
                  </w14:solidFill>
                </w14:textFill>
              </w:rPr>
              <w:t>生物体质量评价</w:t>
            </w:r>
          </w:p>
          <w:p w14:paraId="5165A5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春季调查：生物体质量指数采用湿重结果进行评价，总铬、砷无质量标准，均不参与评价。从生物体质量检测结果及其对应质量指数评价</w:t>
            </w:r>
            <w:r>
              <w:rPr>
                <w:rFonts w:hint="eastAsia"/>
                <w:color w:val="000000" w:themeColor="text1"/>
                <w:sz w:val="24"/>
                <w:szCs w:val="24"/>
                <w:lang w:eastAsia="zh-CN"/>
                <w14:textFill>
                  <w14:solidFill>
                    <w14:schemeClr w14:val="tx1"/>
                  </w14:solidFill>
                </w14:textFill>
              </w:rPr>
              <w:t>（下</w:t>
            </w:r>
            <w:r>
              <w:rPr>
                <w:rFonts w:hint="eastAsia"/>
                <w:color w:val="000000" w:themeColor="text1"/>
                <w:sz w:val="24"/>
                <w:szCs w:val="24"/>
                <w14:textFill>
                  <w14:solidFill>
                    <w14:schemeClr w14:val="tx1"/>
                  </w14:solidFill>
                </w14:textFill>
              </w:rPr>
              <w:t>表</w:t>
            </w:r>
            <w:r>
              <w:rPr>
                <w:rFonts w:hint="eastAsia"/>
                <w:color w:val="000000" w:themeColor="text1"/>
                <w:sz w:val="24"/>
                <w:szCs w:val="24"/>
                <w:lang w:val="en-US" w:eastAsia="zh-CN"/>
                <w14:textFill>
                  <w14:solidFill>
                    <w14:schemeClr w14:val="tx1"/>
                  </w14:solidFill>
                </w14:textFill>
              </w:rPr>
              <w:t>3.5-31</w:t>
            </w:r>
            <w:r>
              <w:rPr>
                <w:rFonts w:hint="eastAsia"/>
                <w:color w:val="000000" w:themeColor="text1"/>
                <w:sz w:val="24"/>
                <w:szCs w:val="24"/>
                <w14:textFill>
                  <w14:solidFill>
                    <w14:schemeClr w14:val="tx1"/>
                  </w14:solidFill>
                </w14:textFill>
              </w:rPr>
              <w:t>）可以看出，该调查海域鱼类、甲壳类和软体类生物体中总汞、铜、铅、锌、镉、石油烃等指标测值含量均符合《全国海岸带和海涂资源综合调查简明规程》中规定的生物质量标准，未出现超标现象。</w:t>
            </w:r>
          </w:p>
          <w:p w14:paraId="438A38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color w:val="000000" w:themeColor="text1"/>
                <w:sz w:val="24"/>
                <w:szCs w:val="24"/>
                <w14:textFill>
                  <w14:solidFill>
                    <w14:schemeClr w14:val="tx1"/>
                  </w14:solidFill>
                </w14:textFill>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3.5-31</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 xml:space="preserve"> </w:t>
            </w:r>
            <w:r>
              <w:rPr>
                <w:rFonts w:hint="eastAsia" w:ascii="Times New Roman" w:hAnsi="Times New Roman" w:cs="Times New Roman"/>
                <w:b/>
                <w:bCs/>
                <w:color w:val="auto"/>
                <w:kern w:val="0"/>
                <w:sz w:val="21"/>
                <w:szCs w:val="21"/>
                <w:lang w:val="zh-CN" w:eastAsia="zh-CN"/>
              </w:rPr>
              <w:t>海洋生物体质量标准指数（贝类按一类生物质量标准评价）</w:t>
            </w:r>
          </w:p>
          <w:tbl>
            <w:tblPr>
              <w:tblStyle w:val="28"/>
              <w:tblW w:w="5000" w:type="pct"/>
              <w:jc w:val="center"/>
              <w:tblLayout w:type="fixed"/>
              <w:tblCellMar>
                <w:top w:w="15" w:type="dxa"/>
                <w:left w:w="15" w:type="dxa"/>
                <w:bottom w:w="15" w:type="dxa"/>
                <w:right w:w="15" w:type="dxa"/>
              </w:tblCellMar>
            </w:tblPr>
            <w:tblGrid>
              <w:gridCol w:w="756"/>
              <w:gridCol w:w="1620"/>
              <w:gridCol w:w="1034"/>
              <w:gridCol w:w="883"/>
              <w:gridCol w:w="885"/>
              <w:gridCol w:w="881"/>
              <w:gridCol w:w="885"/>
              <w:gridCol w:w="845"/>
              <w:gridCol w:w="885"/>
            </w:tblGrid>
            <w:tr w14:paraId="07D9B72D">
              <w:tblPrEx>
                <w:tblCellMar>
                  <w:top w:w="15" w:type="dxa"/>
                  <w:left w:w="15" w:type="dxa"/>
                  <w:bottom w:w="15" w:type="dxa"/>
                  <w:right w:w="15" w:type="dxa"/>
                </w:tblCellMar>
              </w:tblPrEx>
              <w:trPr>
                <w:trHeight w:val="261" w:hRule="atLeast"/>
                <w:tblHeader/>
                <w:jc w:val="center"/>
              </w:trPr>
              <w:tc>
                <w:tcPr>
                  <w:tcW w:w="436" w:type="pct"/>
                  <w:tcBorders>
                    <w:top w:val="single" w:color="000000" w:sz="4" w:space="0"/>
                    <w:left w:val="single" w:color="000000" w:sz="4" w:space="0"/>
                    <w:bottom w:val="single" w:color="000000" w:sz="4" w:space="0"/>
                    <w:right w:val="single" w:color="000000" w:sz="4" w:space="0"/>
                  </w:tcBorders>
                  <w:vAlign w:val="center"/>
                </w:tcPr>
                <w:p w14:paraId="28A55D2A">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站位</w:t>
                  </w:r>
                </w:p>
              </w:tc>
              <w:tc>
                <w:tcPr>
                  <w:tcW w:w="934" w:type="pct"/>
                  <w:tcBorders>
                    <w:top w:val="single" w:color="000000" w:sz="4" w:space="0"/>
                    <w:left w:val="single" w:color="000000" w:sz="4" w:space="0"/>
                    <w:bottom w:val="single" w:color="000000" w:sz="4" w:space="0"/>
                    <w:right w:val="single" w:color="000000" w:sz="4" w:space="0"/>
                  </w:tcBorders>
                  <w:vAlign w:val="center"/>
                </w:tcPr>
                <w:p w14:paraId="6AF3DA9D">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样品名称</w:t>
                  </w:r>
                </w:p>
              </w:tc>
              <w:tc>
                <w:tcPr>
                  <w:tcW w:w="596" w:type="pct"/>
                  <w:tcBorders>
                    <w:top w:val="single" w:color="000000" w:sz="4" w:space="0"/>
                    <w:left w:val="single" w:color="000000" w:sz="4" w:space="0"/>
                    <w:bottom w:val="single" w:color="000000" w:sz="4" w:space="0"/>
                    <w:right w:val="single" w:color="000000" w:sz="4" w:space="0"/>
                  </w:tcBorders>
                  <w:vAlign w:val="center"/>
                </w:tcPr>
                <w:p w14:paraId="2816A861">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类别</w:t>
                  </w:r>
                </w:p>
              </w:tc>
              <w:tc>
                <w:tcPr>
                  <w:tcW w:w="509" w:type="pct"/>
                  <w:tcBorders>
                    <w:top w:val="single" w:color="000000" w:sz="4" w:space="0"/>
                    <w:left w:val="single" w:color="000000" w:sz="4" w:space="0"/>
                    <w:bottom w:val="single" w:color="000000" w:sz="4" w:space="0"/>
                    <w:right w:val="single" w:color="000000" w:sz="4" w:space="0"/>
                  </w:tcBorders>
                  <w:vAlign w:val="center"/>
                </w:tcPr>
                <w:p w14:paraId="08466815">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Hg</w:t>
                  </w:r>
                </w:p>
              </w:tc>
              <w:tc>
                <w:tcPr>
                  <w:tcW w:w="510" w:type="pct"/>
                  <w:tcBorders>
                    <w:top w:val="single" w:color="000000" w:sz="4" w:space="0"/>
                    <w:left w:val="single" w:color="000000" w:sz="4" w:space="0"/>
                    <w:bottom w:val="single" w:color="000000" w:sz="4" w:space="0"/>
                    <w:right w:val="single" w:color="000000" w:sz="4" w:space="0"/>
                  </w:tcBorders>
                  <w:vAlign w:val="center"/>
                </w:tcPr>
                <w:p w14:paraId="1013B51D">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Cu</w:t>
                  </w:r>
                </w:p>
              </w:tc>
              <w:tc>
                <w:tcPr>
                  <w:tcW w:w="508" w:type="pct"/>
                  <w:tcBorders>
                    <w:top w:val="single" w:color="000000" w:sz="4" w:space="0"/>
                    <w:left w:val="single" w:color="000000" w:sz="4" w:space="0"/>
                    <w:bottom w:val="single" w:color="000000" w:sz="4" w:space="0"/>
                    <w:right w:val="single" w:color="000000" w:sz="4" w:space="0"/>
                  </w:tcBorders>
                  <w:vAlign w:val="center"/>
                </w:tcPr>
                <w:p w14:paraId="5F17D7F3">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Pb</w:t>
                  </w:r>
                </w:p>
              </w:tc>
              <w:tc>
                <w:tcPr>
                  <w:tcW w:w="510" w:type="pct"/>
                  <w:tcBorders>
                    <w:top w:val="single" w:color="000000" w:sz="4" w:space="0"/>
                    <w:left w:val="single" w:color="000000" w:sz="4" w:space="0"/>
                    <w:bottom w:val="single" w:color="000000" w:sz="4" w:space="0"/>
                    <w:right w:val="single" w:color="000000" w:sz="4" w:space="0"/>
                  </w:tcBorders>
                  <w:vAlign w:val="center"/>
                </w:tcPr>
                <w:p w14:paraId="30C46AE2">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bidi="ar"/>
                      <w14:textFill>
                        <w14:solidFill>
                          <w14:schemeClr w14:val="tx1"/>
                        </w14:solidFill>
                      </w14:textFill>
                    </w:rPr>
                    <w:t>Cd</w:t>
                  </w:r>
                </w:p>
              </w:tc>
              <w:tc>
                <w:tcPr>
                  <w:tcW w:w="487" w:type="pct"/>
                  <w:tcBorders>
                    <w:top w:val="single" w:color="000000" w:sz="4" w:space="0"/>
                    <w:left w:val="single" w:color="000000" w:sz="4" w:space="0"/>
                    <w:bottom w:val="single" w:color="000000" w:sz="4" w:space="0"/>
                    <w:right w:val="single" w:color="000000" w:sz="4" w:space="0"/>
                  </w:tcBorders>
                  <w:vAlign w:val="center"/>
                </w:tcPr>
                <w:p w14:paraId="7A451F43">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Zn</w:t>
                  </w:r>
                </w:p>
              </w:tc>
              <w:tc>
                <w:tcPr>
                  <w:tcW w:w="510" w:type="pct"/>
                  <w:tcBorders>
                    <w:top w:val="single" w:color="000000" w:sz="4" w:space="0"/>
                    <w:left w:val="single" w:color="000000" w:sz="4" w:space="0"/>
                    <w:bottom w:val="single" w:color="000000" w:sz="4" w:space="0"/>
                    <w:right w:val="single" w:color="000000" w:sz="4" w:space="0"/>
                  </w:tcBorders>
                  <w:vAlign w:val="center"/>
                </w:tcPr>
                <w:p w14:paraId="48CD5243">
                  <w:pPr>
                    <w:keepNext w:val="0"/>
                    <w:keepLines w:val="0"/>
                    <w:suppressLineNumbers w:val="0"/>
                    <w:spacing w:before="0" w:beforeAutospacing="0" w:after="0" w:afterAutospacing="0" w:line="0" w:lineRule="atLeast"/>
                    <w:ind w:left="0" w:right="0"/>
                    <w:jc w:val="center"/>
                    <w:textAlignment w:val="center"/>
                    <w:rPr>
                      <w:rFonts w:hint="eastAsia"/>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石油烃</w:t>
                  </w:r>
                </w:p>
              </w:tc>
            </w:tr>
            <w:tr w14:paraId="65EF6EA4">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4654DCD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21</w:t>
                  </w:r>
                </w:p>
              </w:tc>
              <w:tc>
                <w:tcPr>
                  <w:tcW w:w="934" w:type="pct"/>
                  <w:tcBorders>
                    <w:top w:val="single" w:color="000000" w:sz="4" w:space="0"/>
                    <w:left w:val="single" w:color="000000" w:sz="4" w:space="0"/>
                    <w:bottom w:val="single" w:color="000000" w:sz="4" w:space="0"/>
                    <w:right w:val="single" w:color="000000" w:sz="4" w:space="0"/>
                  </w:tcBorders>
                  <w:vAlign w:val="center"/>
                </w:tcPr>
                <w:p w14:paraId="40A9E7D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596" w:type="pct"/>
                  <w:tcBorders>
                    <w:top w:val="single" w:color="000000" w:sz="4" w:space="0"/>
                    <w:left w:val="single" w:color="000000" w:sz="4" w:space="0"/>
                    <w:bottom w:val="single" w:color="000000" w:sz="4" w:space="0"/>
                    <w:right w:val="single" w:color="000000" w:sz="4" w:space="0"/>
                  </w:tcBorders>
                  <w:vAlign w:val="center"/>
                </w:tcPr>
                <w:p w14:paraId="51312AD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6644F88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sz w:val="24"/>
                    </w:rPr>
                    <w:t>*</w:t>
                  </w:r>
                  <w:r>
                    <w:rPr>
                      <w:sz w:val="24"/>
                    </w:rPr>
                    <w:t>**</w:t>
                  </w:r>
                </w:p>
              </w:tc>
              <w:tc>
                <w:tcPr>
                  <w:tcW w:w="510" w:type="pct"/>
                  <w:tcBorders>
                    <w:top w:val="single" w:color="000000" w:sz="4" w:space="0"/>
                    <w:left w:val="single" w:color="000000" w:sz="4" w:space="0"/>
                    <w:bottom w:val="single" w:color="000000" w:sz="4" w:space="0"/>
                    <w:right w:val="single" w:color="000000" w:sz="4" w:space="0"/>
                  </w:tcBorders>
                  <w:vAlign w:val="center"/>
                </w:tcPr>
                <w:p w14:paraId="7EFF5A5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253A7D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FE4B80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1474B6F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C9BF4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D90F93F">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2D747F71">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6949E12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猛虾蛄</w:t>
                  </w:r>
                </w:p>
              </w:tc>
              <w:tc>
                <w:tcPr>
                  <w:tcW w:w="596" w:type="pct"/>
                  <w:tcBorders>
                    <w:top w:val="single" w:color="000000" w:sz="4" w:space="0"/>
                    <w:left w:val="single" w:color="000000" w:sz="4" w:space="0"/>
                    <w:bottom w:val="single" w:color="000000" w:sz="4" w:space="0"/>
                    <w:right w:val="single" w:color="000000" w:sz="4" w:space="0"/>
                  </w:tcBorders>
                  <w:vAlign w:val="center"/>
                </w:tcPr>
                <w:p w14:paraId="52504D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6DCCF08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A342A0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6E3E522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7E2475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6ED7655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8569B4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2C5C3CC">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0DB6ADAC">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3431536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金乌贼</w:t>
                  </w:r>
                </w:p>
              </w:tc>
              <w:tc>
                <w:tcPr>
                  <w:tcW w:w="596" w:type="pct"/>
                  <w:tcBorders>
                    <w:top w:val="single" w:color="000000" w:sz="4" w:space="0"/>
                    <w:left w:val="single" w:color="000000" w:sz="4" w:space="0"/>
                    <w:bottom w:val="single" w:color="000000" w:sz="4" w:space="0"/>
                    <w:right w:val="single" w:color="000000" w:sz="4" w:space="0"/>
                  </w:tcBorders>
                  <w:vAlign w:val="center"/>
                </w:tcPr>
                <w:p w14:paraId="6359B8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509" w:type="pct"/>
                  <w:tcBorders>
                    <w:top w:val="single" w:color="000000" w:sz="4" w:space="0"/>
                    <w:left w:val="single" w:color="000000" w:sz="4" w:space="0"/>
                    <w:bottom w:val="single" w:color="000000" w:sz="4" w:space="0"/>
                    <w:right w:val="single" w:color="000000" w:sz="4" w:space="0"/>
                  </w:tcBorders>
                  <w:vAlign w:val="center"/>
                </w:tcPr>
                <w:p w14:paraId="03FEC95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07FEB9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267F0F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38BFC2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5C5683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DF3F3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C6AC437">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47F51BB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22</w:t>
                  </w:r>
                </w:p>
              </w:tc>
              <w:tc>
                <w:tcPr>
                  <w:tcW w:w="934" w:type="pct"/>
                  <w:tcBorders>
                    <w:top w:val="single" w:color="000000" w:sz="4" w:space="0"/>
                    <w:left w:val="single" w:color="000000" w:sz="4" w:space="0"/>
                    <w:bottom w:val="single" w:color="000000" w:sz="4" w:space="0"/>
                    <w:right w:val="single" w:color="000000" w:sz="4" w:space="0"/>
                  </w:tcBorders>
                  <w:vAlign w:val="center"/>
                </w:tcPr>
                <w:p w14:paraId="2133F9B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斑鰶</w:t>
                  </w:r>
                </w:p>
              </w:tc>
              <w:tc>
                <w:tcPr>
                  <w:tcW w:w="596" w:type="pct"/>
                  <w:tcBorders>
                    <w:top w:val="single" w:color="000000" w:sz="4" w:space="0"/>
                    <w:left w:val="single" w:color="000000" w:sz="4" w:space="0"/>
                    <w:bottom w:val="single" w:color="000000" w:sz="4" w:space="0"/>
                    <w:right w:val="single" w:color="000000" w:sz="4" w:space="0"/>
                  </w:tcBorders>
                  <w:vAlign w:val="center"/>
                </w:tcPr>
                <w:p w14:paraId="61FFC5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2C5A38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C26E6B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B6E70F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6F1B10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3121B4A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51B892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3BABBEC">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66F63A6F">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0F2CA6F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596" w:type="pct"/>
                  <w:tcBorders>
                    <w:top w:val="single" w:color="000000" w:sz="4" w:space="0"/>
                    <w:left w:val="single" w:color="000000" w:sz="4" w:space="0"/>
                    <w:bottom w:val="single" w:color="000000" w:sz="4" w:space="0"/>
                    <w:right w:val="single" w:color="000000" w:sz="4" w:space="0"/>
                  </w:tcBorders>
                  <w:vAlign w:val="center"/>
                </w:tcPr>
                <w:p w14:paraId="3F0E282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1D2617A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966858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4D1DBC2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8C6EB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52557D7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4BB626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DFC3EB6">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7DC8108B">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7F2F8D1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远洋梭子蟹</w:t>
                  </w:r>
                </w:p>
              </w:tc>
              <w:tc>
                <w:tcPr>
                  <w:tcW w:w="596" w:type="pct"/>
                  <w:tcBorders>
                    <w:top w:val="single" w:color="000000" w:sz="4" w:space="0"/>
                    <w:left w:val="single" w:color="000000" w:sz="4" w:space="0"/>
                    <w:bottom w:val="single" w:color="000000" w:sz="4" w:space="0"/>
                    <w:right w:val="single" w:color="000000" w:sz="4" w:space="0"/>
                  </w:tcBorders>
                  <w:vAlign w:val="center"/>
                </w:tcPr>
                <w:p w14:paraId="5E44C16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0EBDB8F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F6C7B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FBB327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B8CDF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1662F47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D4869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786366F">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20FE85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23</w:t>
                  </w:r>
                </w:p>
              </w:tc>
              <w:tc>
                <w:tcPr>
                  <w:tcW w:w="934" w:type="pct"/>
                  <w:tcBorders>
                    <w:top w:val="single" w:color="000000" w:sz="4" w:space="0"/>
                    <w:left w:val="single" w:color="000000" w:sz="4" w:space="0"/>
                    <w:bottom w:val="single" w:color="000000" w:sz="4" w:space="0"/>
                    <w:right w:val="single" w:color="000000" w:sz="4" w:space="0"/>
                  </w:tcBorders>
                  <w:vAlign w:val="center"/>
                </w:tcPr>
                <w:p w14:paraId="5F4C32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黑棘鲷</w:t>
                  </w:r>
                </w:p>
              </w:tc>
              <w:tc>
                <w:tcPr>
                  <w:tcW w:w="596" w:type="pct"/>
                  <w:tcBorders>
                    <w:top w:val="single" w:color="000000" w:sz="4" w:space="0"/>
                    <w:left w:val="single" w:color="000000" w:sz="4" w:space="0"/>
                    <w:bottom w:val="single" w:color="000000" w:sz="4" w:space="0"/>
                    <w:right w:val="single" w:color="000000" w:sz="4" w:space="0"/>
                  </w:tcBorders>
                  <w:vAlign w:val="center"/>
                </w:tcPr>
                <w:p w14:paraId="092962E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13C448F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C3091D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E57919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07A09F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04DDA2C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5BA4F6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2D63AA9">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12E30363">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2A05B63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596" w:type="pct"/>
                  <w:tcBorders>
                    <w:top w:val="single" w:color="000000" w:sz="4" w:space="0"/>
                    <w:left w:val="single" w:color="000000" w:sz="4" w:space="0"/>
                    <w:bottom w:val="single" w:color="000000" w:sz="4" w:space="0"/>
                    <w:right w:val="single" w:color="000000" w:sz="4" w:space="0"/>
                  </w:tcBorders>
                  <w:vAlign w:val="center"/>
                </w:tcPr>
                <w:p w14:paraId="382D5B1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3F0C50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683D0D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9EE925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07087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2806F03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D3AC64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8B8DA41">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2F953233">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09B388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猛虾蛄</w:t>
                  </w:r>
                </w:p>
              </w:tc>
              <w:tc>
                <w:tcPr>
                  <w:tcW w:w="596" w:type="pct"/>
                  <w:tcBorders>
                    <w:top w:val="single" w:color="000000" w:sz="4" w:space="0"/>
                    <w:left w:val="single" w:color="000000" w:sz="4" w:space="0"/>
                    <w:bottom w:val="single" w:color="000000" w:sz="4" w:space="0"/>
                    <w:right w:val="single" w:color="000000" w:sz="4" w:space="0"/>
                  </w:tcBorders>
                  <w:vAlign w:val="center"/>
                </w:tcPr>
                <w:p w14:paraId="479A86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0E13D47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9CBB0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063E15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6D85A3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050A58B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8F9F85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FE3A72C">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5699AF6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25</w:t>
                  </w:r>
                </w:p>
              </w:tc>
              <w:tc>
                <w:tcPr>
                  <w:tcW w:w="934" w:type="pct"/>
                  <w:tcBorders>
                    <w:top w:val="single" w:color="000000" w:sz="4" w:space="0"/>
                    <w:left w:val="single" w:color="000000" w:sz="4" w:space="0"/>
                    <w:bottom w:val="single" w:color="000000" w:sz="4" w:space="0"/>
                    <w:right w:val="single" w:color="000000" w:sz="4" w:space="0"/>
                  </w:tcBorders>
                  <w:vAlign w:val="center"/>
                </w:tcPr>
                <w:p w14:paraId="60E9E5D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596" w:type="pct"/>
                  <w:tcBorders>
                    <w:top w:val="single" w:color="000000" w:sz="4" w:space="0"/>
                    <w:left w:val="single" w:color="000000" w:sz="4" w:space="0"/>
                    <w:bottom w:val="single" w:color="000000" w:sz="4" w:space="0"/>
                    <w:right w:val="single" w:color="000000" w:sz="4" w:space="0"/>
                  </w:tcBorders>
                  <w:vAlign w:val="center"/>
                </w:tcPr>
                <w:p w14:paraId="08226B0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2B6FC44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9CAADF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6F81B1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D94BEF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2E6F2E8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A57A86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D3B9599">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2B91084B">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75F7FF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黑斑口虾蛄</w:t>
                  </w:r>
                </w:p>
              </w:tc>
              <w:tc>
                <w:tcPr>
                  <w:tcW w:w="596" w:type="pct"/>
                  <w:tcBorders>
                    <w:top w:val="single" w:color="000000" w:sz="4" w:space="0"/>
                    <w:left w:val="single" w:color="000000" w:sz="4" w:space="0"/>
                    <w:bottom w:val="single" w:color="000000" w:sz="4" w:space="0"/>
                    <w:right w:val="single" w:color="000000" w:sz="4" w:space="0"/>
                  </w:tcBorders>
                  <w:vAlign w:val="center"/>
                </w:tcPr>
                <w:p w14:paraId="461B9F8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2CC2CC3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82218B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5F1B65D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91FEEB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19166A2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BF33B6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AB6D308">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41E6CF9F">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4EB7D3B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金乌贼</w:t>
                  </w:r>
                </w:p>
              </w:tc>
              <w:tc>
                <w:tcPr>
                  <w:tcW w:w="596" w:type="pct"/>
                  <w:tcBorders>
                    <w:top w:val="single" w:color="000000" w:sz="4" w:space="0"/>
                    <w:left w:val="single" w:color="000000" w:sz="4" w:space="0"/>
                    <w:bottom w:val="single" w:color="000000" w:sz="4" w:space="0"/>
                    <w:right w:val="single" w:color="000000" w:sz="4" w:space="0"/>
                  </w:tcBorders>
                  <w:vAlign w:val="center"/>
                </w:tcPr>
                <w:p w14:paraId="7D41DBD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509" w:type="pct"/>
                  <w:tcBorders>
                    <w:top w:val="single" w:color="000000" w:sz="4" w:space="0"/>
                    <w:left w:val="single" w:color="000000" w:sz="4" w:space="0"/>
                    <w:bottom w:val="single" w:color="000000" w:sz="4" w:space="0"/>
                    <w:right w:val="single" w:color="000000" w:sz="4" w:space="0"/>
                  </w:tcBorders>
                  <w:vAlign w:val="center"/>
                </w:tcPr>
                <w:p w14:paraId="629C729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6E50BC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3C02CED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2C5718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7BA24C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C6DC8A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3E19948">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12CAAE2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26</w:t>
                  </w:r>
                </w:p>
              </w:tc>
              <w:tc>
                <w:tcPr>
                  <w:tcW w:w="934" w:type="pct"/>
                  <w:tcBorders>
                    <w:top w:val="single" w:color="000000" w:sz="4" w:space="0"/>
                    <w:left w:val="single" w:color="000000" w:sz="4" w:space="0"/>
                    <w:bottom w:val="single" w:color="000000" w:sz="4" w:space="0"/>
                    <w:right w:val="single" w:color="000000" w:sz="4" w:space="0"/>
                  </w:tcBorders>
                  <w:vAlign w:val="center"/>
                </w:tcPr>
                <w:p w14:paraId="0486E1C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596" w:type="pct"/>
                  <w:tcBorders>
                    <w:top w:val="single" w:color="000000" w:sz="4" w:space="0"/>
                    <w:left w:val="single" w:color="000000" w:sz="4" w:space="0"/>
                    <w:bottom w:val="single" w:color="000000" w:sz="4" w:space="0"/>
                    <w:right w:val="single" w:color="000000" w:sz="4" w:space="0"/>
                  </w:tcBorders>
                  <w:vAlign w:val="center"/>
                </w:tcPr>
                <w:p w14:paraId="458FAB0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33A1772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463CD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3E106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AD07A5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6AF133D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25EA4B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B17E323">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40C23DB7">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76C6782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黑棘鲷</w:t>
                  </w:r>
                </w:p>
              </w:tc>
              <w:tc>
                <w:tcPr>
                  <w:tcW w:w="596" w:type="pct"/>
                  <w:tcBorders>
                    <w:top w:val="single" w:color="000000" w:sz="4" w:space="0"/>
                    <w:left w:val="single" w:color="000000" w:sz="4" w:space="0"/>
                    <w:bottom w:val="single" w:color="000000" w:sz="4" w:space="0"/>
                    <w:right w:val="single" w:color="000000" w:sz="4" w:space="0"/>
                  </w:tcBorders>
                  <w:vAlign w:val="center"/>
                </w:tcPr>
                <w:p w14:paraId="36FC9F3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14744D5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CC8702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4082742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7B012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68D1197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8CB52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1BAF00D">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0E719FD1">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380CD0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596" w:type="pct"/>
                  <w:tcBorders>
                    <w:top w:val="single" w:color="000000" w:sz="4" w:space="0"/>
                    <w:left w:val="single" w:color="000000" w:sz="4" w:space="0"/>
                    <w:bottom w:val="single" w:color="000000" w:sz="4" w:space="0"/>
                    <w:right w:val="single" w:color="000000" w:sz="4" w:space="0"/>
                  </w:tcBorders>
                  <w:vAlign w:val="center"/>
                </w:tcPr>
                <w:p w14:paraId="5E9BDBA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509" w:type="pct"/>
                  <w:tcBorders>
                    <w:top w:val="single" w:color="000000" w:sz="4" w:space="0"/>
                    <w:left w:val="single" w:color="000000" w:sz="4" w:space="0"/>
                    <w:bottom w:val="single" w:color="000000" w:sz="4" w:space="0"/>
                    <w:right w:val="single" w:color="000000" w:sz="4" w:space="0"/>
                  </w:tcBorders>
                  <w:vAlign w:val="center"/>
                </w:tcPr>
                <w:p w14:paraId="1C45F56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2E332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211CDA2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AEA4EA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39D75A5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5B2A6F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A17C2C9">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7B97D24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27</w:t>
                  </w:r>
                </w:p>
              </w:tc>
              <w:tc>
                <w:tcPr>
                  <w:tcW w:w="934" w:type="pct"/>
                  <w:tcBorders>
                    <w:top w:val="single" w:color="000000" w:sz="4" w:space="0"/>
                    <w:left w:val="single" w:color="000000" w:sz="4" w:space="0"/>
                    <w:bottom w:val="single" w:color="000000" w:sz="4" w:space="0"/>
                    <w:right w:val="single" w:color="000000" w:sz="4" w:space="0"/>
                  </w:tcBorders>
                  <w:vAlign w:val="center"/>
                </w:tcPr>
                <w:p w14:paraId="0A6BBAE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596" w:type="pct"/>
                  <w:tcBorders>
                    <w:top w:val="single" w:color="000000" w:sz="4" w:space="0"/>
                    <w:left w:val="single" w:color="000000" w:sz="4" w:space="0"/>
                    <w:bottom w:val="single" w:color="000000" w:sz="4" w:space="0"/>
                    <w:right w:val="single" w:color="000000" w:sz="4" w:space="0"/>
                  </w:tcBorders>
                  <w:vAlign w:val="center"/>
                </w:tcPr>
                <w:p w14:paraId="61EEF6A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277A503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A645A7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6EF9D8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17B78D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78D7DB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C17049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A56F8F1">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2C98801F">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7177FCB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596" w:type="pct"/>
                  <w:tcBorders>
                    <w:top w:val="single" w:color="000000" w:sz="4" w:space="0"/>
                    <w:left w:val="single" w:color="000000" w:sz="4" w:space="0"/>
                    <w:bottom w:val="single" w:color="000000" w:sz="4" w:space="0"/>
                    <w:right w:val="single" w:color="000000" w:sz="4" w:space="0"/>
                  </w:tcBorders>
                  <w:vAlign w:val="center"/>
                </w:tcPr>
                <w:p w14:paraId="23265E4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11FACDF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DBB405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73A0F0E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0467B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2AFBBB9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65808D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8AEFA08">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0599062D">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5A8EB0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门司赤虾</w:t>
                  </w:r>
                </w:p>
              </w:tc>
              <w:tc>
                <w:tcPr>
                  <w:tcW w:w="596" w:type="pct"/>
                  <w:tcBorders>
                    <w:top w:val="single" w:color="000000" w:sz="4" w:space="0"/>
                    <w:left w:val="single" w:color="000000" w:sz="4" w:space="0"/>
                    <w:bottom w:val="single" w:color="000000" w:sz="4" w:space="0"/>
                    <w:right w:val="single" w:color="000000" w:sz="4" w:space="0"/>
                  </w:tcBorders>
                  <w:vAlign w:val="center"/>
                </w:tcPr>
                <w:p w14:paraId="2F2595D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4FF21F9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6B3A0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04327F1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042760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30B6371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96B692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541C483">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3BBAC3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31</w:t>
                  </w:r>
                </w:p>
              </w:tc>
              <w:tc>
                <w:tcPr>
                  <w:tcW w:w="934" w:type="pct"/>
                  <w:tcBorders>
                    <w:top w:val="single" w:color="000000" w:sz="4" w:space="0"/>
                    <w:left w:val="single" w:color="000000" w:sz="4" w:space="0"/>
                    <w:bottom w:val="single" w:color="000000" w:sz="4" w:space="0"/>
                    <w:right w:val="single" w:color="000000" w:sz="4" w:space="0"/>
                  </w:tcBorders>
                  <w:vAlign w:val="center"/>
                </w:tcPr>
                <w:p w14:paraId="06DB66C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596" w:type="pct"/>
                  <w:tcBorders>
                    <w:top w:val="single" w:color="000000" w:sz="4" w:space="0"/>
                    <w:left w:val="single" w:color="000000" w:sz="4" w:space="0"/>
                    <w:bottom w:val="single" w:color="000000" w:sz="4" w:space="0"/>
                    <w:right w:val="single" w:color="000000" w:sz="4" w:space="0"/>
                  </w:tcBorders>
                  <w:vAlign w:val="center"/>
                </w:tcPr>
                <w:p w14:paraId="2A02D23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494632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50C927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6E5BFF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A5FFFE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2FE9237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E01C72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FFA5057">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071CA8EA">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7188CBE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黑斑口虾蛄</w:t>
                  </w:r>
                </w:p>
              </w:tc>
              <w:tc>
                <w:tcPr>
                  <w:tcW w:w="596" w:type="pct"/>
                  <w:tcBorders>
                    <w:top w:val="single" w:color="000000" w:sz="4" w:space="0"/>
                    <w:left w:val="single" w:color="000000" w:sz="4" w:space="0"/>
                    <w:bottom w:val="single" w:color="000000" w:sz="4" w:space="0"/>
                    <w:right w:val="single" w:color="000000" w:sz="4" w:space="0"/>
                  </w:tcBorders>
                  <w:vAlign w:val="center"/>
                </w:tcPr>
                <w:p w14:paraId="280283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038557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bookmarkStart w:id="63" w:name="_GoBack"/>
                  <w:bookmarkEnd w:id="63"/>
                </w:p>
              </w:tc>
              <w:tc>
                <w:tcPr>
                  <w:tcW w:w="510" w:type="pct"/>
                  <w:tcBorders>
                    <w:top w:val="single" w:color="000000" w:sz="4" w:space="0"/>
                    <w:left w:val="single" w:color="000000" w:sz="4" w:space="0"/>
                    <w:bottom w:val="single" w:color="000000" w:sz="4" w:space="0"/>
                    <w:right w:val="single" w:color="000000" w:sz="4" w:space="0"/>
                  </w:tcBorders>
                  <w:vAlign w:val="center"/>
                </w:tcPr>
                <w:p w14:paraId="2D71582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704F3CC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ADADC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295B6DD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39256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522908E">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10E8C345">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4C97E13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金乌贼</w:t>
                  </w:r>
                </w:p>
              </w:tc>
              <w:tc>
                <w:tcPr>
                  <w:tcW w:w="596" w:type="pct"/>
                  <w:tcBorders>
                    <w:top w:val="single" w:color="000000" w:sz="4" w:space="0"/>
                    <w:left w:val="single" w:color="000000" w:sz="4" w:space="0"/>
                    <w:bottom w:val="single" w:color="000000" w:sz="4" w:space="0"/>
                    <w:right w:val="single" w:color="000000" w:sz="4" w:space="0"/>
                  </w:tcBorders>
                  <w:vAlign w:val="center"/>
                </w:tcPr>
                <w:p w14:paraId="79A8E3A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509" w:type="pct"/>
                  <w:tcBorders>
                    <w:top w:val="single" w:color="000000" w:sz="4" w:space="0"/>
                    <w:left w:val="single" w:color="000000" w:sz="4" w:space="0"/>
                    <w:bottom w:val="single" w:color="000000" w:sz="4" w:space="0"/>
                    <w:right w:val="single" w:color="000000" w:sz="4" w:space="0"/>
                  </w:tcBorders>
                  <w:vAlign w:val="center"/>
                </w:tcPr>
                <w:p w14:paraId="5F339A7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9B8FA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2871E09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3C134F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16194E6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3E1B67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645F017">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7A108BC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35</w:t>
                  </w:r>
                </w:p>
              </w:tc>
              <w:tc>
                <w:tcPr>
                  <w:tcW w:w="934" w:type="pct"/>
                  <w:tcBorders>
                    <w:top w:val="single" w:color="000000" w:sz="4" w:space="0"/>
                    <w:left w:val="single" w:color="000000" w:sz="4" w:space="0"/>
                    <w:bottom w:val="single" w:color="000000" w:sz="4" w:space="0"/>
                    <w:right w:val="single" w:color="000000" w:sz="4" w:space="0"/>
                  </w:tcBorders>
                  <w:vAlign w:val="center"/>
                </w:tcPr>
                <w:p w14:paraId="67D006B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596" w:type="pct"/>
                  <w:tcBorders>
                    <w:top w:val="single" w:color="000000" w:sz="4" w:space="0"/>
                    <w:left w:val="single" w:color="000000" w:sz="4" w:space="0"/>
                    <w:bottom w:val="single" w:color="000000" w:sz="4" w:space="0"/>
                    <w:right w:val="single" w:color="000000" w:sz="4" w:space="0"/>
                  </w:tcBorders>
                  <w:vAlign w:val="center"/>
                </w:tcPr>
                <w:p w14:paraId="329FAE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32E7A1D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B38B9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4A2BA26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701910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6224691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9E08B1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55E5394">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6418754D">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1958E7B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猛虾蛄</w:t>
                  </w:r>
                </w:p>
              </w:tc>
              <w:tc>
                <w:tcPr>
                  <w:tcW w:w="596" w:type="pct"/>
                  <w:tcBorders>
                    <w:top w:val="single" w:color="000000" w:sz="4" w:space="0"/>
                    <w:left w:val="single" w:color="000000" w:sz="4" w:space="0"/>
                    <w:bottom w:val="single" w:color="000000" w:sz="4" w:space="0"/>
                    <w:right w:val="single" w:color="000000" w:sz="4" w:space="0"/>
                  </w:tcBorders>
                  <w:vAlign w:val="center"/>
                </w:tcPr>
                <w:p w14:paraId="02BEEC3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7177E5E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FBC6B9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A77B2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D17333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7E14A30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8BEA8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2EE1C55">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4EB93AE4">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33152C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596" w:type="pct"/>
                  <w:tcBorders>
                    <w:top w:val="single" w:color="000000" w:sz="4" w:space="0"/>
                    <w:left w:val="single" w:color="000000" w:sz="4" w:space="0"/>
                    <w:bottom w:val="single" w:color="000000" w:sz="4" w:space="0"/>
                    <w:right w:val="single" w:color="000000" w:sz="4" w:space="0"/>
                  </w:tcBorders>
                  <w:vAlign w:val="center"/>
                </w:tcPr>
                <w:p w14:paraId="4E6369A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56D89DE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F2DB0C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26E2CB2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5989EB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2B0D9C8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43A12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DB26989">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03C18E6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36</w:t>
                  </w:r>
                </w:p>
              </w:tc>
              <w:tc>
                <w:tcPr>
                  <w:tcW w:w="934" w:type="pct"/>
                  <w:tcBorders>
                    <w:top w:val="single" w:color="000000" w:sz="4" w:space="0"/>
                    <w:left w:val="single" w:color="000000" w:sz="4" w:space="0"/>
                    <w:bottom w:val="single" w:color="000000" w:sz="4" w:space="0"/>
                    <w:right w:val="single" w:color="000000" w:sz="4" w:space="0"/>
                  </w:tcBorders>
                  <w:vAlign w:val="center"/>
                </w:tcPr>
                <w:p w14:paraId="338178C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皮氏叫姑鱼</w:t>
                  </w:r>
                </w:p>
              </w:tc>
              <w:tc>
                <w:tcPr>
                  <w:tcW w:w="596" w:type="pct"/>
                  <w:tcBorders>
                    <w:top w:val="single" w:color="000000" w:sz="4" w:space="0"/>
                    <w:left w:val="single" w:color="000000" w:sz="4" w:space="0"/>
                    <w:bottom w:val="single" w:color="000000" w:sz="4" w:space="0"/>
                    <w:right w:val="single" w:color="000000" w:sz="4" w:space="0"/>
                  </w:tcBorders>
                  <w:vAlign w:val="center"/>
                </w:tcPr>
                <w:p w14:paraId="0903A6A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6C1D37F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7F9A28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7EDD5E3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D74A59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4F019FD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C5E035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6A8BCFB7">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10877335">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375B61D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金钱鱼</w:t>
                  </w:r>
                </w:p>
              </w:tc>
              <w:tc>
                <w:tcPr>
                  <w:tcW w:w="596" w:type="pct"/>
                  <w:tcBorders>
                    <w:top w:val="single" w:color="000000" w:sz="4" w:space="0"/>
                    <w:left w:val="single" w:color="000000" w:sz="4" w:space="0"/>
                    <w:bottom w:val="single" w:color="000000" w:sz="4" w:space="0"/>
                    <w:right w:val="single" w:color="000000" w:sz="4" w:space="0"/>
                  </w:tcBorders>
                  <w:vAlign w:val="center"/>
                </w:tcPr>
                <w:p w14:paraId="47C547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765B982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2E8137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0C4072A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F7B857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60BC691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7198EE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0431432">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10AC883C">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45F316B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远洋梭子蟹</w:t>
                  </w:r>
                </w:p>
              </w:tc>
              <w:tc>
                <w:tcPr>
                  <w:tcW w:w="596" w:type="pct"/>
                  <w:tcBorders>
                    <w:top w:val="single" w:color="000000" w:sz="4" w:space="0"/>
                    <w:left w:val="single" w:color="000000" w:sz="4" w:space="0"/>
                    <w:bottom w:val="single" w:color="000000" w:sz="4" w:space="0"/>
                    <w:right w:val="single" w:color="000000" w:sz="4" w:space="0"/>
                  </w:tcBorders>
                  <w:vAlign w:val="center"/>
                </w:tcPr>
                <w:p w14:paraId="19BBA88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4F3C028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C3AC3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055A804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BF8DFF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15B5DAD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C98E2D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44A548D5">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786A7DB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38</w:t>
                  </w:r>
                </w:p>
              </w:tc>
              <w:tc>
                <w:tcPr>
                  <w:tcW w:w="934" w:type="pct"/>
                  <w:tcBorders>
                    <w:top w:val="single" w:color="000000" w:sz="4" w:space="0"/>
                    <w:left w:val="single" w:color="000000" w:sz="4" w:space="0"/>
                    <w:bottom w:val="single" w:color="000000" w:sz="4" w:space="0"/>
                    <w:right w:val="single" w:color="000000" w:sz="4" w:space="0"/>
                  </w:tcBorders>
                  <w:vAlign w:val="center"/>
                </w:tcPr>
                <w:p w14:paraId="2866584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条马鲾</w:t>
                  </w:r>
                </w:p>
              </w:tc>
              <w:tc>
                <w:tcPr>
                  <w:tcW w:w="596" w:type="pct"/>
                  <w:tcBorders>
                    <w:top w:val="single" w:color="000000" w:sz="4" w:space="0"/>
                    <w:left w:val="single" w:color="000000" w:sz="4" w:space="0"/>
                    <w:bottom w:val="single" w:color="000000" w:sz="4" w:space="0"/>
                    <w:right w:val="single" w:color="000000" w:sz="4" w:space="0"/>
                  </w:tcBorders>
                  <w:vAlign w:val="center"/>
                </w:tcPr>
                <w:p w14:paraId="7955AA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668D3D7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37B055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3189E7E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291587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6CFB89C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8E141C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7B9323C3">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13E7EF8B">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43DD6B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596" w:type="pct"/>
                  <w:tcBorders>
                    <w:top w:val="single" w:color="000000" w:sz="4" w:space="0"/>
                    <w:left w:val="single" w:color="000000" w:sz="4" w:space="0"/>
                    <w:bottom w:val="single" w:color="000000" w:sz="4" w:space="0"/>
                    <w:right w:val="single" w:color="000000" w:sz="4" w:space="0"/>
                  </w:tcBorders>
                  <w:vAlign w:val="center"/>
                </w:tcPr>
                <w:p w14:paraId="205EF87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766E53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19895D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55B9CC1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3D7B73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159DBAD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F1674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1B324C82">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56CFFAD5">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03D6952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596" w:type="pct"/>
                  <w:tcBorders>
                    <w:top w:val="single" w:color="000000" w:sz="4" w:space="0"/>
                    <w:left w:val="single" w:color="000000" w:sz="4" w:space="0"/>
                    <w:bottom w:val="single" w:color="000000" w:sz="4" w:space="0"/>
                    <w:right w:val="single" w:color="000000" w:sz="4" w:space="0"/>
                  </w:tcBorders>
                  <w:vAlign w:val="center"/>
                </w:tcPr>
                <w:p w14:paraId="5A2394A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509" w:type="pct"/>
                  <w:tcBorders>
                    <w:top w:val="single" w:color="000000" w:sz="4" w:space="0"/>
                    <w:left w:val="single" w:color="000000" w:sz="4" w:space="0"/>
                    <w:bottom w:val="single" w:color="000000" w:sz="4" w:space="0"/>
                    <w:right w:val="single" w:color="000000" w:sz="4" w:space="0"/>
                  </w:tcBorders>
                  <w:vAlign w:val="center"/>
                </w:tcPr>
                <w:p w14:paraId="220A0AE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6512A0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22C5BD1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6F3C28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207B284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FC45D0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A7E7011">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73ADE5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39</w:t>
                  </w:r>
                </w:p>
              </w:tc>
              <w:tc>
                <w:tcPr>
                  <w:tcW w:w="934" w:type="pct"/>
                  <w:tcBorders>
                    <w:top w:val="single" w:color="000000" w:sz="4" w:space="0"/>
                    <w:left w:val="single" w:color="000000" w:sz="4" w:space="0"/>
                    <w:bottom w:val="single" w:color="000000" w:sz="4" w:space="0"/>
                    <w:right w:val="single" w:color="000000" w:sz="4" w:space="0"/>
                  </w:tcBorders>
                  <w:vAlign w:val="center"/>
                </w:tcPr>
                <w:p w14:paraId="7139FF8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多鳞鱚</w:t>
                  </w:r>
                </w:p>
              </w:tc>
              <w:tc>
                <w:tcPr>
                  <w:tcW w:w="596" w:type="pct"/>
                  <w:tcBorders>
                    <w:top w:val="single" w:color="000000" w:sz="4" w:space="0"/>
                    <w:left w:val="single" w:color="000000" w:sz="4" w:space="0"/>
                    <w:bottom w:val="single" w:color="000000" w:sz="4" w:space="0"/>
                    <w:right w:val="single" w:color="000000" w:sz="4" w:space="0"/>
                  </w:tcBorders>
                  <w:vAlign w:val="center"/>
                </w:tcPr>
                <w:p w14:paraId="590D31D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6A3ED84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7FD0D3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1EFD70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918492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73BA7C4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43EDBA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2CE7C20F">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2F9DE517">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576A5D9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黑斑口虾蛄</w:t>
                  </w:r>
                </w:p>
              </w:tc>
              <w:tc>
                <w:tcPr>
                  <w:tcW w:w="596" w:type="pct"/>
                  <w:tcBorders>
                    <w:top w:val="single" w:color="000000" w:sz="4" w:space="0"/>
                    <w:left w:val="single" w:color="000000" w:sz="4" w:space="0"/>
                    <w:bottom w:val="single" w:color="000000" w:sz="4" w:space="0"/>
                    <w:right w:val="single" w:color="000000" w:sz="4" w:space="0"/>
                  </w:tcBorders>
                  <w:vAlign w:val="center"/>
                </w:tcPr>
                <w:p w14:paraId="2694AF6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311A354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57A880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58C09CC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04C49C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39B720F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177D30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901C4F7">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520C7F5B">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447EB1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596" w:type="pct"/>
                  <w:tcBorders>
                    <w:top w:val="single" w:color="000000" w:sz="4" w:space="0"/>
                    <w:left w:val="single" w:color="000000" w:sz="4" w:space="0"/>
                    <w:bottom w:val="single" w:color="000000" w:sz="4" w:space="0"/>
                    <w:right w:val="single" w:color="000000" w:sz="4" w:space="0"/>
                  </w:tcBorders>
                  <w:vAlign w:val="center"/>
                </w:tcPr>
                <w:p w14:paraId="4B7DCD0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509" w:type="pct"/>
                  <w:tcBorders>
                    <w:top w:val="single" w:color="000000" w:sz="4" w:space="0"/>
                    <w:left w:val="single" w:color="000000" w:sz="4" w:space="0"/>
                    <w:bottom w:val="single" w:color="000000" w:sz="4" w:space="0"/>
                    <w:right w:val="single" w:color="000000" w:sz="4" w:space="0"/>
                  </w:tcBorders>
                  <w:vAlign w:val="center"/>
                </w:tcPr>
                <w:p w14:paraId="3430961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6FB8B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3B35236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09BE16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77226AE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E6D0FB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377AB141">
              <w:tblPrEx>
                <w:tblCellMar>
                  <w:top w:w="15" w:type="dxa"/>
                  <w:left w:w="15" w:type="dxa"/>
                  <w:bottom w:w="15" w:type="dxa"/>
                  <w:right w:w="15" w:type="dxa"/>
                </w:tblCellMar>
              </w:tblPrEx>
              <w:trPr>
                <w:trHeight w:val="261" w:hRule="atLeast"/>
                <w:jc w:val="center"/>
              </w:trPr>
              <w:tc>
                <w:tcPr>
                  <w:tcW w:w="436" w:type="pct"/>
                  <w:vMerge w:val="restart"/>
                  <w:tcBorders>
                    <w:top w:val="single" w:color="000000" w:sz="4" w:space="0"/>
                    <w:left w:val="single" w:color="000000" w:sz="4" w:space="0"/>
                    <w:bottom w:val="single" w:color="000000" w:sz="4" w:space="0"/>
                    <w:right w:val="single" w:color="000000" w:sz="4" w:space="0"/>
                  </w:tcBorders>
                  <w:vAlign w:val="center"/>
                </w:tcPr>
                <w:p w14:paraId="13EE029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40</w:t>
                  </w:r>
                </w:p>
              </w:tc>
              <w:tc>
                <w:tcPr>
                  <w:tcW w:w="934" w:type="pct"/>
                  <w:tcBorders>
                    <w:top w:val="single" w:color="000000" w:sz="4" w:space="0"/>
                    <w:left w:val="single" w:color="000000" w:sz="4" w:space="0"/>
                    <w:bottom w:val="single" w:color="000000" w:sz="4" w:space="0"/>
                    <w:right w:val="single" w:color="000000" w:sz="4" w:space="0"/>
                  </w:tcBorders>
                  <w:vAlign w:val="center"/>
                </w:tcPr>
                <w:p w14:paraId="2CE5F99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黑口鳓</w:t>
                  </w:r>
                </w:p>
              </w:tc>
              <w:tc>
                <w:tcPr>
                  <w:tcW w:w="596" w:type="pct"/>
                  <w:tcBorders>
                    <w:top w:val="single" w:color="000000" w:sz="4" w:space="0"/>
                    <w:left w:val="single" w:color="000000" w:sz="4" w:space="0"/>
                    <w:bottom w:val="single" w:color="000000" w:sz="4" w:space="0"/>
                    <w:right w:val="single" w:color="000000" w:sz="4" w:space="0"/>
                  </w:tcBorders>
                  <w:vAlign w:val="center"/>
                </w:tcPr>
                <w:p w14:paraId="0DA46861">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鱼类</w:t>
                  </w:r>
                </w:p>
              </w:tc>
              <w:tc>
                <w:tcPr>
                  <w:tcW w:w="509" w:type="pct"/>
                  <w:tcBorders>
                    <w:top w:val="single" w:color="000000" w:sz="4" w:space="0"/>
                    <w:left w:val="single" w:color="000000" w:sz="4" w:space="0"/>
                    <w:bottom w:val="single" w:color="000000" w:sz="4" w:space="0"/>
                    <w:right w:val="single" w:color="000000" w:sz="4" w:space="0"/>
                  </w:tcBorders>
                  <w:vAlign w:val="center"/>
                </w:tcPr>
                <w:p w14:paraId="7744FAE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C5A2318">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9012B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D00207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68EAFDA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A11C9E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4D29096">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78EECF65">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7C974C2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近缘新对虾</w:t>
                  </w:r>
                </w:p>
              </w:tc>
              <w:tc>
                <w:tcPr>
                  <w:tcW w:w="596" w:type="pct"/>
                  <w:tcBorders>
                    <w:top w:val="single" w:color="000000" w:sz="4" w:space="0"/>
                    <w:left w:val="single" w:color="000000" w:sz="4" w:space="0"/>
                    <w:bottom w:val="single" w:color="000000" w:sz="4" w:space="0"/>
                    <w:right w:val="single" w:color="000000" w:sz="4" w:space="0"/>
                  </w:tcBorders>
                  <w:vAlign w:val="center"/>
                </w:tcPr>
                <w:p w14:paraId="535154C0">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甲壳类</w:t>
                  </w:r>
                </w:p>
              </w:tc>
              <w:tc>
                <w:tcPr>
                  <w:tcW w:w="509" w:type="pct"/>
                  <w:tcBorders>
                    <w:top w:val="single" w:color="000000" w:sz="4" w:space="0"/>
                    <w:left w:val="single" w:color="000000" w:sz="4" w:space="0"/>
                    <w:bottom w:val="single" w:color="000000" w:sz="4" w:space="0"/>
                    <w:right w:val="single" w:color="000000" w:sz="4" w:space="0"/>
                  </w:tcBorders>
                  <w:vAlign w:val="center"/>
                </w:tcPr>
                <w:p w14:paraId="722D28D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9846079">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7675EDC7">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52FD3B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36DB01F5">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AE6D6FE">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5C40DCB5">
              <w:tblPrEx>
                <w:tblCellMar>
                  <w:top w:w="15" w:type="dxa"/>
                  <w:left w:w="15" w:type="dxa"/>
                  <w:bottom w:w="15" w:type="dxa"/>
                  <w:right w:w="15" w:type="dxa"/>
                </w:tblCellMar>
              </w:tblPrEx>
              <w:trPr>
                <w:trHeight w:val="261" w:hRule="atLeast"/>
                <w:jc w:val="center"/>
              </w:trPr>
              <w:tc>
                <w:tcPr>
                  <w:tcW w:w="436" w:type="pct"/>
                  <w:vMerge w:val="continue"/>
                  <w:tcBorders>
                    <w:top w:val="single" w:color="000000" w:sz="4" w:space="0"/>
                    <w:left w:val="single" w:color="000000" w:sz="4" w:space="0"/>
                    <w:bottom w:val="single" w:color="000000" w:sz="4" w:space="0"/>
                    <w:right w:val="single" w:color="000000" w:sz="4" w:space="0"/>
                  </w:tcBorders>
                  <w:vAlign w:val="center"/>
                </w:tcPr>
                <w:p w14:paraId="2D019AD1">
                  <w:pPr>
                    <w:keepNext w:val="0"/>
                    <w:keepLines w:val="0"/>
                    <w:suppressLineNumbers w:val="0"/>
                    <w:spacing w:before="0" w:beforeAutospacing="0" w:after="0" w:afterAutospacing="0" w:line="0" w:lineRule="atLeast"/>
                    <w:ind w:left="0" w:right="0"/>
                    <w:jc w:val="center"/>
                    <w:rPr>
                      <w:rFonts w:hint="eastAsia"/>
                      <w:color w:val="000000" w:themeColor="text1"/>
                      <w:sz w:val="21"/>
                      <w:szCs w:val="21"/>
                      <w:lang w:bidi="ar"/>
                      <w14:textFill>
                        <w14:solidFill>
                          <w14:schemeClr w14:val="tx1"/>
                        </w14:solidFill>
                      </w14:textFill>
                    </w:rPr>
                  </w:pPr>
                </w:p>
              </w:tc>
              <w:tc>
                <w:tcPr>
                  <w:tcW w:w="934" w:type="pct"/>
                  <w:tcBorders>
                    <w:top w:val="single" w:color="000000" w:sz="4" w:space="0"/>
                    <w:left w:val="single" w:color="000000" w:sz="4" w:space="0"/>
                    <w:bottom w:val="single" w:color="000000" w:sz="4" w:space="0"/>
                    <w:right w:val="single" w:color="000000" w:sz="4" w:space="0"/>
                  </w:tcBorders>
                  <w:vAlign w:val="center"/>
                </w:tcPr>
                <w:p w14:paraId="319D12F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火枪乌贼</w:t>
                  </w:r>
                </w:p>
              </w:tc>
              <w:tc>
                <w:tcPr>
                  <w:tcW w:w="596" w:type="pct"/>
                  <w:tcBorders>
                    <w:top w:val="single" w:color="000000" w:sz="4" w:space="0"/>
                    <w:left w:val="single" w:color="000000" w:sz="4" w:space="0"/>
                    <w:bottom w:val="single" w:color="000000" w:sz="4" w:space="0"/>
                    <w:right w:val="single" w:color="000000" w:sz="4" w:space="0"/>
                  </w:tcBorders>
                  <w:vAlign w:val="center"/>
                </w:tcPr>
                <w:p w14:paraId="71EDCC7F">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软体类</w:t>
                  </w:r>
                </w:p>
              </w:tc>
              <w:tc>
                <w:tcPr>
                  <w:tcW w:w="509" w:type="pct"/>
                  <w:tcBorders>
                    <w:top w:val="single" w:color="000000" w:sz="4" w:space="0"/>
                    <w:left w:val="single" w:color="000000" w:sz="4" w:space="0"/>
                    <w:bottom w:val="single" w:color="000000" w:sz="4" w:space="0"/>
                    <w:right w:val="single" w:color="000000" w:sz="4" w:space="0"/>
                  </w:tcBorders>
                  <w:vAlign w:val="center"/>
                </w:tcPr>
                <w:p w14:paraId="4ACB0F8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B1ED34D">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189D327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1A53AD2">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1ACE6A5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BD2ACEC">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tr w14:paraId="04994AA0">
              <w:tblPrEx>
                <w:tblCellMar>
                  <w:top w:w="15" w:type="dxa"/>
                  <w:left w:w="15" w:type="dxa"/>
                  <w:bottom w:w="15" w:type="dxa"/>
                  <w:right w:w="15" w:type="dxa"/>
                </w:tblCellMar>
              </w:tblPrEx>
              <w:trPr>
                <w:trHeight w:val="261" w:hRule="atLeast"/>
                <w:jc w:val="center"/>
              </w:trPr>
              <w:tc>
                <w:tcPr>
                  <w:tcW w:w="1965" w:type="pct"/>
                  <w:gridSpan w:val="3"/>
                  <w:tcBorders>
                    <w:top w:val="single" w:color="000000" w:sz="4" w:space="0"/>
                    <w:left w:val="single" w:color="000000" w:sz="4" w:space="0"/>
                    <w:bottom w:val="single" w:color="000000" w:sz="4" w:space="0"/>
                    <w:right w:val="single" w:color="000000" w:sz="4" w:space="0"/>
                  </w:tcBorders>
                  <w:vAlign w:val="center"/>
                </w:tcPr>
                <w:p w14:paraId="3F5FF913">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超标率(%)</w:t>
                  </w:r>
                </w:p>
              </w:tc>
              <w:tc>
                <w:tcPr>
                  <w:tcW w:w="509" w:type="pct"/>
                  <w:tcBorders>
                    <w:top w:val="single" w:color="000000" w:sz="4" w:space="0"/>
                    <w:left w:val="single" w:color="000000" w:sz="4" w:space="0"/>
                    <w:bottom w:val="single" w:color="000000" w:sz="4" w:space="0"/>
                    <w:right w:val="single" w:color="000000" w:sz="4" w:space="0"/>
                  </w:tcBorders>
                  <w:vAlign w:val="center"/>
                </w:tcPr>
                <w:p w14:paraId="5FE32844">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88C94CB">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vAlign w:val="center"/>
                </w:tcPr>
                <w:p w14:paraId="3434EC4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6D59A3BA">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vAlign w:val="center"/>
                </w:tcPr>
                <w:p w14:paraId="22EB166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FC71C66">
                  <w:pPr>
                    <w:keepNext w:val="0"/>
                    <w:keepLines w:val="0"/>
                    <w:suppressLineNumbers w:val="0"/>
                    <w:spacing w:before="0" w:beforeAutospacing="0" w:after="0" w:afterAutospacing="0" w:line="0" w:lineRule="atLeast"/>
                    <w:ind w:left="0" w:right="0"/>
                    <w:jc w:val="center"/>
                    <w:textAlignment w:val="center"/>
                    <w:rPr>
                      <w:rFonts w:hint="eastAsia"/>
                      <w:color w:val="000000" w:themeColor="text1"/>
                      <w:sz w:val="21"/>
                      <w:szCs w:val="21"/>
                      <w:lang w:bidi="ar"/>
                      <w14:textFill>
                        <w14:solidFill>
                          <w14:schemeClr w14:val="tx1"/>
                        </w14:solidFill>
                      </w14:textFill>
                    </w:rPr>
                  </w:pPr>
                </w:p>
              </w:tc>
            </w:tr>
            <w:bookmarkEnd w:id="32"/>
            <w:bookmarkEnd w:id="33"/>
            <w:bookmarkEnd w:id="34"/>
            <w:bookmarkEnd w:id="35"/>
            <w:bookmarkEnd w:id="36"/>
            <w:bookmarkEnd w:id="37"/>
          </w:tbl>
          <w:p w14:paraId="26842990">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r>
              <w:rPr>
                <w:rFonts w:hint="eastAsia"/>
                <w:b/>
                <w:color w:val="auto"/>
                <w:kern w:val="0"/>
                <w:sz w:val="24"/>
                <w:lang w:val="en-US" w:eastAsia="zh-CN"/>
              </w:rPr>
              <w:t>3.6陆域生态环境现状</w:t>
            </w:r>
          </w:p>
          <w:p w14:paraId="3F33102A">
            <w:pPr>
              <w:pStyle w:val="8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37"/>
              <w:textAlignment w:val="baseline"/>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本项目主要位于海域，</w:t>
            </w:r>
            <w:r>
              <w:rPr>
                <w:rFonts w:hint="eastAsia"/>
                <w:color w:val="000000" w:themeColor="text1"/>
                <w:sz w:val="24"/>
                <w:szCs w:val="24"/>
                <w:lang w:val="en-US" w:eastAsia="zh-CN"/>
                <w14:textFill>
                  <w14:solidFill>
                    <w14:schemeClr w14:val="tx1"/>
                  </w14:solidFill>
                </w14:textFill>
              </w:rPr>
              <w:t>施工场地</w:t>
            </w:r>
            <w:r>
              <w:rPr>
                <w:rFonts w:hint="default"/>
                <w:color w:val="000000" w:themeColor="text1"/>
                <w:sz w:val="24"/>
                <w:szCs w:val="24"/>
                <w:lang w:val="en-US" w:eastAsia="zh-CN"/>
                <w14:textFill>
                  <w14:solidFill>
                    <w14:schemeClr w14:val="tx1"/>
                  </w14:solidFill>
                </w14:textFill>
              </w:rPr>
              <w:t>位于岸边，根据项目平面布置结合遥感解译与实地调查，项目区多属于《土地利用现状分类》（GB/T 21010-2017）中的沿海滩涂，无植被覆盖。</w:t>
            </w:r>
          </w:p>
          <w:p w14:paraId="6D864660">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3.7</w:t>
            </w:r>
            <w:r>
              <w:rPr>
                <w:rFonts w:hint="eastAsia"/>
                <w:b/>
                <w:color w:val="auto"/>
                <w:kern w:val="0"/>
                <w:sz w:val="24"/>
              </w:rPr>
              <w:t>环境空气质量现状</w:t>
            </w:r>
          </w:p>
          <w:p w14:paraId="67B25EB8">
            <w:pPr>
              <w:pStyle w:val="8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37"/>
              <w:textAlignment w:val="baseline"/>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工程施工期对大气环境的影响主要是施工扬尘、施工车辆及施工机械尾气等，废气排放量较少且分散，对周边环境空气质量影响较小；运营期无大气污染物排放，根据《环境影响评价技术导则 大气环境》（HJ2.2-2018），本工程大气评价工作等级为三级，仅对施工期大气环境影响进行简要分析。</w:t>
            </w:r>
          </w:p>
          <w:p w14:paraId="4802A323">
            <w:pPr>
              <w:pStyle w:val="8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37"/>
              <w:textAlignment w:val="baseline"/>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环境影响评价技术导则-大气环境》（HJ2.2-2018）的要求，项目所在区域达标判定，优先采用国家或地方生态环境主管部门公开发布的评价基准年环境质量公告或环境质量报告中的数据或结论。根据广西壮族自治区生态环境厅2024年1月11日发布的《自治区生态环境厅关于通报2023年设区城市及各县（市、区）环境空气质量的函》（桂环函〔2024〕58号），2023年防城港市环境空气各项污染物年平均浓度统计结果见表3.</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-1。</w:t>
            </w:r>
          </w:p>
          <w:p w14:paraId="283940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 xml:space="preserve">3.7-1 </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 xml:space="preserve"> </w:t>
            </w:r>
            <w:r>
              <w:rPr>
                <w:rFonts w:hint="eastAsia" w:ascii="Times New Roman" w:hAnsi="Times New Roman" w:cs="Times New Roman"/>
                <w:b/>
                <w:bCs/>
                <w:color w:val="auto"/>
                <w:kern w:val="0"/>
                <w:sz w:val="21"/>
                <w:szCs w:val="21"/>
                <w:lang w:val="zh-CN" w:eastAsia="zh-CN"/>
              </w:rPr>
              <w:t>2023年防城港市空气质量主要指标</w:t>
            </w:r>
          </w:p>
          <w:tbl>
            <w:tblPr>
              <w:tblStyle w:val="28"/>
              <w:tblW w:w="4987" w:type="pct"/>
              <w:tblInd w:w="1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51"/>
              <w:gridCol w:w="2183"/>
              <w:gridCol w:w="1658"/>
              <w:gridCol w:w="1541"/>
              <w:gridCol w:w="1181"/>
              <w:gridCol w:w="1130"/>
            </w:tblGrid>
            <w:tr w14:paraId="02011A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rPr>
              <w:tc>
                <w:tcPr>
                  <w:tcW w:w="549" w:type="pct"/>
                  <w:tcBorders>
                    <w:tl2br w:val="nil"/>
                    <w:tr2bl w:val="nil"/>
                  </w:tcBorders>
                  <w:vAlign w:val="center"/>
                </w:tcPr>
                <w:p w14:paraId="3771C5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1262" w:type="pct"/>
                  <w:tcBorders>
                    <w:tl2br w:val="nil"/>
                    <w:tr2bl w:val="nil"/>
                  </w:tcBorders>
                  <w:vAlign w:val="center"/>
                </w:tcPr>
                <w:p w14:paraId="22C589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年评价指标</w:t>
                  </w:r>
                </w:p>
              </w:tc>
              <w:tc>
                <w:tcPr>
                  <w:tcW w:w="959" w:type="pct"/>
                  <w:tcBorders>
                    <w:tl2br w:val="nil"/>
                    <w:tr2bl w:val="nil"/>
                  </w:tcBorders>
                  <w:vAlign w:val="center"/>
                </w:tcPr>
                <w:p w14:paraId="0F2A6107">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现状浓度μg/m</w:t>
                  </w:r>
                  <w:r>
                    <w:rPr>
                      <w:rFonts w:hint="eastAsia"/>
                      <w:b/>
                      <w:color w:val="000000" w:themeColor="text1"/>
                      <w:sz w:val="21"/>
                      <w:szCs w:val="21"/>
                      <w:vertAlign w:val="superscript"/>
                      <w14:textFill>
                        <w14:solidFill>
                          <w14:schemeClr w14:val="tx1"/>
                        </w14:solidFill>
                      </w14:textFill>
                    </w:rPr>
                    <w:t>3</w:t>
                  </w:r>
                </w:p>
              </w:tc>
              <w:tc>
                <w:tcPr>
                  <w:tcW w:w="891" w:type="pct"/>
                  <w:tcBorders>
                    <w:tl2br w:val="nil"/>
                    <w:tr2bl w:val="nil"/>
                  </w:tcBorders>
                  <w:vAlign w:val="center"/>
                </w:tcPr>
                <w:p w14:paraId="67D8F932">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标准值μg/m</w:t>
                  </w:r>
                  <w:r>
                    <w:rPr>
                      <w:rFonts w:hint="eastAsia"/>
                      <w:b/>
                      <w:color w:val="000000" w:themeColor="text1"/>
                      <w:sz w:val="21"/>
                      <w:szCs w:val="21"/>
                      <w:vertAlign w:val="superscript"/>
                      <w14:textFill>
                        <w14:solidFill>
                          <w14:schemeClr w14:val="tx1"/>
                        </w14:solidFill>
                      </w14:textFill>
                    </w:rPr>
                    <w:t>3</w:t>
                  </w:r>
                </w:p>
              </w:tc>
              <w:tc>
                <w:tcPr>
                  <w:tcW w:w="683" w:type="pct"/>
                  <w:tcBorders>
                    <w:tl2br w:val="nil"/>
                    <w:tr2bl w:val="nil"/>
                  </w:tcBorders>
                  <w:vAlign w:val="center"/>
                </w:tcPr>
                <w:p w14:paraId="09DCE116">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占标率%</w:t>
                  </w:r>
                </w:p>
              </w:tc>
              <w:tc>
                <w:tcPr>
                  <w:tcW w:w="653" w:type="pct"/>
                  <w:tcBorders>
                    <w:tl2br w:val="nil"/>
                    <w:tr2bl w:val="nil"/>
                  </w:tcBorders>
                  <w:vAlign w:val="center"/>
                </w:tcPr>
                <w:p w14:paraId="79B3CE5F">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达标情况</w:t>
                  </w:r>
                </w:p>
              </w:tc>
            </w:tr>
            <w:tr w14:paraId="3CB0C7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rPr>
              <w:tc>
                <w:tcPr>
                  <w:tcW w:w="549" w:type="pct"/>
                  <w:tcBorders>
                    <w:tl2br w:val="nil"/>
                    <w:tr2bl w:val="nil"/>
                  </w:tcBorders>
                  <w:vAlign w:val="center"/>
                </w:tcPr>
                <w:p w14:paraId="7F5CFB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SO</w:t>
                  </w:r>
                  <w:r>
                    <w:rPr>
                      <w:rFonts w:hint="eastAsia"/>
                      <w:color w:val="000000" w:themeColor="text1"/>
                      <w:sz w:val="21"/>
                      <w:szCs w:val="21"/>
                      <w:vertAlign w:val="subscript"/>
                      <w14:textFill>
                        <w14:solidFill>
                          <w14:schemeClr w14:val="tx1"/>
                        </w14:solidFill>
                      </w14:textFill>
                    </w:rPr>
                    <w:t>2</w:t>
                  </w:r>
                </w:p>
              </w:tc>
              <w:tc>
                <w:tcPr>
                  <w:tcW w:w="1262" w:type="pct"/>
                  <w:tcBorders>
                    <w:tl2br w:val="nil"/>
                    <w:tr2bl w:val="nil"/>
                  </w:tcBorders>
                  <w:vAlign w:val="center"/>
                </w:tcPr>
                <w:p w14:paraId="2D176A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年平均质量浓度</w:t>
                  </w:r>
                </w:p>
              </w:tc>
              <w:tc>
                <w:tcPr>
                  <w:tcW w:w="959" w:type="pct"/>
                  <w:tcBorders>
                    <w:tl2br w:val="nil"/>
                    <w:tr2bl w:val="nil"/>
                  </w:tcBorders>
                  <w:vAlign w:val="center"/>
                </w:tcPr>
                <w:p w14:paraId="765506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891" w:type="pct"/>
                  <w:tcBorders>
                    <w:tl2br w:val="nil"/>
                    <w:tr2bl w:val="nil"/>
                  </w:tcBorders>
                  <w:vAlign w:val="center"/>
                </w:tcPr>
                <w:p w14:paraId="36F3AF1C">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60</w:t>
                  </w:r>
                </w:p>
              </w:tc>
              <w:tc>
                <w:tcPr>
                  <w:tcW w:w="683" w:type="pct"/>
                  <w:tcBorders>
                    <w:tl2br w:val="nil"/>
                    <w:tr2bl w:val="nil"/>
                  </w:tcBorders>
                  <w:vAlign w:val="center"/>
                </w:tcPr>
                <w:p w14:paraId="3D9192B9">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11.67</w:t>
                  </w:r>
                </w:p>
              </w:tc>
              <w:tc>
                <w:tcPr>
                  <w:tcW w:w="653" w:type="pct"/>
                  <w:tcBorders>
                    <w:tl2br w:val="nil"/>
                    <w:tr2bl w:val="nil"/>
                  </w:tcBorders>
                  <w:vAlign w:val="center"/>
                </w:tcPr>
                <w:p w14:paraId="14B69CF9">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r w14:paraId="7E34C3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rPr>
              <w:tc>
                <w:tcPr>
                  <w:tcW w:w="549" w:type="pct"/>
                  <w:tcBorders>
                    <w:tl2br w:val="nil"/>
                    <w:tr2bl w:val="nil"/>
                  </w:tcBorders>
                  <w:vAlign w:val="center"/>
                </w:tcPr>
                <w:p w14:paraId="64D54D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NO</w:t>
                  </w:r>
                  <w:r>
                    <w:rPr>
                      <w:rFonts w:hint="eastAsia"/>
                      <w:color w:val="000000" w:themeColor="text1"/>
                      <w:sz w:val="21"/>
                      <w:szCs w:val="21"/>
                      <w:vertAlign w:val="subscript"/>
                      <w14:textFill>
                        <w14:solidFill>
                          <w14:schemeClr w14:val="tx1"/>
                        </w14:solidFill>
                      </w14:textFill>
                    </w:rPr>
                    <w:t>2</w:t>
                  </w:r>
                </w:p>
              </w:tc>
              <w:tc>
                <w:tcPr>
                  <w:tcW w:w="1262" w:type="pct"/>
                  <w:tcBorders>
                    <w:tl2br w:val="nil"/>
                    <w:tr2bl w:val="nil"/>
                  </w:tcBorders>
                  <w:vAlign w:val="center"/>
                </w:tcPr>
                <w:p w14:paraId="66075C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年平均质量浓度</w:t>
                  </w:r>
                </w:p>
              </w:tc>
              <w:tc>
                <w:tcPr>
                  <w:tcW w:w="959" w:type="pct"/>
                  <w:tcBorders>
                    <w:tl2br w:val="nil"/>
                    <w:tr2bl w:val="nil"/>
                  </w:tcBorders>
                  <w:vAlign w:val="center"/>
                </w:tcPr>
                <w:p w14:paraId="43798220">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17</w:t>
                  </w:r>
                </w:p>
              </w:tc>
              <w:tc>
                <w:tcPr>
                  <w:tcW w:w="891" w:type="pct"/>
                  <w:tcBorders>
                    <w:tl2br w:val="nil"/>
                    <w:tr2bl w:val="nil"/>
                  </w:tcBorders>
                  <w:vAlign w:val="center"/>
                </w:tcPr>
                <w:p w14:paraId="2781E636">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40</w:t>
                  </w:r>
                </w:p>
              </w:tc>
              <w:tc>
                <w:tcPr>
                  <w:tcW w:w="683" w:type="pct"/>
                  <w:tcBorders>
                    <w:tl2br w:val="nil"/>
                    <w:tr2bl w:val="nil"/>
                  </w:tcBorders>
                  <w:vAlign w:val="center"/>
                </w:tcPr>
                <w:p w14:paraId="3D695E43">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42.50</w:t>
                  </w:r>
                </w:p>
              </w:tc>
              <w:tc>
                <w:tcPr>
                  <w:tcW w:w="653" w:type="pct"/>
                  <w:tcBorders>
                    <w:tl2br w:val="nil"/>
                    <w:tr2bl w:val="nil"/>
                  </w:tcBorders>
                  <w:vAlign w:val="center"/>
                </w:tcPr>
                <w:p w14:paraId="0E521678">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r w14:paraId="282175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rPr>
              <w:tc>
                <w:tcPr>
                  <w:tcW w:w="549" w:type="pct"/>
                  <w:tcBorders>
                    <w:tl2br w:val="nil"/>
                    <w:tr2bl w:val="nil"/>
                  </w:tcBorders>
                  <w:vAlign w:val="center"/>
                </w:tcPr>
                <w:p w14:paraId="493057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PM</w:t>
                  </w:r>
                  <w:r>
                    <w:rPr>
                      <w:rFonts w:hint="eastAsia"/>
                      <w:color w:val="000000" w:themeColor="text1"/>
                      <w:sz w:val="21"/>
                      <w:szCs w:val="21"/>
                      <w:vertAlign w:val="subscript"/>
                      <w14:textFill>
                        <w14:solidFill>
                          <w14:schemeClr w14:val="tx1"/>
                        </w14:solidFill>
                      </w14:textFill>
                    </w:rPr>
                    <w:t>10</w:t>
                  </w:r>
                </w:p>
              </w:tc>
              <w:tc>
                <w:tcPr>
                  <w:tcW w:w="1262" w:type="pct"/>
                  <w:tcBorders>
                    <w:tl2br w:val="nil"/>
                    <w:tr2bl w:val="nil"/>
                  </w:tcBorders>
                  <w:vAlign w:val="center"/>
                </w:tcPr>
                <w:p w14:paraId="5E88BF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年平均质量浓度</w:t>
                  </w:r>
                </w:p>
              </w:tc>
              <w:tc>
                <w:tcPr>
                  <w:tcW w:w="959" w:type="pct"/>
                  <w:tcBorders>
                    <w:tl2br w:val="nil"/>
                    <w:tr2bl w:val="nil"/>
                  </w:tcBorders>
                  <w:vAlign w:val="center"/>
                </w:tcPr>
                <w:p w14:paraId="3F33F8A4">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41</w:t>
                  </w:r>
                </w:p>
              </w:tc>
              <w:tc>
                <w:tcPr>
                  <w:tcW w:w="891" w:type="pct"/>
                  <w:tcBorders>
                    <w:tl2br w:val="nil"/>
                    <w:tr2bl w:val="nil"/>
                  </w:tcBorders>
                  <w:vAlign w:val="center"/>
                </w:tcPr>
                <w:p w14:paraId="47D67023">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70</w:t>
                  </w:r>
                </w:p>
              </w:tc>
              <w:tc>
                <w:tcPr>
                  <w:tcW w:w="683" w:type="pct"/>
                  <w:tcBorders>
                    <w:tl2br w:val="nil"/>
                    <w:tr2bl w:val="nil"/>
                  </w:tcBorders>
                  <w:vAlign w:val="center"/>
                </w:tcPr>
                <w:p w14:paraId="0898D046">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58.57</w:t>
                  </w:r>
                </w:p>
              </w:tc>
              <w:tc>
                <w:tcPr>
                  <w:tcW w:w="653" w:type="pct"/>
                  <w:tcBorders>
                    <w:tl2br w:val="nil"/>
                    <w:tr2bl w:val="nil"/>
                  </w:tcBorders>
                  <w:vAlign w:val="center"/>
                </w:tcPr>
                <w:p w14:paraId="697AD3EF">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r w14:paraId="2F2227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rPr>
              <w:tc>
                <w:tcPr>
                  <w:tcW w:w="549" w:type="pct"/>
                  <w:tcBorders>
                    <w:tl2br w:val="nil"/>
                    <w:tr2bl w:val="nil"/>
                  </w:tcBorders>
                  <w:vAlign w:val="center"/>
                </w:tcPr>
                <w:p w14:paraId="26965B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w:t>
                  </w:r>
                </w:p>
              </w:tc>
              <w:tc>
                <w:tcPr>
                  <w:tcW w:w="1262" w:type="pct"/>
                  <w:tcBorders>
                    <w:tl2br w:val="nil"/>
                    <w:tr2bl w:val="nil"/>
                  </w:tcBorders>
                  <w:vAlign w:val="center"/>
                </w:tcPr>
                <w:p w14:paraId="7137D3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95百分位数日均浓度</w:t>
                  </w:r>
                </w:p>
              </w:tc>
              <w:tc>
                <w:tcPr>
                  <w:tcW w:w="959" w:type="pct"/>
                  <w:tcBorders>
                    <w:tl2br w:val="nil"/>
                    <w:tr2bl w:val="nil"/>
                  </w:tcBorders>
                  <w:vAlign w:val="center"/>
                </w:tcPr>
                <w:p w14:paraId="05BED3D5">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900</w:t>
                  </w:r>
                </w:p>
              </w:tc>
              <w:tc>
                <w:tcPr>
                  <w:tcW w:w="891" w:type="pct"/>
                  <w:tcBorders>
                    <w:tl2br w:val="nil"/>
                    <w:tr2bl w:val="nil"/>
                  </w:tcBorders>
                  <w:vAlign w:val="center"/>
                </w:tcPr>
                <w:p w14:paraId="04D14E1A">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4000</w:t>
                  </w:r>
                </w:p>
              </w:tc>
              <w:tc>
                <w:tcPr>
                  <w:tcW w:w="683" w:type="pct"/>
                  <w:tcBorders>
                    <w:tl2br w:val="nil"/>
                    <w:tr2bl w:val="nil"/>
                  </w:tcBorders>
                  <w:vAlign w:val="center"/>
                </w:tcPr>
                <w:p w14:paraId="6CADE601">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22.50</w:t>
                  </w:r>
                </w:p>
              </w:tc>
              <w:tc>
                <w:tcPr>
                  <w:tcW w:w="653" w:type="pct"/>
                  <w:tcBorders>
                    <w:tl2br w:val="nil"/>
                    <w:tr2bl w:val="nil"/>
                  </w:tcBorders>
                  <w:vAlign w:val="center"/>
                </w:tcPr>
                <w:p w14:paraId="665D94CB">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r w14:paraId="25EFBE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rPr>
              <w:tc>
                <w:tcPr>
                  <w:tcW w:w="549" w:type="pct"/>
                  <w:tcBorders>
                    <w:tl2br w:val="nil"/>
                    <w:tr2bl w:val="nil"/>
                  </w:tcBorders>
                  <w:vAlign w:val="center"/>
                </w:tcPr>
                <w:p w14:paraId="4C48DD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O</w:t>
                  </w:r>
                  <w:r>
                    <w:rPr>
                      <w:rFonts w:hint="eastAsia"/>
                      <w:color w:val="000000" w:themeColor="text1"/>
                      <w:sz w:val="21"/>
                      <w:szCs w:val="21"/>
                      <w:vertAlign w:val="subscript"/>
                      <w14:textFill>
                        <w14:solidFill>
                          <w14:schemeClr w14:val="tx1"/>
                        </w14:solidFill>
                      </w14:textFill>
                    </w:rPr>
                    <w:t>3</w:t>
                  </w:r>
                </w:p>
              </w:tc>
              <w:tc>
                <w:tcPr>
                  <w:tcW w:w="1262" w:type="pct"/>
                  <w:tcBorders>
                    <w:tl2br w:val="nil"/>
                    <w:tr2bl w:val="nil"/>
                  </w:tcBorders>
                  <w:vAlign w:val="center"/>
                </w:tcPr>
                <w:p w14:paraId="22779E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90百分位数8小时平均质量浓度</w:t>
                  </w:r>
                </w:p>
              </w:tc>
              <w:tc>
                <w:tcPr>
                  <w:tcW w:w="959" w:type="pct"/>
                  <w:tcBorders>
                    <w:tl2br w:val="nil"/>
                    <w:tr2bl w:val="nil"/>
                  </w:tcBorders>
                  <w:vAlign w:val="center"/>
                </w:tcPr>
                <w:p w14:paraId="6202ABD3">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108</w:t>
                  </w:r>
                </w:p>
              </w:tc>
              <w:tc>
                <w:tcPr>
                  <w:tcW w:w="891" w:type="pct"/>
                  <w:tcBorders>
                    <w:tl2br w:val="nil"/>
                    <w:tr2bl w:val="nil"/>
                  </w:tcBorders>
                  <w:vAlign w:val="center"/>
                </w:tcPr>
                <w:p w14:paraId="1B86A249">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160</w:t>
                  </w:r>
                </w:p>
              </w:tc>
              <w:tc>
                <w:tcPr>
                  <w:tcW w:w="683" w:type="pct"/>
                  <w:tcBorders>
                    <w:tl2br w:val="nil"/>
                    <w:tr2bl w:val="nil"/>
                  </w:tcBorders>
                  <w:vAlign w:val="center"/>
                </w:tcPr>
                <w:p w14:paraId="170C7BD3">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67.50</w:t>
                  </w:r>
                </w:p>
              </w:tc>
              <w:tc>
                <w:tcPr>
                  <w:tcW w:w="653" w:type="pct"/>
                  <w:tcBorders>
                    <w:tl2br w:val="nil"/>
                    <w:tr2bl w:val="nil"/>
                  </w:tcBorders>
                  <w:vAlign w:val="center"/>
                </w:tcPr>
                <w:p w14:paraId="54F7150F">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r w14:paraId="0797C7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rPr>
              <w:tc>
                <w:tcPr>
                  <w:tcW w:w="549" w:type="pct"/>
                  <w:tcBorders>
                    <w:tl2br w:val="nil"/>
                    <w:tr2bl w:val="nil"/>
                  </w:tcBorders>
                  <w:vAlign w:val="center"/>
                </w:tcPr>
                <w:p w14:paraId="7962D3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PM</w:t>
                  </w:r>
                  <w:r>
                    <w:rPr>
                      <w:rFonts w:hint="eastAsia"/>
                      <w:color w:val="000000" w:themeColor="text1"/>
                      <w:sz w:val="21"/>
                      <w:szCs w:val="21"/>
                      <w:vertAlign w:val="subscript"/>
                      <w14:textFill>
                        <w14:solidFill>
                          <w14:schemeClr w14:val="tx1"/>
                        </w14:solidFill>
                      </w14:textFill>
                    </w:rPr>
                    <w:t>2.5</w:t>
                  </w:r>
                </w:p>
              </w:tc>
              <w:tc>
                <w:tcPr>
                  <w:tcW w:w="1262" w:type="pct"/>
                  <w:tcBorders>
                    <w:tl2br w:val="nil"/>
                    <w:tr2bl w:val="nil"/>
                  </w:tcBorders>
                  <w:vAlign w:val="center"/>
                </w:tcPr>
                <w:p w14:paraId="5F605F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年平均质量浓度</w:t>
                  </w:r>
                </w:p>
              </w:tc>
              <w:tc>
                <w:tcPr>
                  <w:tcW w:w="959" w:type="pct"/>
                  <w:tcBorders>
                    <w:tl2br w:val="nil"/>
                    <w:tr2bl w:val="nil"/>
                  </w:tcBorders>
                  <w:vAlign w:val="center"/>
                </w:tcPr>
                <w:p w14:paraId="0F3049F2">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21.6</w:t>
                  </w:r>
                </w:p>
              </w:tc>
              <w:tc>
                <w:tcPr>
                  <w:tcW w:w="891" w:type="pct"/>
                  <w:tcBorders>
                    <w:tl2br w:val="nil"/>
                    <w:tr2bl w:val="nil"/>
                  </w:tcBorders>
                  <w:vAlign w:val="center"/>
                </w:tcPr>
                <w:p w14:paraId="4A918169">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35</w:t>
                  </w:r>
                </w:p>
              </w:tc>
              <w:tc>
                <w:tcPr>
                  <w:tcW w:w="683" w:type="pct"/>
                  <w:tcBorders>
                    <w:tl2br w:val="nil"/>
                    <w:tr2bl w:val="nil"/>
                  </w:tcBorders>
                  <w:vAlign w:val="center"/>
                </w:tcPr>
                <w:p w14:paraId="4B1E7156">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61.71</w:t>
                  </w:r>
                </w:p>
              </w:tc>
              <w:tc>
                <w:tcPr>
                  <w:tcW w:w="653" w:type="pct"/>
                  <w:tcBorders>
                    <w:tl2br w:val="nil"/>
                    <w:tr2bl w:val="nil"/>
                  </w:tcBorders>
                  <w:vAlign w:val="center"/>
                </w:tcPr>
                <w:p w14:paraId="69EEC210">
                  <w:pPr>
                    <w:keepNext/>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bl>
          <w:p w14:paraId="3F2777F1">
            <w:pPr>
              <w:pStyle w:val="85"/>
              <w:keepNext w:val="0"/>
              <w:keepLines w:val="0"/>
              <w:pageBreakBefore w:val="0"/>
              <w:widowControl w:val="0"/>
              <w:suppressLineNumbers w:val="0"/>
              <w:kinsoku/>
              <w:wordWrap/>
              <w:overflowPunct/>
              <w:topLinePunct w:val="0"/>
              <w:autoSpaceDE/>
              <w:autoSpaceDN/>
              <w:bidi w:val="0"/>
              <w:adjustRightInd w:val="0"/>
              <w:snapToGrid w:val="0"/>
              <w:spacing w:before="234" w:beforeLines="50" w:beforeAutospacing="0" w:after="0" w:afterAutospacing="0"/>
              <w:ind w:left="0" w:right="0" w:firstLine="480"/>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根据防城港市自动站点大海花园的例行监测数据（距离本项目最近的自动监测站点位），202</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u w:val="none"/>
                <w14:textFill>
                  <w14:solidFill>
                    <w14:schemeClr w14:val="tx1"/>
                  </w14:solidFill>
                </w14:textFill>
              </w:rPr>
              <w:t>年，港口区的SO</w:t>
            </w:r>
            <w:r>
              <w:rPr>
                <w:rFonts w:hint="default" w:ascii="Times New Roman" w:hAnsi="Times New Roman" w:eastAsia="宋体" w:cs="Times New Roman"/>
                <w:color w:val="000000" w:themeColor="text1"/>
                <w:sz w:val="24"/>
                <w:szCs w:val="24"/>
                <w:u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u w:val="none"/>
                <w14:textFill>
                  <w14:solidFill>
                    <w14:schemeClr w14:val="tx1"/>
                  </w14:solidFill>
                </w14:textFill>
              </w:rPr>
              <w:t>、NO</w:t>
            </w:r>
            <w:r>
              <w:rPr>
                <w:rFonts w:hint="default" w:ascii="Times New Roman" w:hAnsi="Times New Roman" w:eastAsia="宋体" w:cs="Times New Roman"/>
                <w:color w:val="000000" w:themeColor="text1"/>
                <w:sz w:val="24"/>
                <w:szCs w:val="24"/>
                <w:u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u w:val="none"/>
                <w14:textFill>
                  <w14:solidFill>
                    <w14:schemeClr w14:val="tx1"/>
                  </w14:solidFill>
                </w14:textFill>
              </w:rPr>
              <w:t>、PM</w:t>
            </w:r>
            <w:r>
              <w:rPr>
                <w:rFonts w:hint="default" w:ascii="Times New Roman" w:hAnsi="Times New Roman" w:eastAsia="宋体" w:cs="Times New Roman"/>
                <w:color w:val="000000" w:themeColor="text1"/>
                <w:sz w:val="24"/>
                <w:szCs w:val="24"/>
                <w:u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u w:val="none"/>
                <w14:textFill>
                  <w14:solidFill>
                    <w14:schemeClr w14:val="tx1"/>
                  </w14:solidFill>
                </w14:textFill>
              </w:rPr>
              <w:t>、PM</w:t>
            </w:r>
            <w:r>
              <w:rPr>
                <w:rFonts w:hint="default" w:ascii="Times New Roman" w:hAnsi="Times New Roman" w:eastAsia="宋体" w:cs="Times New Roman"/>
                <w:color w:val="000000" w:themeColor="text1"/>
                <w:sz w:val="24"/>
                <w:szCs w:val="24"/>
                <w:u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u w:val="none"/>
                <w14:textFill>
                  <w14:solidFill>
                    <w14:schemeClr w14:val="tx1"/>
                  </w14:solidFill>
                </w14:textFill>
              </w:rPr>
              <w:t xml:space="preserve"> 年均浓度分别为</w: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t>7 ug/m</w:t>
            </w:r>
            <w:r>
              <w:rPr>
                <w:rFonts w:hint="default" w:ascii="Times New Roman" w:hAnsi="Times New Roman" w:eastAsia="宋体" w:cs="Times New Roman"/>
                <w:i w:val="0"/>
                <w:iCs w:val="0"/>
                <w:caps w:val="0"/>
                <w:color w:val="000000" w:themeColor="text1"/>
                <w:spacing w:val="0"/>
                <w:sz w:val="24"/>
                <w:szCs w:val="24"/>
                <w:u w:val="none"/>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t>、19 ug/m</w:t>
            </w:r>
            <w:r>
              <w:rPr>
                <w:rFonts w:hint="default" w:ascii="Times New Roman" w:hAnsi="Times New Roman" w:eastAsia="宋体" w:cs="Times New Roman"/>
                <w:i w:val="0"/>
                <w:iCs w:val="0"/>
                <w:caps w:val="0"/>
                <w:color w:val="000000" w:themeColor="text1"/>
                <w:spacing w:val="0"/>
                <w:sz w:val="24"/>
                <w:szCs w:val="24"/>
                <w:u w:val="none"/>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t>、41 ug/m</w:t>
            </w:r>
            <w:r>
              <w:rPr>
                <w:rFonts w:hint="default" w:ascii="Times New Roman" w:hAnsi="Times New Roman" w:eastAsia="宋体" w:cs="Times New Roman"/>
                <w:i w:val="0"/>
                <w:iCs w:val="0"/>
                <w:caps w:val="0"/>
                <w:color w:val="000000" w:themeColor="text1"/>
                <w:spacing w:val="0"/>
                <w:sz w:val="24"/>
                <w:szCs w:val="24"/>
                <w:u w:val="none"/>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t>、22 ug/m</w:t>
            </w:r>
            <w:r>
              <w:rPr>
                <w:rFonts w:hint="default" w:ascii="Times New Roman" w:hAnsi="Times New Roman" w:eastAsia="宋体" w:cs="Times New Roman"/>
                <w:i w:val="0"/>
                <w:iCs w:val="0"/>
                <w:caps w:val="0"/>
                <w:color w:val="000000" w:themeColor="text1"/>
                <w:spacing w:val="0"/>
                <w:sz w:val="24"/>
                <w:szCs w:val="24"/>
                <w:u w:val="none"/>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t>；CO 24小时平均第95百分位数为1.1mg/m</w:t>
            </w:r>
            <w:r>
              <w:rPr>
                <w:rFonts w:hint="default" w:ascii="Times New Roman" w:hAnsi="Times New Roman" w:eastAsia="宋体" w:cs="Times New Roman"/>
                <w:i w:val="0"/>
                <w:iCs w:val="0"/>
                <w:caps w:val="0"/>
                <w:color w:val="000000" w:themeColor="text1"/>
                <w:spacing w:val="0"/>
                <w:sz w:val="24"/>
                <w:szCs w:val="24"/>
                <w:u w:val="none"/>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t>，O</w:t>
            </w:r>
            <w:r>
              <w:rPr>
                <w:rFonts w:hint="default" w:ascii="Times New Roman" w:hAnsi="Times New Roman" w:eastAsia="宋体" w:cs="Times New Roman"/>
                <w:i w:val="0"/>
                <w:iCs w:val="0"/>
                <w:caps w:val="0"/>
                <w:color w:val="000000" w:themeColor="text1"/>
                <w:spacing w:val="0"/>
                <w:sz w:val="24"/>
                <w:szCs w:val="24"/>
                <w:u w:val="none"/>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t>日最大8小时平均第90百分位数为108 ug/m</w:t>
            </w:r>
            <w:r>
              <w:rPr>
                <w:rFonts w:hint="default" w:ascii="Times New Roman" w:hAnsi="Times New Roman" w:eastAsia="宋体" w:cs="Times New Roman"/>
                <w:i w:val="0"/>
                <w:iCs w:val="0"/>
                <w:caps w:val="0"/>
                <w:color w:val="000000" w:themeColor="text1"/>
                <w:spacing w:val="0"/>
                <w:sz w:val="24"/>
                <w:szCs w:val="24"/>
                <w:u w:val="none"/>
                <w:shd w:val="clear" w:fill="FFFFFF"/>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u w:val="none"/>
                <w14:textFill>
                  <w14:solidFill>
                    <w14:schemeClr w14:val="tx1"/>
                  </w14:solidFill>
                </w14:textFill>
              </w:rPr>
              <w:t>；各污染物平均浓度均优于《环境空气质量标准》（GB3095-</w:t>
            </w:r>
            <w:r>
              <w:rPr>
                <w:rFonts w:hint="eastAsia" w:cs="Times New Roman"/>
                <w:color w:val="000000" w:themeColor="text1"/>
                <w:sz w:val="24"/>
                <w:szCs w:val="24"/>
                <w:u w:val="none"/>
                <w:lang w:val="en-US" w:eastAsia="zh-CN"/>
                <w14:textFill>
                  <w14:solidFill>
                    <w14:schemeClr w14:val="tx1"/>
                  </w14:solidFill>
                </w14:textFill>
              </w:rPr>
              <w:t>2026</w:t>
            </w:r>
            <w:r>
              <w:rPr>
                <w:rFonts w:hint="default" w:ascii="Times New Roman" w:hAnsi="Times New Roman" w:eastAsia="宋体" w:cs="Times New Roman"/>
                <w:color w:val="000000" w:themeColor="text1"/>
                <w:sz w:val="24"/>
                <w:szCs w:val="24"/>
                <w:u w:val="none"/>
                <w14:textFill>
                  <w14:solidFill>
                    <w14:schemeClr w14:val="tx1"/>
                  </w14:solidFill>
                </w14:textFill>
              </w:rPr>
              <w:t>）中二级标准限值，判定防城港市港口区为环境空气质量达标区。</w:t>
            </w:r>
          </w:p>
          <w:p w14:paraId="65FC62C4">
            <w:pPr>
              <w:pStyle w:val="85"/>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sz w:val="24"/>
                <w:szCs w:val="24"/>
                <w:u w:val="none"/>
                <w:lang w:val="zh-CN"/>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具体公布统计数据及评价结果详见下表3.</w:t>
            </w:r>
            <w:r>
              <w:rPr>
                <w:rFonts w:hint="eastAsia" w:cs="Times New Roman"/>
                <w:color w:val="000000" w:themeColor="text1"/>
                <w:sz w:val="24"/>
                <w:szCs w:val="24"/>
                <w:u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u w:val="none"/>
                <w14:textFill>
                  <w14:solidFill>
                    <w14:schemeClr w14:val="tx1"/>
                  </w14:solidFill>
                </w14:textFill>
              </w:rPr>
              <w:t>。</w:t>
            </w:r>
          </w:p>
          <w:p w14:paraId="6B4021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default"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3.7-2</w:t>
            </w:r>
            <w:r>
              <w:rPr>
                <w:rFonts w:hint="default" w:ascii="Times New Roman" w:hAnsi="Times New Roman" w:cs="Times New Roman"/>
                <w:b/>
                <w:bCs/>
                <w:color w:val="auto"/>
                <w:kern w:val="0"/>
                <w:sz w:val="21"/>
                <w:szCs w:val="21"/>
                <w:lang w:val="zh-CN" w:eastAsia="zh-CN"/>
              </w:rPr>
              <w:t xml:space="preserve"> </w:t>
            </w:r>
            <w:r>
              <w:rPr>
                <w:rFonts w:hint="eastAsia" w:ascii="Times New Roman" w:hAnsi="Times New Roman" w:cs="Times New Roman"/>
                <w:b/>
                <w:bCs/>
                <w:color w:val="auto"/>
                <w:kern w:val="0"/>
                <w:sz w:val="21"/>
                <w:szCs w:val="21"/>
                <w:lang w:val="en-US" w:eastAsia="zh-CN"/>
              </w:rPr>
              <w:t xml:space="preserve"> </w:t>
            </w:r>
            <w:r>
              <w:rPr>
                <w:rFonts w:hint="eastAsia" w:ascii="Times New Roman" w:hAnsi="Times New Roman" w:cs="Times New Roman"/>
                <w:b/>
                <w:bCs/>
                <w:color w:val="auto"/>
                <w:kern w:val="0"/>
                <w:sz w:val="21"/>
                <w:szCs w:val="21"/>
                <w:lang w:val="zh-CN" w:eastAsia="zh-CN"/>
              </w:rPr>
              <w:t>202</w:t>
            </w:r>
            <w:r>
              <w:rPr>
                <w:rFonts w:hint="eastAsia" w:ascii="Times New Roman" w:hAnsi="Times New Roman" w:cs="Times New Roman"/>
                <w:b/>
                <w:bCs/>
                <w:color w:val="auto"/>
                <w:kern w:val="0"/>
                <w:sz w:val="21"/>
                <w:szCs w:val="21"/>
                <w:lang w:val="en-US" w:eastAsia="zh-CN"/>
              </w:rPr>
              <w:t>3</w:t>
            </w:r>
            <w:r>
              <w:rPr>
                <w:rFonts w:hint="eastAsia" w:ascii="Times New Roman" w:hAnsi="Times New Roman" w:cs="Times New Roman"/>
                <w:b/>
                <w:bCs/>
                <w:color w:val="auto"/>
                <w:kern w:val="0"/>
                <w:sz w:val="21"/>
                <w:szCs w:val="21"/>
                <w:lang w:val="zh-CN" w:eastAsia="zh-CN"/>
              </w:rPr>
              <w:t>年防城港市环境空气质量现状表</w:t>
            </w:r>
          </w:p>
          <w:tbl>
            <w:tblPr>
              <w:tblStyle w:val="28"/>
              <w:tblW w:w="76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3" w:type="dxa"/>
                <w:bottom w:w="0" w:type="dxa"/>
                <w:right w:w="23" w:type="dxa"/>
              </w:tblCellMar>
            </w:tblPr>
            <w:tblGrid>
              <w:gridCol w:w="1599"/>
              <w:gridCol w:w="2033"/>
              <w:gridCol w:w="948"/>
              <w:gridCol w:w="1114"/>
              <w:gridCol w:w="998"/>
              <w:gridCol w:w="998"/>
            </w:tblGrid>
            <w:tr w14:paraId="49D8B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3" w:type="dxa"/>
                </w:tblCellMar>
              </w:tblPrEx>
              <w:trPr>
                <w:trHeight w:val="23" w:hRule="atLeast"/>
                <w:jc w:val="center"/>
              </w:trPr>
              <w:tc>
                <w:tcPr>
                  <w:tcW w:w="1599" w:type="dxa"/>
                  <w:tcBorders>
                    <w:tl2br w:val="nil"/>
                    <w:tr2bl w:val="nil"/>
                  </w:tcBorders>
                  <w:noWrap w:val="0"/>
                  <w:vAlign w:val="center"/>
                </w:tcPr>
                <w:p w14:paraId="25D5A366">
                  <w:pPr>
                    <w:pStyle w:val="8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污染物</w:t>
                  </w:r>
                </w:p>
              </w:tc>
              <w:tc>
                <w:tcPr>
                  <w:tcW w:w="2033" w:type="dxa"/>
                  <w:tcBorders>
                    <w:tl2br w:val="nil"/>
                    <w:tr2bl w:val="nil"/>
                  </w:tcBorders>
                  <w:noWrap w:val="0"/>
                  <w:vAlign w:val="center"/>
                </w:tcPr>
                <w:p w14:paraId="5A5F9057">
                  <w:pPr>
                    <w:pStyle w:val="8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评价指标</w:t>
                  </w:r>
                </w:p>
              </w:tc>
              <w:tc>
                <w:tcPr>
                  <w:tcW w:w="948" w:type="dxa"/>
                  <w:tcBorders>
                    <w:tl2br w:val="nil"/>
                    <w:tr2bl w:val="nil"/>
                  </w:tcBorders>
                  <w:noWrap w:val="0"/>
                  <w:vAlign w:val="center"/>
                </w:tcPr>
                <w:p w14:paraId="157B3027">
                  <w:pPr>
                    <w:pStyle w:val="8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现状浓度</w:t>
                  </w:r>
                </w:p>
              </w:tc>
              <w:tc>
                <w:tcPr>
                  <w:tcW w:w="1114" w:type="dxa"/>
                  <w:tcBorders>
                    <w:tl2br w:val="nil"/>
                    <w:tr2bl w:val="nil"/>
                  </w:tcBorders>
                  <w:noWrap w:val="0"/>
                  <w:vAlign w:val="center"/>
                </w:tcPr>
                <w:p w14:paraId="11C2506E">
                  <w:pPr>
                    <w:pStyle w:val="86"/>
                    <w:keepNext w:val="0"/>
                    <w:keepLines w:val="0"/>
                    <w:suppressLineNumbers w:val="0"/>
                    <w:spacing w:before="0" w:beforeAutospacing="0" w:after="0" w:afterAutospacing="0"/>
                    <w:ind w:left="0" w:right="0"/>
                    <w:rPr>
                      <w:rFonts w:hint="eastAsia" w:ascii="Times New Roman" w:hAnsi="Times New Roman" w:eastAsia="宋体" w:cs="Times New Roman"/>
                      <w:b/>
                      <w:bCs/>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标准值</w:t>
                  </w:r>
                  <w:r>
                    <w:rPr>
                      <w:rFonts w:hint="eastAsia" w:cs="Times New Roman"/>
                      <w:b/>
                      <w:bCs/>
                      <w:color w:val="000000" w:themeColor="text1"/>
                      <w:sz w:val="21"/>
                      <w:szCs w:val="21"/>
                      <w:u w:val="none"/>
                      <w:lang w:eastAsia="zh-CN"/>
                      <w14:textFill>
                        <w14:solidFill>
                          <w14:schemeClr w14:val="tx1"/>
                        </w14:solidFill>
                      </w14:textFill>
                    </w:rPr>
                    <w:t>（</w:t>
                  </w:r>
                  <w:r>
                    <w:rPr>
                      <w:rFonts w:hint="eastAsia" w:cs="Times New Roman"/>
                      <w:b/>
                      <w:bCs/>
                      <w:color w:val="000000" w:themeColor="text1"/>
                      <w:sz w:val="21"/>
                      <w:szCs w:val="21"/>
                      <w:u w:val="none"/>
                      <w:lang w:val="en-US" w:eastAsia="zh-CN"/>
                      <w14:textFill>
                        <w14:solidFill>
                          <w14:schemeClr w14:val="tx1"/>
                        </w14:solidFill>
                      </w14:textFill>
                    </w:rPr>
                    <w:t>过度阶段</w:t>
                  </w:r>
                  <w:r>
                    <w:rPr>
                      <w:rFonts w:hint="eastAsia" w:cs="Times New Roman"/>
                      <w:b/>
                      <w:bCs/>
                      <w:color w:val="000000" w:themeColor="text1"/>
                      <w:sz w:val="21"/>
                      <w:szCs w:val="21"/>
                      <w:u w:val="none"/>
                      <w:lang w:eastAsia="zh-CN"/>
                      <w14:textFill>
                        <w14:solidFill>
                          <w14:schemeClr w14:val="tx1"/>
                        </w14:solidFill>
                      </w14:textFill>
                    </w:rPr>
                    <w:t>）</w:t>
                  </w:r>
                </w:p>
              </w:tc>
              <w:tc>
                <w:tcPr>
                  <w:tcW w:w="998" w:type="dxa"/>
                  <w:tcBorders>
                    <w:tl2br w:val="nil"/>
                    <w:tr2bl w:val="nil"/>
                  </w:tcBorders>
                  <w:noWrap w:val="0"/>
                  <w:vAlign w:val="center"/>
                </w:tcPr>
                <w:p w14:paraId="2296E4A6">
                  <w:pPr>
                    <w:pStyle w:val="8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占标率%</w:t>
                  </w:r>
                </w:p>
              </w:tc>
              <w:tc>
                <w:tcPr>
                  <w:tcW w:w="998" w:type="dxa"/>
                  <w:tcBorders>
                    <w:tl2br w:val="nil"/>
                    <w:tr2bl w:val="nil"/>
                  </w:tcBorders>
                  <w:noWrap w:val="0"/>
                  <w:vAlign w:val="center"/>
                </w:tcPr>
                <w:p w14:paraId="4DAE67CC">
                  <w:pPr>
                    <w:pStyle w:val="8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达标情况</w:t>
                  </w:r>
                </w:p>
              </w:tc>
            </w:tr>
            <w:tr w14:paraId="5CEF2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3" w:type="dxa"/>
                </w:tblCellMar>
              </w:tblPrEx>
              <w:trPr>
                <w:trHeight w:val="23" w:hRule="atLeast"/>
                <w:jc w:val="center"/>
              </w:trPr>
              <w:tc>
                <w:tcPr>
                  <w:tcW w:w="1599" w:type="dxa"/>
                  <w:tcBorders>
                    <w:tl2br w:val="nil"/>
                    <w:tr2bl w:val="nil"/>
                  </w:tcBorders>
                  <w:noWrap w:val="0"/>
                  <w:vAlign w:val="center"/>
                </w:tcPr>
                <w:p w14:paraId="5ACC8818">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二氧化硫μg/m</w:t>
                  </w:r>
                  <w:r>
                    <w:rPr>
                      <w:rFonts w:hint="default" w:ascii="Times New Roman" w:hAnsi="Times New Roman" w:eastAsia="宋体" w:cs="Times New Roman"/>
                      <w:color w:val="000000" w:themeColor="text1"/>
                      <w:sz w:val="21"/>
                      <w:szCs w:val="21"/>
                      <w:u w:val="none"/>
                      <w:vertAlign w:val="superscript"/>
                      <w14:textFill>
                        <w14:solidFill>
                          <w14:schemeClr w14:val="tx1"/>
                        </w14:solidFill>
                      </w14:textFill>
                    </w:rPr>
                    <w:t>3</w:t>
                  </w:r>
                </w:p>
              </w:tc>
              <w:tc>
                <w:tcPr>
                  <w:tcW w:w="2033" w:type="dxa"/>
                  <w:tcBorders>
                    <w:tl2br w:val="nil"/>
                    <w:tr2bl w:val="nil"/>
                  </w:tcBorders>
                  <w:noWrap w:val="0"/>
                  <w:vAlign w:val="center"/>
                </w:tcPr>
                <w:p w14:paraId="37026C92">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年平均质量浓度</w:t>
                  </w:r>
                </w:p>
              </w:tc>
              <w:tc>
                <w:tcPr>
                  <w:tcW w:w="948" w:type="dxa"/>
                  <w:tcBorders>
                    <w:tl2br w:val="nil"/>
                    <w:tr2bl w:val="nil"/>
                  </w:tcBorders>
                  <w:noWrap w:val="0"/>
                  <w:vAlign w:val="center"/>
                </w:tcPr>
                <w:p w14:paraId="566E89D5">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7</w:t>
                  </w:r>
                </w:p>
              </w:tc>
              <w:tc>
                <w:tcPr>
                  <w:tcW w:w="1114" w:type="dxa"/>
                  <w:tcBorders>
                    <w:tl2br w:val="nil"/>
                    <w:tr2bl w:val="nil"/>
                  </w:tcBorders>
                  <w:noWrap w:val="0"/>
                  <w:vAlign w:val="center"/>
                </w:tcPr>
                <w:p w14:paraId="465DA31F">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60</w:t>
                  </w:r>
                </w:p>
              </w:tc>
              <w:tc>
                <w:tcPr>
                  <w:tcW w:w="998" w:type="dxa"/>
                  <w:tcBorders>
                    <w:tl2br w:val="nil"/>
                    <w:tr2bl w:val="nil"/>
                  </w:tcBorders>
                  <w:noWrap w:val="0"/>
                  <w:vAlign w:val="center"/>
                </w:tcPr>
                <w:p w14:paraId="0E2B09E5">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11.67</w:t>
                  </w:r>
                </w:p>
              </w:tc>
              <w:tc>
                <w:tcPr>
                  <w:tcW w:w="998" w:type="dxa"/>
                  <w:tcBorders>
                    <w:tl2br w:val="nil"/>
                    <w:tr2bl w:val="nil"/>
                  </w:tcBorders>
                  <w:noWrap w:val="0"/>
                  <w:vAlign w:val="center"/>
                </w:tcPr>
                <w:p w14:paraId="247D622E">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达标</w:t>
                  </w:r>
                </w:p>
              </w:tc>
            </w:tr>
            <w:tr w14:paraId="63D81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3" w:type="dxa"/>
                </w:tblCellMar>
              </w:tblPrEx>
              <w:trPr>
                <w:trHeight w:val="23" w:hRule="atLeast"/>
                <w:jc w:val="center"/>
              </w:trPr>
              <w:tc>
                <w:tcPr>
                  <w:tcW w:w="1599" w:type="dxa"/>
                  <w:tcBorders>
                    <w:tl2br w:val="nil"/>
                    <w:tr2bl w:val="nil"/>
                  </w:tcBorders>
                  <w:noWrap w:val="0"/>
                  <w:vAlign w:val="center"/>
                </w:tcPr>
                <w:p w14:paraId="76573B2B">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二氧化氮μg/m</w:t>
                  </w:r>
                  <w:r>
                    <w:rPr>
                      <w:rFonts w:hint="default" w:ascii="Times New Roman" w:hAnsi="Times New Roman" w:eastAsia="宋体" w:cs="Times New Roman"/>
                      <w:color w:val="000000" w:themeColor="text1"/>
                      <w:sz w:val="21"/>
                      <w:szCs w:val="21"/>
                      <w:u w:val="none"/>
                      <w:vertAlign w:val="superscript"/>
                      <w14:textFill>
                        <w14:solidFill>
                          <w14:schemeClr w14:val="tx1"/>
                        </w14:solidFill>
                      </w14:textFill>
                    </w:rPr>
                    <w:t>3</w:t>
                  </w:r>
                </w:p>
              </w:tc>
              <w:tc>
                <w:tcPr>
                  <w:tcW w:w="2033" w:type="dxa"/>
                  <w:tcBorders>
                    <w:tl2br w:val="nil"/>
                    <w:tr2bl w:val="nil"/>
                  </w:tcBorders>
                  <w:noWrap w:val="0"/>
                  <w:vAlign w:val="center"/>
                </w:tcPr>
                <w:p w14:paraId="616654C4">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年平均质量浓度</w:t>
                  </w:r>
                </w:p>
              </w:tc>
              <w:tc>
                <w:tcPr>
                  <w:tcW w:w="948" w:type="dxa"/>
                  <w:tcBorders>
                    <w:tl2br w:val="nil"/>
                    <w:tr2bl w:val="nil"/>
                  </w:tcBorders>
                  <w:noWrap w:val="0"/>
                  <w:vAlign w:val="center"/>
                </w:tcPr>
                <w:p w14:paraId="074F82B7">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19</w:t>
                  </w:r>
                </w:p>
              </w:tc>
              <w:tc>
                <w:tcPr>
                  <w:tcW w:w="1114" w:type="dxa"/>
                  <w:tcBorders>
                    <w:tl2br w:val="nil"/>
                    <w:tr2bl w:val="nil"/>
                  </w:tcBorders>
                  <w:noWrap w:val="0"/>
                  <w:vAlign w:val="center"/>
                </w:tcPr>
                <w:p w14:paraId="66A0257E">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40</w:t>
                  </w:r>
                </w:p>
              </w:tc>
              <w:tc>
                <w:tcPr>
                  <w:tcW w:w="998" w:type="dxa"/>
                  <w:tcBorders>
                    <w:tl2br w:val="nil"/>
                    <w:tr2bl w:val="nil"/>
                  </w:tcBorders>
                  <w:noWrap w:val="0"/>
                  <w:vAlign w:val="center"/>
                </w:tcPr>
                <w:p w14:paraId="041F3D0D">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47.50</w:t>
                  </w:r>
                </w:p>
              </w:tc>
              <w:tc>
                <w:tcPr>
                  <w:tcW w:w="998" w:type="dxa"/>
                  <w:tcBorders>
                    <w:tl2br w:val="nil"/>
                    <w:tr2bl w:val="nil"/>
                  </w:tcBorders>
                  <w:noWrap w:val="0"/>
                  <w:vAlign w:val="center"/>
                </w:tcPr>
                <w:p w14:paraId="0DE76151">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达标</w:t>
                  </w:r>
                </w:p>
              </w:tc>
            </w:tr>
            <w:tr w14:paraId="02847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3" w:type="dxa"/>
                </w:tblCellMar>
              </w:tblPrEx>
              <w:trPr>
                <w:trHeight w:val="23" w:hRule="atLeast"/>
                <w:jc w:val="center"/>
              </w:trPr>
              <w:tc>
                <w:tcPr>
                  <w:tcW w:w="1599" w:type="dxa"/>
                  <w:tcBorders>
                    <w:tl2br w:val="nil"/>
                    <w:tr2bl w:val="nil"/>
                  </w:tcBorders>
                  <w:shd w:val="clear" w:color="auto" w:fill="auto"/>
                  <w:noWrap w:val="0"/>
                  <w:vAlign w:val="center"/>
                </w:tcPr>
                <w:p w14:paraId="7BF306B1">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PM</w:t>
                  </w:r>
                  <w:r>
                    <w:rPr>
                      <w:rFonts w:hint="default" w:ascii="Times New Roman" w:hAnsi="Times New Roman" w:eastAsia="宋体" w:cs="Times New Roman"/>
                      <w:color w:val="000000" w:themeColor="text1"/>
                      <w:sz w:val="21"/>
                      <w:szCs w:val="21"/>
                      <w:u w:val="none"/>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u w:val="none"/>
                      <w14:textFill>
                        <w14:solidFill>
                          <w14:schemeClr w14:val="tx1"/>
                        </w14:solidFill>
                      </w14:textFill>
                    </w:rPr>
                    <w:t xml:space="preserve"> μg/m</w:t>
                  </w:r>
                  <w:r>
                    <w:rPr>
                      <w:rFonts w:hint="default" w:ascii="Times New Roman" w:hAnsi="Times New Roman" w:eastAsia="宋体" w:cs="Times New Roman"/>
                      <w:color w:val="000000" w:themeColor="text1"/>
                      <w:sz w:val="21"/>
                      <w:szCs w:val="21"/>
                      <w:u w:val="none"/>
                      <w:vertAlign w:val="superscript"/>
                      <w14:textFill>
                        <w14:solidFill>
                          <w14:schemeClr w14:val="tx1"/>
                        </w14:solidFill>
                      </w14:textFill>
                    </w:rPr>
                    <w:t>3</w:t>
                  </w:r>
                </w:p>
              </w:tc>
              <w:tc>
                <w:tcPr>
                  <w:tcW w:w="2033" w:type="dxa"/>
                  <w:tcBorders>
                    <w:tl2br w:val="nil"/>
                    <w:tr2bl w:val="nil"/>
                  </w:tcBorders>
                  <w:shd w:val="clear" w:color="auto" w:fill="auto"/>
                  <w:noWrap w:val="0"/>
                  <w:vAlign w:val="center"/>
                </w:tcPr>
                <w:p w14:paraId="163B88D1">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年平均质量浓度</w:t>
                  </w:r>
                </w:p>
              </w:tc>
              <w:tc>
                <w:tcPr>
                  <w:tcW w:w="948" w:type="dxa"/>
                  <w:tcBorders>
                    <w:tl2br w:val="nil"/>
                    <w:tr2bl w:val="nil"/>
                  </w:tcBorders>
                  <w:shd w:val="clear" w:color="auto" w:fill="auto"/>
                  <w:noWrap w:val="0"/>
                  <w:vAlign w:val="center"/>
                </w:tcPr>
                <w:p w14:paraId="3290C7F2">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41</w:t>
                  </w:r>
                </w:p>
              </w:tc>
              <w:tc>
                <w:tcPr>
                  <w:tcW w:w="1114" w:type="dxa"/>
                  <w:tcBorders>
                    <w:tl2br w:val="nil"/>
                    <w:tr2bl w:val="nil"/>
                  </w:tcBorders>
                  <w:shd w:val="clear" w:color="auto" w:fill="auto"/>
                  <w:noWrap w:val="0"/>
                  <w:vAlign w:val="center"/>
                </w:tcPr>
                <w:p w14:paraId="7284AB61">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sz w:val="21"/>
                      <w:szCs w:val="21"/>
                      <w:u w:val="none"/>
                      <w:lang w:val="en-US" w:eastAsia="zh-CN"/>
                    </w:rPr>
                    <w:t>60</w:t>
                  </w:r>
                </w:p>
              </w:tc>
              <w:tc>
                <w:tcPr>
                  <w:tcW w:w="998" w:type="dxa"/>
                  <w:tcBorders>
                    <w:tl2br w:val="nil"/>
                    <w:tr2bl w:val="nil"/>
                  </w:tcBorders>
                  <w:shd w:val="clear" w:color="auto" w:fill="auto"/>
                  <w:noWrap w:val="0"/>
                  <w:vAlign w:val="center"/>
                </w:tcPr>
                <w:p w14:paraId="3E689D12">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68.33</w:t>
                  </w:r>
                </w:p>
              </w:tc>
              <w:tc>
                <w:tcPr>
                  <w:tcW w:w="998" w:type="dxa"/>
                  <w:tcBorders>
                    <w:tl2br w:val="nil"/>
                    <w:tr2bl w:val="nil"/>
                  </w:tcBorders>
                  <w:shd w:val="clear" w:color="auto" w:fill="auto"/>
                  <w:noWrap w:val="0"/>
                  <w:vAlign w:val="center"/>
                </w:tcPr>
                <w:p w14:paraId="122E60E6">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达标</w:t>
                  </w:r>
                </w:p>
              </w:tc>
            </w:tr>
            <w:tr w14:paraId="690F4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3" w:type="dxa"/>
                </w:tblCellMar>
              </w:tblPrEx>
              <w:trPr>
                <w:trHeight w:val="23" w:hRule="atLeast"/>
                <w:jc w:val="center"/>
              </w:trPr>
              <w:tc>
                <w:tcPr>
                  <w:tcW w:w="1599" w:type="dxa"/>
                  <w:tcBorders>
                    <w:tl2br w:val="nil"/>
                    <w:tr2bl w:val="nil"/>
                  </w:tcBorders>
                  <w:noWrap w:val="0"/>
                  <w:vAlign w:val="center"/>
                </w:tcPr>
                <w:p w14:paraId="09930DB8">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PM</w:t>
                  </w:r>
                  <w:r>
                    <w:rPr>
                      <w:rFonts w:hint="default" w:ascii="Times New Roman" w:hAnsi="Times New Roman" w:eastAsia="宋体" w:cs="Times New Roman"/>
                      <w:color w:val="000000" w:themeColor="text1"/>
                      <w:sz w:val="21"/>
                      <w:szCs w:val="21"/>
                      <w:u w:val="none"/>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u w:val="none"/>
                      <w14:textFill>
                        <w14:solidFill>
                          <w14:schemeClr w14:val="tx1"/>
                        </w14:solidFill>
                      </w14:textFill>
                    </w:rPr>
                    <w:t xml:space="preserve"> μg/m</w:t>
                  </w:r>
                  <w:r>
                    <w:rPr>
                      <w:rFonts w:hint="default" w:ascii="Times New Roman" w:hAnsi="Times New Roman" w:eastAsia="宋体" w:cs="Times New Roman"/>
                      <w:color w:val="000000" w:themeColor="text1"/>
                      <w:sz w:val="21"/>
                      <w:szCs w:val="21"/>
                      <w:u w:val="none"/>
                      <w:vertAlign w:val="superscript"/>
                      <w14:textFill>
                        <w14:solidFill>
                          <w14:schemeClr w14:val="tx1"/>
                        </w14:solidFill>
                      </w14:textFill>
                    </w:rPr>
                    <w:t>3</w:t>
                  </w:r>
                </w:p>
              </w:tc>
              <w:tc>
                <w:tcPr>
                  <w:tcW w:w="2033" w:type="dxa"/>
                  <w:tcBorders>
                    <w:tl2br w:val="nil"/>
                    <w:tr2bl w:val="nil"/>
                  </w:tcBorders>
                  <w:noWrap w:val="0"/>
                  <w:vAlign w:val="center"/>
                </w:tcPr>
                <w:p w14:paraId="669D42F4">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年平均质量浓度</w:t>
                  </w:r>
                </w:p>
              </w:tc>
              <w:tc>
                <w:tcPr>
                  <w:tcW w:w="948" w:type="dxa"/>
                  <w:tcBorders>
                    <w:tl2br w:val="nil"/>
                    <w:tr2bl w:val="nil"/>
                  </w:tcBorders>
                  <w:noWrap w:val="0"/>
                  <w:vAlign w:val="center"/>
                </w:tcPr>
                <w:p w14:paraId="1A837196">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22</w:t>
                  </w:r>
                </w:p>
              </w:tc>
              <w:tc>
                <w:tcPr>
                  <w:tcW w:w="1114" w:type="dxa"/>
                  <w:tcBorders>
                    <w:tl2br w:val="nil"/>
                    <w:tr2bl w:val="nil"/>
                  </w:tcBorders>
                  <w:noWrap w:val="0"/>
                  <w:vAlign w:val="center"/>
                </w:tcPr>
                <w:p w14:paraId="75F45E96">
                  <w:pPr>
                    <w:pStyle w:val="8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3</w:t>
                  </w:r>
                  <w:r>
                    <w:rPr>
                      <w:rFonts w:hint="eastAsia" w:cs="Times New Roman"/>
                      <w:color w:val="auto"/>
                      <w:sz w:val="21"/>
                      <w:szCs w:val="21"/>
                      <w:u w:val="none"/>
                      <w:lang w:val="en-US" w:eastAsia="zh-CN"/>
                    </w:rPr>
                    <w:t>0</w:t>
                  </w:r>
                </w:p>
              </w:tc>
              <w:tc>
                <w:tcPr>
                  <w:tcW w:w="998" w:type="dxa"/>
                  <w:tcBorders>
                    <w:tl2br w:val="nil"/>
                    <w:tr2bl w:val="nil"/>
                  </w:tcBorders>
                  <w:noWrap w:val="0"/>
                  <w:vAlign w:val="center"/>
                </w:tcPr>
                <w:p w14:paraId="06FA976F">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lang w:val="en-US"/>
                    </w:rPr>
                  </w:pPr>
                  <w:r>
                    <w:rPr>
                      <w:rFonts w:hint="eastAsia" w:cs="Times New Roman"/>
                      <w:color w:val="auto"/>
                      <w:sz w:val="21"/>
                      <w:szCs w:val="21"/>
                      <w:u w:val="none"/>
                      <w:lang w:val="en-US" w:eastAsia="zh-CN"/>
                    </w:rPr>
                    <w:t>73.33</w:t>
                  </w:r>
                </w:p>
              </w:tc>
              <w:tc>
                <w:tcPr>
                  <w:tcW w:w="998" w:type="dxa"/>
                  <w:tcBorders>
                    <w:tl2br w:val="nil"/>
                    <w:tr2bl w:val="nil"/>
                  </w:tcBorders>
                  <w:noWrap w:val="0"/>
                  <w:vAlign w:val="center"/>
                </w:tcPr>
                <w:p w14:paraId="5467A47B">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达标</w:t>
                  </w:r>
                </w:p>
              </w:tc>
            </w:tr>
            <w:tr w14:paraId="6D2A1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3" w:type="dxa"/>
                </w:tblCellMar>
              </w:tblPrEx>
              <w:trPr>
                <w:trHeight w:val="23" w:hRule="atLeast"/>
                <w:jc w:val="center"/>
              </w:trPr>
              <w:tc>
                <w:tcPr>
                  <w:tcW w:w="1599" w:type="dxa"/>
                  <w:tcBorders>
                    <w:tl2br w:val="nil"/>
                    <w:tr2bl w:val="nil"/>
                  </w:tcBorders>
                  <w:noWrap w:val="0"/>
                  <w:vAlign w:val="center"/>
                </w:tcPr>
                <w:p w14:paraId="6AA48721">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COmg/m</w:t>
                  </w:r>
                  <w:r>
                    <w:rPr>
                      <w:rFonts w:hint="default" w:ascii="Times New Roman" w:hAnsi="Times New Roman" w:eastAsia="宋体" w:cs="Times New Roman"/>
                      <w:color w:val="000000" w:themeColor="text1"/>
                      <w:sz w:val="21"/>
                      <w:szCs w:val="21"/>
                      <w:u w:val="none"/>
                      <w:vertAlign w:val="superscript"/>
                      <w14:textFill>
                        <w14:solidFill>
                          <w14:schemeClr w14:val="tx1"/>
                        </w14:solidFill>
                      </w14:textFill>
                    </w:rPr>
                    <w:t>3</w:t>
                  </w:r>
                </w:p>
              </w:tc>
              <w:tc>
                <w:tcPr>
                  <w:tcW w:w="2033" w:type="dxa"/>
                  <w:tcBorders>
                    <w:tl2br w:val="nil"/>
                    <w:tr2bl w:val="nil"/>
                  </w:tcBorders>
                  <w:noWrap w:val="0"/>
                  <w:vAlign w:val="center"/>
                </w:tcPr>
                <w:p w14:paraId="2B1C6740">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95百分位数日均浓度</w:t>
                  </w:r>
                </w:p>
              </w:tc>
              <w:tc>
                <w:tcPr>
                  <w:tcW w:w="948" w:type="dxa"/>
                  <w:tcBorders>
                    <w:tl2br w:val="nil"/>
                    <w:tr2bl w:val="nil"/>
                  </w:tcBorders>
                  <w:noWrap w:val="0"/>
                  <w:vAlign w:val="center"/>
                </w:tcPr>
                <w:p w14:paraId="726BAD13">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1.1</w:t>
                  </w:r>
                </w:p>
              </w:tc>
              <w:tc>
                <w:tcPr>
                  <w:tcW w:w="1114" w:type="dxa"/>
                  <w:tcBorders>
                    <w:tl2br w:val="nil"/>
                    <w:tr2bl w:val="nil"/>
                  </w:tcBorders>
                  <w:noWrap w:val="0"/>
                  <w:vAlign w:val="center"/>
                </w:tcPr>
                <w:p w14:paraId="37718F6D">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4</w:t>
                  </w:r>
                </w:p>
              </w:tc>
              <w:tc>
                <w:tcPr>
                  <w:tcW w:w="998" w:type="dxa"/>
                  <w:tcBorders>
                    <w:tl2br w:val="nil"/>
                    <w:tr2bl w:val="nil"/>
                  </w:tcBorders>
                  <w:noWrap w:val="0"/>
                  <w:vAlign w:val="center"/>
                </w:tcPr>
                <w:p w14:paraId="231F674E">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27.50</w:t>
                  </w:r>
                </w:p>
              </w:tc>
              <w:tc>
                <w:tcPr>
                  <w:tcW w:w="998" w:type="dxa"/>
                  <w:tcBorders>
                    <w:tl2br w:val="nil"/>
                    <w:tr2bl w:val="nil"/>
                  </w:tcBorders>
                  <w:noWrap w:val="0"/>
                  <w:vAlign w:val="center"/>
                </w:tcPr>
                <w:p w14:paraId="172816F0">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达标</w:t>
                  </w:r>
                </w:p>
              </w:tc>
            </w:tr>
            <w:tr w14:paraId="00211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3" w:type="dxa"/>
                </w:tblCellMar>
              </w:tblPrEx>
              <w:trPr>
                <w:trHeight w:val="23" w:hRule="atLeast"/>
                <w:jc w:val="center"/>
              </w:trPr>
              <w:tc>
                <w:tcPr>
                  <w:tcW w:w="1599" w:type="dxa"/>
                  <w:tcBorders>
                    <w:tl2br w:val="nil"/>
                    <w:tr2bl w:val="nil"/>
                  </w:tcBorders>
                  <w:noWrap w:val="0"/>
                  <w:vAlign w:val="center"/>
                </w:tcPr>
                <w:p w14:paraId="64F5945D">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O</w:t>
                  </w:r>
                  <w:r>
                    <w:rPr>
                      <w:rFonts w:hint="default" w:ascii="Times New Roman" w:hAnsi="Times New Roman" w:eastAsia="宋体" w:cs="Times New Roman"/>
                      <w:color w:val="000000" w:themeColor="text1"/>
                      <w:sz w:val="21"/>
                      <w:szCs w:val="21"/>
                      <w:u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u w:val="none"/>
                      <w14:textFill>
                        <w14:solidFill>
                          <w14:schemeClr w14:val="tx1"/>
                        </w14:solidFill>
                      </w14:textFill>
                    </w:rPr>
                    <w:t xml:space="preserve"> μg/m</w:t>
                  </w:r>
                  <w:r>
                    <w:rPr>
                      <w:rFonts w:hint="default" w:ascii="Times New Roman" w:hAnsi="Times New Roman" w:eastAsia="宋体" w:cs="Times New Roman"/>
                      <w:color w:val="000000" w:themeColor="text1"/>
                      <w:sz w:val="21"/>
                      <w:szCs w:val="21"/>
                      <w:u w:val="none"/>
                      <w:vertAlign w:val="superscript"/>
                      <w14:textFill>
                        <w14:solidFill>
                          <w14:schemeClr w14:val="tx1"/>
                        </w14:solidFill>
                      </w14:textFill>
                    </w:rPr>
                    <w:t>3</w:t>
                  </w:r>
                </w:p>
              </w:tc>
              <w:tc>
                <w:tcPr>
                  <w:tcW w:w="2033" w:type="dxa"/>
                  <w:tcBorders>
                    <w:tl2br w:val="nil"/>
                    <w:tr2bl w:val="nil"/>
                  </w:tcBorders>
                  <w:noWrap w:val="0"/>
                  <w:vAlign w:val="center"/>
                </w:tcPr>
                <w:p w14:paraId="70317F00">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90百分位数8小时平均质量浓度</w:t>
                  </w:r>
                </w:p>
              </w:tc>
              <w:tc>
                <w:tcPr>
                  <w:tcW w:w="948" w:type="dxa"/>
                  <w:tcBorders>
                    <w:tl2br w:val="nil"/>
                    <w:tr2bl w:val="nil"/>
                  </w:tcBorders>
                  <w:noWrap w:val="0"/>
                  <w:vAlign w:val="center"/>
                </w:tcPr>
                <w:p w14:paraId="48482897">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108</w:t>
                  </w:r>
                </w:p>
              </w:tc>
              <w:tc>
                <w:tcPr>
                  <w:tcW w:w="1114" w:type="dxa"/>
                  <w:tcBorders>
                    <w:tl2br w:val="nil"/>
                    <w:tr2bl w:val="nil"/>
                  </w:tcBorders>
                  <w:noWrap w:val="0"/>
                  <w:vAlign w:val="center"/>
                </w:tcPr>
                <w:p w14:paraId="5B71BD6A">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160</w:t>
                  </w:r>
                </w:p>
              </w:tc>
              <w:tc>
                <w:tcPr>
                  <w:tcW w:w="998" w:type="dxa"/>
                  <w:tcBorders>
                    <w:tl2br w:val="nil"/>
                    <w:tr2bl w:val="nil"/>
                  </w:tcBorders>
                  <w:noWrap w:val="0"/>
                  <w:vAlign w:val="center"/>
                </w:tcPr>
                <w:p w14:paraId="4D251DF8">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67.50</w:t>
                  </w:r>
                </w:p>
              </w:tc>
              <w:tc>
                <w:tcPr>
                  <w:tcW w:w="998" w:type="dxa"/>
                  <w:tcBorders>
                    <w:tl2br w:val="nil"/>
                    <w:tr2bl w:val="nil"/>
                  </w:tcBorders>
                  <w:noWrap w:val="0"/>
                  <w:vAlign w:val="center"/>
                </w:tcPr>
                <w:p w14:paraId="2C72D128">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达标</w:t>
                  </w:r>
                </w:p>
              </w:tc>
            </w:tr>
          </w:tbl>
          <w:p w14:paraId="2C6298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000000" w:themeColor="text1"/>
                <w:kern w:val="2"/>
                <w:sz w:val="24"/>
                <w:szCs w:val="24"/>
                <w:u w:val="none"/>
                <w:lang w:eastAsia="zh-CN"/>
                <w14:textFill>
                  <w14:solidFill>
                    <w14:schemeClr w14:val="tx1"/>
                  </w14:solidFill>
                </w14:textFill>
              </w:rPr>
            </w:pPr>
            <w:r>
              <w:rPr>
                <w:rFonts w:hint="eastAsia"/>
                <w:color w:val="000000" w:themeColor="text1"/>
                <w:kern w:val="2"/>
                <w:sz w:val="24"/>
                <w:szCs w:val="24"/>
                <w:u w:val="none"/>
                <w14:textFill>
                  <w14:solidFill>
                    <w14:schemeClr w14:val="tx1"/>
                  </w14:solidFill>
                </w14:textFill>
              </w:rPr>
              <w:t>由上表可知，项目区域SO</w:t>
            </w:r>
            <w:r>
              <w:rPr>
                <w:rFonts w:hint="eastAsia"/>
                <w:color w:val="000000" w:themeColor="text1"/>
                <w:kern w:val="2"/>
                <w:sz w:val="24"/>
                <w:szCs w:val="24"/>
                <w:u w:val="none"/>
                <w:vertAlign w:val="subscript"/>
                <w14:textFill>
                  <w14:solidFill>
                    <w14:schemeClr w14:val="tx1"/>
                  </w14:solidFill>
                </w14:textFill>
              </w:rPr>
              <w:t>2</w:t>
            </w:r>
            <w:r>
              <w:rPr>
                <w:rFonts w:hint="eastAsia"/>
                <w:color w:val="000000" w:themeColor="text1"/>
                <w:kern w:val="2"/>
                <w:sz w:val="24"/>
                <w:szCs w:val="24"/>
                <w:u w:val="none"/>
                <w14:textFill>
                  <w14:solidFill>
                    <w14:schemeClr w14:val="tx1"/>
                  </w14:solidFill>
                </w14:textFill>
              </w:rPr>
              <w:t>、NO</w:t>
            </w:r>
            <w:r>
              <w:rPr>
                <w:rFonts w:hint="eastAsia"/>
                <w:color w:val="000000" w:themeColor="text1"/>
                <w:kern w:val="2"/>
                <w:sz w:val="24"/>
                <w:szCs w:val="24"/>
                <w:u w:val="none"/>
                <w:vertAlign w:val="subscript"/>
                <w14:textFill>
                  <w14:solidFill>
                    <w14:schemeClr w14:val="tx1"/>
                  </w14:solidFill>
                </w14:textFill>
              </w:rPr>
              <w:t>2</w:t>
            </w:r>
            <w:r>
              <w:rPr>
                <w:rFonts w:hint="eastAsia"/>
                <w:color w:val="000000" w:themeColor="text1"/>
                <w:kern w:val="2"/>
                <w:sz w:val="24"/>
                <w:szCs w:val="24"/>
                <w:u w:val="none"/>
                <w14:textFill>
                  <w14:solidFill>
                    <w14:schemeClr w14:val="tx1"/>
                  </w14:solidFill>
                </w14:textFill>
              </w:rPr>
              <w:t>、CO、O</w:t>
            </w:r>
            <w:r>
              <w:rPr>
                <w:rFonts w:hint="eastAsia"/>
                <w:color w:val="000000" w:themeColor="text1"/>
                <w:kern w:val="2"/>
                <w:sz w:val="24"/>
                <w:szCs w:val="24"/>
                <w:u w:val="none"/>
                <w:vertAlign w:val="subscript"/>
                <w14:textFill>
                  <w14:solidFill>
                    <w14:schemeClr w14:val="tx1"/>
                  </w14:solidFill>
                </w14:textFill>
              </w:rPr>
              <w:t>3</w:t>
            </w:r>
            <w:r>
              <w:rPr>
                <w:rFonts w:hint="eastAsia"/>
                <w:color w:val="000000" w:themeColor="text1"/>
                <w:kern w:val="2"/>
                <w:sz w:val="24"/>
                <w:szCs w:val="24"/>
                <w:u w:val="none"/>
                <w14:textFill>
                  <w14:solidFill>
                    <w14:schemeClr w14:val="tx1"/>
                  </w14:solidFill>
                </w14:textFill>
              </w:rPr>
              <w:t>、PM</w:t>
            </w:r>
            <w:r>
              <w:rPr>
                <w:rFonts w:hint="eastAsia"/>
                <w:color w:val="000000" w:themeColor="text1"/>
                <w:kern w:val="2"/>
                <w:sz w:val="24"/>
                <w:szCs w:val="24"/>
                <w:u w:val="none"/>
                <w:vertAlign w:val="subscript"/>
                <w14:textFill>
                  <w14:solidFill>
                    <w14:schemeClr w14:val="tx1"/>
                  </w14:solidFill>
                </w14:textFill>
              </w:rPr>
              <w:t>10</w:t>
            </w:r>
            <w:r>
              <w:rPr>
                <w:rFonts w:hint="eastAsia"/>
                <w:color w:val="000000" w:themeColor="text1"/>
                <w:kern w:val="2"/>
                <w:sz w:val="24"/>
                <w:szCs w:val="24"/>
                <w:u w:val="none"/>
                <w14:textFill>
                  <w14:solidFill>
                    <w14:schemeClr w14:val="tx1"/>
                  </w14:solidFill>
                </w14:textFill>
              </w:rPr>
              <w:t>、PM</w:t>
            </w:r>
            <w:r>
              <w:rPr>
                <w:rFonts w:hint="eastAsia"/>
                <w:color w:val="000000" w:themeColor="text1"/>
                <w:kern w:val="2"/>
                <w:sz w:val="24"/>
                <w:szCs w:val="24"/>
                <w:u w:val="none"/>
                <w:vertAlign w:val="subscript"/>
                <w14:textFill>
                  <w14:solidFill>
                    <w14:schemeClr w14:val="tx1"/>
                  </w14:solidFill>
                </w14:textFill>
              </w:rPr>
              <w:t>2.5</w:t>
            </w:r>
            <w:r>
              <w:rPr>
                <w:rFonts w:hint="eastAsia"/>
                <w:color w:val="000000" w:themeColor="text1"/>
                <w:kern w:val="2"/>
                <w:sz w:val="24"/>
                <w:szCs w:val="24"/>
                <w:u w:val="none"/>
                <w14:textFill>
                  <w14:solidFill>
                    <w14:schemeClr w14:val="tx1"/>
                  </w14:solidFill>
                </w14:textFill>
              </w:rPr>
              <w:t>年均浓度均满足《环境空气质量标准》（GB3095-20</w:t>
            </w:r>
            <w:r>
              <w:rPr>
                <w:rFonts w:hint="eastAsia"/>
                <w:color w:val="000000" w:themeColor="text1"/>
                <w:kern w:val="2"/>
                <w:sz w:val="24"/>
                <w:szCs w:val="24"/>
                <w:u w:val="none"/>
                <w:lang w:val="en-US" w:eastAsia="zh-CN"/>
                <w14:textFill>
                  <w14:solidFill>
                    <w14:schemeClr w14:val="tx1"/>
                  </w14:solidFill>
                </w14:textFill>
              </w:rPr>
              <w:t>26</w:t>
            </w:r>
            <w:r>
              <w:rPr>
                <w:rFonts w:hint="eastAsia"/>
                <w:color w:val="000000" w:themeColor="text1"/>
                <w:kern w:val="2"/>
                <w:sz w:val="24"/>
                <w:szCs w:val="24"/>
                <w:u w:val="none"/>
                <w14:textFill>
                  <w14:solidFill>
                    <w14:schemeClr w14:val="tx1"/>
                  </w14:solidFill>
                </w14:textFill>
              </w:rPr>
              <w:t>）</w:t>
            </w:r>
            <w:r>
              <w:rPr>
                <w:rFonts w:hint="eastAsia"/>
                <w:color w:val="000000" w:themeColor="text1"/>
                <w:sz w:val="24"/>
                <w:szCs w:val="24"/>
                <w:u w:val="none"/>
                <w14:textFill>
                  <w14:solidFill>
                    <w14:schemeClr w14:val="tx1"/>
                  </w14:solidFill>
                </w14:textFill>
              </w:rPr>
              <w:t>中二级</w:t>
            </w:r>
            <w:r>
              <w:rPr>
                <w:rFonts w:hint="eastAsia"/>
                <w:color w:val="000000" w:themeColor="text1"/>
                <w:sz w:val="24"/>
                <w:szCs w:val="24"/>
                <w:u w:val="none"/>
                <w:lang w:eastAsia="zh-CN"/>
                <w14:textFill>
                  <w14:solidFill>
                    <w14:schemeClr w14:val="tx1"/>
                  </w14:solidFill>
                </w14:textFill>
              </w:rPr>
              <w:t>标准</w:t>
            </w:r>
            <w:r>
              <w:rPr>
                <w:rFonts w:hint="eastAsia"/>
                <w:color w:val="000000" w:themeColor="text1"/>
                <w:kern w:val="2"/>
                <w:sz w:val="24"/>
                <w:szCs w:val="24"/>
                <w:u w:val="none"/>
                <w14:textFill>
                  <w14:solidFill>
                    <w14:schemeClr w14:val="tx1"/>
                  </w14:solidFill>
                </w14:textFill>
              </w:rPr>
              <w:t>，因此项目所在区域为达标</w:t>
            </w:r>
            <w:r>
              <w:rPr>
                <w:rFonts w:hint="eastAsia"/>
                <w:color w:val="000000" w:themeColor="text1"/>
                <w:kern w:val="2"/>
                <w:sz w:val="24"/>
                <w:szCs w:val="24"/>
                <w:u w:val="none"/>
                <w:lang w:eastAsia="zh-CN"/>
                <w14:textFill>
                  <w14:solidFill>
                    <w14:schemeClr w14:val="tx1"/>
                  </w14:solidFill>
                </w14:textFill>
              </w:rPr>
              <w:t>。</w:t>
            </w:r>
          </w:p>
          <w:p w14:paraId="607DC080">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3.8</w:t>
            </w:r>
            <w:r>
              <w:rPr>
                <w:rFonts w:hint="eastAsia"/>
                <w:b/>
                <w:color w:val="auto"/>
                <w:kern w:val="0"/>
                <w:sz w:val="24"/>
              </w:rPr>
              <w:t>声环境质量现状</w:t>
            </w:r>
          </w:p>
          <w:p w14:paraId="7C755A11">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eastAsia"/>
                <w:color w:val="auto"/>
                <w:kern w:val="0"/>
                <w:sz w:val="24"/>
              </w:rPr>
              <w:t>根据《环境影响评价技术导则 声环境》（HJ2.4-2021）5.1.3条的规定：“建设项目所处的声环境功能区为GB3096规定的1类、2类地区，或建设项目建设前后评价范围内声环境保护目标噪声级增量达3dB(A)～5dB(A)，或受噪声影响人口数量增加较多时，按二级评价。”根据《防城港市声环境功能区划方案（2020-2025）》，本项目位于2类声环境功能区，项目属于生态修复工程，运营期无生产开发活动，无噪声源，项目实施后对区域声环境无影响，声环境变化值为0。因此声环境评价等级按二级评价。</w:t>
            </w:r>
            <w:r>
              <w:rPr>
                <w:rFonts w:hint="eastAsia"/>
                <w:color w:val="auto"/>
                <w:kern w:val="0"/>
                <w:sz w:val="24"/>
                <w:lang w:val="en-US" w:eastAsia="zh-CN"/>
              </w:rPr>
              <w:t>评价范围为工程外侧100m。</w:t>
            </w:r>
          </w:p>
          <w:p w14:paraId="0D83BA8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根据现场勘查，项目</w:t>
            </w:r>
            <w:r>
              <w:rPr>
                <w:rFonts w:hint="eastAsia"/>
                <w:color w:val="auto"/>
                <w:kern w:val="0"/>
                <w:sz w:val="24"/>
                <w:lang w:val="en-US" w:eastAsia="zh-CN"/>
              </w:rPr>
              <w:t>10</w:t>
            </w:r>
            <w:r>
              <w:rPr>
                <w:rFonts w:hint="eastAsia"/>
                <w:color w:val="auto"/>
                <w:kern w:val="0"/>
                <w:sz w:val="24"/>
              </w:rPr>
              <w:t>0m范围内无声环境保护目标，根据《建设项目环境影响报告表编制技术指南（污染影响型）》（试行）的要求，不开展声质量现状调查。项目所处区域声环境质量现状良好。</w:t>
            </w:r>
          </w:p>
          <w:p w14:paraId="50846172">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lang w:val="en-US" w:eastAsia="zh-CN"/>
              </w:rPr>
            </w:pPr>
            <w:r>
              <w:rPr>
                <w:rFonts w:hint="eastAsia"/>
                <w:b/>
                <w:color w:val="auto"/>
                <w:kern w:val="0"/>
                <w:sz w:val="24"/>
                <w:lang w:val="en-US" w:eastAsia="zh-CN"/>
              </w:rPr>
              <w:t>3.9海洋生态健康评价</w:t>
            </w:r>
          </w:p>
          <w:p w14:paraId="75D03297">
            <w:pPr>
              <w:keepNext w:val="0"/>
              <w:keepLines w:val="0"/>
              <w:suppressLineNumbers w:val="0"/>
              <w:adjustRightInd w:val="0"/>
              <w:snapToGrid w:val="0"/>
              <w:spacing w:before="0" w:beforeAutospacing="0" w:after="0" w:afterAutospacing="0" w:line="360" w:lineRule="auto"/>
              <w:ind w:left="0" w:right="0" w:firstLine="420" w:firstLineChars="200"/>
              <w:rPr>
                <w:rFonts w:hint="default"/>
                <w:lang w:val="en-US" w:eastAsia="zh-CN"/>
              </w:rPr>
            </w:pPr>
            <w:r>
              <w:rPr>
                <w:rFonts w:hint="eastAsia"/>
                <w:lang w:val="en-US" w:eastAsia="zh-CN"/>
              </w:rPr>
              <w:t>根据生态环境部发布的《2023中国生态环境状况公报》，2023年，监测的24个海洋生态系统中，7个呈健康状态，分别为雷州半岛西南沿岸、广西北海、海南东海岸和西沙等4个珊瑚礁生态系统，广西北海和北仑河口红树林生态系统，广西北海海草床生态系统；17个呈亚健康状态，分别为鸭绿江口、双台子河口、滦河口一北戴河、黄河口、长江口、闽江口和珠江口等7个河口生态系统，渤海湾、莱州湾、胶州湾、杭州湾、乐清湾、闽东沿岸、大亚湾和北部湾等8个海湾生态系统，苏北浅滩滩涂湿地生态系统，海南东海岸海草床生态系统；无不健康状态生态系统。本项目位于北部湾海域，所在海洋生态系统处于亚健康状态。</w:t>
            </w:r>
          </w:p>
        </w:tc>
      </w:tr>
      <w:tr w14:paraId="0F3CB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41" w:type="dxa"/>
            <w:vAlign w:val="center"/>
          </w:tcPr>
          <w:p w14:paraId="66D0C500">
            <w:pPr>
              <w:keepNext w:val="0"/>
              <w:keepLines w:val="0"/>
              <w:suppressLineNumbers w:val="0"/>
              <w:adjustRightInd w:val="0"/>
              <w:snapToGrid w:val="0"/>
              <w:spacing w:before="0" w:beforeAutospacing="0" w:after="0" w:afterAutospacing="0"/>
              <w:ind w:left="0" w:right="0"/>
              <w:jc w:val="center"/>
              <w:rPr>
                <w:rFonts w:hint="eastAsia"/>
                <w:color w:val="C00000"/>
                <w:kern w:val="0"/>
                <w:szCs w:val="21"/>
              </w:rPr>
            </w:pPr>
            <w:r>
              <w:rPr>
                <w:rFonts w:hint="eastAsia"/>
                <w:bCs/>
                <w:color w:val="auto"/>
                <w:sz w:val="24"/>
                <w:szCs w:val="21"/>
              </w:rPr>
              <w:t>与项目有关的原有环境污染和生态破坏问题</w:t>
            </w:r>
          </w:p>
        </w:tc>
        <w:tc>
          <w:tcPr>
            <w:tcW w:w="8890" w:type="dxa"/>
            <w:vAlign w:val="center"/>
          </w:tcPr>
          <w:p w14:paraId="31D338F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C00000"/>
                <w:sz w:val="24"/>
              </w:rPr>
            </w:pPr>
            <w:r>
              <w:rPr>
                <w:rFonts w:hint="eastAsia"/>
                <w:color w:val="auto"/>
                <w:sz w:val="24"/>
              </w:rPr>
              <w:t>项目为</w:t>
            </w:r>
            <w:r>
              <w:rPr>
                <w:rFonts w:hint="eastAsia"/>
                <w:color w:val="auto"/>
                <w:sz w:val="24"/>
                <w:lang w:val="en-US" w:eastAsia="zh-CN"/>
              </w:rPr>
              <w:t>岸线修复</w:t>
            </w:r>
            <w:r>
              <w:rPr>
                <w:rFonts w:hint="eastAsia"/>
                <w:color w:val="auto"/>
                <w:sz w:val="24"/>
              </w:rPr>
              <w:t>项目，</w:t>
            </w:r>
            <w:r>
              <w:rPr>
                <w:rFonts w:hint="eastAsia"/>
                <w:color w:val="auto"/>
                <w:sz w:val="24"/>
                <w:lang w:val="en-US" w:eastAsia="zh-CN"/>
              </w:rPr>
              <w:t>对原有岸线进行加固修复。经过现场踏勘，原有海堤长300m，结构形式主要为浆砌筑毛石海堤，顶部为砖砌挡墙和绿化带，堤顶部内侧为绿化带花池。原海堤</w:t>
            </w:r>
            <w:r>
              <w:rPr>
                <w:rFonts w:hint="eastAsia"/>
                <w:color w:val="auto"/>
                <w:sz w:val="24"/>
              </w:rPr>
              <w:t>无明显的环境问题及污染情况。</w:t>
            </w:r>
          </w:p>
        </w:tc>
      </w:tr>
      <w:tr w14:paraId="3F03B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1" w:type="dxa"/>
            <w:vAlign w:val="center"/>
          </w:tcPr>
          <w:p w14:paraId="27B0495C">
            <w:pPr>
              <w:keepNext w:val="0"/>
              <w:keepLines w:val="0"/>
              <w:suppressLineNumbers w:val="0"/>
              <w:adjustRightInd w:val="0"/>
              <w:snapToGrid w:val="0"/>
              <w:spacing w:before="0" w:beforeAutospacing="0" w:after="0" w:afterAutospacing="0"/>
              <w:ind w:left="0" w:right="0"/>
              <w:jc w:val="center"/>
              <w:rPr>
                <w:rFonts w:hint="eastAsia"/>
                <w:color w:val="C00000"/>
                <w:kern w:val="0"/>
                <w:szCs w:val="21"/>
              </w:rPr>
            </w:pPr>
            <w:r>
              <w:rPr>
                <w:rFonts w:hint="eastAsia"/>
                <w:color w:val="auto"/>
                <w:kern w:val="0"/>
                <w:sz w:val="24"/>
                <w:szCs w:val="21"/>
              </w:rPr>
              <w:t>生态环境保护目标</w:t>
            </w:r>
          </w:p>
        </w:tc>
        <w:tc>
          <w:tcPr>
            <w:tcW w:w="8890" w:type="dxa"/>
            <w:vAlign w:val="center"/>
          </w:tcPr>
          <w:p w14:paraId="30FB1322">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3.10</w:t>
            </w:r>
            <w:r>
              <w:rPr>
                <w:rFonts w:hint="eastAsia"/>
                <w:b/>
                <w:color w:val="auto"/>
                <w:kern w:val="0"/>
                <w:sz w:val="24"/>
              </w:rPr>
              <w:t>生态环境保护目标</w:t>
            </w:r>
          </w:p>
          <w:p w14:paraId="7AF08B0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通过对国土空间等相关规划分析和工程选址区域及周边海域现场勘查，掌握了拟建项目周边环境资料，根据拟建项目所在区域的环境资源及环境特点，确定环境敏感区的分布。</w:t>
            </w:r>
          </w:p>
          <w:p w14:paraId="1AFB886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工程附近区域生态环境敏感区主要包括养殖区</w:t>
            </w:r>
            <w:r>
              <w:rPr>
                <w:rFonts w:hint="eastAsia"/>
                <w:color w:val="auto"/>
                <w:kern w:val="0"/>
                <w:sz w:val="24"/>
                <w:lang w:val="en-US" w:eastAsia="zh-CN"/>
              </w:rPr>
              <w:t>、</w:t>
            </w:r>
            <w:r>
              <w:rPr>
                <w:rFonts w:hint="eastAsia"/>
                <w:color w:val="auto"/>
                <w:kern w:val="0"/>
                <w:sz w:val="24"/>
              </w:rPr>
              <w:t>生态保护红线</w:t>
            </w:r>
            <w:r>
              <w:rPr>
                <w:rFonts w:hint="eastAsia"/>
                <w:color w:val="auto"/>
                <w:kern w:val="0"/>
                <w:sz w:val="24"/>
                <w:lang w:val="en-US" w:eastAsia="zh-CN"/>
              </w:rPr>
              <w:t>和居民区</w:t>
            </w:r>
            <w:r>
              <w:rPr>
                <w:rFonts w:hint="eastAsia"/>
                <w:color w:val="auto"/>
                <w:kern w:val="0"/>
                <w:sz w:val="24"/>
              </w:rPr>
              <w:t>等。</w:t>
            </w:r>
          </w:p>
          <w:p w14:paraId="2536F1E7">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w:t>
            </w:r>
            <w:r>
              <w:rPr>
                <w:rFonts w:hint="eastAsia"/>
                <w:color w:val="auto"/>
                <w:kern w:val="0"/>
                <w:sz w:val="24"/>
                <w:lang w:val="en-US" w:eastAsia="zh-CN"/>
              </w:rPr>
              <w:t>养殖区</w:t>
            </w:r>
          </w:p>
          <w:p w14:paraId="705AE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rPr>
            </w:pPr>
            <w:r>
              <w:rPr>
                <w:rFonts w:hint="eastAsia"/>
                <w:color w:val="auto"/>
                <w:kern w:val="0"/>
                <w:sz w:val="24"/>
                <w:szCs w:val="24"/>
              </w:rPr>
              <w:t>周</w:t>
            </w:r>
            <w:r>
              <w:rPr>
                <w:rFonts w:hint="eastAsia"/>
                <w:color w:val="auto"/>
                <w:sz w:val="24"/>
                <w:szCs w:val="24"/>
              </w:rPr>
              <w:t>边海水养殖业主要有三种类型，一是浅海滩涂贝类养殖；二是潮间带和沿岸池塘的虾、蟹类养殖；三是海上经济鱼类网箱养殖和牡蛎筏式养殖。据统计，2023年项目所在港口区海水养殖面积7065hm</w:t>
            </w:r>
            <w:r>
              <w:rPr>
                <w:rFonts w:hint="eastAsia"/>
                <w:color w:val="auto"/>
                <w:sz w:val="24"/>
                <w:szCs w:val="24"/>
                <w:vertAlign w:val="superscript"/>
              </w:rPr>
              <w:t>2</w:t>
            </w:r>
            <w:r>
              <w:rPr>
                <w:rFonts w:hint="eastAsia"/>
                <w:color w:val="auto"/>
                <w:sz w:val="24"/>
                <w:szCs w:val="24"/>
              </w:rPr>
              <w:t>，约占水产养殖总面积的95.53%；海水养殖产量21.05万吨，占全区渔业总产量的81.0%；海水养殖产值达26.3亿元，占渔业总产值的81.72%。其中：浅海、滩涂贝类养殖面积4950hm</w:t>
            </w:r>
            <w:r>
              <w:rPr>
                <w:rFonts w:hint="eastAsia"/>
                <w:color w:val="auto"/>
                <w:sz w:val="24"/>
                <w:szCs w:val="24"/>
                <w:vertAlign w:val="superscript"/>
              </w:rPr>
              <w:t>2</w:t>
            </w:r>
            <w:r>
              <w:rPr>
                <w:rFonts w:hint="eastAsia"/>
                <w:color w:val="auto"/>
                <w:sz w:val="24"/>
                <w:szCs w:val="24"/>
              </w:rPr>
              <w:t>、产量17.94万吨，分别占海水养殖面积和产量的70.06%、85.23%，滩涂贝类养殖在全区海水养殖业中占着主要的地位。浅海、滩涂贝类养殖的品种包括：近江牡蛎、巴菲蛤、文蛤三大类，其中：近江牡蛎养殖面积为2750hm</w:t>
            </w:r>
            <w:r>
              <w:rPr>
                <w:rFonts w:hint="eastAsia"/>
                <w:color w:val="auto"/>
                <w:sz w:val="24"/>
                <w:szCs w:val="24"/>
                <w:vertAlign w:val="superscript"/>
              </w:rPr>
              <w:t>2</w:t>
            </w:r>
            <w:r>
              <w:rPr>
                <w:rFonts w:hint="eastAsia"/>
                <w:color w:val="auto"/>
                <w:sz w:val="24"/>
                <w:szCs w:val="24"/>
              </w:rPr>
              <w:t>、产量为11.43万吨；文蛤养殖面积为750hm</w:t>
            </w:r>
            <w:r>
              <w:rPr>
                <w:rFonts w:hint="eastAsia"/>
                <w:color w:val="auto"/>
                <w:sz w:val="24"/>
                <w:szCs w:val="24"/>
                <w:vertAlign w:val="superscript"/>
              </w:rPr>
              <w:t>2</w:t>
            </w:r>
            <w:r>
              <w:rPr>
                <w:rFonts w:hint="eastAsia"/>
                <w:color w:val="auto"/>
                <w:sz w:val="24"/>
                <w:szCs w:val="24"/>
              </w:rPr>
              <w:t>、产量为3.15万吨；巴菲蛤养殖面积为1450hm</w:t>
            </w:r>
            <w:r>
              <w:rPr>
                <w:rFonts w:hint="eastAsia"/>
                <w:color w:val="auto"/>
                <w:sz w:val="24"/>
                <w:szCs w:val="24"/>
                <w:vertAlign w:val="superscript"/>
              </w:rPr>
              <w:t>2</w:t>
            </w:r>
            <w:r>
              <w:rPr>
                <w:rFonts w:hint="eastAsia"/>
                <w:color w:val="auto"/>
                <w:sz w:val="24"/>
                <w:szCs w:val="24"/>
              </w:rPr>
              <w:t>，产量为3.36万吨。目前，周边港口区海水养殖业已从传统的滩涂贝类养殖为主，逐步发展到贝类、虾、蟹和海水经济鱼类等多品种养殖的格局，养殖品种结构得到了进一步优化，对虾、蟹类、海水经济鱼类、贝类等优质品种养殖已逐渐成为今后海水养殖业发展的主要方向。</w:t>
            </w:r>
          </w:p>
          <w:p w14:paraId="0EFB4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rPr>
            </w:pPr>
            <w:r>
              <w:rPr>
                <w:rFonts w:hint="eastAsia"/>
                <w:color w:val="auto"/>
                <w:sz w:val="24"/>
                <w:szCs w:val="24"/>
              </w:rPr>
              <w:t>根据现场踏勘发现，榕木江湾东侧有大面积养殖用海，距离项目约</w:t>
            </w:r>
            <w:r>
              <w:rPr>
                <w:rFonts w:hint="eastAsia"/>
                <w:color w:val="auto"/>
                <w:sz w:val="24"/>
                <w:szCs w:val="24"/>
                <w:lang w:val="en-US" w:eastAsia="zh-CN"/>
              </w:rPr>
              <w:t>3</w:t>
            </w:r>
            <w:r>
              <w:rPr>
                <w:rFonts w:hint="eastAsia"/>
                <w:color w:val="auto"/>
                <w:sz w:val="24"/>
                <w:szCs w:val="24"/>
              </w:rPr>
              <w:t>00米，经与防城港市海洋局确认，</w:t>
            </w:r>
            <w:r>
              <w:rPr>
                <w:rFonts w:hint="eastAsia"/>
                <w:color w:val="auto"/>
                <w:sz w:val="24"/>
                <w:szCs w:val="24"/>
                <w:lang w:val="en-US" w:eastAsia="zh-CN"/>
              </w:rPr>
              <w:t>评价</w:t>
            </w:r>
            <w:r>
              <w:rPr>
                <w:rFonts w:hint="eastAsia"/>
                <w:color w:val="auto"/>
                <w:sz w:val="24"/>
                <w:szCs w:val="24"/>
              </w:rPr>
              <w:t>范围内的养殖均为无证养殖，未办理登记备案手续。</w:t>
            </w:r>
          </w:p>
          <w:p w14:paraId="1DCF2865">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default"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w:t>
            </w:r>
            <w:r>
              <w:rPr>
                <w:rFonts w:hint="eastAsia"/>
                <w:color w:val="auto"/>
                <w:kern w:val="0"/>
                <w:sz w:val="24"/>
                <w:lang w:val="en-US" w:eastAsia="zh-CN"/>
              </w:rPr>
              <w:t>生态保护红线</w:t>
            </w:r>
          </w:p>
          <w:p w14:paraId="6F8F79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kern w:val="0"/>
                <w:sz w:val="24"/>
                <w:lang w:val="en-US" w:eastAsia="zh-CN"/>
              </w:rPr>
            </w:pPr>
            <w:r>
              <w:rPr>
                <w:rFonts w:hint="eastAsia"/>
                <w:color w:val="auto"/>
                <w:sz w:val="24"/>
                <w:szCs w:val="24"/>
              </w:rPr>
              <w:t>根据本项目与国土空间规划中“生态保护红线”矢量层叠置可知：项目不占用红线区，周边分布红线区主要</w:t>
            </w:r>
            <w:r>
              <w:rPr>
                <w:rFonts w:hint="eastAsia"/>
                <w:color w:val="auto"/>
                <w:sz w:val="24"/>
                <w:szCs w:val="24"/>
                <w:lang w:val="en-US" w:eastAsia="zh-CN"/>
              </w:rPr>
              <w:t>为东湾生态保护区。</w:t>
            </w:r>
            <w:r>
              <w:rPr>
                <w:rFonts w:hint="eastAsia"/>
                <w:color w:val="auto"/>
                <w:kern w:val="0"/>
                <w:sz w:val="24"/>
                <w:lang w:val="en-US" w:eastAsia="zh-CN"/>
              </w:rPr>
              <w:t>项目北侧距离周边的红线区最近距离约150m，南侧距离红线区最近距离约480m，东侧距离红线区最近距离约530m。</w:t>
            </w:r>
          </w:p>
          <w:p w14:paraId="385DB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东湾生态保护区保护要求为：严格遵守国家及自治区生态保护红线相关管理办法。可适度开展生态旅游等对生态功能不造成破坏的有限人为活动。除国家重大项目外，禁止改变海域自然属性。严格保护自然岸线，保护海岸自然景观和河口湿地景观；加强红树林保护修复，维护红树林生态系统健康。在不影响红树林生态系统健康的前提下，海洋环境质量按照红树林周边海洋功能区管理。</w:t>
            </w:r>
          </w:p>
          <w:p w14:paraId="3F5BCA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（3）居民区</w:t>
            </w:r>
          </w:p>
          <w:p w14:paraId="13954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项目西侧2.0km处为居民区。</w:t>
            </w:r>
          </w:p>
          <w:p w14:paraId="046635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rPr>
            </w:pPr>
            <w:r>
              <w:rPr>
                <w:rFonts w:hint="eastAsia"/>
                <w:color w:val="auto"/>
                <w:sz w:val="24"/>
                <w:szCs w:val="24"/>
              </w:rPr>
              <w:t>本项目生态环境敏感目标见</w:t>
            </w:r>
            <w:r>
              <w:rPr>
                <w:rFonts w:hint="eastAsia"/>
                <w:color w:val="auto"/>
                <w:sz w:val="24"/>
                <w:szCs w:val="24"/>
              </w:rPr>
              <w:fldChar w:fldCharType="begin"/>
            </w:r>
            <w:r>
              <w:rPr>
                <w:rFonts w:hint="eastAsia"/>
                <w:color w:val="auto"/>
                <w:sz w:val="24"/>
                <w:szCs w:val="24"/>
              </w:rPr>
              <w:instrText xml:space="preserve"> REF _Ref198995888 \h  \* MERGEFORMAT </w:instrText>
            </w:r>
            <w:r>
              <w:rPr>
                <w:rFonts w:hint="eastAsia"/>
                <w:color w:val="auto"/>
                <w:sz w:val="24"/>
                <w:szCs w:val="24"/>
              </w:rPr>
              <w:fldChar w:fldCharType="separate"/>
            </w:r>
            <w:r>
              <w:rPr>
                <w:rFonts w:hint="eastAsia"/>
                <w:color w:val="auto"/>
                <w:sz w:val="24"/>
                <w:szCs w:val="24"/>
              </w:rPr>
              <w:t>表 3.</w:t>
            </w:r>
            <w:r>
              <w:rPr>
                <w:rFonts w:hint="eastAsia"/>
                <w:color w:val="auto"/>
                <w:sz w:val="24"/>
                <w:szCs w:val="24"/>
                <w:lang w:val="en-US" w:eastAsia="zh-CN"/>
              </w:rPr>
              <w:t>10</w:t>
            </w:r>
            <w:r>
              <w:rPr>
                <w:rFonts w:hint="eastAsia"/>
                <w:color w:val="auto"/>
                <w:sz w:val="24"/>
                <w:szCs w:val="24"/>
              </w:rPr>
              <w:noBreakHyphen/>
            </w:r>
            <w:r>
              <w:rPr>
                <w:rFonts w:hint="eastAsia"/>
                <w:color w:val="auto"/>
                <w:sz w:val="24"/>
                <w:szCs w:val="24"/>
              </w:rPr>
              <w:t>1</w:t>
            </w:r>
            <w:r>
              <w:rPr>
                <w:rFonts w:hint="eastAsia"/>
                <w:color w:val="auto"/>
                <w:sz w:val="24"/>
                <w:szCs w:val="24"/>
              </w:rPr>
              <w:fldChar w:fldCharType="end"/>
            </w:r>
            <w:r>
              <w:rPr>
                <w:rFonts w:hint="eastAsia"/>
                <w:color w:val="auto"/>
                <w:sz w:val="24"/>
                <w:szCs w:val="24"/>
              </w:rPr>
              <w:t>，生态环境敏感目标分布见</w:t>
            </w:r>
            <w:r>
              <w:rPr>
                <w:rFonts w:hint="eastAsia"/>
                <w:color w:val="auto"/>
                <w:sz w:val="24"/>
                <w:szCs w:val="24"/>
                <w:lang w:val="en-US" w:eastAsia="zh-CN"/>
              </w:rPr>
              <w:t>附图6</w:t>
            </w:r>
            <w:r>
              <w:rPr>
                <w:rFonts w:hint="eastAsia"/>
                <w:color w:val="auto"/>
                <w:sz w:val="24"/>
                <w:szCs w:val="24"/>
              </w:rPr>
              <w:t>。</w:t>
            </w:r>
          </w:p>
          <w:p w14:paraId="3DBD62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bookmarkStart w:id="40" w:name="_Ref198995888"/>
            <w:r>
              <w:rPr>
                <w:rFonts w:hint="eastAsia" w:ascii="Times New Roman" w:hAnsi="Times New Roman" w:cs="Times New Roman"/>
                <w:b/>
                <w:bCs/>
                <w:color w:val="auto"/>
                <w:kern w:val="0"/>
                <w:sz w:val="21"/>
                <w:szCs w:val="21"/>
                <w:lang w:val="zh-CN" w:eastAsia="zh-CN"/>
              </w:rPr>
              <w:t xml:space="preserve">表 </w:t>
            </w:r>
            <w:r>
              <w:rPr>
                <w:rFonts w:hint="eastAsia" w:cs="Times New Roman"/>
                <w:b/>
                <w:bCs/>
                <w:color w:val="auto"/>
                <w:kern w:val="0"/>
                <w:sz w:val="21"/>
                <w:szCs w:val="21"/>
                <w:lang w:val="en-US" w:eastAsia="zh-CN"/>
              </w:rPr>
              <w:t>3.10</w:t>
            </w:r>
            <w:r>
              <w:rPr>
                <w:rFonts w:hint="eastAsia" w:ascii="Times New Roman" w:hAnsi="Times New Roman" w:cs="Times New Roman"/>
                <w:b/>
                <w:bCs/>
                <w:color w:val="auto"/>
                <w:kern w:val="0"/>
                <w:sz w:val="21"/>
                <w:szCs w:val="21"/>
                <w:lang w:val="zh-CN" w:eastAsia="zh-CN"/>
              </w:rPr>
              <w:noBreakHyphen/>
            </w:r>
            <w:r>
              <w:rPr>
                <w:rFonts w:hint="eastAsia" w:ascii="Times New Roman" w:hAnsi="Times New Roman" w:cs="Times New Roman"/>
                <w:b/>
                <w:bCs/>
                <w:color w:val="auto"/>
                <w:kern w:val="0"/>
                <w:sz w:val="21"/>
                <w:szCs w:val="21"/>
                <w:lang w:val="zh-CN" w:eastAsia="zh-CN"/>
              </w:rPr>
              <w:fldChar w:fldCharType="begin"/>
            </w:r>
            <w:r>
              <w:rPr>
                <w:rFonts w:hint="eastAsia" w:ascii="Times New Roman" w:hAnsi="Times New Roman" w:cs="Times New Roman"/>
                <w:b/>
                <w:bCs/>
                <w:color w:val="auto"/>
                <w:kern w:val="0"/>
                <w:sz w:val="21"/>
                <w:szCs w:val="21"/>
                <w:lang w:val="zh-CN" w:eastAsia="zh-CN"/>
              </w:rPr>
              <w:instrText xml:space="preserve"> SEQ 表 \* ARABIC \s 2 </w:instrText>
            </w:r>
            <w:r>
              <w:rPr>
                <w:rFonts w:hint="eastAsia" w:ascii="Times New Roman" w:hAnsi="Times New Roman" w:cs="Times New Roman"/>
                <w:b/>
                <w:bCs/>
                <w:color w:val="auto"/>
                <w:kern w:val="0"/>
                <w:sz w:val="21"/>
                <w:szCs w:val="21"/>
                <w:lang w:val="zh-CN" w:eastAsia="zh-CN"/>
              </w:rPr>
              <w:fldChar w:fldCharType="separate"/>
            </w:r>
            <w:r>
              <w:rPr>
                <w:rFonts w:hint="eastAsia" w:ascii="Times New Roman" w:hAnsi="Times New Roman" w:cs="Times New Roman"/>
                <w:b/>
                <w:bCs/>
                <w:color w:val="auto"/>
                <w:kern w:val="0"/>
                <w:sz w:val="21"/>
                <w:szCs w:val="21"/>
                <w:lang w:val="zh-CN" w:eastAsia="zh-CN"/>
              </w:rPr>
              <w:t>1</w:t>
            </w:r>
            <w:r>
              <w:rPr>
                <w:rFonts w:hint="eastAsia" w:ascii="Times New Roman" w:hAnsi="Times New Roman" w:cs="Times New Roman"/>
                <w:b/>
                <w:bCs/>
                <w:color w:val="auto"/>
                <w:kern w:val="0"/>
                <w:sz w:val="21"/>
                <w:szCs w:val="21"/>
                <w:lang w:val="zh-CN" w:eastAsia="zh-CN"/>
              </w:rPr>
              <w:fldChar w:fldCharType="end"/>
            </w:r>
            <w:bookmarkEnd w:id="40"/>
            <w:r>
              <w:rPr>
                <w:rFonts w:hint="eastAsia" w:ascii="Times New Roman" w:hAnsi="Times New Roman" w:cs="Times New Roman"/>
                <w:b/>
                <w:bCs/>
                <w:color w:val="auto"/>
                <w:kern w:val="0"/>
                <w:sz w:val="21"/>
                <w:szCs w:val="21"/>
                <w:lang w:val="zh-CN" w:eastAsia="zh-CN"/>
              </w:rPr>
              <w:t xml:space="preserve">  海洋生态环境敏感目标</w:t>
            </w:r>
          </w:p>
          <w:tbl>
            <w:tblPr>
              <w:tblStyle w:val="28"/>
              <w:tblW w:w="46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3"/>
              <w:gridCol w:w="1245"/>
              <w:gridCol w:w="1551"/>
              <w:gridCol w:w="1218"/>
              <w:gridCol w:w="3480"/>
            </w:tblGrid>
            <w:tr w14:paraId="3CCA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pct"/>
                  <w:noWrap w:val="0"/>
                  <w:vAlign w:val="center"/>
                </w:tcPr>
                <w:p w14:paraId="0ECCD6C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bookmarkStart w:id="41" w:name="OLE_LINK28"/>
                  <w:r>
                    <w:rPr>
                      <w:rFonts w:hint="eastAsia"/>
                      <w:color w:val="auto"/>
                      <w:sz w:val="21"/>
                      <w:szCs w:val="21"/>
                    </w:rPr>
                    <w:t>序号</w:t>
                  </w:r>
                </w:p>
              </w:tc>
              <w:tc>
                <w:tcPr>
                  <w:tcW w:w="1730" w:type="pct"/>
                  <w:gridSpan w:val="2"/>
                  <w:noWrap w:val="0"/>
                  <w:vAlign w:val="center"/>
                </w:tcPr>
                <w:p w14:paraId="29B0193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r>
                    <w:rPr>
                      <w:rFonts w:hint="eastAsia"/>
                      <w:color w:val="auto"/>
                      <w:sz w:val="21"/>
                      <w:szCs w:val="21"/>
                    </w:rPr>
                    <w:t>敏感目标</w:t>
                  </w:r>
                </w:p>
              </w:tc>
              <w:tc>
                <w:tcPr>
                  <w:tcW w:w="753" w:type="pct"/>
                  <w:noWrap w:val="0"/>
                  <w:vAlign w:val="center"/>
                </w:tcPr>
                <w:p w14:paraId="3F2D2CE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r>
                    <w:rPr>
                      <w:rFonts w:hint="eastAsia"/>
                      <w:color w:val="auto"/>
                      <w:sz w:val="21"/>
                      <w:szCs w:val="21"/>
                    </w:rPr>
                    <w:t>位置关系方位/最近距离</w:t>
                  </w:r>
                </w:p>
              </w:tc>
              <w:tc>
                <w:tcPr>
                  <w:tcW w:w="2154" w:type="pct"/>
                  <w:noWrap w:val="0"/>
                  <w:vAlign w:val="center"/>
                </w:tcPr>
                <w:p w14:paraId="2A44BFB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r>
                    <w:rPr>
                      <w:rFonts w:hint="eastAsia"/>
                      <w:color w:val="auto"/>
                      <w:sz w:val="21"/>
                      <w:szCs w:val="21"/>
                    </w:rPr>
                    <w:t>保护对象、内容</w:t>
                  </w:r>
                </w:p>
              </w:tc>
            </w:tr>
            <w:tr w14:paraId="7922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0" w:hRule="atLeast"/>
                <w:jc w:val="center"/>
              </w:trPr>
              <w:tc>
                <w:tcPr>
                  <w:tcW w:w="360" w:type="pct"/>
                  <w:noWrap w:val="0"/>
                  <w:vAlign w:val="center"/>
                </w:tcPr>
                <w:p w14:paraId="661B985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color w:val="auto"/>
                      <w:sz w:val="21"/>
                      <w:szCs w:val="21"/>
                      <w:lang w:eastAsia="zh-CN"/>
                    </w:rPr>
                  </w:pPr>
                  <w:r>
                    <w:rPr>
                      <w:rFonts w:hint="eastAsia"/>
                      <w:color w:val="auto"/>
                      <w:sz w:val="21"/>
                      <w:szCs w:val="21"/>
                      <w:lang w:val="en-US" w:eastAsia="zh-CN"/>
                    </w:rPr>
                    <w:t>1</w:t>
                  </w:r>
                </w:p>
              </w:tc>
              <w:tc>
                <w:tcPr>
                  <w:tcW w:w="1730" w:type="pct"/>
                  <w:gridSpan w:val="2"/>
                  <w:noWrap w:val="0"/>
                  <w:vAlign w:val="center"/>
                </w:tcPr>
                <w:p w14:paraId="5282B0A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r>
                    <w:rPr>
                      <w:rFonts w:hint="eastAsia"/>
                      <w:color w:val="auto"/>
                      <w:sz w:val="21"/>
                      <w:szCs w:val="21"/>
                    </w:rPr>
                    <w:t>养殖区</w:t>
                  </w:r>
                </w:p>
              </w:tc>
              <w:tc>
                <w:tcPr>
                  <w:tcW w:w="753" w:type="pct"/>
                  <w:noWrap w:val="0"/>
                  <w:vAlign w:val="center"/>
                </w:tcPr>
                <w:p w14:paraId="2D612C7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color w:val="auto"/>
                      <w:sz w:val="21"/>
                      <w:szCs w:val="21"/>
                      <w:lang w:val="en-US" w:eastAsia="zh-CN"/>
                    </w:rPr>
                  </w:pPr>
                  <w:r>
                    <w:rPr>
                      <w:rFonts w:hint="eastAsia"/>
                      <w:color w:val="auto"/>
                      <w:sz w:val="21"/>
                      <w:szCs w:val="21"/>
                    </w:rPr>
                    <w:t>周边的开放式养殖</w:t>
                  </w:r>
                  <w:r>
                    <w:rPr>
                      <w:rFonts w:hint="eastAsia"/>
                      <w:color w:val="auto"/>
                      <w:sz w:val="21"/>
                      <w:szCs w:val="21"/>
                      <w:lang w:eastAsia="zh-CN"/>
                    </w:rPr>
                    <w:t>，</w:t>
                  </w:r>
                  <w:r>
                    <w:rPr>
                      <w:rFonts w:hint="eastAsia"/>
                      <w:color w:val="auto"/>
                      <w:sz w:val="21"/>
                      <w:szCs w:val="21"/>
                      <w:lang w:val="en-US" w:eastAsia="zh-CN"/>
                    </w:rPr>
                    <w:t>东侧约30m</w:t>
                  </w:r>
                </w:p>
              </w:tc>
              <w:tc>
                <w:tcPr>
                  <w:tcW w:w="2154" w:type="pct"/>
                  <w:noWrap w:val="0"/>
                  <w:vAlign w:val="center"/>
                </w:tcPr>
                <w:p w14:paraId="641E43B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r>
                    <w:rPr>
                      <w:rFonts w:hint="eastAsia"/>
                      <w:color w:val="auto"/>
                      <w:sz w:val="21"/>
                      <w:szCs w:val="21"/>
                    </w:rPr>
                    <w:t>海水水质执行《海水水质标准》（GB3097－1997）中第二类标准，海洋沉积物质量执行《海洋沉积物质量》（GB18668-2002）中第一类标准，海洋生物质量执行《海洋生物质量》（GB18421-2001）中第一类标准。</w:t>
                  </w:r>
                </w:p>
              </w:tc>
            </w:tr>
            <w:tr w14:paraId="760B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pct"/>
                  <w:noWrap w:val="0"/>
                  <w:vAlign w:val="center"/>
                </w:tcPr>
                <w:p w14:paraId="5B0EFF8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color w:val="auto"/>
                      <w:sz w:val="21"/>
                      <w:szCs w:val="21"/>
                      <w:lang w:eastAsia="zh-CN"/>
                    </w:rPr>
                  </w:pPr>
                  <w:r>
                    <w:rPr>
                      <w:rFonts w:hint="eastAsia"/>
                      <w:color w:val="auto"/>
                      <w:sz w:val="21"/>
                      <w:szCs w:val="21"/>
                      <w:lang w:val="en-US" w:eastAsia="zh-CN"/>
                    </w:rPr>
                    <w:t>2</w:t>
                  </w:r>
                </w:p>
              </w:tc>
              <w:tc>
                <w:tcPr>
                  <w:tcW w:w="770" w:type="pct"/>
                  <w:noWrap w:val="0"/>
                  <w:vAlign w:val="center"/>
                </w:tcPr>
                <w:p w14:paraId="6C6D958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r>
                    <w:rPr>
                      <w:rFonts w:hint="eastAsia"/>
                      <w:color w:val="auto"/>
                      <w:sz w:val="21"/>
                      <w:szCs w:val="21"/>
                    </w:rPr>
                    <w:t>生态保护红线区</w:t>
                  </w:r>
                </w:p>
              </w:tc>
              <w:tc>
                <w:tcPr>
                  <w:tcW w:w="960" w:type="pct"/>
                  <w:noWrap w:val="0"/>
                  <w:vAlign w:val="center"/>
                </w:tcPr>
                <w:p w14:paraId="6704EBA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r>
                    <w:rPr>
                      <w:rFonts w:hint="eastAsia"/>
                      <w:color w:val="auto"/>
                      <w:sz w:val="21"/>
                      <w:szCs w:val="21"/>
                    </w:rPr>
                    <w:t>东湾生态保护区</w:t>
                  </w:r>
                </w:p>
              </w:tc>
              <w:tc>
                <w:tcPr>
                  <w:tcW w:w="753" w:type="pct"/>
                  <w:noWrap w:val="0"/>
                  <w:vAlign w:val="center"/>
                </w:tcPr>
                <w:p w14:paraId="171996E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r>
                    <w:rPr>
                      <w:rFonts w:hint="eastAsia"/>
                      <w:color w:val="auto"/>
                      <w:sz w:val="21"/>
                      <w:szCs w:val="21"/>
                      <w:lang w:val="en-US" w:eastAsia="zh-CN"/>
                    </w:rPr>
                    <w:t>北侧</w:t>
                  </w:r>
                  <w:r>
                    <w:rPr>
                      <w:rFonts w:hint="eastAsia"/>
                      <w:color w:val="auto"/>
                      <w:sz w:val="21"/>
                      <w:szCs w:val="21"/>
                    </w:rPr>
                    <w:t>，最近约</w:t>
                  </w:r>
                  <w:r>
                    <w:rPr>
                      <w:rFonts w:hint="eastAsia"/>
                      <w:color w:val="auto"/>
                      <w:sz w:val="21"/>
                      <w:szCs w:val="21"/>
                      <w:lang w:val="en-US" w:eastAsia="zh-CN"/>
                    </w:rPr>
                    <w:t>150</w:t>
                  </w:r>
                  <w:r>
                    <w:rPr>
                      <w:rFonts w:hint="eastAsia"/>
                      <w:color w:val="auto"/>
                      <w:sz w:val="21"/>
                      <w:szCs w:val="21"/>
                    </w:rPr>
                    <w:t>m</w:t>
                  </w:r>
                </w:p>
              </w:tc>
              <w:tc>
                <w:tcPr>
                  <w:tcW w:w="2154" w:type="pct"/>
                  <w:noWrap w:val="0"/>
                  <w:vAlign w:val="center"/>
                </w:tcPr>
                <w:p w14:paraId="70DF448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rPr>
                  </w:pPr>
                  <w:r>
                    <w:rPr>
                      <w:rFonts w:hint="eastAsia"/>
                      <w:color w:val="auto"/>
                      <w:sz w:val="21"/>
                      <w:szCs w:val="21"/>
                      <w:lang w:val="en-US" w:eastAsia="zh-CN"/>
                    </w:rPr>
                    <w:t>保护海岸自然景观和河口湿地景观；加强红树林保护修复，维护红树林生态系统健康</w:t>
                  </w:r>
                </w:p>
              </w:tc>
            </w:tr>
            <w:tr w14:paraId="6138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360" w:type="pct"/>
                  <w:noWrap w:val="0"/>
                  <w:vAlign w:val="center"/>
                </w:tcPr>
                <w:p w14:paraId="2E9A72A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 w:val="21"/>
                      <w:szCs w:val="21"/>
                      <w:lang w:val="en-US" w:eastAsia="zh-CN"/>
                    </w:rPr>
                  </w:pPr>
                  <w:r>
                    <w:rPr>
                      <w:rFonts w:hint="eastAsia"/>
                      <w:color w:val="auto"/>
                      <w:sz w:val="21"/>
                      <w:szCs w:val="21"/>
                      <w:lang w:val="en-US" w:eastAsia="zh-CN"/>
                    </w:rPr>
                    <w:t>3</w:t>
                  </w:r>
                </w:p>
              </w:tc>
              <w:tc>
                <w:tcPr>
                  <w:tcW w:w="1730" w:type="pct"/>
                  <w:gridSpan w:val="2"/>
                  <w:noWrap w:val="0"/>
                  <w:vAlign w:val="center"/>
                </w:tcPr>
                <w:p w14:paraId="2ACFF59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color w:val="auto"/>
                      <w:sz w:val="21"/>
                      <w:szCs w:val="21"/>
                      <w:lang w:val="en-US" w:eastAsia="zh-CN"/>
                    </w:rPr>
                  </w:pPr>
                  <w:r>
                    <w:rPr>
                      <w:rFonts w:hint="eastAsia"/>
                      <w:color w:val="auto"/>
                      <w:sz w:val="21"/>
                      <w:szCs w:val="21"/>
                      <w:lang w:val="en-US" w:eastAsia="zh-CN"/>
                    </w:rPr>
                    <w:t>居民区</w:t>
                  </w:r>
                </w:p>
              </w:tc>
              <w:tc>
                <w:tcPr>
                  <w:tcW w:w="753" w:type="pct"/>
                  <w:noWrap w:val="0"/>
                  <w:vAlign w:val="center"/>
                </w:tcPr>
                <w:p w14:paraId="3BE16BF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 w:val="21"/>
                      <w:szCs w:val="21"/>
                      <w:lang w:val="en-US" w:eastAsia="zh-CN"/>
                    </w:rPr>
                  </w:pPr>
                  <w:r>
                    <w:rPr>
                      <w:rFonts w:hint="eastAsia"/>
                      <w:color w:val="auto"/>
                      <w:sz w:val="21"/>
                      <w:szCs w:val="21"/>
                      <w:lang w:val="en-US" w:eastAsia="zh-CN"/>
                    </w:rPr>
                    <w:t>西侧2km</w:t>
                  </w:r>
                </w:p>
              </w:tc>
              <w:tc>
                <w:tcPr>
                  <w:tcW w:w="2154" w:type="pct"/>
                  <w:noWrap w:val="0"/>
                  <w:vAlign w:val="center"/>
                </w:tcPr>
                <w:p w14:paraId="661A356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 w:val="21"/>
                      <w:szCs w:val="21"/>
                      <w:lang w:val="en-US" w:eastAsia="zh-CN"/>
                    </w:rPr>
                  </w:pPr>
                  <w:r>
                    <w:rPr>
                      <w:rFonts w:hint="eastAsia"/>
                      <w:color w:val="auto"/>
                      <w:sz w:val="21"/>
                      <w:szCs w:val="21"/>
                      <w:lang w:val="en-US" w:eastAsia="zh-CN"/>
                    </w:rPr>
                    <w:t>-</w:t>
                  </w:r>
                </w:p>
              </w:tc>
            </w:tr>
            <w:bookmarkEnd w:id="41"/>
          </w:tbl>
          <w:p w14:paraId="52A4EECD">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3.11</w:t>
            </w:r>
            <w:r>
              <w:rPr>
                <w:rFonts w:hint="eastAsia"/>
                <w:b/>
                <w:color w:val="auto"/>
                <w:kern w:val="0"/>
                <w:sz w:val="24"/>
              </w:rPr>
              <w:t>大气环境保护目标</w:t>
            </w:r>
          </w:p>
          <w:p w14:paraId="4D33DD3F">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本项目厂界外500米范围内</w:t>
            </w:r>
            <w:r>
              <w:rPr>
                <w:rFonts w:hint="eastAsia"/>
                <w:color w:val="auto"/>
                <w:kern w:val="0"/>
                <w:sz w:val="24"/>
                <w:lang w:val="en-US" w:eastAsia="zh-CN"/>
              </w:rPr>
              <w:t>无</w:t>
            </w:r>
            <w:r>
              <w:rPr>
                <w:rFonts w:hint="eastAsia"/>
                <w:color w:val="auto"/>
                <w:kern w:val="0"/>
                <w:sz w:val="24"/>
              </w:rPr>
              <w:t>大气环境保护目标。</w:t>
            </w:r>
          </w:p>
          <w:p w14:paraId="4F45E457">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3.12</w:t>
            </w:r>
            <w:r>
              <w:rPr>
                <w:rFonts w:hint="eastAsia"/>
                <w:b/>
                <w:color w:val="auto"/>
                <w:kern w:val="0"/>
                <w:sz w:val="24"/>
              </w:rPr>
              <w:t>声环境保护目标</w:t>
            </w:r>
          </w:p>
          <w:p w14:paraId="4755BB6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C00000"/>
                <w:kern w:val="0"/>
                <w:sz w:val="24"/>
              </w:rPr>
            </w:pPr>
            <w:r>
              <w:rPr>
                <w:rFonts w:hint="eastAsia"/>
                <w:color w:val="auto"/>
                <w:kern w:val="0"/>
                <w:sz w:val="24"/>
              </w:rPr>
              <w:t>项目周边50m范围内无声环境保护目标。</w:t>
            </w:r>
          </w:p>
        </w:tc>
      </w:tr>
      <w:tr w14:paraId="13262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841" w:type="dxa"/>
            <w:vAlign w:val="center"/>
          </w:tcPr>
          <w:p w14:paraId="0D32AB97">
            <w:pPr>
              <w:keepNext w:val="0"/>
              <w:keepLines w:val="0"/>
              <w:suppressLineNumbers w:val="0"/>
              <w:adjustRightInd w:val="0"/>
              <w:snapToGrid w:val="0"/>
              <w:spacing w:before="0" w:beforeAutospacing="0" w:after="0" w:afterAutospacing="0"/>
              <w:ind w:left="0" w:right="0"/>
              <w:jc w:val="center"/>
              <w:rPr>
                <w:rFonts w:hint="eastAsia"/>
                <w:color w:val="auto"/>
                <w:kern w:val="0"/>
                <w:sz w:val="24"/>
                <w:szCs w:val="21"/>
              </w:rPr>
            </w:pPr>
            <w:r>
              <w:rPr>
                <w:rFonts w:hint="eastAsia"/>
                <w:color w:val="auto"/>
                <w:kern w:val="0"/>
                <w:sz w:val="24"/>
                <w:szCs w:val="21"/>
              </w:rPr>
              <w:t>评价</w:t>
            </w:r>
          </w:p>
          <w:p w14:paraId="6BED7B92">
            <w:pPr>
              <w:keepNext w:val="0"/>
              <w:keepLines w:val="0"/>
              <w:suppressLineNumbers w:val="0"/>
              <w:adjustRightInd w:val="0"/>
              <w:snapToGrid w:val="0"/>
              <w:spacing w:before="0" w:beforeAutospacing="0" w:after="0" w:afterAutospacing="0"/>
              <w:ind w:left="0" w:right="0"/>
              <w:jc w:val="center"/>
              <w:rPr>
                <w:rFonts w:hint="eastAsia"/>
                <w:color w:val="C00000"/>
                <w:kern w:val="0"/>
                <w:szCs w:val="21"/>
              </w:rPr>
            </w:pPr>
            <w:r>
              <w:rPr>
                <w:rFonts w:hint="eastAsia"/>
                <w:color w:val="auto"/>
                <w:kern w:val="0"/>
                <w:sz w:val="24"/>
                <w:szCs w:val="21"/>
              </w:rPr>
              <w:t>标准</w:t>
            </w:r>
          </w:p>
        </w:tc>
        <w:tc>
          <w:tcPr>
            <w:tcW w:w="8890" w:type="dxa"/>
            <w:vAlign w:val="center"/>
          </w:tcPr>
          <w:p w14:paraId="10AA8754">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lang w:val="en-US" w:eastAsia="zh-CN"/>
              </w:rPr>
              <w:t>3.13</w:t>
            </w:r>
            <w:r>
              <w:rPr>
                <w:rFonts w:hint="eastAsia"/>
                <w:b/>
                <w:color w:val="auto"/>
                <w:kern w:val="0"/>
                <w:sz w:val="24"/>
              </w:rPr>
              <w:t>环境质量标准</w:t>
            </w:r>
          </w:p>
          <w:p w14:paraId="79165B95">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（1）环境空气质量标准</w:t>
            </w:r>
          </w:p>
          <w:p w14:paraId="69C45A9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项目位于防城港市防城区，属于环境空气二类功能区，环境空气质量执行《环境空气质量标准》（GB3095-20</w:t>
            </w:r>
            <w:r>
              <w:rPr>
                <w:rFonts w:hint="eastAsia"/>
                <w:color w:val="auto"/>
                <w:sz w:val="24"/>
                <w:lang w:val="en-US" w:eastAsia="zh-CN"/>
              </w:rPr>
              <w:t>26</w:t>
            </w:r>
            <w:r>
              <w:rPr>
                <w:rFonts w:hint="eastAsia"/>
                <w:color w:val="auto"/>
                <w:sz w:val="24"/>
              </w:rPr>
              <w:t>）中二级标准及其修改单。</w:t>
            </w:r>
          </w:p>
          <w:p w14:paraId="2CD334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b w:val="0"/>
                <w:bCs/>
                <w:color w:val="auto"/>
                <w:kern w:val="24"/>
                <w:sz w:val="24"/>
                <w:szCs w:val="24"/>
              </w:rPr>
            </w:pPr>
            <w:r>
              <w:rPr>
                <w:rFonts w:hint="eastAsia"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3.1</w:t>
            </w:r>
            <w:r>
              <w:rPr>
                <w:rFonts w:hint="eastAsia" w:cs="Times New Roman"/>
                <w:b/>
                <w:bCs/>
                <w:color w:val="auto"/>
                <w:kern w:val="0"/>
                <w:sz w:val="21"/>
                <w:szCs w:val="21"/>
                <w:lang w:val="en-US" w:eastAsia="zh-CN"/>
              </w:rPr>
              <w:t>3</w:t>
            </w:r>
            <w:r>
              <w:rPr>
                <w:rFonts w:hint="eastAsia" w:ascii="Times New Roman" w:hAnsi="Times New Roman" w:cs="Times New Roman"/>
                <w:b/>
                <w:bCs/>
                <w:color w:val="auto"/>
                <w:kern w:val="0"/>
                <w:sz w:val="21"/>
                <w:szCs w:val="21"/>
                <w:lang w:val="en-US" w:eastAsia="zh-CN"/>
              </w:rPr>
              <w:t>-1</w:t>
            </w:r>
            <w:r>
              <w:rPr>
                <w:rFonts w:hint="eastAsia" w:ascii="Times New Roman" w:hAnsi="Times New Roman" w:cs="Times New Roman"/>
                <w:b/>
                <w:bCs/>
                <w:color w:val="auto"/>
                <w:kern w:val="0"/>
                <w:sz w:val="21"/>
                <w:szCs w:val="21"/>
                <w:lang w:val="zh-CN" w:eastAsia="zh-CN"/>
              </w:rPr>
              <w:t xml:space="preserve"> 《环境空气质量标准》（GB3095-20</w:t>
            </w:r>
            <w:r>
              <w:rPr>
                <w:rFonts w:hint="eastAsia" w:cs="Times New Roman"/>
                <w:b/>
                <w:bCs/>
                <w:color w:val="auto"/>
                <w:kern w:val="0"/>
                <w:sz w:val="21"/>
                <w:szCs w:val="21"/>
                <w:lang w:val="en-US" w:eastAsia="zh-CN"/>
              </w:rPr>
              <w:t>26</w:t>
            </w:r>
            <w:r>
              <w:rPr>
                <w:rFonts w:hint="eastAsia" w:ascii="Times New Roman" w:hAnsi="Times New Roman" w:cs="Times New Roman"/>
                <w:b/>
                <w:bCs/>
                <w:color w:val="auto"/>
                <w:kern w:val="0"/>
                <w:sz w:val="21"/>
                <w:szCs w:val="21"/>
                <w:lang w:val="zh-CN" w:eastAsia="zh-CN"/>
              </w:rPr>
              <w:t>）（摘录）</w:t>
            </w:r>
          </w:p>
          <w:tbl>
            <w:tblPr>
              <w:tblStyle w:val="28"/>
              <w:tblW w:w="46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966"/>
              <w:gridCol w:w="2160"/>
              <w:gridCol w:w="1116"/>
              <w:gridCol w:w="990"/>
            </w:tblGrid>
            <w:tr w14:paraId="1133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14:paraId="3D9EA625">
                  <w:pPr>
                    <w:keepNext w:val="0"/>
                    <w:keepLines w:val="0"/>
                    <w:suppressLineNumbers w:val="0"/>
                    <w:adjustRightInd w:val="0"/>
                    <w:snapToGrid w:val="0"/>
                    <w:spacing w:before="0" w:beforeAutospacing="0" w:after="0" w:afterAutospacing="0"/>
                    <w:ind w:left="0" w:right="0"/>
                    <w:jc w:val="center"/>
                    <w:rPr>
                      <w:rFonts w:hint="eastAsia"/>
                      <w:b w:val="0"/>
                      <w:bCs/>
                      <w:color w:val="auto"/>
                      <w:kern w:val="24"/>
                      <w:sz w:val="21"/>
                      <w:szCs w:val="21"/>
                      <w:lang w:val="fr-FR"/>
                    </w:rPr>
                  </w:pPr>
                  <w:r>
                    <w:rPr>
                      <w:rFonts w:hint="eastAsia"/>
                      <w:b w:val="0"/>
                      <w:bCs/>
                      <w:color w:val="auto"/>
                      <w:kern w:val="24"/>
                      <w:sz w:val="21"/>
                      <w:szCs w:val="21"/>
                      <w:lang w:val="fr-FR"/>
                    </w:rPr>
                    <w:t>序号</w:t>
                  </w:r>
                </w:p>
              </w:tc>
              <w:tc>
                <w:tcPr>
                  <w:tcW w:w="1849" w:type="pct"/>
                  <w:tcBorders>
                    <w:top w:val="single" w:color="auto" w:sz="4" w:space="0"/>
                    <w:left w:val="single" w:color="auto" w:sz="4" w:space="0"/>
                    <w:bottom w:val="single" w:color="auto" w:sz="4" w:space="0"/>
                    <w:right w:val="single" w:color="auto" w:sz="4" w:space="0"/>
                  </w:tcBorders>
                  <w:vAlign w:val="center"/>
                </w:tcPr>
                <w:p w14:paraId="0A58C052">
                  <w:pPr>
                    <w:keepNext w:val="0"/>
                    <w:keepLines w:val="0"/>
                    <w:suppressLineNumbers w:val="0"/>
                    <w:adjustRightInd w:val="0"/>
                    <w:snapToGrid w:val="0"/>
                    <w:spacing w:before="0" w:beforeAutospacing="0" w:after="0" w:afterAutospacing="0"/>
                    <w:ind w:left="0" w:right="0"/>
                    <w:jc w:val="center"/>
                    <w:rPr>
                      <w:rFonts w:hint="eastAsia"/>
                      <w:b w:val="0"/>
                      <w:bCs/>
                      <w:color w:val="auto"/>
                      <w:kern w:val="24"/>
                      <w:sz w:val="21"/>
                      <w:szCs w:val="21"/>
                      <w:lang w:val="fr-FR"/>
                    </w:rPr>
                  </w:pPr>
                  <w:r>
                    <w:rPr>
                      <w:rFonts w:hint="eastAsia"/>
                      <w:b w:val="0"/>
                      <w:bCs/>
                      <w:color w:val="auto"/>
                      <w:kern w:val="24"/>
                      <w:sz w:val="21"/>
                      <w:szCs w:val="21"/>
                      <w:lang w:val="fr-FR"/>
                    </w:rPr>
                    <w:t>污染物项目</w:t>
                  </w:r>
                </w:p>
              </w:tc>
              <w:tc>
                <w:tcPr>
                  <w:tcW w:w="1347" w:type="pct"/>
                  <w:tcBorders>
                    <w:top w:val="single" w:color="auto" w:sz="4" w:space="0"/>
                    <w:left w:val="single" w:color="auto" w:sz="4" w:space="0"/>
                    <w:bottom w:val="single" w:color="auto" w:sz="4" w:space="0"/>
                    <w:right w:val="single" w:color="auto" w:sz="4" w:space="0"/>
                  </w:tcBorders>
                  <w:vAlign w:val="center"/>
                </w:tcPr>
                <w:p w14:paraId="09D6CC54">
                  <w:pPr>
                    <w:keepNext w:val="0"/>
                    <w:keepLines w:val="0"/>
                    <w:suppressLineNumbers w:val="0"/>
                    <w:adjustRightInd w:val="0"/>
                    <w:snapToGrid w:val="0"/>
                    <w:spacing w:before="0" w:beforeAutospacing="0" w:after="0" w:afterAutospacing="0"/>
                    <w:ind w:left="0" w:right="0"/>
                    <w:jc w:val="center"/>
                    <w:rPr>
                      <w:rFonts w:hint="eastAsia"/>
                      <w:b w:val="0"/>
                      <w:bCs/>
                      <w:color w:val="auto"/>
                      <w:kern w:val="24"/>
                      <w:sz w:val="21"/>
                      <w:szCs w:val="21"/>
                      <w:lang w:val="fr-FR"/>
                    </w:rPr>
                  </w:pPr>
                  <w:r>
                    <w:rPr>
                      <w:rFonts w:hint="eastAsia"/>
                      <w:b w:val="0"/>
                      <w:bCs/>
                      <w:color w:val="auto"/>
                      <w:kern w:val="24"/>
                      <w:sz w:val="21"/>
                      <w:szCs w:val="21"/>
                      <w:lang w:val="fr-FR"/>
                    </w:rPr>
                    <w:t>平均时间</w:t>
                  </w:r>
                </w:p>
              </w:tc>
              <w:tc>
                <w:tcPr>
                  <w:tcW w:w="696" w:type="pct"/>
                  <w:tcBorders>
                    <w:top w:val="single" w:color="auto" w:sz="4" w:space="0"/>
                    <w:left w:val="single" w:color="auto" w:sz="4" w:space="0"/>
                    <w:bottom w:val="single" w:color="auto" w:sz="4" w:space="0"/>
                    <w:right w:val="single" w:color="auto" w:sz="4" w:space="0"/>
                  </w:tcBorders>
                  <w:vAlign w:val="center"/>
                </w:tcPr>
                <w:p w14:paraId="10697162">
                  <w:pPr>
                    <w:keepNext w:val="0"/>
                    <w:keepLines w:val="0"/>
                    <w:suppressLineNumbers w:val="0"/>
                    <w:adjustRightInd w:val="0"/>
                    <w:snapToGrid w:val="0"/>
                    <w:spacing w:before="0" w:beforeAutospacing="0" w:after="0" w:afterAutospacing="0"/>
                    <w:ind w:left="0" w:right="0"/>
                    <w:jc w:val="center"/>
                    <w:rPr>
                      <w:rFonts w:hint="eastAsia"/>
                      <w:b w:val="0"/>
                      <w:bCs/>
                      <w:color w:val="auto"/>
                      <w:kern w:val="24"/>
                      <w:sz w:val="21"/>
                      <w:szCs w:val="21"/>
                      <w:lang w:val="fr-FR"/>
                    </w:rPr>
                  </w:pPr>
                  <w:r>
                    <w:rPr>
                      <w:rFonts w:hint="eastAsia"/>
                      <w:b w:val="0"/>
                      <w:bCs/>
                      <w:color w:val="auto"/>
                      <w:kern w:val="24"/>
                      <w:sz w:val="21"/>
                      <w:szCs w:val="21"/>
                      <w:lang w:val="fr-FR"/>
                    </w:rPr>
                    <w:t>浓度限值</w:t>
                  </w:r>
                </w:p>
              </w:tc>
              <w:tc>
                <w:tcPr>
                  <w:tcW w:w="617" w:type="pct"/>
                  <w:tcBorders>
                    <w:top w:val="single" w:color="auto" w:sz="4" w:space="0"/>
                    <w:left w:val="single" w:color="auto" w:sz="4" w:space="0"/>
                    <w:bottom w:val="single" w:color="auto" w:sz="4" w:space="0"/>
                    <w:right w:val="single" w:color="auto" w:sz="4" w:space="0"/>
                  </w:tcBorders>
                  <w:vAlign w:val="center"/>
                </w:tcPr>
                <w:p w14:paraId="382F7F4A">
                  <w:pPr>
                    <w:keepNext w:val="0"/>
                    <w:keepLines w:val="0"/>
                    <w:suppressLineNumbers w:val="0"/>
                    <w:adjustRightInd w:val="0"/>
                    <w:snapToGrid w:val="0"/>
                    <w:spacing w:before="0" w:beforeAutospacing="0" w:after="0" w:afterAutospacing="0"/>
                    <w:ind w:left="0" w:right="0"/>
                    <w:jc w:val="center"/>
                    <w:rPr>
                      <w:rFonts w:hint="eastAsia"/>
                      <w:b w:val="0"/>
                      <w:bCs/>
                      <w:color w:val="auto"/>
                      <w:kern w:val="24"/>
                      <w:sz w:val="21"/>
                      <w:szCs w:val="21"/>
                      <w:lang w:val="fr-FR"/>
                    </w:rPr>
                  </w:pPr>
                  <w:r>
                    <w:rPr>
                      <w:rFonts w:hint="eastAsia"/>
                      <w:b w:val="0"/>
                      <w:bCs/>
                      <w:color w:val="auto"/>
                      <w:kern w:val="24"/>
                      <w:sz w:val="21"/>
                      <w:szCs w:val="21"/>
                      <w:lang w:val="fr-FR"/>
                    </w:rPr>
                    <w:t>单位</w:t>
                  </w:r>
                </w:p>
              </w:tc>
            </w:tr>
            <w:tr w14:paraId="4E6B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tcBorders>
                    <w:top w:val="single" w:color="auto" w:sz="4" w:space="0"/>
                    <w:left w:val="single" w:color="auto" w:sz="4" w:space="0"/>
                    <w:right w:val="single" w:color="auto" w:sz="4" w:space="0"/>
                  </w:tcBorders>
                  <w:vAlign w:val="center"/>
                </w:tcPr>
                <w:p w14:paraId="6D944861">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1</w:t>
                  </w:r>
                </w:p>
              </w:tc>
              <w:tc>
                <w:tcPr>
                  <w:tcW w:w="1849" w:type="pct"/>
                  <w:vMerge w:val="restart"/>
                  <w:tcBorders>
                    <w:top w:val="single" w:color="auto" w:sz="4" w:space="0"/>
                    <w:left w:val="single" w:color="auto" w:sz="4" w:space="0"/>
                    <w:right w:val="single" w:color="auto" w:sz="4" w:space="0"/>
                  </w:tcBorders>
                  <w:vAlign w:val="center"/>
                </w:tcPr>
                <w:p w14:paraId="6CA9A526">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二氧化硫（SO</w:t>
                  </w:r>
                  <w:r>
                    <w:rPr>
                      <w:rFonts w:hint="eastAsia"/>
                      <w:color w:val="auto"/>
                      <w:kern w:val="24"/>
                      <w:sz w:val="21"/>
                      <w:szCs w:val="21"/>
                      <w:vertAlign w:val="subscript"/>
                      <w:lang w:val="fr-FR"/>
                    </w:rPr>
                    <w:t>2</w:t>
                  </w:r>
                  <w:r>
                    <w:rPr>
                      <w:rFonts w:hint="eastAsia"/>
                      <w:color w:val="auto"/>
                      <w:kern w:val="24"/>
                      <w:sz w:val="21"/>
                      <w:szCs w:val="21"/>
                      <w:lang w:val="fr-FR"/>
                    </w:rPr>
                    <w:t>）</w:t>
                  </w:r>
                </w:p>
              </w:tc>
              <w:tc>
                <w:tcPr>
                  <w:tcW w:w="1347" w:type="pct"/>
                  <w:tcBorders>
                    <w:top w:val="single" w:color="auto" w:sz="4" w:space="0"/>
                    <w:left w:val="single" w:color="auto" w:sz="4" w:space="0"/>
                    <w:bottom w:val="single" w:color="auto" w:sz="4" w:space="0"/>
                    <w:right w:val="single" w:color="auto" w:sz="4" w:space="0"/>
                  </w:tcBorders>
                  <w:vAlign w:val="center"/>
                </w:tcPr>
                <w:p w14:paraId="4331A302">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年平均</w:t>
                  </w:r>
                </w:p>
              </w:tc>
              <w:tc>
                <w:tcPr>
                  <w:tcW w:w="696" w:type="pct"/>
                  <w:tcBorders>
                    <w:top w:val="single" w:color="auto" w:sz="4" w:space="0"/>
                    <w:left w:val="single" w:color="auto" w:sz="4" w:space="0"/>
                    <w:bottom w:val="single" w:color="auto" w:sz="4" w:space="0"/>
                    <w:right w:val="single" w:color="auto" w:sz="4" w:space="0"/>
                  </w:tcBorders>
                  <w:vAlign w:val="center"/>
                </w:tcPr>
                <w:p w14:paraId="6247557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60</w:t>
                  </w:r>
                </w:p>
              </w:tc>
              <w:tc>
                <w:tcPr>
                  <w:tcW w:w="617" w:type="pct"/>
                  <w:vMerge w:val="restart"/>
                  <w:tcBorders>
                    <w:top w:val="single" w:color="auto" w:sz="4" w:space="0"/>
                    <w:left w:val="single" w:color="auto" w:sz="4" w:space="0"/>
                    <w:right w:val="single" w:color="auto" w:sz="4" w:space="0"/>
                  </w:tcBorders>
                  <w:vAlign w:val="center"/>
                </w:tcPr>
                <w:p w14:paraId="65A6E350">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μg/m</w:t>
                  </w:r>
                  <w:r>
                    <w:rPr>
                      <w:rFonts w:hint="eastAsia"/>
                      <w:color w:val="auto"/>
                      <w:kern w:val="24"/>
                      <w:sz w:val="21"/>
                      <w:szCs w:val="21"/>
                      <w:vertAlign w:val="superscript"/>
                      <w:lang w:val="fr-FR"/>
                    </w:rPr>
                    <w:t>3</w:t>
                  </w:r>
                </w:p>
              </w:tc>
            </w:tr>
            <w:tr w14:paraId="4317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tcBorders>
                    <w:left w:val="single" w:color="auto" w:sz="4" w:space="0"/>
                    <w:right w:val="single" w:color="auto" w:sz="4" w:space="0"/>
                  </w:tcBorders>
                  <w:vAlign w:val="center"/>
                </w:tcPr>
                <w:p w14:paraId="08FC818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p>
              </w:tc>
              <w:tc>
                <w:tcPr>
                  <w:tcW w:w="1849" w:type="pct"/>
                  <w:vMerge w:val="continue"/>
                  <w:tcBorders>
                    <w:left w:val="single" w:color="auto" w:sz="4" w:space="0"/>
                    <w:right w:val="single" w:color="auto" w:sz="4" w:space="0"/>
                  </w:tcBorders>
                  <w:vAlign w:val="center"/>
                </w:tcPr>
                <w:p w14:paraId="5A022D3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p>
              </w:tc>
              <w:tc>
                <w:tcPr>
                  <w:tcW w:w="1347" w:type="pct"/>
                  <w:tcBorders>
                    <w:top w:val="single" w:color="auto" w:sz="4" w:space="0"/>
                    <w:left w:val="single" w:color="auto" w:sz="4" w:space="0"/>
                    <w:bottom w:val="single" w:color="auto" w:sz="4" w:space="0"/>
                    <w:right w:val="single" w:color="auto" w:sz="4" w:space="0"/>
                  </w:tcBorders>
                  <w:vAlign w:val="center"/>
                </w:tcPr>
                <w:p w14:paraId="208DD65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24小时平均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7C64EAB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150</w:t>
                  </w:r>
                </w:p>
              </w:tc>
              <w:tc>
                <w:tcPr>
                  <w:tcW w:w="617" w:type="pct"/>
                  <w:vMerge w:val="continue"/>
                  <w:tcBorders>
                    <w:left w:val="single" w:color="auto" w:sz="4" w:space="0"/>
                    <w:right w:val="single" w:color="auto" w:sz="4" w:space="0"/>
                  </w:tcBorders>
                  <w:vAlign w:val="center"/>
                </w:tcPr>
                <w:p w14:paraId="468DA59B">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p>
              </w:tc>
            </w:tr>
            <w:tr w14:paraId="1314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tcBorders>
                    <w:left w:val="single" w:color="auto" w:sz="4" w:space="0"/>
                    <w:bottom w:val="single" w:color="auto" w:sz="4" w:space="0"/>
                    <w:right w:val="single" w:color="auto" w:sz="4" w:space="0"/>
                  </w:tcBorders>
                  <w:vAlign w:val="center"/>
                </w:tcPr>
                <w:p w14:paraId="64C5D921">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c>
                <w:tcPr>
                  <w:tcW w:w="1849" w:type="pct"/>
                  <w:vMerge w:val="continue"/>
                  <w:tcBorders>
                    <w:left w:val="single" w:color="auto" w:sz="4" w:space="0"/>
                    <w:bottom w:val="single" w:color="auto" w:sz="4" w:space="0"/>
                    <w:right w:val="single" w:color="auto" w:sz="4" w:space="0"/>
                  </w:tcBorders>
                  <w:vAlign w:val="center"/>
                </w:tcPr>
                <w:p w14:paraId="1527C1A6">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c>
                <w:tcPr>
                  <w:tcW w:w="1347" w:type="pct"/>
                  <w:tcBorders>
                    <w:top w:val="single" w:color="auto" w:sz="4" w:space="0"/>
                    <w:left w:val="single" w:color="auto" w:sz="4" w:space="0"/>
                    <w:bottom w:val="single" w:color="auto" w:sz="4" w:space="0"/>
                    <w:right w:val="single" w:color="auto" w:sz="4" w:space="0"/>
                  </w:tcBorders>
                  <w:vAlign w:val="center"/>
                </w:tcPr>
                <w:p w14:paraId="313CBE0B">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1小时平均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02538371">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500</w:t>
                  </w:r>
                </w:p>
              </w:tc>
              <w:tc>
                <w:tcPr>
                  <w:tcW w:w="617" w:type="pct"/>
                  <w:vMerge w:val="continue"/>
                  <w:tcBorders>
                    <w:left w:val="single" w:color="auto" w:sz="4" w:space="0"/>
                    <w:right w:val="single" w:color="auto" w:sz="4" w:space="0"/>
                  </w:tcBorders>
                  <w:vAlign w:val="center"/>
                </w:tcPr>
                <w:p w14:paraId="58E6388D">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r w14:paraId="15EA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tcBorders>
                    <w:top w:val="single" w:color="auto" w:sz="4" w:space="0"/>
                    <w:left w:val="single" w:color="auto" w:sz="4" w:space="0"/>
                    <w:right w:val="single" w:color="auto" w:sz="4" w:space="0"/>
                  </w:tcBorders>
                  <w:vAlign w:val="center"/>
                </w:tcPr>
                <w:p w14:paraId="1036194C">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2</w:t>
                  </w:r>
                </w:p>
              </w:tc>
              <w:tc>
                <w:tcPr>
                  <w:tcW w:w="1849" w:type="pct"/>
                  <w:vMerge w:val="restart"/>
                  <w:tcBorders>
                    <w:top w:val="single" w:color="auto" w:sz="4" w:space="0"/>
                    <w:left w:val="single" w:color="auto" w:sz="4" w:space="0"/>
                    <w:right w:val="single" w:color="auto" w:sz="4" w:space="0"/>
                  </w:tcBorders>
                  <w:vAlign w:val="center"/>
                </w:tcPr>
                <w:p w14:paraId="067538E7">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二氧化氮（NO</w:t>
                  </w:r>
                  <w:r>
                    <w:rPr>
                      <w:rFonts w:hint="eastAsia"/>
                      <w:color w:val="auto"/>
                      <w:kern w:val="24"/>
                      <w:sz w:val="21"/>
                      <w:szCs w:val="21"/>
                      <w:vertAlign w:val="subscript"/>
                      <w:lang w:val="fr-FR"/>
                    </w:rPr>
                    <w:t>2</w:t>
                  </w:r>
                  <w:r>
                    <w:rPr>
                      <w:rFonts w:hint="eastAsia"/>
                      <w:color w:val="auto"/>
                      <w:kern w:val="24"/>
                      <w:sz w:val="21"/>
                      <w:szCs w:val="21"/>
                      <w:lang w:val="fr-FR"/>
                    </w:rPr>
                    <w:t>）</w:t>
                  </w:r>
                </w:p>
              </w:tc>
              <w:tc>
                <w:tcPr>
                  <w:tcW w:w="1347" w:type="pct"/>
                  <w:tcBorders>
                    <w:top w:val="single" w:color="auto" w:sz="4" w:space="0"/>
                    <w:left w:val="single" w:color="auto" w:sz="4" w:space="0"/>
                    <w:bottom w:val="single" w:color="auto" w:sz="4" w:space="0"/>
                    <w:right w:val="single" w:color="auto" w:sz="4" w:space="0"/>
                  </w:tcBorders>
                  <w:vAlign w:val="center"/>
                </w:tcPr>
                <w:p w14:paraId="5A14A38C">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年平均</w:t>
                  </w:r>
                </w:p>
              </w:tc>
              <w:tc>
                <w:tcPr>
                  <w:tcW w:w="696" w:type="pct"/>
                  <w:tcBorders>
                    <w:top w:val="single" w:color="auto" w:sz="4" w:space="0"/>
                    <w:left w:val="single" w:color="auto" w:sz="4" w:space="0"/>
                    <w:bottom w:val="single" w:color="auto" w:sz="4" w:space="0"/>
                    <w:right w:val="single" w:color="auto" w:sz="4" w:space="0"/>
                  </w:tcBorders>
                  <w:vAlign w:val="center"/>
                </w:tcPr>
                <w:p w14:paraId="64D32373">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40</w:t>
                  </w:r>
                </w:p>
              </w:tc>
              <w:tc>
                <w:tcPr>
                  <w:tcW w:w="617" w:type="pct"/>
                  <w:vMerge w:val="continue"/>
                  <w:tcBorders>
                    <w:left w:val="single" w:color="auto" w:sz="4" w:space="0"/>
                    <w:right w:val="single" w:color="auto" w:sz="4" w:space="0"/>
                  </w:tcBorders>
                  <w:vAlign w:val="center"/>
                </w:tcPr>
                <w:p w14:paraId="1303DAB5">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r w14:paraId="51E7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tcBorders>
                    <w:left w:val="single" w:color="auto" w:sz="4" w:space="0"/>
                    <w:right w:val="single" w:color="auto" w:sz="4" w:space="0"/>
                  </w:tcBorders>
                  <w:vAlign w:val="center"/>
                </w:tcPr>
                <w:p w14:paraId="4D789E5F">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p>
              </w:tc>
              <w:tc>
                <w:tcPr>
                  <w:tcW w:w="1849" w:type="pct"/>
                  <w:vMerge w:val="continue"/>
                  <w:tcBorders>
                    <w:left w:val="single" w:color="auto" w:sz="4" w:space="0"/>
                    <w:right w:val="single" w:color="auto" w:sz="4" w:space="0"/>
                  </w:tcBorders>
                  <w:vAlign w:val="center"/>
                </w:tcPr>
                <w:p w14:paraId="276090CF">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p>
              </w:tc>
              <w:tc>
                <w:tcPr>
                  <w:tcW w:w="1347" w:type="pct"/>
                  <w:tcBorders>
                    <w:top w:val="single" w:color="auto" w:sz="4" w:space="0"/>
                    <w:left w:val="single" w:color="auto" w:sz="4" w:space="0"/>
                    <w:bottom w:val="single" w:color="auto" w:sz="4" w:space="0"/>
                    <w:right w:val="single" w:color="auto" w:sz="4" w:space="0"/>
                  </w:tcBorders>
                  <w:vAlign w:val="center"/>
                </w:tcPr>
                <w:p w14:paraId="3EA01710">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24小时平均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1EA18DB1">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80</w:t>
                  </w:r>
                </w:p>
              </w:tc>
              <w:tc>
                <w:tcPr>
                  <w:tcW w:w="617" w:type="pct"/>
                  <w:vMerge w:val="continue"/>
                  <w:tcBorders>
                    <w:left w:val="single" w:color="auto" w:sz="4" w:space="0"/>
                    <w:right w:val="single" w:color="auto" w:sz="4" w:space="0"/>
                  </w:tcBorders>
                  <w:vAlign w:val="center"/>
                </w:tcPr>
                <w:p w14:paraId="36C580B7">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r w14:paraId="00BA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tcBorders>
                    <w:left w:val="single" w:color="auto" w:sz="4" w:space="0"/>
                    <w:bottom w:val="single" w:color="auto" w:sz="4" w:space="0"/>
                    <w:right w:val="single" w:color="auto" w:sz="4" w:space="0"/>
                  </w:tcBorders>
                  <w:vAlign w:val="center"/>
                </w:tcPr>
                <w:p w14:paraId="413A85C9">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c>
                <w:tcPr>
                  <w:tcW w:w="1849" w:type="pct"/>
                  <w:vMerge w:val="continue"/>
                  <w:tcBorders>
                    <w:left w:val="single" w:color="auto" w:sz="4" w:space="0"/>
                    <w:bottom w:val="single" w:color="auto" w:sz="4" w:space="0"/>
                    <w:right w:val="single" w:color="auto" w:sz="4" w:space="0"/>
                  </w:tcBorders>
                  <w:vAlign w:val="center"/>
                </w:tcPr>
                <w:p w14:paraId="7D2B3733">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c>
                <w:tcPr>
                  <w:tcW w:w="1347" w:type="pct"/>
                  <w:tcBorders>
                    <w:top w:val="single" w:color="auto" w:sz="4" w:space="0"/>
                    <w:left w:val="single" w:color="auto" w:sz="4" w:space="0"/>
                    <w:bottom w:val="single" w:color="auto" w:sz="4" w:space="0"/>
                    <w:right w:val="single" w:color="auto" w:sz="4" w:space="0"/>
                  </w:tcBorders>
                  <w:vAlign w:val="center"/>
                </w:tcPr>
                <w:p w14:paraId="7DF18ECB">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1小时平均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36FFF7E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200</w:t>
                  </w:r>
                </w:p>
              </w:tc>
              <w:tc>
                <w:tcPr>
                  <w:tcW w:w="617" w:type="pct"/>
                  <w:vMerge w:val="continue"/>
                  <w:tcBorders>
                    <w:left w:val="single" w:color="auto" w:sz="4" w:space="0"/>
                    <w:bottom w:val="single" w:color="auto" w:sz="4" w:space="0"/>
                    <w:right w:val="single" w:color="auto" w:sz="4" w:space="0"/>
                  </w:tcBorders>
                  <w:vAlign w:val="center"/>
                </w:tcPr>
                <w:p w14:paraId="14D66A5B">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r w14:paraId="65DE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tcBorders>
                    <w:top w:val="single" w:color="auto" w:sz="4" w:space="0"/>
                    <w:left w:val="single" w:color="auto" w:sz="4" w:space="0"/>
                    <w:bottom w:val="single" w:color="auto" w:sz="4" w:space="0"/>
                    <w:right w:val="single" w:color="auto" w:sz="4" w:space="0"/>
                  </w:tcBorders>
                  <w:vAlign w:val="center"/>
                </w:tcPr>
                <w:p w14:paraId="1E508C12">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3</w:t>
                  </w:r>
                </w:p>
              </w:tc>
              <w:tc>
                <w:tcPr>
                  <w:tcW w:w="1849" w:type="pct"/>
                  <w:vMerge w:val="restart"/>
                  <w:tcBorders>
                    <w:top w:val="single" w:color="auto" w:sz="4" w:space="0"/>
                    <w:left w:val="single" w:color="auto" w:sz="4" w:space="0"/>
                    <w:bottom w:val="single" w:color="auto" w:sz="4" w:space="0"/>
                    <w:right w:val="single" w:color="auto" w:sz="4" w:space="0"/>
                  </w:tcBorders>
                  <w:vAlign w:val="center"/>
                </w:tcPr>
                <w:p w14:paraId="131A3FD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一氧化碳（CO）</w:t>
                  </w:r>
                </w:p>
              </w:tc>
              <w:tc>
                <w:tcPr>
                  <w:tcW w:w="1347" w:type="pct"/>
                  <w:tcBorders>
                    <w:top w:val="single" w:color="auto" w:sz="4" w:space="0"/>
                    <w:left w:val="single" w:color="auto" w:sz="4" w:space="0"/>
                    <w:bottom w:val="single" w:color="auto" w:sz="4" w:space="0"/>
                    <w:right w:val="single" w:color="auto" w:sz="4" w:space="0"/>
                  </w:tcBorders>
                  <w:vAlign w:val="center"/>
                </w:tcPr>
                <w:p w14:paraId="71101460">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rPr>
                  </w:pPr>
                  <w:r>
                    <w:rPr>
                      <w:rFonts w:hint="eastAsia"/>
                      <w:color w:val="auto"/>
                      <w:kern w:val="24"/>
                      <w:sz w:val="21"/>
                      <w:szCs w:val="21"/>
                    </w:rPr>
                    <w:t>24小时平均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10EA9356">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4</w:t>
                  </w:r>
                </w:p>
              </w:tc>
              <w:tc>
                <w:tcPr>
                  <w:tcW w:w="617" w:type="pct"/>
                  <w:vMerge w:val="restart"/>
                  <w:tcBorders>
                    <w:top w:val="single" w:color="auto" w:sz="4" w:space="0"/>
                    <w:left w:val="single" w:color="auto" w:sz="4" w:space="0"/>
                    <w:bottom w:val="single" w:color="auto" w:sz="4" w:space="0"/>
                    <w:right w:val="single" w:color="auto" w:sz="4" w:space="0"/>
                  </w:tcBorders>
                  <w:vAlign w:val="center"/>
                </w:tcPr>
                <w:p w14:paraId="12230E0E">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mg/m</w:t>
                  </w:r>
                  <w:r>
                    <w:rPr>
                      <w:rFonts w:hint="eastAsia"/>
                      <w:color w:val="auto"/>
                      <w:kern w:val="24"/>
                      <w:sz w:val="21"/>
                      <w:szCs w:val="21"/>
                      <w:vertAlign w:val="superscript"/>
                      <w:lang w:val="fr-FR"/>
                    </w:rPr>
                    <w:t>3</w:t>
                  </w:r>
                </w:p>
              </w:tc>
            </w:tr>
            <w:tr w14:paraId="6274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tcBorders>
                    <w:top w:val="single" w:color="auto" w:sz="4" w:space="0"/>
                    <w:left w:val="single" w:color="auto" w:sz="4" w:space="0"/>
                    <w:bottom w:val="single" w:color="auto" w:sz="4" w:space="0"/>
                    <w:right w:val="single" w:color="auto" w:sz="4" w:space="0"/>
                  </w:tcBorders>
                  <w:vAlign w:val="center"/>
                </w:tcPr>
                <w:p w14:paraId="34DCC682">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c>
                <w:tcPr>
                  <w:tcW w:w="1849" w:type="pct"/>
                  <w:vMerge w:val="continue"/>
                  <w:tcBorders>
                    <w:top w:val="single" w:color="auto" w:sz="4" w:space="0"/>
                    <w:left w:val="single" w:color="auto" w:sz="4" w:space="0"/>
                    <w:bottom w:val="single" w:color="auto" w:sz="4" w:space="0"/>
                    <w:right w:val="single" w:color="auto" w:sz="4" w:space="0"/>
                  </w:tcBorders>
                  <w:vAlign w:val="center"/>
                </w:tcPr>
                <w:p w14:paraId="14B83C66">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c>
                <w:tcPr>
                  <w:tcW w:w="1347" w:type="pct"/>
                  <w:tcBorders>
                    <w:top w:val="single" w:color="auto" w:sz="4" w:space="0"/>
                    <w:left w:val="single" w:color="auto" w:sz="4" w:space="0"/>
                    <w:bottom w:val="single" w:color="auto" w:sz="4" w:space="0"/>
                    <w:right w:val="single" w:color="auto" w:sz="4" w:space="0"/>
                  </w:tcBorders>
                  <w:vAlign w:val="center"/>
                </w:tcPr>
                <w:p w14:paraId="7AF1E05B">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rPr>
                  </w:pPr>
                  <w:r>
                    <w:rPr>
                      <w:rFonts w:hint="eastAsia"/>
                      <w:color w:val="auto"/>
                      <w:kern w:val="24"/>
                      <w:sz w:val="21"/>
                      <w:szCs w:val="21"/>
                    </w:rPr>
                    <w:t>1小时平均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2C38F1F4">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10</w:t>
                  </w:r>
                </w:p>
              </w:tc>
              <w:tc>
                <w:tcPr>
                  <w:tcW w:w="617" w:type="pct"/>
                  <w:vMerge w:val="continue"/>
                  <w:tcBorders>
                    <w:top w:val="single" w:color="auto" w:sz="4" w:space="0"/>
                    <w:left w:val="single" w:color="auto" w:sz="4" w:space="0"/>
                    <w:bottom w:val="single" w:color="auto" w:sz="4" w:space="0"/>
                    <w:right w:val="single" w:color="auto" w:sz="4" w:space="0"/>
                  </w:tcBorders>
                  <w:vAlign w:val="center"/>
                </w:tcPr>
                <w:p w14:paraId="1FA6F0E3">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r w14:paraId="1F90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tcBorders>
                    <w:top w:val="single" w:color="auto" w:sz="4" w:space="0"/>
                    <w:left w:val="single" w:color="auto" w:sz="4" w:space="0"/>
                    <w:bottom w:val="single" w:color="auto" w:sz="4" w:space="0"/>
                    <w:right w:val="single" w:color="auto" w:sz="4" w:space="0"/>
                  </w:tcBorders>
                  <w:vAlign w:val="center"/>
                </w:tcPr>
                <w:p w14:paraId="18334513">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4</w:t>
                  </w:r>
                </w:p>
              </w:tc>
              <w:tc>
                <w:tcPr>
                  <w:tcW w:w="1849" w:type="pct"/>
                  <w:vMerge w:val="restart"/>
                  <w:tcBorders>
                    <w:top w:val="single" w:color="auto" w:sz="4" w:space="0"/>
                    <w:left w:val="single" w:color="auto" w:sz="4" w:space="0"/>
                    <w:bottom w:val="single" w:color="auto" w:sz="4" w:space="0"/>
                    <w:right w:val="single" w:color="auto" w:sz="4" w:space="0"/>
                  </w:tcBorders>
                  <w:vAlign w:val="center"/>
                </w:tcPr>
                <w:p w14:paraId="01ED972A">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臭氧（O</w:t>
                  </w:r>
                  <w:r>
                    <w:rPr>
                      <w:rFonts w:hint="eastAsia"/>
                      <w:color w:val="auto"/>
                      <w:kern w:val="24"/>
                      <w:sz w:val="21"/>
                      <w:szCs w:val="21"/>
                      <w:vertAlign w:val="subscript"/>
                      <w:lang w:val="fr-FR"/>
                    </w:rPr>
                    <w:t>3</w:t>
                  </w:r>
                  <w:r>
                    <w:rPr>
                      <w:rFonts w:hint="eastAsia"/>
                      <w:color w:val="auto"/>
                      <w:kern w:val="24"/>
                      <w:sz w:val="21"/>
                      <w:szCs w:val="21"/>
                      <w:lang w:val="fr-FR"/>
                    </w:rPr>
                    <w:t>）</w:t>
                  </w:r>
                </w:p>
              </w:tc>
              <w:tc>
                <w:tcPr>
                  <w:tcW w:w="1347" w:type="pct"/>
                  <w:tcBorders>
                    <w:top w:val="single" w:color="auto" w:sz="4" w:space="0"/>
                    <w:left w:val="single" w:color="auto" w:sz="4" w:space="0"/>
                    <w:bottom w:val="single" w:color="auto" w:sz="4" w:space="0"/>
                    <w:right w:val="single" w:color="auto" w:sz="4" w:space="0"/>
                  </w:tcBorders>
                  <w:vAlign w:val="center"/>
                </w:tcPr>
                <w:p w14:paraId="12CCCEA6">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rPr>
                  </w:pPr>
                  <w:r>
                    <w:rPr>
                      <w:rFonts w:hint="eastAsia"/>
                      <w:color w:val="auto"/>
                      <w:kern w:val="24"/>
                      <w:sz w:val="21"/>
                      <w:szCs w:val="21"/>
                    </w:rPr>
                    <w:t>日最大8小时平均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5620661C">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160</w:t>
                  </w:r>
                </w:p>
              </w:tc>
              <w:tc>
                <w:tcPr>
                  <w:tcW w:w="617" w:type="pct"/>
                  <w:vMerge w:val="restart"/>
                  <w:tcBorders>
                    <w:top w:val="single" w:color="auto" w:sz="4" w:space="0"/>
                    <w:left w:val="single" w:color="auto" w:sz="4" w:space="0"/>
                    <w:bottom w:val="single" w:color="auto" w:sz="4" w:space="0"/>
                    <w:right w:val="single" w:color="auto" w:sz="4" w:space="0"/>
                  </w:tcBorders>
                  <w:vAlign w:val="center"/>
                </w:tcPr>
                <w:p w14:paraId="33FA2CAB">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μg/m</w:t>
                  </w:r>
                  <w:r>
                    <w:rPr>
                      <w:rFonts w:hint="eastAsia"/>
                      <w:color w:val="auto"/>
                      <w:kern w:val="24"/>
                      <w:sz w:val="21"/>
                      <w:szCs w:val="21"/>
                      <w:vertAlign w:val="superscript"/>
                      <w:lang w:val="fr-FR"/>
                    </w:rPr>
                    <w:t>3</w:t>
                  </w:r>
                </w:p>
              </w:tc>
            </w:tr>
            <w:tr w14:paraId="4A3A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tcBorders>
                    <w:top w:val="single" w:color="auto" w:sz="4" w:space="0"/>
                    <w:left w:val="single" w:color="auto" w:sz="4" w:space="0"/>
                    <w:bottom w:val="single" w:color="auto" w:sz="4" w:space="0"/>
                    <w:right w:val="single" w:color="auto" w:sz="4" w:space="0"/>
                  </w:tcBorders>
                  <w:vAlign w:val="center"/>
                </w:tcPr>
                <w:p w14:paraId="04212F02">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c>
                <w:tcPr>
                  <w:tcW w:w="1849" w:type="pct"/>
                  <w:vMerge w:val="continue"/>
                  <w:tcBorders>
                    <w:top w:val="single" w:color="auto" w:sz="4" w:space="0"/>
                    <w:left w:val="single" w:color="auto" w:sz="4" w:space="0"/>
                    <w:bottom w:val="single" w:color="auto" w:sz="4" w:space="0"/>
                    <w:right w:val="single" w:color="auto" w:sz="4" w:space="0"/>
                  </w:tcBorders>
                  <w:vAlign w:val="center"/>
                </w:tcPr>
                <w:p w14:paraId="08151827">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c>
                <w:tcPr>
                  <w:tcW w:w="1347" w:type="pct"/>
                  <w:tcBorders>
                    <w:top w:val="single" w:color="auto" w:sz="4" w:space="0"/>
                    <w:left w:val="single" w:color="auto" w:sz="4" w:space="0"/>
                    <w:bottom w:val="single" w:color="auto" w:sz="4" w:space="0"/>
                    <w:right w:val="single" w:color="auto" w:sz="4" w:space="0"/>
                  </w:tcBorders>
                  <w:vAlign w:val="center"/>
                </w:tcPr>
                <w:p w14:paraId="2C4C3B07">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rPr>
                  </w:pPr>
                  <w:r>
                    <w:rPr>
                      <w:rFonts w:hint="eastAsia"/>
                      <w:color w:val="auto"/>
                      <w:kern w:val="24"/>
                      <w:sz w:val="21"/>
                      <w:szCs w:val="21"/>
                    </w:rPr>
                    <w:t>1小时平均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0381517D">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200</w:t>
                  </w:r>
                </w:p>
              </w:tc>
              <w:tc>
                <w:tcPr>
                  <w:tcW w:w="617" w:type="pct"/>
                  <w:vMerge w:val="continue"/>
                  <w:tcBorders>
                    <w:top w:val="single" w:color="auto" w:sz="4" w:space="0"/>
                    <w:left w:val="single" w:color="auto" w:sz="4" w:space="0"/>
                    <w:bottom w:val="single" w:color="auto" w:sz="4" w:space="0"/>
                    <w:right w:val="single" w:color="auto" w:sz="4" w:space="0"/>
                  </w:tcBorders>
                  <w:vAlign w:val="center"/>
                </w:tcPr>
                <w:p w14:paraId="131FE900">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r w14:paraId="5C9F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tcBorders>
                    <w:top w:val="single" w:color="auto" w:sz="4" w:space="0"/>
                    <w:left w:val="single" w:color="auto" w:sz="4" w:space="0"/>
                    <w:right w:val="single" w:color="auto" w:sz="4" w:space="0"/>
                  </w:tcBorders>
                  <w:vAlign w:val="center"/>
                </w:tcPr>
                <w:p w14:paraId="3EAE2BF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5</w:t>
                  </w:r>
                </w:p>
              </w:tc>
              <w:tc>
                <w:tcPr>
                  <w:tcW w:w="1849" w:type="pct"/>
                  <w:vMerge w:val="restart"/>
                  <w:tcBorders>
                    <w:top w:val="single" w:color="auto" w:sz="4" w:space="0"/>
                    <w:left w:val="single" w:color="auto" w:sz="4" w:space="0"/>
                    <w:right w:val="single" w:color="auto" w:sz="4" w:space="0"/>
                  </w:tcBorders>
                  <w:vAlign w:val="center"/>
                </w:tcPr>
                <w:p w14:paraId="3AD9B285">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颗粒物（粒径小于等于10m）</w:t>
                  </w:r>
                </w:p>
              </w:tc>
              <w:tc>
                <w:tcPr>
                  <w:tcW w:w="1347" w:type="pct"/>
                  <w:tcBorders>
                    <w:top w:val="single" w:color="auto" w:sz="4" w:space="0"/>
                    <w:left w:val="single" w:color="auto" w:sz="4" w:space="0"/>
                    <w:bottom w:val="single" w:color="auto" w:sz="4" w:space="0"/>
                    <w:right w:val="single" w:color="auto" w:sz="4" w:space="0"/>
                  </w:tcBorders>
                  <w:vAlign w:val="center"/>
                </w:tcPr>
                <w:p w14:paraId="4CA2619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年平均</w:t>
                  </w:r>
                </w:p>
              </w:tc>
              <w:tc>
                <w:tcPr>
                  <w:tcW w:w="696" w:type="pct"/>
                  <w:tcBorders>
                    <w:top w:val="single" w:color="auto" w:sz="4" w:space="0"/>
                    <w:left w:val="single" w:color="auto" w:sz="4" w:space="0"/>
                    <w:bottom w:val="single" w:color="auto" w:sz="4" w:space="0"/>
                    <w:right w:val="single" w:color="auto" w:sz="4" w:space="0"/>
                  </w:tcBorders>
                  <w:vAlign w:val="center"/>
                </w:tcPr>
                <w:p w14:paraId="0C86F6CA">
                  <w:pPr>
                    <w:keepNext w:val="0"/>
                    <w:keepLines w:val="0"/>
                    <w:suppressLineNumbers w:val="0"/>
                    <w:adjustRightInd w:val="0"/>
                    <w:snapToGrid w:val="0"/>
                    <w:spacing w:before="0" w:beforeAutospacing="0" w:after="0" w:afterAutospacing="0"/>
                    <w:ind w:left="0" w:right="0"/>
                    <w:jc w:val="center"/>
                    <w:rPr>
                      <w:rFonts w:hint="default" w:eastAsia="宋体"/>
                      <w:color w:val="auto"/>
                      <w:kern w:val="24"/>
                      <w:sz w:val="21"/>
                      <w:szCs w:val="21"/>
                      <w:lang w:val="en-US" w:eastAsia="zh-CN"/>
                    </w:rPr>
                  </w:pPr>
                  <w:r>
                    <w:rPr>
                      <w:rFonts w:hint="eastAsia"/>
                      <w:color w:val="auto"/>
                      <w:kern w:val="24"/>
                      <w:sz w:val="21"/>
                      <w:szCs w:val="21"/>
                      <w:lang w:val="en-US" w:eastAsia="zh-CN"/>
                    </w:rPr>
                    <w:t>60</w:t>
                  </w:r>
                </w:p>
              </w:tc>
              <w:tc>
                <w:tcPr>
                  <w:tcW w:w="617" w:type="pct"/>
                  <w:vMerge w:val="continue"/>
                  <w:tcBorders>
                    <w:top w:val="single" w:color="auto" w:sz="4" w:space="0"/>
                    <w:left w:val="single" w:color="auto" w:sz="4" w:space="0"/>
                    <w:bottom w:val="single" w:color="auto" w:sz="4" w:space="0"/>
                    <w:right w:val="single" w:color="auto" w:sz="4" w:space="0"/>
                  </w:tcBorders>
                  <w:vAlign w:val="center"/>
                </w:tcPr>
                <w:p w14:paraId="30B64C72">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r w14:paraId="097C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tcBorders>
                    <w:left w:val="single" w:color="auto" w:sz="4" w:space="0"/>
                    <w:bottom w:val="single" w:color="auto" w:sz="4" w:space="0"/>
                    <w:right w:val="single" w:color="auto" w:sz="4" w:space="0"/>
                  </w:tcBorders>
                  <w:vAlign w:val="center"/>
                </w:tcPr>
                <w:p w14:paraId="6D07ACCE">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p>
              </w:tc>
              <w:tc>
                <w:tcPr>
                  <w:tcW w:w="1849" w:type="pct"/>
                  <w:vMerge w:val="continue"/>
                  <w:tcBorders>
                    <w:left w:val="single" w:color="auto" w:sz="4" w:space="0"/>
                    <w:bottom w:val="single" w:color="auto" w:sz="4" w:space="0"/>
                    <w:right w:val="single" w:color="auto" w:sz="4" w:space="0"/>
                  </w:tcBorders>
                  <w:vAlign w:val="center"/>
                </w:tcPr>
                <w:p w14:paraId="5A7D41B6">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p>
              </w:tc>
              <w:tc>
                <w:tcPr>
                  <w:tcW w:w="1347" w:type="pct"/>
                  <w:tcBorders>
                    <w:top w:val="single" w:color="auto" w:sz="4" w:space="0"/>
                    <w:left w:val="single" w:color="auto" w:sz="4" w:space="0"/>
                    <w:bottom w:val="single" w:color="auto" w:sz="4" w:space="0"/>
                    <w:right w:val="single" w:color="auto" w:sz="4" w:space="0"/>
                  </w:tcBorders>
                  <w:vAlign w:val="center"/>
                </w:tcPr>
                <w:p w14:paraId="124ECC18">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24小时平均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73F87A8D">
                  <w:pPr>
                    <w:keepNext w:val="0"/>
                    <w:keepLines w:val="0"/>
                    <w:suppressLineNumbers w:val="0"/>
                    <w:adjustRightInd w:val="0"/>
                    <w:snapToGrid w:val="0"/>
                    <w:spacing w:before="0" w:beforeAutospacing="0" w:after="0" w:afterAutospacing="0"/>
                    <w:ind w:left="0" w:right="0"/>
                    <w:jc w:val="center"/>
                    <w:rPr>
                      <w:rFonts w:hint="default" w:eastAsia="宋体"/>
                      <w:color w:val="auto"/>
                      <w:kern w:val="24"/>
                      <w:sz w:val="21"/>
                      <w:szCs w:val="21"/>
                      <w:lang w:val="en-US" w:eastAsia="zh-CN"/>
                    </w:rPr>
                  </w:pPr>
                  <w:r>
                    <w:rPr>
                      <w:rFonts w:hint="eastAsia"/>
                      <w:color w:val="auto"/>
                      <w:kern w:val="24"/>
                      <w:sz w:val="21"/>
                      <w:szCs w:val="21"/>
                      <w:lang w:val="en-US" w:eastAsia="zh-CN"/>
                    </w:rPr>
                    <w:t>120</w:t>
                  </w:r>
                </w:p>
              </w:tc>
              <w:tc>
                <w:tcPr>
                  <w:tcW w:w="617" w:type="pct"/>
                  <w:vMerge w:val="continue"/>
                  <w:tcBorders>
                    <w:top w:val="single" w:color="auto" w:sz="4" w:space="0"/>
                    <w:left w:val="single" w:color="auto" w:sz="4" w:space="0"/>
                    <w:bottom w:val="single" w:color="auto" w:sz="4" w:space="0"/>
                    <w:right w:val="single" w:color="auto" w:sz="4" w:space="0"/>
                  </w:tcBorders>
                  <w:vAlign w:val="center"/>
                </w:tcPr>
                <w:p w14:paraId="1E825827">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r w14:paraId="0890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tcBorders>
                    <w:top w:val="single" w:color="auto" w:sz="4" w:space="0"/>
                    <w:left w:val="single" w:color="auto" w:sz="4" w:space="0"/>
                    <w:right w:val="single" w:color="auto" w:sz="4" w:space="0"/>
                  </w:tcBorders>
                  <w:vAlign w:val="center"/>
                </w:tcPr>
                <w:p w14:paraId="0CAFF621">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6</w:t>
                  </w:r>
                </w:p>
              </w:tc>
              <w:tc>
                <w:tcPr>
                  <w:tcW w:w="1849" w:type="pct"/>
                  <w:vMerge w:val="restart"/>
                  <w:tcBorders>
                    <w:top w:val="single" w:color="auto" w:sz="4" w:space="0"/>
                    <w:left w:val="single" w:color="auto" w:sz="4" w:space="0"/>
                    <w:right w:val="single" w:color="auto" w:sz="4" w:space="0"/>
                  </w:tcBorders>
                  <w:vAlign w:val="center"/>
                </w:tcPr>
                <w:p w14:paraId="558204D0">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颗粒物（粒径小于等于2.5m）</w:t>
                  </w:r>
                </w:p>
              </w:tc>
              <w:tc>
                <w:tcPr>
                  <w:tcW w:w="1347" w:type="pct"/>
                  <w:tcBorders>
                    <w:top w:val="single" w:color="auto" w:sz="4" w:space="0"/>
                    <w:left w:val="single" w:color="auto" w:sz="4" w:space="0"/>
                    <w:bottom w:val="single" w:color="auto" w:sz="4" w:space="0"/>
                    <w:right w:val="single" w:color="auto" w:sz="4" w:space="0"/>
                  </w:tcBorders>
                  <w:vAlign w:val="center"/>
                </w:tcPr>
                <w:p w14:paraId="77FF7B92">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年平均</w:t>
                  </w:r>
                </w:p>
              </w:tc>
              <w:tc>
                <w:tcPr>
                  <w:tcW w:w="696" w:type="pct"/>
                  <w:tcBorders>
                    <w:top w:val="single" w:color="auto" w:sz="4" w:space="0"/>
                    <w:left w:val="single" w:color="auto" w:sz="4" w:space="0"/>
                    <w:bottom w:val="single" w:color="auto" w:sz="4" w:space="0"/>
                    <w:right w:val="single" w:color="auto" w:sz="4" w:space="0"/>
                  </w:tcBorders>
                  <w:vAlign w:val="center"/>
                </w:tcPr>
                <w:p w14:paraId="1F349257">
                  <w:pPr>
                    <w:keepNext w:val="0"/>
                    <w:keepLines w:val="0"/>
                    <w:suppressLineNumbers w:val="0"/>
                    <w:adjustRightInd w:val="0"/>
                    <w:snapToGrid w:val="0"/>
                    <w:spacing w:before="0" w:beforeAutospacing="0" w:after="0" w:afterAutospacing="0"/>
                    <w:ind w:left="0" w:right="0"/>
                    <w:jc w:val="center"/>
                    <w:rPr>
                      <w:rFonts w:hint="default" w:eastAsia="宋体"/>
                      <w:color w:val="auto"/>
                      <w:kern w:val="24"/>
                      <w:sz w:val="21"/>
                      <w:szCs w:val="21"/>
                      <w:lang w:val="en-US" w:eastAsia="zh-CN"/>
                    </w:rPr>
                  </w:pPr>
                  <w:r>
                    <w:rPr>
                      <w:rFonts w:hint="eastAsia"/>
                      <w:color w:val="auto"/>
                      <w:kern w:val="24"/>
                      <w:sz w:val="21"/>
                      <w:szCs w:val="21"/>
                      <w:lang w:val="en-US" w:eastAsia="zh-CN"/>
                    </w:rPr>
                    <w:t>30</w:t>
                  </w:r>
                </w:p>
              </w:tc>
              <w:tc>
                <w:tcPr>
                  <w:tcW w:w="617" w:type="pct"/>
                  <w:vMerge w:val="continue"/>
                  <w:tcBorders>
                    <w:top w:val="single" w:color="auto" w:sz="4" w:space="0"/>
                    <w:left w:val="single" w:color="auto" w:sz="4" w:space="0"/>
                    <w:bottom w:val="single" w:color="auto" w:sz="4" w:space="0"/>
                    <w:right w:val="single" w:color="auto" w:sz="4" w:space="0"/>
                  </w:tcBorders>
                  <w:vAlign w:val="center"/>
                </w:tcPr>
                <w:p w14:paraId="3EDEE8A6">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r w14:paraId="72DB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tcBorders>
                    <w:left w:val="single" w:color="auto" w:sz="4" w:space="0"/>
                    <w:bottom w:val="single" w:color="auto" w:sz="4" w:space="0"/>
                    <w:right w:val="single" w:color="auto" w:sz="4" w:space="0"/>
                  </w:tcBorders>
                  <w:vAlign w:val="center"/>
                </w:tcPr>
                <w:p w14:paraId="189DAC62">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p>
              </w:tc>
              <w:tc>
                <w:tcPr>
                  <w:tcW w:w="1849" w:type="pct"/>
                  <w:vMerge w:val="continue"/>
                  <w:tcBorders>
                    <w:left w:val="single" w:color="auto" w:sz="4" w:space="0"/>
                    <w:bottom w:val="single" w:color="auto" w:sz="4" w:space="0"/>
                    <w:right w:val="single" w:color="auto" w:sz="4" w:space="0"/>
                  </w:tcBorders>
                  <w:vAlign w:val="center"/>
                </w:tcPr>
                <w:p w14:paraId="73EAE1D9">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p>
              </w:tc>
              <w:tc>
                <w:tcPr>
                  <w:tcW w:w="1347" w:type="pct"/>
                  <w:tcBorders>
                    <w:top w:val="single" w:color="auto" w:sz="4" w:space="0"/>
                    <w:left w:val="single" w:color="auto" w:sz="4" w:space="0"/>
                    <w:bottom w:val="single" w:color="auto" w:sz="4" w:space="0"/>
                    <w:right w:val="single" w:color="auto" w:sz="4" w:space="0"/>
                  </w:tcBorders>
                  <w:vAlign w:val="center"/>
                </w:tcPr>
                <w:p w14:paraId="14E72F28">
                  <w:pPr>
                    <w:keepNext w:val="0"/>
                    <w:keepLines w:val="0"/>
                    <w:suppressLineNumbers w:val="0"/>
                    <w:adjustRightInd w:val="0"/>
                    <w:snapToGrid w:val="0"/>
                    <w:spacing w:before="0" w:beforeAutospacing="0" w:after="0" w:afterAutospacing="0"/>
                    <w:ind w:left="0" w:right="0"/>
                    <w:jc w:val="center"/>
                    <w:rPr>
                      <w:rFonts w:hint="eastAsia"/>
                      <w:color w:val="auto"/>
                      <w:kern w:val="24"/>
                      <w:sz w:val="21"/>
                      <w:szCs w:val="21"/>
                      <w:lang w:val="fr-FR"/>
                    </w:rPr>
                  </w:pPr>
                  <w:r>
                    <w:rPr>
                      <w:rFonts w:hint="eastAsia"/>
                      <w:color w:val="auto"/>
                      <w:kern w:val="24"/>
                      <w:sz w:val="21"/>
                      <w:szCs w:val="21"/>
                      <w:lang w:val="fr-FR"/>
                    </w:rPr>
                    <w:t>24小时平均</w:t>
                  </w:r>
                </w:p>
              </w:tc>
              <w:tc>
                <w:tcPr>
                  <w:tcW w:w="696" w:type="pct"/>
                  <w:tcBorders>
                    <w:top w:val="single" w:color="auto" w:sz="4" w:space="0"/>
                    <w:left w:val="single" w:color="auto" w:sz="4" w:space="0"/>
                    <w:bottom w:val="single" w:color="auto" w:sz="4" w:space="0"/>
                    <w:right w:val="single" w:color="auto" w:sz="4" w:space="0"/>
                  </w:tcBorders>
                  <w:vAlign w:val="center"/>
                </w:tcPr>
                <w:p w14:paraId="0408C59C">
                  <w:pPr>
                    <w:keepNext w:val="0"/>
                    <w:keepLines w:val="0"/>
                    <w:suppressLineNumbers w:val="0"/>
                    <w:adjustRightInd w:val="0"/>
                    <w:snapToGrid w:val="0"/>
                    <w:spacing w:before="0" w:beforeAutospacing="0" w:after="0" w:afterAutospacing="0"/>
                    <w:ind w:left="0" w:right="0"/>
                    <w:jc w:val="center"/>
                    <w:rPr>
                      <w:rFonts w:hint="default" w:eastAsia="宋体"/>
                      <w:color w:val="auto"/>
                      <w:kern w:val="24"/>
                      <w:sz w:val="21"/>
                      <w:szCs w:val="21"/>
                      <w:lang w:val="en-US" w:eastAsia="zh-CN"/>
                    </w:rPr>
                  </w:pPr>
                  <w:r>
                    <w:rPr>
                      <w:rFonts w:hint="eastAsia"/>
                      <w:color w:val="auto"/>
                      <w:kern w:val="24"/>
                      <w:sz w:val="21"/>
                      <w:szCs w:val="21"/>
                      <w:lang w:val="en-US" w:eastAsia="zh-CN"/>
                    </w:rPr>
                    <w:t>60</w:t>
                  </w:r>
                </w:p>
              </w:tc>
              <w:tc>
                <w:tcPr>
                  <w:tcW w:w="617" w:type="pct"/>
                  <w:vMerge w:val="continue"/>
                  <w:tcBorders>
                    <w:top w:val="single" w:color="auto" w:sz="4" w:space="0"/>
                    <w:left w:val="single" w:color="auto" w:sz="4" w:space="0"/>
                    <w:bottom w:val="single" w:color="auto" w:sz="4" w:space="0"/>
                    <w:right w:val="single" w:color="auto" w:sz="4" w:space="0"/>
                  </w:tcBorders>
                  <w:vAlign w:val="center"/>
                </w:tcPr>
                <w:p w14:paraId="5F91AE5D">
                  <w:pPr>
                    <w:keepNext w:val="0"/>
                    <w:keepLines w:val="0"/>
                    <w:widowControl/>
                    <w:suppressLineNumbers w:val="0"/>
                    <w:spacing w:before="0" w:beforeAutospacing="0" w:after="0" w:afterAutospacing="0"/>
                    <w:ind w:left="0" w:right="0"/>
                    <w:jc w:val="left"/>
                    <w:rPr>
                      <w:rFonts w:hint="eastAsia"/>
                      <w:color w:val="auto"/>
                      <w:kern w:val="24"/>
                      <w:sz w:val="21"/>
                      <w:szCs w:val="21"/>
                      <w:lang w:val="fr-FR"/>
                    </w:rPr>
                  </w:pPr>
                </w:p>
              </w:tc>
            </w:tr>
          </w:tbl>
          <w:p w14:paraId="574B2643">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（2）声环境质量标准</w:t>
            </w:r>
          </w:p>
          <w:p w14:paraId="7907AE4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根据《防城港市声环境功能区划方案（2020-2025）》，本项目位于2类声环境功能区，执行《声环境质量标准》（GB30962008）2类区标准。</w:t>
            </w:r>
          </w:p>
          <w:p w14:paraId="36B5E7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3.1</w:t>
            </w:r>
            <w:r>
              <w:rPr>
                <w:rFonts w:hint="eastAsia" w:cs="Times New Roman"/>
                <w:b/>
                <w:bCs/>
                <w:color w:val="auto"/>
                <w:kern w:val="0"/>
                <w:sz w:val="21"/>
                <w:szCs w:val="21"/>
                <w:lang w:val="en-US" w:eastAsia="zh-CN"/>
              </w:rPr>
              <w:t>3</w:t>
            </w:r>
            <w:r>
              <w:rPr>
                <w:rFonts w:hint="eastAsia" w:ascii="Times New Roman" w:hAnsi="Times New Roman" w:cs="Times New Roman"/>
                <w:b/>
                <w:bCs/>
                <w:color w:val="auto"/>
                <w:kern w:val="0"/>
                <w:sz w:val="21"/>
                <w:szCs w:val="21"/>
                <w:lang w:val="en-US" w:eastAsia="zh-CN"/>
              </w:rPr>
              <w:t>-2</w:t>
            </w:r>
            <w:r>
              <w:rPr>
                <w:rFonts w:hint="eastAsia" w:ascii="Times New Roman" w:hAnsi="Times New Roman" w:cs="Times New Roman"/>
                <w:b/>
                <w:bCs/>
                <w:color w:val="auto"/>
                <w:kern w:val="0"/>
                <w:sz w:val="21"/>
                <w:szCs w:val="21"/>
                <w:lang w:val="zh-CN" w:eastAsia="zh-CN"/>
              </w:rPr>
              <w:t xml:space="preserve">  《声环境质量标准》（GB3096-2008）  单位：dB(A)</w:t>
            </w:r>
          </w:p>
          <w:tbl>
            <w:tblPr>
              <w:tblStyle w:val="28"/>
              <w:tblW w:w="3746" w:type="pct"/>
              <w:tblInd w:w="9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6"/>
              <w:gridCol w:w="2174"/>
              <w:gridCol w:w="1752"/>
            </w:tblGrid>
            <w:tr w14:paraId="38EE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976" w:type="pct"/>
                  <w:vMerge w:val="restart"/>
                  <w:tcBorders>
                    <w:top w:val="single" w:color="auto" w:sz="4" w:space="0"/>
                    <w:left w:val="single" w:color="auto" w:sz="4" w:space="0"/>
                    <w:bottom w:val="single" w:color="auto" w:sz="4" w:space="0"/>
                    <w:right w:val="single" w:color="auto" w:sz="4" w:space="0"/>
                  </w:tcBorders>
                  <w:vAlign w:val="center"/>
                </w:tcPr>
                <w:p w14:paraId="7B6FE6D3">
                  <w:pPr>
                    <w:keepNext w:val="0"/>
                    <w:keepLines w:val="0"/>
                    <w:suppressLineNumbers w:val="0"/>
                    <w:adjustRightInd w:val="0"/>
                    <w:snapToGrid w:val="0"/>
                    <w:spacing w:before="0" w:beforeAutospacing="0" w:after="0" w:afterAutospacing="0"/>
                    <w:ind w:left="0" w:right="0"/>
                    <w:jc w:val="center"/>
                    <w:rPr>
                      <w:rFonts w:hint="eastAsia"/>
                      <w:b w:val="0"/>
                      <w:bCs/>
                      <w:color w:val="auto"/>
                      <w:kern w:val="24"/>
                    </w:rPr>
                  </w:pPr>
                  <w:r>
                    <w:rPr>
                      <w:rFonts w:hint="eastAsia"/>
                      <w:b w:val="0"/>
                      <w:bCs/>
                      <w:color w:val="auto"/>
                      <w:kern w:val="24"/>
                    </w:rPr>
                    <w:t>声环境功能区类别</w:t>
                  </w:r>
                </w:p>
              </w:tc>
              <w:tc>
                <w:tcPr>
                  <w:tcW w:w="3023" w:type="pct"/>
                  <w:gridSpan w:val="2"/>
                  <w:tcBorders>
                    <w:top w:val="single" w:color="auto" w:sz="4" w:space="0"/>
                    <w:left w:val="single" w:color="auto" w:sz="4" w:space="0"/>
                    <w:bottom w:val="single" w:color="auto" w:sz="4" w:space="0"/>
                    <w:right w:val="single" w:color="auto" w:sz="4" w:space="0"/>
                  </w:tcBorders>
                  <w:vAlign w:val="center"/>
                </w:tcPr>
                <w:p w14:paraId="0EF71BB3">
                  <w:pPr>
                    <w:keepNext w:val="0"/>
                    <w:keepLines w:val="0"/>
                    <w:suppressLineNumbers w:val="0"/>
                    <w:adjustRightInd w:val="0"/>
                    <w:snapToGrid w:val="0"/>
                    <w:spacing w:before="0" w:beforeAutospacing="0" w:after="0" w:afterAutospacing="0"/>
                    <w:ind w:left="0" w:right="0"/>
                    <w:jc w:val="center"/>
                    <w:rPr>
                      <w:rFonts w:hint="eastAsia"/>
                      <w:b w:val="0"/>
                      <w:bCs/>
                      <w:color w:val="auto"/>
                      <w:kern w:val="24"/>
                    </w:rPr>
                  </w:pPr>
                  <w:r>
                    <w:rPr>
                      <w:rFonts w:hint="eastAsia"/>
                      <w:b w:val="0"/>
                      <w:bCs/>
                      <w:color w:val="auto"/>
                      <w:kern w:val="24"/>
                    </w:rPr>
                    <w:t>时段</w:t>
                  </w:r>
                </w:p>
              </w:tc>
            </w:tr>
            <w:tr w14:paraId="1EC3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76" w:type="pct"/>
                  <w:vMerge w:val="continue"/>
                  <w:tcBorders>
                    <w:top w:val="single" w:color="auto" w:sz="4" w:space="0"/>
                    <w:left w:val="single" w:color="auto" w:sz="4" w:space="0"/>
                    <w:bottom w:val="single" w:color="auto" w:sz="4" w:space="0"/>
                    <w:right w:val="single" w:color="auto" w:sz="4" w:space="0"/>
                  </w:tcBorders>
                  <w:vAlign w:val="center"/>
                </w:tcPr>
                <w:p w14:paraId="2B727A9B">
                  <w:pPr>
                    <w:keepNext w:val="0"/>
                    <w:keepLines w:val="0"/>
                    <w:widowControl/>
                    <w:suppressLineNumbers w:val="0"/>
                    <w:spacing w:before="0" w:beforeAutospacing="0" w:after="0" w:afterAutospacing="0"/>
                    <w:ind w:left="0" w:right="0"/>
                    <w:jc w:val="center"/>
                    <w:rPr>
                      <w:rFonts w:hint="eastAsia"/>
                      <w:b w:val="0"/>
                      <w:bCs/>
                      <w:color w:val="auto"/>
                      <w:kern w:val="24"/>
                    </w:rPr>
                  </w:pPr>
                </w:p>
              </w:tc>
              <w:tc>
                <w:tcPr>
                  <w:tcW w:w="1674" w:type="pct"/>
                  <w:tcBorders>
                    <w:top w:val="single" w:color="auto" w:sz="4" w:space="0"/>
                    <w:left w:val="single" w:color="auto" w:sz="4" w:space="0"/>
                    <w:bottom w:val="single" w:color="auto" w:sz="4" w:space="0"/>
                    <w:right w:val="single" w:color="auto" w:sz="4" w:space="0"/>
                  </w:tcBorders>
                  <w:vAlign w:val="center"/>
                </w:tcPr>
                <w:p w14:paraId="61D64939">
                  <w:pPr>
                    <w:keepNext w:val="0"/>
                    <w:keepLines w:val="0"/>
                    <w:suppressLineNumbers w:val="0"/>
                    <w:adjustRightInd w:val="0"/>
                    <w:snapToGrid w:val="0"/>
                    <w:spacing w:before="0" w:beforeAutospacing="0" w:after="0" w:afterAutospacing="0"/>
                    <w:ind w:left="0" w:right="0"/>
                    <w:jc w:val="center"/>
                    <w:rPr>
                      <w:rFonts w:hint="eastAsia"/>
                      <w:b w:val="0"/>
                      <w:bCs/>
                      <w:color w:val="auto"/>
                      <w:kern w:val="24"/>
                    </w:rPr>
                  </w:pPr>
                  <w:r>
                    <w:rPr>
                      <w:rFonts w:hint="eastAsia"/>
                      <w:b w:val="0"/>
                      <w:bCs/>
                      <w:color w:val="auto"/>
                      <w:kern w:val="24"/>
                    </w:rPr>
                    <w:t>昼间</w:t>
                  </w:r>
                </w:p>
              </w:tc>
              <w:tc>
                <w:tcPr>
                  <w:tcW w:w="1349" w:type="pct"/>
                  <w:tcBorders>
                    <w:top w:val="single" w:color="auto" w:sz="4" w:space="0"/>
                    <w:left w:val="single" w:color="auto" w:sz="4" w:space="0"/>
                    <w:bottom w:val="single" w:color="auto" w:sz="4" w:space="0"/>
                    <w:right w:val="single" w:color="auto" w:sz="4" w:space="0"/>
                  </w:tcBorders>
                  <w:vAlign w:val="center"/>
                </w:tcPr>
                <w:p w14:paraId="74C40365">
                  <w:pPr>
                    <w:keepNext w:val="0"/>
                    <w:keepLines w:val="0"/>
                    <w:suppressLineNumbers w:val="0"/>
                    <w:adjustRightInd w:val="0"/>
                    <w:snapToGrid w:val="0"/>
                    <w:spacing w:before="0" w:beforeAutospacing="0" w:after="0" w:afterAutospacing="0"/>
                    <w:ind w:left="0" w:right="0"/>
                    <w:jc w:val="center"/>
                    <w:rPr>
                      <w:rFonts w:hint="eastAsia"/>
                      <w:b w:val="0"/>
                      <w:bCs/>
                      <w:color w:val="auto"/>
                      <w:kern w:val="24"/>
                    </w:rPr>
                  </w:pPr>
                  <w:r>
                    <w:rPr>
                      <w:rFonts w:hint="eastAsia"/>
                      <w:b w:val="0"/>
                      <w:bCs/>
                      <w:color w:val="auto"/>
                      <w:kern w:val="24"/>
                    </w:rPr>
                    <w:t>夜间</w:t>
                  </w:r>
                </w:p>
              </w:tc>
            </w:tr>
            <w:tr w14:paraId="3482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76" w:type="pct"/>
                  <w:tcBorders>
                    <w:top w:val="single" w:color="auto" w:sz="4" w:space="0"/>
                    <w:left w:val="single" w:color="auto" w:sz="4" w:space="0"/>
                    <w:bottom w:val="single" w:color="auto" w:sz="4" w:space="0"/>
                    <w:right w:val="single" w:color="auto" w:sz="4" w:space="0"/>
                  </w:tcBorders>
                  <w:vAlign w:val="center"/>
                </w:tcPr>
                <w:p w14:paraId="3F6BFC26">
                  <w:pPr>
                    <w:keepNext w:val="0"/>
                    <w:keepLines w:val="0"/>
                    <w:suppressLineNumbers w:val="0"/>
                    <w:adjustRightInd w:val="0"/>
                    <w:snapToGrid w:val="0"/>
                    <w:spacing w:before="0" w:beforeAutospacing="0" w:after="0" w:afterAutospacing="0"/>
                    <w:ind w:left="0" w:right="0"/>
                    <w:jc w:val="center"/>
                    <w:rPr>
                      <w:rFonts w:hint="eastAsia"/>
                      <w:b w:val="0"/>
                      <w:bCs/>
                      <w:color w:val="auto"/>
                      <w:kern w:val="24"/>
                    </w:rPr>
                  </w:pPr>
                  <w:r>
                    <w:rPr>
                      <w:rFonts w:hint="eastAsia"/>
                      <w:b w:val="0"/>
                      <w:bCs/>
                      <w:color w:val="auto"/>
                      <w:kern w:val="24"/>
                    </w:rPr>
                    <w:t>2类</w:t>
                  </w:r>
                </w:p>
              </w:tc>
              <w:tc>
                <w:tcPr>
                  <w:tcW w:w="1674" w:type="pct"/>
                  <w:tcBorders>
                    <w:top w:val="single" w:color="auto" w:sz="4" w:space="0"/>
                    <w:left w:val="single" w:color="auto" w:sz="4" w:space="0"/>
                    <w:bottom w:val="single" w:color="auto" w:sz="4" w:space="0"/>
                    <w:right w:val="single" w:color="auto" w:sz="4" w:space="0"/>
                  </w:tcBorders>
                  <w:vAlign w:val="center"/>
                </w:tcPr>
                <w:p w14:paraId="2CB52129">
                  <w:pPr>
                    <w:keepNext w:val="0"/>
                    <w:keepLines w:val="0"/>
                    <w:suppressLineNumbers w:val="0"/>
                    <w:adjustRightInd w:val="0"/>
                    <w:snapToGrid w:val="0"/>
                    <w:spacing w:before="0" w:beforeAutospacing="0" w:after="0" w:afterAutospacing="0"/>
                    <w:ind w:left="0" w:right="0"/>
                    <w:jc w:val="center"/>
                    <w:rPr>
                      <w:rFonts w:hint="eastAsia"/>
                      <w:b w:val="0"/>
                      <w:bCs/>
                      <w:color w:val="auto"/>
                      <w:kern w:val="24"/>
                    </w:rPr>
                  </w:pPr>
                  <w:r>
                    <w:rPr>
                      <w:rFonts w:hint="eastAsia"/>
                      <w:b w:val="0"/>
                      <w:bCs/>
                      <w:color w:val="auto"/>
                      <w:kern w:val="24"/>
                    </w:rPr>
                    <w:t>60</w:t>
                  </w:r>
                </w:p>
              </w:tc>
              <w:tc>
                <w:tcPr>
                  <w:tcW w:w="1349" w:type="pct"/>
                  <w:tcBorders>
                    <w:top w:val="single" w:color="auto" w:sz="4" w:space="0"/>
                    <w:left w:val="single" w:color="auto" w:sz="4" w:space="0"/>
                    <w:bottom w:val="single" w:color="auto" w:sz="4" w:space="0"/>
                    <w:right w:val="single" w:color="auto" w:sz="4" w:space="0"/>
                  </w:tcBorders>
                  <w:vAlign w:val="center"/>
                </w:tcPr>
                <w:p w14:paraId="3BC5F630">
                  <w:pPr>
                    <w:keepNext w:val="0"/>
                    <w:keepLines w:val="0"/>
                    <w:suppressLineNumbers w:val="0"/>
                    <w:adjustRightInd w:val="0"/>
                    <w:snapToGrid w:val="0"/>
                    <w:spacing w:before="0" w:beforeAutospacing="0" w:after="0" w:afterAutospacing="0"/>
                    <w:ind w:left="0" w:right="0"/>
                    <w:jc w:val="center"/>
                    <w:rPr>
                      <w:rFonts w:hint="eastAsia"/>
                      <w:b w:val="0"/>
                      <w:bCs/>
                      <w:color w:val="auto"/>
                      <w:kern w:val="24"/>
                    </w:rPr>
                  </w:pPr>
                  <w:r>
                    <w:rPr>
                      <w:rFonts w:hint="eastAsia"/>
                      <w:b w:val="0"/>
                      <w:bCs/>
                      <w:color w:val="auto"/>
                      <w:kern w:val="24"/>
                    </w:rPr>
                    <w:t>50</w:t>
                  </w:r>
                </w:p>
              </w:tc>
            </w:tr>
          </w:tbl>
          <w:p w14:paraId="0C0A6394">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（3）海水水质、沉积物、生物质量标准</w:t>
            </w:r>
          </w:p>
          <w:p w14:paraId="059AD745">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①海水水质标准</w:t>
            </w:r>
          </w:p>
          <w:p w14:paraId="41BA4AF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本项目位于《</w:t>
            </w:r>
            <w:r>
              <w:rPr>
                <w:rFonts w:hint="eastAsia"/>
                <w:color w:val="auto"/>
                <w:kern w:val="0"/>
                <w:sz w:val="24"/>
                <w:lang w:val="en-US" w:eastAsia="zh-CN"/>
              </w:rPr>
              <w:t>防城港</w:t>
            </w:r>
            <w:r>
              <w:rPr>
                <w:rFonts w:hint="eastAsia"/>
                <w:color w:val="auto"/>
                <w:kern w:val="0"/>
                <w:sz w:val="24"/>
              </w:rPr>
              <w:t>市国土空间总体规划（2021-2035年）》“渔业用海区”内，国土空间规划中未明确各功能区执行标准情况。</w:t>
            </w:r>
          </w:p>
          <w:p w14:paraId="204135E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根据《广西壮族自治区近岸海域环境功能区划调整方案》，项目处于</w:t>
            </w:r>
            <w:r>
              <w:rPr>
                <w:rFonts w:hint="eastAsia"/>
                <w:color w:val="auto"/>
                <w:kern w:val="0"/>
                <w:sz w:val="24"/>
                <w:lang w:val="en-US" w:eastAsia="zh-CN"/>
              </w:rPr>
              <w:t>三</w:t>
            </w:r>
            <w:r>
              <w:rPr>
                <w:rFonts w:hint="eastAsia"/>
                <w:color w:val="auto"/>
                <w:kern w:val="0"/>
                <w:sz w:val="24"/>
              </w:rPr>
              <w:t>类环境功能区，水质执行《海水水质标准》（GB3097-1997）</w:t>
            </w:r>
            <w:r>
              <w:rPr>
                <w:rFonts w:hint="eastAsia"/>
                <w:color w:val="auto"/>
                <w:kern w:val="0"/>
                <w:sz w:val="24"/>
                <w:lang w:val="en-US" w:eastAsia="zh-CN"/>
              </w:rPr>
              <w:t>三</w:t>
            </w:r>
            <w:r>
              <w:rPr>
                <w:rFonts w:hint="eastAsia"/>
                <w:color w:val="auto"/>
                <w:kern w:val="0"/>
                <w:sz w:val="24"/>
              </w:rPr>
              <w:t>类海水水质标准；沉积物执行《海洋沉积物质量》（GB18668-2002）中</w:t>
            </w:r>
            <w:r>
              <w:rPr>
                <w:rFonts w:hint="eastAsia"/>
                <w:color w:val="auto"/>
                <w:kern w:val="0"/>
                <w:sz w:val="24"/>
                <w:lang w:val="en-US" w:eastAsia="zh-CN"/>
              </w:rPr>
              <w:t>二</w:t>
            </w:r>
            <w:r>
              <w:rPr>
                <w:rFonts w:hint="eastAsia"/>
                <w:color w:val="auto"/>
                <w:kern w:val="0"/>
                <w:sz w:val="24"/>
              </w:rPr>
              <w:t>类标准；生物质量中贝类执行《海洋生物质量》（GB18421-2001）中</w:t>
            </w:r>
            <w:r>
              <w:rPr>
                <w:rFonts w:hint="eastAsia"/>
                <w:color w:val="auto"/>
                <w:kern w:val="0"/>
                <w:sz w:val="24"/>
                <w:lang w:val="en-US" w:eastAsia="zh-CN"/>
              </w:rPr>
              <w:t>三</w:t>
            </w:r>
            <w:r>
              <w:rPr>
                <w:rFonts w:hint="eastAsia"/>
                <w:color w:val="auto"/>
                <w:kern w:val="0"/>
                <w:sz w:val="24"/>
              </w:rPr>
              <w:t>类标准，软体动物（非双壳贝类）、甲壳类、鱼类生物质量评价执行《环境影响评价技术导则海洋生态环境》（HJ 1409-2025）。相关标准值详见表</w:t>
            </w:r>
            <w:r>
              <w:rPr>
                <w:rFonts w:hint="eastAsia"/>
                <w:color w:val="auto"/>
                <w:kern w:val="0"/>
                <w:sz w:val="24"/>
                <w:lang w:val="en-US" w:eastAsia="zh-CN"/>
              </w:rPr>
              <w:t>3.13-3</w:t>
            </w:r>
            <w:r>
              <w:rPr>
                <w:rFonts w:hint="eastAsia"/>
                <w:color w:val="auto"/>
                <w:kern w:val="0"/>
                <w:sz w:val="24"/>
              </w:rPr>
              <w:t>~表</w:t>
            </w:r>
            <w:r>
              <w:rPr>
                <w:rFonts w:hint="eastAsia"/>
                <w:color w:val="auto"/>
                <w:kern w:val="0"/>
                <w:sz w:val="24"/>
                <w:lang w:val="en-US" w:eastAsia="zh-CN"/>
              </w:rPr>
              <w:t>3.13-5</w:t>
            </w:r>
            <w:r>
              <w:rPr>
                <w:rFonts w:hint="eastAsia"/>
                <w:color w:val="auto"/>
                <w:kern w:val="0"/>
                <w:sz w:val="24"/>
              </w:rPr>
              <w:t>。</w:t>
            </w:r>
          </w:p>
          <w:p w14:paraId="00BCBA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zh-CN" w:eastAsia="zh-CN"/>
              </w:rPr>
              <w:t>表3</w:t>
            </w:r>
            <w:r>
              <w:rPr>
                <w:rFonts w:hint="eastAsia" w:ascii="Times New Roman" w:hAnsi="Times New Roman" w:cs="Times New Roman"/>
                <w:b/>
                <w:bCs/>
                <w:color w:val="auto"/>
                <w:kern w:val="0"/>
                <w:sz w:val="21"/>
                <w:szCs w:val="21"/>
                <w:lang w:val="en-US" w:eastAsia="zh-CN"/>
              </w:rPr>
              <w:t>.1</w:t>
            </w:r>
            <w:r>
              <w:rPr>
                <w:rFonts w:hint="eastAsia" w:cs="Times New Roman"/>
                <w:b/>
                <w:bCs/>
                <w:color w:val="auto"/>
                <w:kern w:val="0"/>
                <w:sz w:val="21"/>
                <w:szCs w:val="21"/>
                <w:lang w:val="en-US" w:eastAsia="zh-CN"/>
              </w:rPr>
              <w:t>3</w:t>
            </w:r>
            <w:r>
              <w:rPr>
                <w:rFonts w:hint="eastAsia" w:ascii="Times New Roman" w:hAnsi="Times New Roman" w:cs="Times New Roman"/>
                <w:b/>
                <w:bCs/>
                <w:color w:val="auto"/>
                <w:kern w:val="0"/>
                <w:sz w:val="21"/>
                <w:szCs w:val="21"/>
                <w:lang w:val="en-US" w:eastAsia="zh-CN"/>
              </w:rPr>
              <w:t>-3</w:t>
            </w:r>
            <w:r>
              <w:rPr>
                <w:rFonts w:hint="eastAsia" w:ascii="Times New Roman" w:hAnsi="Times New Roman" w:cs="Times New Roman"/>
                <w:b/>
                <w:bCs/>
                <w:color w:val="auto"/>
                <w:kern w:val="0"/>
                <w:sz w:val="21"/>
                <w:szCs w:val="21"/>
                <w:lang w:val="zh-CN" w:eastAsia="zh-CN"/>
              </w:rPr>
              <w:t xml:space="preserve"> 《海水水质标准》（ GB3097- 1997）</w:t>
            </w:r>
          </w:p>
          <w:tbl>
            <w:tblPr>
              <w:tblStyle w:val="28"/>
              <w:tblW w:w="45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538"/>
              <w:gridCol w:w="1608"/>
              <w:gridCol w:w="1560"/>
              <w:gridCol w:w="1524"/>
            </w:tblGrid>
            <w:tr w14:paraId="3A17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287DE4BD">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评价因子</w:t>
                  </w:r>
                </w:p>
              </w:tc>
              <w:tc>
                <w:tcPr>
                  <w:tcW w:w="965" w:type="pct"/>
                  <w:noWrap w:val="0"/>
                  <w:vAlign w:val="center"/>
                </w:tcPr>
                <w:p w14:paraId="6B782EC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第一类</w:t>
                  </w:r>
                </w:p>
              </w:tc>
              <w:tc>
                <w:tcPr>
                  <w:tcW w:w="1009" w:type="pct"/>
                  <w:noWrap w:val="0"/>
                  <w:vAlign w:val="center"/>
                </w:tcPr>
                <w:p w14:paraId="47BCDD1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第二类</w:t>
                  </w:r>
                </w:p>
              </w:tc>
              <w:tc>
                <w:tcPr>
                  <w:tcW w:w="979" w:type="pct"/>
                  <w:noWrap w:val="0"/>
                  <w:vAlign w:val="center"/>
                </w:tcPr>
                <w:p w14:paraId="6972EA4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第三类</w:t>
                  </w:r>
                </w:p>
              </w:tc>
              <w:tc>
                <w:tcPr>
                  <w:tcW w:w="956" w:type="pct"/>
                  <w:noWrap w:val="0"/>
                  <w:vAlign w:val="center"/>
                </w:tcPr>
                <w:p w14:paraId="7F2D566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第四类</w:t>
                  </w:r>
                </w:p>
              </w:tc>
            </w:tr>
            <w:tr w14:paraId="5F14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493263D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pH</w:t>
                  </w:r>
                </w:p>
              </w:tc>
              <w:tc>
                <w:tcPr>
                  <w:tcW w:w="1975" w:type="pct"/>
                  <w:gridSpan w:val="2"/>
                  <w:noWrap w:val="0"/>
                  <w:vAlign w:val="center"/>
                </w:tcPr>
                <w:p w14:paraId="1653290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7.8~8.5</w:t>
                  </w:r>
                </w:p>
                <w:p w14:paraId="0E2DDFDD">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同时不超出该海域正常变动范围的0.2pH单位</w:t>
                  </w:r>
                </w:p>
              </w:tc>
              <w:tc>
                <w:tcPr>
                  <w:tcW w:w="1936" w:type="pct"/>
                  <w:gridSpan w:val="2"/>
                  <w:noWrap w:val="0"/>
                  <w:vAlign w:val="center"/>
                </w:tcPr>
                <w:p w14:paraId="6B91CBE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6.8~8.8</w:t>
                  </w:r>
                </w:p>
                <w:p w14:paraId="6A52636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同时不超出该海域正常变动范围的0.5pH单位</w:t>
                  </w:r>
                </w:p>
              </w:tc>
            </w:tr>
            <w:tr w14:paraId="7B2B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37628B6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溶解氧</w:t>
                  </w:r>
                </w:p>
              </w:tc>
              <w:tc>
                <w:tcPr>
                  <w:tcW w:w="965" w:type="pct"/>
                  <w:noWrap w:val="0"/>
                  <w:vAlign w:val="center"/>
                </w:tcPr>
                <w:p w14:paraId="3FCCBA9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&gt;6mg/L</w:t>
                  </w:r>
                </w:p>
              </w:tc>
              <w:tc>
                <w:tcPr>
                  <w:tcW w:w="1009" w:type="pct"/>
                  <w:noWrap w:val="0"/>
                  <w:vAlign w:val="center"/>
                </w:tcPr>
                <w:p w14:paraId="4C0436A6">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&gt;5mg/L</w:t>
                  </w:r>
                </w:p>
              </w:tc>
              <w:tc>
                <w:tcPr>
                  <w:tcW w:w="979" w:type="pct"/>
                  <w:noWrap w:val="0"/>
                  <w:vAlign w:val="center"/>
                </w:tcPr>
                <w:p w14:paraId="7B0B592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&gt;4mg/L</w:t>
                  </w:r>
                </w:p>
              </w:tc>
              <w:tc>
                <w:tcPr>
                  <w:tcW w:w="956" w:type="pct"/>
                  <w:noWrap w:val="0"/>
                  <w:vAlign w:val="center"/>
                </w:tcPr>
                <w:p w14:paraId="2E80DAF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&gt;3mg/L</w:t>
                  </w:r>
                </w:p>
              </w:tc>
            </w:tr>
            <w:tr w14:paraId="668B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108BA29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化学需氧量</w:t>
                  </w:r>
                </w:p>
              </w:tc>
              <w:tc>
                <w:tcPr>
                  <w:tcW w:w="965" w:type="pct"/>
                  <w:noWrap w:val="0"/>
                  <w:vAlign w:val="center"/>
                </w:tcPr>
                <w:p w14:paraId="349CB45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≤2mg/L</w:t>
                  </w:r>
                </w:p>
              </w:tc>
              <w:tc>
                <w:tcPr>
                  <w:tcW w:w="1009" w:type="pct"/>
                  <w:noWrap w:val="0"/>
                  <w:vAlign w:val="center"/>
                </w:tcPr>
                <w:p w14:paraId="3C7C4D2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≤3mg/L</w:t>
                  </w:r>
                </w:p>
              </w:tc>
              <w:tc>
                <w:tcPr>
                  <w:tcW w:w="979" w:type="pct"/>
                  <w:noWrap w:val="0"/>
                  <w:vAlign w:val="center"/>
                </w:tcPr>
                <w:p w14:paraId="3D440F7B">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≤4mg/L</w:t>
                  </w:r>
                </w:p>
              </w:tc>
              <w:tc>
                <w:tcPr>
                  <w:tcW w:w="956" w:type="pct"/>
                  <w:noWrap w:val="0"/>
                  <w:vAlign w:val="center"/>
                </w:tcPr>
                <w:p w14:paraId="0EB5F3E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≤5mg/L</w:t>
                  </w:r>
                </w:p>
              </w:tc>
            </w:tr>
            <w:tr w14:paraId="70AD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3CDCA0B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活性磷酸盐</w:t>
                  </w:r>
                </w:p>
              </w:tc>
              <w:tc>
                <w:tcPr>
                  <w:tcW w:w="965" w:type="pct"/>
                  <w:noWrap w:val="0"/>
                  <w:vAlign w:val="center"/>
                </w:tcPr>
                <w:p w14:paraId="3D10EA1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≤0.015mg/L</w:t>
                  </w:r>
                </w:p>
              </w:tc>
              <w:tc>
                <w:tcPr>
                  <w:tcW w:w="1989" w:type="pct"/>
                  <w:gridSpan w:val="2"/>
                  <w:noWrap w:val="0"/>
                  <w:vAlign w:val="center"/>
                </w:tcPr>
                <w:p w14:paraId="79C1BF9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≤0.030mg/L</w:t>
                  </w:r>
                </w:p>
              </w:tc>
              <w:tc>
                <w:tcPr>
                  <w:tcW w:w="956" w:type="pct"/>
                  <w:noWrap w:val="0"/>
                  <w:vAlign w:val="center"/>
                </w:tcPr>
                <w:p w14:paraId="4A85B416">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≤0.045mg/L</w:t>
                  </w:r>
                </w:p>
              </w:tc>
            </w:tr>
            <w:tr w14:paraId="16C9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3FEE2AAB">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无机氮</w:t>
                  </w:r>
                </w:p>
              </w:tc>
              <w:tc>
                <w:tcPr>
                  <w:tcW w:w="965" w:type="pct"/>
                  <w:noWrap w:val="0"/>
                  <w:vAlign w:val="center"/>
                </w:tcPr>
                <w:p w14:paraId="4FAB31E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≤0.20mg/L</w:t>
                  </w:r>
                </w:p>
              </w:tc>
              <w:tc>
                <w:tcPr>
                  <w:tcW w:w="1009" w:type="pct"/>
                  <w:noWrap w:val="0"/>
                  <w:vAlign w:val="center"/>
                </w:tcPr>
                <w:p w14:paraId="6838196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≤0.30mg/L</w:t>
                  </w:r>
                </w:p>
              </w:tc>
              <w:tc>
                <w:tcPr>
                  <w:tcW w:w="979" w:type="pct"/>
                  <w:noWrap w:val="0"/>
                  <w:vAlign w:val="center"/>
                </w:tcPr>
                <w:p w14:paraId="4E62D5E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≤0.40mg/L</w:t>
                  </w:r>
                </w:p>
              </w:tc>
              <w:tc>
                <w:tcPr>
                  <w:tcW w:w="956" w:type="pct"/>
                  <w:noWrap w:val="0"/>
                  <w:vAlign w:val="center"/>
                </w:tcPr>
                <w:p w14:paraId="50D9BF5B">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≤0.50mg/L</w:t>
                  </w:r>
                </w:p>
              </w:tc>
            </w:tr>
            <w:tr w14:paraId="4BF5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739C84E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砷</w:t>
                  </w:r>
                </w:p>
              </w:tc>
              <w:tc>
                <w:tcPr>
                  <w:tcW w:w="965" w:type="pct"/>
                  <w:noWrap w:val="0"/>
                  <w:vAlign w:val="center"/>
                </w:tcPr>
                <w:p w14:paraId="07E5498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≤0.020mg/L</w:t>
                  </w:r>
                </w:p>
              </w:tc>
              <w:tc>
                <w:tcPr>
                  <w:tcW w:w="1009" w:type="pct"/>
                  <w:noWrap w:val="0"/>
                  <w:vAlign w:val="center"/>
                </w:tcPr>
                <w:p w14:paraId="19EEACD6">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≤0.030mg/L</w:t>
                  </w:r>
                </w:p>
              </w:tc>
              <w:tc>
                <w:tcPr>
                  <w:tcW w:w="1936" w:type="pct"/>
                  <w:gridSpan w:val="2"/>
                  <w:noWrap w:val="0"/>
                  <w:vAlign w:val="center"/>
                </w:tcPr>
                <w:p w14:paraId="4034413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≤0.050mg/L</w:t>
                  </w:r>
                </w:p>
              </w:tc>
            </w:tr>
            <w:tr w14:paraId="27BC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35E9824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汞</w:t>
                  </w:r>
                </w:p>
              </w:tc>
              <w:tc>
                <w:tcPr>
                  <w:tcW w:w="965" w:type="pct"/>
                  <w:noWrap w:val="0"/>
                  <w:vAlign w:val="center"/>
                </w:tcPr>
                <w:p w14:paraId="21C827C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≤0.00005mg/L</w:t>
                  </w:r>
                </w:p>
              </w:tc>
              <w:tc>
                <w:tcPr>
                  <w:tcW w:w="1989" w:type="pct"/>
                  <w:gridSpan w:val="2"/>
                  <w:noWrap w:val="0"/>
                  <w:vAlign w:val="center"/>
                </w:tcPr>
                <w:p w14:paraId="2EDDEE8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≤0.0002mg/L</w:t>
                  </w:r>
                </w:p>
              </w:tc>
              <w:tc>
                <w:tcPr>
                  <w:tcW w:w="956" w:type="pct"/>
                  <w:noWrap w:val="0"/>
                  <w:vAlign w:val="center"/>
                </w:tcPr>
                <w:p w14:paraId="5FBCF6D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≤0.0005mg/L</w:t>
                  </w:r>
                </w:p>
              </w:tc>
            </w:tr>
            <w:tr w14:paraId="710E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5DE787D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铜</w:t>
                  </w:r>
                </w:p>
              </w:tc>
              <w:tc>
                <w:tcPr>
                  <w:tcW w:w="965" w:type="pct"/>
                  <w:noWrap w:val="0"/>
                  <w:vAlign w:val="center"/>
                </w:tcPr>
                <w:p w14:paraId="261D902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≤0.005mg/L</w:t>
                  </w:r>
                </w:p>
              </w:tc>
              <w:tc>
                <w:tcPr>
                  <w:tcW w:w="1009" w:type="pct"/>
                  <w:noWrap w:val="0"/>
                  <w:vAlign w:val="center"/>
                </w:tcPr>
                <w:p w14:paraId="1A674D8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≤0.010mg/L</w:t>
                  </w:r>
                </w:p>
              </w:tc>
              <w:tc>
                <w:tcPr>
                  <w:tcW w:w="1936" w:type="pct"/>
                  <w:gridSpan w:val="2"/>
                  <w:noWrap w:val="0"/>
                  <w:vAlign w:val="center"/>
                </w:tcPr>
                <w:p w14:paraId="3A9271B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≤0.050mg/L</w:t>
                  </w:r>
                </w:p>
              </w:tc>
            </w:tr>
            <w:tr w14:paraId="0DF5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6692865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铅</w:t>
                  </w:r>
                </w:p>
              </w:tc>
              <w:tc>
                <w:tcPr>
                  <w:tcW w:w="965" w:type="pct"/>
                  <w:noWrap w:val="0"/>
                  <w:vAlign w:val="center"/>
                </w:tcPr>
                <w:p w14:paraId="48E93F1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≤0.001mg/L</w:t>
                  </w:r>
                </w:p>
              </w:tc>
              <w:tc>
                <w:tcPr>
                  <w:tcW w:w="1009" w:type="pct"/>
                  <w:noWrap w:val="0"/>
                  <w:vAlign w:val="center"/>
                </w:tcPr>
                <w:p w14:paraId="2BB5C1C9">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≤0.005mg/L</w:t>
                  </w:r>
                </w:p>
              </w:tc>
              <w:tc>
                <w:tcPr>
                  <w:tcW w:w="979" w:type="pct"/>
                  <w:noWrap w:val="0"/>
                  <w:vAlign w:val="center"/>
                </w:tcPr>
                <w:p w14:paraId="648ACEE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≤0.010mg/L</w:t>
                  </w:r>
                </w:p>
              </w:tc>
              <w:tc>
                <w:tcPr>
                  <w:tcW w:w="956" w:type="pct"/>
                  <w:noWrap w:val="0"/>
                  <w:vAlign w:val="center"/>
                </w:tcPr>
                <w:p w14:paraId="541E99B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≤0.050mg/L</w:t>
                  </w:r>
                </w:p>
              </w:tc>
            </w:tr>
            <w:tr w14:paraId="7341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339F66F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锌</w:t>
                  </w:r>
                </w:p>
              </w:tc>
              <w:tc>
                <w:tcPr>
                  <w:tcW w:w="965" w:type="pct"/>
                  <w:noWrap w:val="0"/>
                  <w:vAlign w:val="center"/>
                </w:tcPr>
                <w:p w14:paraId="32DFDAF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≤0.020mg/L</w:t>
                  </w:r>
                </w:p>
              </w:tc>
              <w:tc>
                <w:tcPr>
                  <w:tcW w:w="1009" w:type="pct"/>
                  <w:noWrap w:val="0"/>
                  <w:vAlign w:val="center"/>
                </w:tcPr>
                <w:p w14:paraId="38BA2B4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≤0.050mg/L</w:t>
                  </w:r>
                </w:p>
              </w:tc>
              <w:tc>
                <w:tcPr>
                  <w:tcW w:w="979" w:type="pct"/>
                  <w:noWrap w:val="0"/>
                  <w:vAlign w:val="center"/>
                </w:tcPr>
                <w:p w14:paraId="4EA8DDB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≤0.10mg/L</w:t>
                  </w:r>
                </w:p>
              </w:tc>
              <w:tc>
                <w:tcPr>
                  <w:tcW w:w="956" w:type="pct"/>
                  <w:noWrap w:val="0"/>
                  <w:vAlign w:val="center"/>
                </w:tcPr>
                <w:p w14:paraId="32C21BF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≤0.50mg/L</w:t>
                  </w:r>
                </w:p>
              </w:tc>
            </w:tr>
            <w:tr w14:paraId="62C4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2F926B8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镉</w:t>
                  </w:r>
                </w:p>
              </w:tc>
              <w:tc>
                <w:tcPr>
                  <w:tcW w:w="965" w:type="pct"/>
                  <w:noWrap w:val="0"/>
                  <w:vAlign w:val="center"/>
                </w:tcPr>
                <w:p w14:paraId="53D82E3F">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≤0.001mg/L</w:t>
                  </w:r>
                </w:p>
              </w:tc>
              <w:tc>
                <w:tcPr>
                  <w:tcW w:w="1009" w:type="pct"/>
                  <w:noWrap w:val="0"/>
                  <w:vAlign w:val="center"/>
                </w:tcPr>
                <w:p w14:paraId="6830D42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≤0.005mg/L</w:t>
                  </w:r>
                </w:p>
              </w:tc>
              <w:tc>
                <w:tcPr>
                  <w:tcW w:w="1936" w:type="pct"/>
                  <w:gridSpan w:val="2"/>
                  <w:noWrap w:val="0"/>
                  <w:vAlign w:val="center"/>
                </w:tcPr>
                <w:p w14:paraId="22D4278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≤0.010mg/L</w:t>
                  </w:r>
                </w:p>
              </w:tc>
            </w:tr>
            <w:tr w14:paraId="25D5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29698E3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总铬</w:t>
                  </w:r>
                </w:p>
              </w:tc>
              <w:tc>
                <w:tcPr>
                  <w:tcW w:w="965" w:type="pct"/>
                  <w:noWrap w:val="0"/>
                  <w:vAlign w:val="center"/>
                </w:tcPr>
                <w:p w14:paraId="1AD51C0B">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≤0.05mg/L</w:t>
                  </w:r>
                </w:p>
              </w:tc>
              <w:tc>
                <w:tcPr>
                  <w:tcW w:w="1009" w:type="pct"/>
                  <w:noWrap w:val="0"/>
                  <w:vAlign w:val="center"/>
                </w:tcPr>
                <w:p w14:paraId="296B207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≤0.10mg/L</w:t>
                  </w:r>
                </w:p>
              </w:tc>
              <w:tc>
                <w:tcPr>
                  <w:tcW w:w="979" w:type="pct"/>
                  <w:noWrap w:val="0"/>
                  <w:vAlign w:val="center"/>
                </w:tcPr>
                <w:p w14:paraId="396F0C69">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≤0.20mg/L</w:t>
                  </w:r>
                </w:p>
              </w:tc>
              <w:tc>
                <w:tcPr>
                  <w:tcW w:w="956" w:type="pct"/>
                  <w:noWrap w:val="0"/>
                  <w:vAlign w:val="center"/>
                </w:tcPr>
                <w:p w14:paraId="77CA33D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≤0.50mg/L</w:t>
                  </w:r>
                </w:p>
              </w:tc>
            </w:tr>
            <w:tr w14:paraId="4248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noWrap w:val="0"/>
                  <w:vAlign w:val="center"/>
                </w:tcPr>
                <w:p w14:paraId="7C737EA9">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石油类</w:t>
                  </w:r>
                </w:p>
              </w:tc>
              <w:tc>
                <w:tcPr>
                  <w:tcW w:w="1975" w:type="pct"/>
                  <w:gridSpan w:val="2"/>
                  <w:noWrap w:val="0"/>
                  <w:vAlign w:val="center"/>
                </w:tcPr>
                <w:p w14:paraId="0A38941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≤0.05mg/L</w:t>
                  </w:r>
                </w:p>
              </w:tc>
              <w:tc>
                <w:tcPr>
                  <w:tcW w:w="979" w:type="pct"/>
                  <w:noWrap w:val="0"/>
                  <w:vAlign w:val="center"/>
                </w:tcPr>
                <w:p w14:paraId="1FBCA4C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≤0.30mg/L</w:t>
                  </w:r>
                </w:p>
              </w:tc>
              <w:tc>
                <w:tcPr>
                  <w:tcW w:w="956" w:type="pct"/>
                  <w:noWrap w:val="0"/>
                  <w:vAlign w:val="center"/>
                </w:tcPr>
                <w:p w14:paraId="7DD16BCD">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≤0.50mg/L</w:t>
                  </w:r>
                </w:p>
              </w:tc>
            </w:tr>
          </w:tbl>
          <w:p w14:paraId="7A52982E">
            <w:pPr>
              <w:keepNext w:val="0"/>
              <w:keepLines w:val="0"/>
              <w:suppressLineNumbers w:val="0"/>
              <w:wordWrap/>
              <w:adjustRightInd w:val="0"/>
              <w:snapToGrid w:val="0"/>
              <w:spacing w:before="0" w:beforeAutospacing="0" w:after="0" w:afterAutospacing="0"/>
              <w:ind w:left="0" w:right="0"/>
              <w:jc w:val="center"/>
              <w:rPr>
                <w:rFonts w:hint="eastAsia"/>
                <w:b w:val="0"/>
                <w:bCs/>
                <w:color w:val="auto"/>
                <w:kern w:val="24"/>
                <w:sz w:val="24"/>
                <w:szCs w:val="24"/>
              </w:rPr>
            </w:pPr>
            <w:bookmarkStart w:id="42" w:name="_Ref104817144"/>
            <w:r>
              <w:rPr>
                <w:rFonts w:hint="eastAsia"/>
                <w:b w:val="0"/>
                <w:bCs/>
                <w:color w:val="auto"/>
                <w:kern w:val="24"/>
                <w:sz w:val="24"/>
                <w:szCs w:val="24"/>
              </w:rPr>
              <w:t>表</w:t>
            </w:r>
            <w:bookmarkEnd w:id="42"/>
            <w:r>
              <w:rPr>
                <w:rFonts w:hint="eastAsia"/>
                <w:b w:val="0"/>
                <w:bCs/>
                <w:color w:val="auto"/>
                <w:kern w:val="24"/>
                <w:sz w:val="24"/>
                <w:szCs w:val="24"/>
                <w:lang w:val="en-US" w:eastAsia="zh-CN"/>
              </w:rPr>
              <w:t>3.13-4</w:t>
            </w:r>
            <w:r>
              <w:rPr>
                <w:rFonts w:hint="eastAsia"/>
                <w:b w:val="0"/>
                <w:bCs/>
                <w:color w:val="auto"/>
                <w:kern w:val="24"/>
                <w:sz w:val="24"/>
                <w:szCs w:val="24"/>
              </w:rPr>
              <w:t xml:space="preserve"> 沉积物质量评价标准值（有机碳单位为10</w:t>
            </w:r>
            <w:r>
              <w:rPr>
                <w:rFonts w:hint="eastAsia"/>
                <w:b w:val="0"/>
                <w:bCs/>
                <w:color w:val="auto"/>
                <w:kern w:val="24"/>
                <w:sz w:val="24"/>
                <w:szCs w:val="24"/>
                <w:vertAlign w:val="superscript"/>
              </w:rPr>
              <w:t>-2</w:t>
            </w:r>
            <w:r>
              <w:rPr>
                <w:rFonts w:hint="eastAsia"/>
                <w:b w:val="0"/>
                <w:bCs/>
                <w:color w:val="auto"/>
                <w:kern w:val="24"/>
                <w:sz w:val="24"/>
                <w:szCs w:val="24"/>
              </w:rPr>
              <w:t>，其它为10</w:t>
            </w:r>
            <w:r>
              <w:rPr>
                <w:rFonts w:hint="eastAsia"/>
                <w:b w:val="0"/>
                <w:bCs/>
                <w:color w:val="auto"/>
                <w:kern w:val="24"/>
                <w:sz w:val="24"/>
                <w:szCs w:val="24"/>
                <w:vertAlign w:val="superscript"/>
              </w:rPr>
              <w:t>-6</w:t>
            </w:r>
            <w:r>
              <w:rPr>
                <w:rFonts w:hint="eastAsia"/>
                <w:b w:val="0"/>
                <w:bCs/>
                <w:color w:val="auto"/>
                <w:kern w:val="24"/>
                <w:sz w:val="24"/>
                <w:szCs w:val="24"/>
              </w:rPr>
              <w:t>）</w:t>
            </w:r>
          </w:p>
          <w:tbl>
            <w:tblPr>
              <w:tblStyle w:val="28"/>
              <w:tblW w:w="46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2091"/>
              <w:gridCol w:w="2412"/>
              <w:gridCol w:w="2054"/>
            </w:tblGrid>
            <w:tr w14:paraId="4A26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916" w:type="pct"/>
                  <w:noWrap w:val="0"/>
                  <w:vAlign w:val="center"/>
                </w:tcPr>
                <w:p w14:paraId="5ADDBD68">
                  <w:pPr>
                    <w:keepNext w:val="0"/>
                    <w:keepLines w:val="0"/>
                    <w:suppressLineNumbers w:val="0"/>
                    <w:spacing w:before="0" w:beforeAutospacing="0" w:after="0" w:afterAutospacing="0" w:line="240" w:lineRule="auto"/>
                    <w:ind w:left="0" w:right="0" w:firstLine="0" w:firstLineChars="0"/>
                    <w:jc w:val="center"/>
                    <w:rPr>
                      <w:rFonts w:hint="eastAsia"/>
                      <w:b/>
                      <w:snapToGrid w:val="0"/>
                      <w:sz w:val="21"/>
                    </w:rPr>
                  </w:pPr>
                  <w:r>
                    <w:rPr>
                      <w:rFonts w:hint="eastAsia"/>
                      <w:b/>
                      <w:snapToGrid w:val="0"/>
                      <w:sz w:val="21"/>
                    </w:rPr>
                    <w:t>项目</w:t>
                  </w:r>
                </w:p>
              </w:tc>
              <w:tc>
                <w:tcPr>
                  <w:tcW w:w="1302" w:type="pct"/>
                  <w:noWrap w:val="0"/>
                  <w:vAlign w:val="center"/>
                </w:tcPr>
                <w:p w14:paraId="2F4FCEBC">
                  <w:pPr>
                    <w:keepNext w:val="0"/>
                    <w:keepLines w:val="0"/>
                    <w:suppressLineNumbers w:val="0"/>
                    <w:spacing w:before="0" w:beforeAutospacing="0" w:after="0" w:afterAutospacing="0" w:line="240" w:lineRule="auto"/>
                    <w:ind w:left="0" w:right="0" w:firstLine="0" w:firstLineChars="0"/>
                    <w:jc w:val="center"/>
                    <w:rPr>
                      <w:rFonts w:hint="eastAsia"/>
                      <w:b/>
                      <w:snapToGrid w:val="0"/>
                      <w:sz w:val="21"/>
                    </w:rPr>
                  </w:pPr>
                  <w:r>
                    <w:rPr>
                      <w:rFonts w:hint="eastAsia"/>
                      <w:b/>
                      <w:snapToGrid w:val="0"/>
                      <w:sz w:val="21"/>
                    </w:rPr>
                    <w:t>第一类</w:t>
                  </w:r>
                </w:p>
              </w:tc>
              <w:tc>
                <w:tcPr>
                  <w:tcW w:w="1502" w:type="pct"/>
                  <w:noWrap w:val="0"/>
                  <w:vAlign w:val="center"/>
                </w:tcPr>
                <w:p w14:paraId="61E27C1F">
                  <w:pPr>
                    <w:keepNext w:val="0"/>
                    <w:keepLines w:val="0"/>
                    <w:suppressLineNumbers w:val="0"/>
                    <w:spacing w:before="0" w:beforeAutospacing="0" w:after="0" w:afterAutospacing="0" w:line="240" w:lineRule="auto"/>
                    <w:ind w:left="0" w:right="0" w:firstLine="0" w:firstLineChars="0"/>
                    <w:jc w:val="center"/>
                    <w:rPr>
                      <w:rFonts w:hint="eastAsia"/>
                      <w:b/>
                      <w:snapToGrid w:val="0"/>
                      <w:sz w:val="21"/>
                    </w:rPr>
                  </w:pPr>
                  <w:r>
                    <w:rPr>
                      <w:rFonts w:hint="eastAsia"/>
                      <w:b/>
                      <w:snapToGrid w:val="0"/>
                      <w:sz w:val="21"/>
                    </w:rPr>
                    <w:t>第二类</w:t>
                  </w:r>
                </w:p>
              </w:tc>
              <w:tc>
                <w:tcPr>
                  <w:tcW w:w="1279" w:type="pct"/>
                  <w:noWrap w:val="0"/>
                  <w:vAlign w:val="center"/>
                </w:tcPr>
                <w:p w14:paraId="7C90CD45">
                  <w:pPr>
                    <w:keepNext w:val="0"/>
                    <w:keepLines w:val="0"/>
                    <w:suppressLineNumbers w:val="0"/>
                    <w:spacing w:before="0" w:beforeAutospacing="0" w:after="0" w:afterAutospacing="0" w:line="240" w:lineRule="auto"/>
                    <w:ind w:left="0" w:right="0" w:firstLine="0" w:firstLineChars="0"/>
                    <w:jc w:val="center"/>
                    <w:rPr>
                      <w:rFonts w:hint="eastAsia"/>
                      <w:b/>
                      <w:snapToGrid w:val="0"/>
                      <w:sz w:val="21"/>
                    </w:rPr>
                  </w:pPr>
                  <w:r>
                    <w:rPr>
                      <w:rFonts w:hint="eastAsia"/>
                      <w:b/>
                      <w:snapToGrid w:val="0"/>
                      <w:sz w:val="21"/>
                    </w:rPr>
                    <w:t>第三类</w:t>
                  </w:r>
                </w:p>
              </w:tc>
            </w:tr>
            <w:tr w14:paraId="3B59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760390D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有机碳</w:t>
                  </w:r>
                </w:p>
              </w:tc>
              <w:tc>
                <w:tcPr>
                  <w:tcW w:w="1302" w:type="pct"/>
                  <w:noWrap w:val="0"/>
                  <w:vAlign w:val="center"/>
                </w:tcPr>
                <w:p w14:paraId="67B7939F">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c>
                <w:tcPr>
                  <w:tcW w:w="1502" w:type="pct"/>
                  <w:noWrap w:val="0"/>
                  <w:vAlign w:val="center"/>
                </w:tcPr>
                <w:p w14:paraId="7F81BFB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≦3.0</w:t>
                  </w:r>
                </w:p>
              </w:tc>
              <w:tc>
                <w:tcPr>
                  <w:tcW w:w="1279" w:type="pct"/>
                  <w:noWrap w:val="0"/>
                  <w:vAlign w:val="center"/>
                </w:tcPr>
                <w:p w14:paraId="64810E5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≦4.0</w:t>
                  </w:r>
                </w:p>
              </w:tc>
            </w:tr>
            <w:tr w14:paraId="5ECF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25E1DD3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油类</w:t>
                  </w:r>
                </w:p>
              </w:tc>
              <w:tc>
                <w:tcPr>
                  <w:tcW w:w="1302" w:type="pct"/>
                  <w:noWrap w:val="0"/>
                  <w:vAlign w:val="center"/>
                </w:tcPr>
                <w:p w14:paraId="3CDA425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≦500.0</w:t>
                  </w:r>
                </w:p>
              </w:tc>
              <w:tc>
                <w:tcPr>
                  <w:tcW w:w="1502" w:type="pct"/>
                  <w:noWrap w:val="0"/>
                  <w:vAlign w:val="center"/>
                </w:tcPr>
                <w:p w14:paraId="2F1EA0CD">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≦1000.0</w:t>
                  </w:r>
                </w:p>
              </w:tc>
              <w:tc>
                <w:tcPr>
                  <w:tcW w:w="1279" w:type="pct"/>
                  <w:noWrap w:val="0"/>
                  <w:vAlign w:val="center"/>
                </w:tcPr>
                <w:p w14:paraId="4DCD865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≦1500.0</w:t>
                  </w:r>
                </w:p>
              </w:tc>
            </w:tr>
            <w:tr w14:paraId="29D4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73AF0D2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铜</w:t>
                  </w:r>
                </w:p>
              </w:tc>
              <w:tc>
                <w:tcPr>
                  <w:tcW w:w="1302" w:type="pct"/>
                  <w:noWrap w:val="0"/>
                  <w:vAlign w:val="center"/>
                </w:tcPr>
                <w:p w14:paraId="1D894C8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≦35.0</w:t>
                  </w:r>
                </w:p>
              </w:tc>
              <w:tc>
                <w:tcPr>
                  <w:tcW w:w="1502" w:type="pct"/>
                  <w:noWrap w:val="0"/>
                  <w:vAlign w:val="center"/>
                </w:tcPr>
                <w:p w14:paraId="24120CC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≦100.0</w:t>
                  </w:r>
                </w:p>
              </w:tc>
              <w:tc>
                <w:tcPr>
                  <w:tcW w:w="1279" w:type="pct"/>
                  <w:noWrap w:val="0"/>
                  <w:vAlign w:val="center"/>
                </w:tcPr>
                <w:p w14:paraId="3A6A213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≦200.0</w:t>
                  </w:r>
                </w:p>
              </w:tc>
            </w:tr>
            <w:tr w14:paraId="6759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622098A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铅</w:t>
                  </w:r>
                </w:p>
              </w:tc>
              <w:tc>
                <w:tcPr>
                  <w:tcW w:w="1302" w:type="pct"/>
                  <w:noWrap w:val="0"/>
                  <w:vAlign w:val="center"/>
                </w:tcPr>
                <w:p w14:paraId="5588AAC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≦60.0</w:t>
                  </w:r>
                </w:p>
              </w:tc>
              <w:tc>
                <w:tcPr>
                  <w:tcW w:w="1502" w:type="pct"/>
                  <w:noWrap w:val="0"/>
                  <w:vAlign w:val="center"/>
                </w:tcPr>
                <w:p w14:paraId="03B6128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≦130.0</w:t>
                  </w:r>
                </w:p>
              </w:tc>
              <w:tc>
                <w:tcPr>
                  <w:tcW w:w="1279" w:type="pct"/>
                  <w:noWrap w:val="0"/>
                  <w:vAlign w:val="center"/>
                </w:tcPr>
                <w:p w14:paraId="7FFE3C7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≦250.0</w:t>
                  </w:r>
                </w:p>
              </w:tc>
            </w:tr>
            <w:tr w14:paraId="27D5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74F0B86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锌</w:t>
                  </w:r>
                </w:p>
              </w:tc>
              <w:tc>
                <w:tcPr>
                  <w:tcW w:w="1302" w:type="pct"/>
                  <w:noWrap w:val="0"/>
                  <w:vAlign w:val="center"/>
                </w:tcPr>
                <w:p w14:paraId="6DA7D42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≦150.0</w:t>
                  </w:r>
                </w:p>
              </w:tc>
              <w:tc>
                <w:tcPr>
                  <w:tcW w:w="1502" w:type="pct"/>
                  <w:noWrap w:val="0"/>
                  <w:vAlign w:val="center"/>
                </w:tcPr>
                <w:p w14:paraId="6694F22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≦350.0</w:t>
                  </w:r>
                </w:p>
              </w:tc>
              <w:tc>
                <w:tcPr>
                  <w:tcW w:w="1279" w:type="pct"/>
                  <w:noWrap w:val="0"/>
                  <w:vAlign w:val="center"/>
                </w:tcPr>
                <w:p w14:paraId="3F3FF60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≦600.0</w:t>
                  </w:r>
                </w:p>
              </w:tc>
            </w:tr>
            <w:tr w14:paraId="18D7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6DA3AF5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镉</w:t>
                  </w:r>
                </w:p>
              </w:tc>
              <w:tc>
                <w:tcPr>
                  <w:tcW w:w="1302" w:type="pct"/>
                  <w:noWrap w:val="0"/>
                  <w:vAlign w:val="center"/>
                </w:tcPr>
                <w:p w14:paraId="1CF731B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≦0.50</w:t>
                  </w:r>
                </w:p>
              </w:tc>
              <w:tc>
                <w:tcPr>
                  <w:tcW w:w="1502" w:type="pct"/>
                  <w:noWrap w:val="0"/>
                  <w:vAlign w:val="center"/>
                </w:tcPr>
                <w:p w14:paraId="5041389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≦1.50</w:t>
                  </w:r>
                </w:p>
              </w:tc>
              <w:tc>
                <w:tcPr>
                  <w:tcW w:w="1279" w:type="pct"/>
                  <w:noWrap w:val="0"/>
                  <w:vAlign w:val="center"/>
                </w:tcPr>
                <w:p w14:paraId="62A9EF8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≦5.00</w:t>
                  </w:r>
                </w:p>
              </w:tc>
            </w:tr>
            <w:tr w14:paraId="3845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257EA70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汞</w:t>
                  </w:r>
                </w:p>
              </w:tc>
              <w:tc>
                <w:tcPr>
                  <w:tcW w:w="1302" w:type="pct"/>
                  <w:noWrap w:val="0"/>
                  <w:vAlign w:val="center"/>
                </w:tcPr>
                <w:p w14:paraId="17B1A6CB">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≦0.20</w:t>
                  </w:r>
                </w:p>
              </w:tc>
              <w:tc>
                <w:tcPr>
                  <w:tcW w:w="1502" w:type="pct"/>
                  <w:noWrap w:val="0"/>
                  <w:vAlign w:val="center"/>
                </w:tcPr>
                <w:p w14:paraId="3F72FC59">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≦0.50</w:t>
                  </w:r>
                </w:p>
              </w:tc>
              <w:tc>
                <w:tcPr>
                  <w:tcW w:w="1279" w:type="pct"/>
                  <w:noWrap w:val="0"/>
                  <w:vAlign w:val="center"/>
                </w:tcPr>
                <w:p w14:paraId="6FA7E6D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≦1.00</w:t>
                  </w:r>
                </w:p>
              </w:tc>
            </w:tr>
            <w:tr w14:paraId="4AA6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7A47CC3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铬</w:t>
                  </w:r>
                </w:p>
              </w:tc>
              <w:tc>
                <w:tcPr>
                  <w:tcW w:w="1302" w:type="pct"/>
                  <w:noWrap w:val="0"/>
                  <w:vAlign w:val="center"/>
                </w:tcPr>
                <w:p w14:paraId="5C4BA38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≦80.0</w:t>
                  </w:r>
                </w:p>
              </w:tc>
              <w:tc>
                <w:tcPr>
                  <w:tcW w:w="1502" w:type="pct"/>
                  <w:noWrap w:val="0"/>
                  <w:vAlign w:val="center"/>
                </w:tcPr>
                <w:p w14:paraId="0B50293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≦150.0</w:t>
                  </w:r>
                </w:p>
              </w:tc>
              <w:tc>
                <w:tcPr>
                  <w:tcW w:w="1279" w:type="pct"/>
                  <w:noWrap w:val="0"/>
                  <w:vAlign w:val="center"/>
                </w:tcPr>
                <w:p w14:paraId="607068BF">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≦270.0</w:t>
                  </w:r>
                </w:p>
              </w:tc>
            </w:tr>
            <w:tr w14:paraId="6619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1891A97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砷</w:t>
                  </w:r>
                </w:p>
              </w:tc>
              <w:tc>
                <w:tcPr>
                  <w:tcW w:w="1302" w:type="pct"/>
                  <w:noWrap w:val="0"/>
                  <w:vAlign w:val="center"/>
                </w:tcPr>
                <w:p w14:paraId="763D1FA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≦20.0</w:t>
                  </w:r>
                </w:p>
              </w:tc>
              <w:tc>
                <w:tcPr>
                  <w:tcW w:w="1502" w:type="pct"/>
                  <w:noWrap w:val="0"/>
                  <w:vAlign w:val="center"/>
                </w:tcPr>
                <w:p w14:paraId="587FDFB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≦65.0</w:t>
                  </w:r>
                </w:p>
              </w:tc>
              <w:tc>
                <w:tcPr>
                  <w:tcW w:w="1279" w:type="pct"/>
                  <w:noWrap w:val="0"/>
                  <w:vAlign w:val="center"/>
                </w:tcPr>
                <w:p w14:paraId="178BF6AF">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≦93.0</w:t>
                  </w:r>
                </w:p>
              </w:tc>
            </w:tr>
            <w:tr w14:paraId="77EF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6" w:type="pct"/>
                  <w:noWrap w:val="0"/>
                  <w:vAlign w:val="center"/>
                </w:tcPr>
                <w:p w14:paraId="2E9E6F0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硫化物</w:t>
                  </w:r>
                </w:p>
              </w:tc>
              <w:tc>
                <w:tcPr>
                  <w:tcW w:w="1302" w:type="pct"/>
                  <w:noWrap w:val="0"/>
                  <w:vAlign w:val="center"/>
                </w:tcPr>
                <w:p w14:paraId="3D9DEC3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≦300.0</w:t>
                  </w:r>
                </w:p>
              </w:tc>
              <w:tc>
                <w:tcPr>
                  <w:tcW w:w="1502" w:type="pct"/>
                  <w:noWrap w:val="0"/>
                  <w:vAlign w:val="center"/>
                </w:tcPr>
                <w:p w14:paraId="35EDFA7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≦500.0</w:t>
                  </w:r>
                </w:p>
              </w:tc>
              <w:tc>
                <w:tcPr>
                  <w:tcW w:w="1279" w:type="pct"/>
                  <w:noWrap w:val="0"/>
                  <w:vAlign w:val="center"/>
                </w:tcPr>
                <w:p w14:paraId="632851E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≦600.0</w:t>
                  </w:r>
                </w:p>
              </w:tc>
            </w:tr>
          </w:tbl>
          <w:p w14:paraId="17FF95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bookmarkStart w:id="43" w:name="_Ref123633373"/>
            <w:r>
              <w:rPr>
                <w:rFonts w:hint="eastAsia"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3.1</w:t>
            </w:r>
            <w:r>
              <w:rPr>
                <w:rFonts w:hint="eastAsia" w:cs="Times New Roman"/>
                <w:b/>
                <w:bCs/>
                <w:color w:val="auto"/>
                <w:kern w:val="0"/>
                <w:sz w:val="21"/>
                <w:szCs w:val="21"/>
                <w:lang w:val="en-US" w:eastAsia="zh-CN"/>
              </w:rPr>
              <w:t>3</w:t>
            </w:r>
            <w:r>
              <w:rPr>
                <w:rFonts w:hint="eastAsia" w:ascii="Times New Roman" w:hAnsi="Times New Roman" w:cs="Times New Roman"/>
                <w:b/>
                <w:bCs/>
                <w:color w:val="auto"/>
                <w:kern w:val="0"/>
                <w:sz w:val="21"/>
                <w:szCs w:val="21"/>
                <w:lang w:val="en-US" w:eastAsia="zh-CN"/>
              </w:rPr>
              <w:t>-5a</w:t>
            </w:r>
            <w:bookmarkEnd w:id="43"/>
            <w:r>
              <w:rPr>
                <w:rFonts w:hint="eastAsia" w:ascii="Times New Roman" w:hAnsi="Times New Roman" w:cs="Times New Roman"/>
                <w:b/>
                <w:bCs/>
                <w:color w:val="auto"/>
                <w:kern w:val="0"/>
                <w:sz w:val="21"/>
                <w:szCs w:val="21"/>
                <w:lang w:val="zh-CN" w:eastAsia="zh-CN"/>
              </w:rPr>
              <w:t xml:space="preserve">  海洋生物体质量标准（鲜重）（单位：mg/kg）</w:t>
            </w:r>
          </w:p>
          <w:tbl>
            <w:tblPr>
              <w:tblStyle w:val="28"/>
              <w:tblW w:w="46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022"/>
              <w:gridCol w:w="1920"/>
              <w:gridCol w:w="2925"/>
            </w:tblGrid>
            <w:tr w14:paraId="556F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44" w:type="pct"/>
                  <w:vMerge w:val="restart"/>
                  <w:tcBorders>
                    <w:top w:val="single" w:color="auto" w:sz="4" w:space="0"/>
                    <w:left w:val="single" w:color="auto" w:sz="4" w:space="0"/>
                    <w:right w:val="single" w:color="auto" w:sz="4" w:space="0"/>
                  </w:tcBorders>
                  <w:noWrap w:val="0"/>
                  <w:vAlign w:val="center"/>
                </w:tcPr>
                <w:p w14:paraId="7501717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项目</w:t>
                  </w:r>
                </w:p>
              </w:tc>
              <w:tc>
                <w:tcPr>
                  <w:tcW w:w="4255" w:type="pct"/>
                  <w:gridSpan w:val="3"/>
                  <w:tcBorders>
                    <w:top w:val="single" w:color="auto" w:sz="4" w:space="0"/>
                    <w:left w:val="nil"/>
                    <w:bottom w:val="single" w:color="auto" w:sz="4" w:space="0"/>
                    <w:right w:val="single" w:color="auto" w:sz="4" w:space="0"/>
                  </w:tcBorders>
                  <w:noWrap w:val="0"/>
                  <w:vAlign w:val="center"/>
                </w:tcPr>
                <w:p w14:paraId="5DAB6509">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贝类</w:t>
                  </w:r>
                </w:p>
              </w:tc>
            </w:tr>
            <w:tr w14:paraId="3D57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44" w:type="pct"/>
                  <w:vMerge w:val="continue"/>
                  <w:tcBorders>
                    <w:left w:val="single" w:color="auto" w:sz="4" w:space="0"/>
                    <w:bottom w:val="single" w:color="auto" w:sz="4" w:space="0"/>
                    <w:right w:val="single" w:color="auto" w:sz="4" w:space="0"/>
                  </w:tcBorders>
                  <w:noWrap w:val="0"/>
                  <w:vAlign w:val="center"/>
                </w:tcPr>
                <w:p w14:paraId="19C969D8">
                  <w:pPr>
                    <w:keepNext w:val="0"/>
                    <w:keepLines w:val="0"/>
                    <w:suppressLineNumbers w:val="0"/>
                    <w:spacing w:before="0" w:beforeAutospacing="0" w:after="0" w:afterAutospacing="0" w:line="240" w:lineRule="auto"/>
                    <w:ind w:left="0" w:right="0" w:firstLine="0" w:firstLineChars="0"/>
                    <w:jc w:val="center"/>
                    <w:rPr>
                      <w:rFonts w:hint="eastAsia"/>
                      <w:sz w:val="21"/>
                    </w:rPr>
                  </w:pPr>
                </w:p>
              </w:tc>
              <w:tc>
                <w:tcPr>
                  <w:tcW w:w="1253" w:type="pct"/>
                  <w:tcBorders>
                    <w:top w:val="single" w:color="auto" w:sz="4" w:space="0"/>
                    <w:left w:val="nil"/>
                    <w:bottom w:val="single" w:color="auto" w:sz="4" w:space="0"/>
                    <w:right w:val="single" w:color="auto" w:sz="4" w:space="0"/>
                  </w:tcBorders>
                  <w:noWrap w:val="0"/>
                  <w:vAlign w:val="center"/>
                </w:tcPr>
                <w:p w14:paraId="11892ED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一类标准</w:t>
                  </w:r>
                </w:p>
              </w:tc>
              <w:tc>
                <w:tcPr>
                  <w:tcW w:w="1189" w:type="pct"/>
                  <w:tcBorders>
                    <w:top w:val="single" w:color="auto" w:sz="4" w:space="0"/>
                    <w:left w:val="nil"/>
                    <w:bottom w:val="single" w:color="auto" w:sz="4" w:space="0"/>
                    <w:right w:val="single" w:color="auto" w:sz="4" w:space="0"/>
                  </w:tcBorders>
                  <w:noWrap w:val="0"/>
                  <w:vAlign w:val="center"/>
                </w:tcPr>
                <w:p w14:paraId="5D7D7C3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二类标准</w:t>
                  </w:r>
                </w:p>
              </w:tc>
              <w:tc>
                <w:tcPr>
                  <w:tcW w:w="1812" w:type="pct"/>
                  <w:tcBorders>
                    <w:top w:val="single" w:color="auto" w:sz="4" w:space="0"/>
                    <w:left w:val="nil"/>
                    <w:bottom w:val="single" w:color="auto" w:sz="4" w:space="0"/>
                    <w:right w:val="single" w:color="auto" w:sz="4" w:space="0"/>
                  </w:tcBorders>
                  <w:noWrap w:val="0"/>
                  <w:vAlign w:val="center"/>
                </w:tcPr>
                <w:p w14:paraId="1E978149">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三类标准</w:t>
                  </w:r>
                </w:p>
              </w:tc>
            </w:tr>
            <w:tr w14:paraId="0BF8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4" w:space="0"/>
                    <w:bottom w:val="single" w:color="auto" w:sz="4" w:space="0"/>
                    <w:right w:val="single" w:color="auto" w:sz="4" w:space="0"/>
                  </w:tcBorders>
                  <w:noWrap w:val="0"/>
                  <w:vAlign w:val="center"/>
                </w:tcPr>
                <w:p w14:paraId="22A9328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铬≤</w:t>
                  </w:r>
                </w:p>
              </w:tc>
              <w:tc>
                <w:tcPr>
                  <w:tcW w:w="1253" w:type="pct"/>
                  <w:tcBorders>
                    <w:top w:val="single" w:color="auto" w:sz="4" w:space="0"/>
                    <w:left w:val="nil"/>
                    <w:bottom w:val="single" w:color="auto" w:sz="4" w:space="0"/>
                    <w:right w:val="single" w:color="auto" w:sz="4" w:space="0"/>
                  </w:tcBorders>
                  <w:noWrap w:val="0"/>
                  <w:vAlign w:val="center"/>
                </w:tcPr>
                <w:p w14:paraId="6C93D3D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0.5</w:t>
                  </w:r>
                </w:p>
              </w:tc>
              <w:tc>
                <w:tcPr>
                  <w:tcW w:w="1189" w:type="pct"/>
                  <w:tcBorders>
                    <w:top w:val="single" w:color="auto" w:sz="4" w:space="0"/>
                    <w:left w:val="nil"/>
                    <w:bottom w:val="single" w:color="auto" w:sz="4" w:space="0"/>
                    <w:right w:val="single" w:color="auto" w:sz="4" w:space="0"/>
                  </w:tcBorders>
                  <w:noWrap w:val="0"/>
                  <w:vAlign w:val="center"/>
                </w:tcPr>
                <w:p w14:paraId="0299FCB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c>
                <w:tcPr>
                  <w:tcW w:w="1812" w:type="pct"/>
                  <w:tcBorders>
                    <w:top w:val="single" w:color="auto" w:sz="4" w:space="0"/>
                    <w:left w:val="nil"/>
                    <w:bottom w:val="single" w:color="auto" w:sz="4" w:space="0"/>
                    <w:right w:val="single" w:color="auto" w:sz="4" w:space="0"/>
                  </w:tcBorders>
                  <w:noWrap w:val="0"/>
                  <w:vAlign w:val="center"/>
                </w:tcPr>
                <w:p w14:paraId="47DC90C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6.0</w:t>
                  </w:r>
                </w:p>
              </w:tc>
            </w:tr>
            <w:tr w14:paraId="2F5B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4" w:space="0"/>
                    <w:bottom w:val="single" w:color="auto" w:sz="4" w:space="0"/>
                    <w:right w:val="single" w:color="auto" w:sz="4" w:space="0"/>
                  </w:tcBorders>
                  <w:noWrap w:val="0"/>
                  <w:vAlign w:val="center"/>
                </w:tcPr>
                <w:p w14:paraId="28AB488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铜≤</w:t>
                  </w:r>
                </w:p>
              </w:tc>
              <w:tc>
                <w:tcPr>
                  <w:tcW w:w="1253" w:type="pct"/>
                  <w:tcBorders>
                    <w:top w:val="single" w:color="auto" w:sz="4" w:space="0"/>
                    <w:left w:val="nil"/>
                    <w:bottom w:val="single" w:color="auto" w:sz="4" w:space="0"/>
                    <w:right w:val="single" w:color="auto" w:sz="4" w:space="0"/>
                  </w:tcBorders>
                  <w:noWrap w:val="0"/>
                  <w:vAlign w:val="center"/>
                </w:tcPr>
                <w:p w14:paraId="2D6DC79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10</w:t>
                  </w:r>
                </w:p>
              </w:tc>
              <w:tc>
                <w:tcPr>
                  <w:tcW w:w="1189" w:type="pct"/>
                  <w:tcBorders>
                    <w:top w:val="single" w:color="auto" w:sz="4" w:space="0"/>
                    <w:left w:val="nil"/>
                    <w:bottom w:val="single" w:color="auto" w:sz="4" w:space="0"/>
                    <w:right w:val="single" w:color="auto" w:sz="4" w:space="0"/>
                  </w:tcBorders>
                  <w:noWrap w:val="0"/>
                  <w:vAlign w:val="center"/>
                </w:tcPr>
                <w:p w14:paraId="509EEDA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25</w:t>
                  </w:r>
                </w:p>
              </w:tc>
              <w:tc>
                <w:tcPr>
                  <w:tcW w:w="1812" w:type="pct"/>
                  <w:tcBorders>
                    <w:top w:val="single" w:color="auto" w:sz="4" w:space="0"/>
                    <w:left w:val="nil"/>
                    <w:bottom w:val="single" w:color="auto" w:sz="4" w:space="0"/>
                    <w:right w:val="single" w:color="auto" w:sz="4" w:space="0"/>
                  </w:tcBorders>
                  <w:noWrap w:val="0"/>
                  <w:vAlign w:val="center"/>
                </w:tcPr>
                <w:p w14:paraId="5ED3893D">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50（牡蛎100）</w:t>
                  </w:r>
                </w:p>
              </w:tc>
            </w:tr>
            <w:tr w14:paraId="3E6A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4" w:space="0"/>
                    <w:bottom w:val="single" w:color="auto" w:sz="4" w:space="0"/>
                    <w:right w:val="single" w:color="auto" w:sz="4" w:space="0"/>
                  </w:tcBorders>
                  <w:noWrap w:val="0"/>
                  <w:vAlign w:val="center"/>
                </w:tcPr>
                <w:p w14:paraId="2A76BC8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锌≤</w:t>
                  </w:r>
                </w:p>
              </w:tc>
              <w:tc>
                <w:tcPr>
                  <w:tcW w:w="1253" w:type="pct"/>
                  <w:tcBorders>
                    <w:top w:val="single" w:color="auto" w:sz="4" w:space="0"/>
                    <w:left w:val="nil"/>
                    <w:bottom w:val="single" w:color="auto" w:sz="4" w:space="0"/>
                    <w:right w:val="single" w:color="auto" w:sz="4" w:space="0"/>
                  </w:tcBorders>
                  <w:noWrap w:val="0"/>
                  <w:vAlign w:val="center"/>
                </w:tcPr>
                <w:p w14:paraId="0F100C7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c>
                <w:tcPr>
                  <w:tcW w:w="1189" w:type="pct"/>
                  <w:tcBorders>
                    <w:top w:val="single" w:color="auto" w:sz="4" w:space="0"/>
                    <w:left w:val="nil"/>
                    <w:bottom w:val="single" w:color="auto" w:sz="4" w:space="0"/>
                    <w:right w:val="single" w:color="auto" w:sz="4" w:space="0"/>
                  </w:tcBorders>
                  <w:noWrap w:val="0"/>
                  <w:vAlign w:val="center"/>
                </w:tcPr>
                <w:p w14:paraId="70B8A349">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50</w:t>
                  </w:r>
                </w:p>
              </w:tc>
              <w:tc>
                <w:tcPr>
                  <w:tcW w:w="1812" w:type="pct"/>
                  <w:tcBorders>
                    <w:top w:val="single" w:color="auto" w:sz="4" w:space="0"/>
                    <w:left w:val="nil"/>
                    <w:bottom w:val="single" w:color="auto" w:sz="4" w:space="0"/>
                    <w:right w:val="single" w:color="auto" w:sz="4" w:space="0"/>
                  </w:tcBorders>
                  <w:noWrap w:val="0"/>
                  <w:vAlign w:val="center"/>
                </w:tcPr>
                <w:p w14:paraId="1D5E2D96">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100（牡蛎500）</w:t>
                  </w:r>
                </w:p>
              </w:tc>
            </w:tr>
            <w:tr w14:paraId="7B82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4" w:space="0"/>
                    <w:bottom w:val="single" w:color="auto" w:sz="4" w:space="0"/>
                    <w:right w:val="single" w:color="auto" w:sz="4" w:space="0"/>
                  </w:tcBorders>
                  <w:noWrap w:val="0"/>
                  <w:vAlign w:val="center"/>
                </w:tcPr>
                <w:p w14:paraId="510B12A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砷≤</w:t>
                  </w:r>
                </w:p>
              </w:tc>
              <w:tc>
                <w:tcPr>
                  <w:tcW w:w="1253" w:type="pct"/>
                  <w:tcBorders>
                    <w:top w:val="single" w:color="auto" w:sz="4" w:space="0"/>
                    <w:left w:val="nil"/>
                    <w:bottom w:val="single" w:color="auto" w:sz="4" w:space="0"/>
                    <w:right w:val="single" w:color="auto" w:sz="4" w:space="0"/>
                  </w:tcBorders>
                  <w:noWrap w:val="0"/>
                  <w:vAlign w:val="center"/>
                </w:tcPr>
                <w:p w14:paraId="240110A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1.0</w:t>
                  </w:r>
                </w:p>
              </w:tc>
              <w:tc>
                <w:tcPr>
                  <w:tcW w:w="1189" w:type="pct"/>
                  <w:tcBorders>
                    <w:top w:val="single" w:color="auto" w:sz="4" w:space="0"/>
                    <w:left w:val="nil"/>
                    <w:bottom w:val="single" w:color="auto" w:sz="4" w:space="0"/>
                    <w:right w:val="single" w:color="auto" w:sz="4" w:space="0"/>
                  </w:tcBorders>
                  <w:noWrap w:val="0"/>
                  <w:vAlign w:val="center"/>
                </w:tcPr>
                <w:p w14:paraId="65B98B5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5.0</w:t>
                  </w:r>
                </w:p>
              </w:tc>
              <w:tc>
                <w:tcPr>
                  <w:tcW w:w="1812" w:type="pct"/>
                  <w:tcBorders>
                    <w:top w:val="single" w:color="auto" w:sz="4" w:space="0"/>
                    <w:left w:val="nil"/>
                    <w:bottom w:val="single" w:color="auto" w:sz="4" w:space="0"/>
                    <w:right w:val="single" w:color="auto" w:sz="4" w:space="0"/>
                  </w:tcBorders>
                  <w:noWrap w:val="0"/>
                  <w:vAlign w:val="center"/>
                </w:tcPr>
                <w:p w14:paraId="787285F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8.0</w:t>
                  </w:r>
                </w:p>
              </w:tc>
            </w:tr>
            <w:tr w14:paraId="6DEF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4" w:space="0"/>
                    <w:bottom w:val="single" w:color="auto" w:sz="4" w:space="0"/>
                    <w:right w:val="single" w:color="auto" w:sz="4" w:space="0"/>
                  </w:tcBorders>
                  <w:noWrap w:val="0"/>
                  <w:vAlign w:val="center"/>
                </w:tcPr>
                <w:p w14:paraId="5DA2821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镉≤</w:t>
                  </w:r>
                </w:p>
              </w:tc>
              <w:tc>
                <w:tcPr>
                  <w:tcW w:w="1253" w:type="pct"/>
                  <w:tcBorders>
                    <w:top w:val="single" w:color="auto" w:sz="4" w:space="0"/>
                    <w:left w:val="nil"/>
                    <w:bottom w:val="single" w:color="auto" w:sz="4" w:space="0"/>
                    <w:right w:val="single" w:color="auto" w:sz="4" w:space="0"/>
                  </w:tcBorders>
                  <w:noWrap w:val="0"/>
                  <w:vAlign w:val="center"/>
                </w:tcPr>
                <w:p w14:paraId="1A88A4B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0.2</w:t>
                  </w:r>
                </w:p>
              </w:tc>
              <w:tc>
                <w:tcPr>
                  <w:tcW w:w="1189" w:type="pct"/>
                  <w:tcBorders>
                    <w:top w:val="single" w:color="auto" w:sz="4" w:space="0"/>
                    <w:left w:val="nil"/>
                    <w:bottom w:val="single" w:color="auto" w:sz="4" w:space="0"/>
                    <w:right w:val="single" w:color="auto" w:sz="4" w:space="0"/>
                  </w:tcBorders>
                  <w:noWrap w:val="0"/>
                  <w:vAlign w:val="center"/>
                </w:tcPr>
                <w:p w14:paraId="6CC35B1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c>
                <w:tcPr>
                  <w:tcW w:w="1812" w:type="pct"/>
                  <w:tcBorders>
                    <w:top w:val="single" w:color="auto" w:sz="4" w:space="0"/>
                    <w:left w:val="nil"/>
                    <w:bottom w:val="single" w:color="auto" w:sz="4" w:space="0"/>
                    <w:right w:val="single" w:color="auto" w:sz="4" w:space="0"/>
                  </w:tcBorders>
                  <w:noWrap w:val="0"/>
                  <w:vAlign w:val="center"/>
                </w:tcPr>
                <w:p w14:paraId="3BBC0048">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5.0</w:t>
                  </w:r>
                </w:p>
              </w:tc>
            </w:tr>
            <w:tr w14:paraId="6B05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4" w:space="0"/>
                    <w:bottom w:val="single" w:color="auto" w:sz="4" w:space="0"/>
                    <w:right w:val="single" w:color="auto" w:sz="4" w:space="0"/>
                  </w:tcBorders>
                  <w:noWrap w:val="0"/>
                  <w:vAlign w:val="center"/>
                </w:tcPr>
                <w:p w14:paraId="613F614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汞≤</w:t>
                  </w:r>
                </w:p>
              </w:tc>
              <w:tc>
                <w:tcPr>
                  <w:tcW w:w="1253" w:type="pct"/>
                  <w:tcBorders>
                    <w:top w:val="single" w:color="auto" w:sz="4" w:space="0"/>
                    <w:left w:val="nil"/>
                    <w:bottom w:val="single" w:color="auto" w:sz="4" w:space="0"/>
                    <w:right w:val="single" w:color="auto" w:sz="4" w:space="0"/>
                  </w:tcBorders>
                  <w:noWrap w:val="0"/>
                  <w:vAlign w:val="center"/>
                </w:tcPr>
                <w:p w14:paraId="4D3529B3">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0.05</w:t>
                  </w:r>
                </w:p>
              </w:tc>
              <w:tc>
                <w:tcPr>
                  <w:tcW w:w="1189" w:type="pct"/>
                  <w:tcBorders>
                    <w:top w:val="single" w:color="auto" w:sz="4" w:space="0"/>
                    <w:left w:val="nil"/>
                    <w:bottom w:val="single" w:color="auto" w:sz="4" w:space="0"/>
                    <w:right w:val="single" w:color="auto" w:sz="4" w:space="0"/>
                  </w:tcBorders>
                  <w:noWrap w:val="0"/>
                  <w:vAlign w:val="center"/>
                </w:tcPr>
                <w:p w14:paraId="2B580A6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0.10</w:t>
                  </w:r>
                </w:p>
              </w:tc>
              <w:tc>
                <w:tcPr>
                  <w:tcW w:w="1812" w:type="pct"/>
                  <w:tcBorders>
                    <w:top w:val="single" w:color="auto" w:sz="4" w:space="0"/>
                    <w:left w:val="nil"/>
                    <w:bottom w:val="single" w:color="auto" w:sz="4" w:space="0"/>
                    <w:right w:val="single" w:color="auto" w:sz="4" w:space="0"/>
                  </w:tcBorders>
                  <w:noWrap w:val="0"/>
                  <w:vAlign w:val="center"/>
                </w:tcPr>
                <w:p w14:paraId="00BEF79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0.30</w:t>
                  </w:r>
                </w:p>
              </w:tc>
            </w:tr>
            <w:tr w14:paraId="4A9E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4" w:space="0"/>
                    <w:bottom w:val="single" w:color="auto" w:sz="4" w:space="0"/>
                    <w:right w:val="single" w:color="auto" w:sz="4" w:space="0"/>
                  </w:tcBorders>
                  <w:noWrap w:val="0"/>
                  <w:vAlign w:val="center"/>
                </w:tcPr>
                <w:p w14:paraId="0DDA007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铅≤</w:t>
                  </w:r>
                </w:p>
              </w:tc>
              <w:tc>
                <w:tcPr>
                  <w:tcW w:w="1253" w:type="pct"/>
                  <w:tcBorders>
                    <w:top w:val="single" w:color="auto" w:sz="4" w:space="0"/>
                    <w:left w:val="nil"/>
                    <w:bottom w:val="single" w:color="auto" w:sz="4" w:space="0"/>
                    <w:right w:val="single" w:color="auto" w:sz="4" w:space="0"/>
                  </w:tcBorders>
                  <w:noWrap w:val="0"/>
                  <w:vAlign w:val="center"/>
                </w:tcPr>
                <w:p w14:paraId="00267D9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0.1</w:t>
                  </w:r>
                </w:p>
              </w:tc>
              <w:tc>
                <w:tcPr>
                  <w:tcW w:w="1189" w:type="pct"/>
                  <w:tcBorders>
                    <w:top w:val="single" w:color="auto" w:sz="4" w:space="0"/>
                    <w:left w:val="nil"/>
                    <w:bottom w:val="single" w:color="auto" w:sz="4" w:space="0"/>
                    <w:right w:val="single" w:color="auto" w:sz="4" w:space="0"/>
                  </w:tcBorders>
                  <w:noWrap w:val="0"/>
                  <w:vAlign w:val="center"/>
                </w:tcPr>
                <w:p w14:paraId="27E4C82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c>
                <w:tcPr>
                  <w:tcW w:w="1812" w:type="pct"/>
                  <w:tcBorders>
                    <w:top w:val="single" w:color="auto" w:sz="4" w:space="0"/>
                    <w:left w:val="nil"/>
                    <w:bottom w:val="single" w:color="auto" w:sz="4" w:space="0"/>
                    <w:right w:val="single" w:color="auto" w:sz="4" w:space="0"/>
                  </w:tcBorders>
                  <w:noWrap w:val="0"/>
                  <w:vAlign w:val="center"/>
                </w:tcPr>
                <w:p w14:paraId="0210889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6.0</w:t>
                  </w:r>
                </w:p>
              </w:tc>
            </w:tr>
            <w:tr w14:paraId="5671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4" w:space="0"/>
                    <w:bottom w:val="single" w:color="auto" w:sz="4" w:space="0"/>
                    <w:right w:val="single" w:color="auto" w:sz="4" w:space="0"/>
                  </w:tcBorders>
                  <w:noWrap w:val="0"/>
                  <w:vAlign w:val="center"/>
                </w:tcPr>
                <w:p w14:paraId="09D82AA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石油烃</w:t>
                  </w:r>
                </w:p>
              </w:tc>
              <w:tc>
                <w:tcPr>
                  <w:tcW w:w="1253" w:type="pct"/>
                  <w:tcBorders>
                    <w:top w:val="single" w:color="auto" w:sz="4" w:space="0"/>
                    <w:left w:val="nil"/>
                    <w:bottom w:val="single" w:color="auto" w:sz="4" w:space="0"/>
                    <w:right w:val="single" w:color="auto" w:sz="4" w:space="0"/>
                  </w:tcBorders>
                  <w:noWrap w:val="0"/>
                  <w:vAlign w:val="center"/>
                </w:tcPr>
                <w:p w14:paraId="2C24744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15</w:t>
                  </w:r>
                </w:p>
              </w:tc>
              <w:tc>
                <w:tcPr>
                  <w:tcW w:w="1189" w:type="pct"/>
                  <w:tcBorders>
                    <w:top w:val="single" w:color="auto" w:sz="4" w:space="0"/>
                    <w:left w:val="nil"/>
                    <w:bottom w:val="single" w:color="auto" w:sz="4" w:space="0"/>
                    <w:right w:val="single" w:color="auto" w:sz="4" w:space="0"/>
                  </w:tcBorders>
                  <w:noWrap w:val="0"/>
                  <w:vAlign w:val="center"/>
                </w:tcPr>
                <w:p w14:paraId="11976B5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50</w:t>
                  </w:r>
                </w:p>
              </w:tc>
              <w:tc>
                <w:tcPr>
                  <w:tcW w:w="1812" w:type="pct"/>
                  <w:tcBorders>
                    <w:top w:val="single" w:color="auto" w:sz="4" w:space="0"/>
                    <w:left w:val="nil"/>
                    <w:bottom w:val="single" w:color="auto" w:sz="4" w:space="0"/>
                    <w:right w:val="single" w:color="auto" w:sz="4" w:space="0"/>
                  </w:tcBorders>
                  <w:noWrap w:val="0"/>
                  <w:vAlign w:val="center"/>
                </w:tcPr>
                <w:p w14:paraId="3AFE9B7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80</w:t>
                  </w:r>
                </w:p>
              </w:tc>
            </w:tr>
          </w:tbl>
          <w:p w14:paraId="12A332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3.1</w:t>
            </w:r>
            <w:r>
              <w:rPr>
                <w:rFonts w:hint="eastAsia" w:cs="Times New Roman"/>
                <w:b/>
                <w:bCs/>
                <w:color w:val="auto"/>
                <w:kern w:val="0"/>
                <w:sz w:val="21"/>
                <w:szCs w:val="21"/>
                <w:lang w:val="en-US" w:eastAsia="zh-CN"/>
              </w:rPr>
              <w:t>3</w:t>
            </w:r>
            <w:r>
              <w:rPr>
                <w:rFonts w:hint="eastAsia" w:ascii="Times New Roman" w:hAnsi="Times New Roman" w:cs="Times New Roman"/>
                <w:b/>
                <w:bCs/>
                <w:color w:val="auto"/>
                <w:kern w:val="0"/>
                <w:sz w:val="21"/>
                <w:szCs w:val="21"/>
                <w:lang w:val="en-US" w:eastAsia="zh-CN"/>
              </w:rPr>
              <w:t>-5b</w:t>
            </w:r>
            <w:r>
              <w:rPr>
                <w:rFonts w:hint="eastAsia" w:ascii="Times New Roman" w:hAnsi="Times New Roman" w:cs="Times New Roman"/>
                <w:b/>
                <w:bCs/>
                <w:color w:val="auto"/>
                <w:kern w:val="0"/>
                <w:sz w:val="21"/>
                <w:szCs w:val="21"/>
                <w:lang w:val="zh-CN" w:eastAsia="zh-CN"/>
              </w:rPr>
              <w:t xml:space="preserve">  其他海洋生物体质量标准（鲜重）（单位：mg/kg）</w:t>
            </w:r>
          </w:p>
          <w:tbl>
            <w:tblPr>
              <w:tblStyle w:val="28"/>
              <w:tblW w:w="8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2362"/>
              <w:gridCol w:w="2124"/>
              <w:gridCol w:w="1261"/>
            </w:tblGrid>
            <w:tr w14:paraId="6081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313" w:type="dxa"/>
                  <w:tcBorders>
                    <w:tl2br w:val="single" w:color="auto" w:sz="4" w:space="0"/>
                  </w:tcBorders>
                  <w:shd w:val="clear" w:color="auto" w:fill="auto"/>
                  <w:noWrap w:val="0"/>
                  <w:vAlign w:val="center"/>
                </w:tcPr>
                <w:p w14:paraId="51F6D32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lang w:val="en-US" w:eastAsia="zh-CN"/>
                    </w:rPr>
                    <w:t xml:space="preserve">       </w:t>
                  </w:r>
                  <w:r>
                    <w:rPr>
                      <w:rFonts w:hint="eastAsia"/>
                      <w:sz w:val="21"/>
                    </w:rPr>
                    <w:t>生物类别</w:t>
                  </w:r>
                </w:p>
                <w:p w14:paraId="4AD69A7A">
                  <w:pPr>
                    <w:keepNext w:val="0"/>
                    <w:keepLines w:val="0"/>
                    <w:suppressLineNumbers w:val="0"/>
                    <w:spacing w:before="0" w:beforeAutospacing="0" w:after="0" w:afterAutospacing="0" w:line="240" w:lineRule="auto"/>
                    <w:ind w:left="0" w:right="0" w:firstLine="0" w:firstLineChars="0"/>
                    <w:jc w:val="both"/>
                    <w:rPr>
                      <w:rFonts w:hint="eastAsia"/>
                      <w:sz w:val="21"/>
                    </w:rPr>
                  </w:pPr>
                  <w:r>
                    <w:rPr>
                      <w:rFonts w:hint="eastAsia"/>
                      <w:sz w:val="21"/>
                    </w:rPr>
                    <w:t>评价因子</w:t>
                  </w:r>
                </w:p>
              </w:tc>
              <w:tc>
                <w:tcPr>
                  <w:tcW w:w="2362" w:type="dxa"/>
                  <w:shd w:val="clear" w:color="auto" w:fill="auto"/>
                  <w:noWrap w:val="0"/>
                  <w:vAlign w:val="center"/>
                </w:tcPr>
                <w:p w14:paraId="47A674D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软体动物（非双壳贝类）</w:t>
                  </w:r>
                </w:p>
              </w:tc>
              <w:tc>
                <w:tcPr>
                  <w:tcW w:w="2124" w:type="dxa"/>
                  <w:shd w:val="clear" w:color="auto" w:fill="auto"/>
                  <w:noWrap w:val="0"/>
                  <w:vAlign w:val="center"/>
                </w:tcPr>
                <w:p w14:paraId="093E095B">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甲壳类</w:t>
                  </w:r>
                </w:p>
              </w:tc>
              <w:tc>
                <w:tcPr>
                  <w:tcW w:w="1261" w:type="dxa"/>
                  <w:shd w:val="clear" w:color="auto" w:fill="auto"/>
                  <w:noWrap w:val="0"/>
                  <w:vAlign w:val="center"/>
                </w:tcPr>
                <w:p w14:paraId="3C4A970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鱼类</w:t>
                  </w:r>
                </w:p>
              </w:tc>
            </w:tr>
            <w:tr w14:paraId="4435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shd w:val="clear" w:color="auto" w:fill="auto"/>
                  <w:noWrap w:val="0"/>
                  <w:vAlign w:val="center"/>
                </w:tcPr>
                <w:p w14:paraId="62E1F5E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总汞</w:t>
                  </w:r>
                </w:p>
              </w:tc>
              <w:tc>
                <w:tcPr>
                  <w:tcW w:w="2362" w:type="dxa"/>
                  <w:shd w:val="clear" w:color="auto" w:fill="auto"/>
                  <w:noWrap w:val="0"/>
                  <w:vAlign w:val="center"/>
                </w:tcPr>
                <w:p w14:paraId="3B8C5F9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0.3</w:t>
                  </w:r>
                </w:p>
              </w:tc>
              <w:tc>
                <w:tcPr>
                  <w:tcW w:w="2124" w:type="dxa"/>
                  <w:shd w:val="clear" w:color="auto" w:fill="auto"/>
                  <w:noWrap w:val="0"/>
                  <w:vAlign w:val="center"/>
                </w:tcPr>
                <w:p w14:paraId="6C0CF059">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0.2</w:t>
                  </w:r>
                </w:p>
              </w:tc>
              <w:tc>
                <w:tcPr>
                  <w:tcW w:w="1261" w:type="dxa"/>
                  <w:shd w:val="clear" w:color="auto" w:fill="auto"/>
                  <w:noWrap w:val="0"/>
                  <w:vAlign w:val="center"/>
                </w:tcPr>
                <w:p w14:paraId="08617856">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0.3</w:t>
                  </w:r>
                </w:p>
              </w:tc>
            </w:tr>
            <w:tr w14:paraId="4F47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shd w:val="clear" w:color="auto" w:fill="auto"/>
                  <w:noWrap w:val="0"/>
                  <w:vAlign w:val="center"/>
                </w:tcPr>
                <w:p w14:paraId="2DC0A7E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镉</w:t>
                  </w:r>
                </w:p>
              </w:tc>
              <w:tc>
                <w:tcPr>
                  <w:tcW w:w="2362" w:type="dxa"/>
                  <w:shd w:val="clear" w:color="auto" w:fill="auto"/>
                  <w:noWrap w:val="0"/>
                  <w:vAlign w:val="center"/>
                </w:tcPr>
                <w:p w14:paraId="2D39DA7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5.5</w:t>
                  </w:r>
                </w:p>
              </w:tc>
              <w:tc>
                <w:tcPr>
                  <w:tcW w:w="2124" w:type="dxa"/>
                  <w:shd w:val="clear" w:color="auto" w:fill="auto"/>
                  <w:noWrap w:val="0"/>
                  <w:vAlign w:val="center"/>
                </w:tcPr>
                <w:p w14:paraId="79C18A97">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c>
                <w:tcPr>
                  <w:tcW w:w="1261" w:type="dxa"/>
                  <w:shd w:val="clear" w:color="auto" w:fill="auto"/>
                  <w:noWrap w:val="0"/>
                  <w:vAlign w:val="center"/>
                </w:tcPr>
                <w:p w14:paraId="359DBF6B">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0.6</w:t>
                  </w:r>
                </w:p>
              </w:tc>
            </w:tr>
            <w:tr w14:paraId="49A8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shd w:val="clear" w:color="auto" w:fill="auto"/>
                  <w:noWrap w:val="0"/>
                  <w:vAlign w:val="center"/>
                </w:tcPr>
                <w:p w14:paraId="5B41A3E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锌</w:t>
                  </w:r>
                </w:p>
              </w:tc>
              <w:tc>
                <w:tcPr>
                  <w:tcW w:w="2362" w:type="dxa"/>
                  <w:shd w:val="clear" w:color="auto" w:fill="auto"/>
                  <w:noWrap w:val="0"/>
                  <w:vAlign w:val="center"/>
                </w:tcPr>
                <w:p w14:paraId="542D21A9">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250</w:t>
                  </w:r>
                </w:p>
              </w:tc>
              <w:tc>
                <w:tcPr>
                  <w:tcW w:w="2124" w:type="dxa"/>
                  <w:shd w:val="clear" w:color="auto" w:fill="auto"/>
                  <w:noWrap w:val="0"/>
                  <w:vAlign w:val="center"/>
                </w:tcPr>
                <w:p w14:paraId="22AFA120">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150</w:t>
                  </w:r>
                </w:p>
              </w:tc>
              <w:tc>
                <w:tcPr>
                  <w:tcW w:w="1261" w:type="dxa"/>
                  <w:shd w:val="clear" w:color="auto" w:fill="auto"/>
                  <w:noWrap w:val="0"/>
                  <w:vAlign w:val="center"/>
                </w:tcPr>
                <w:p w14:paraId="107D022B">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40</w:t>
                  </w:r>
                </w:p>
              </w:tc>
            </w:tr>
            <w:tr w14:paraId="2375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shd w:val="clear" w:color="auto" w:fill="auto"/>
                  <w:noWrap w:val="0"/>
                  <w:vAlign w:val="center"/>
                </w:tcPr>
                <w:p w14:paraId="6652762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铅</w:t>
                  </w:r>
                </w:p>
              </w:tc>
              <w:tc>
                <w:tcPr>
                  <w:tcW w:w="2362" w:type="dxa"/>
                  <w:shd w:val="clear" w:color="auto" w:fill="auto"/>
                  <w:noWrap w:val="0"/>
                  <w:vAlign w:val="center"/>
                </w:tcPr>
                <w:p w14:paraId="05D0F02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10</w:t>
                  </w:r>
                </w:p>
              </w:tc>
              <w:tc>
                <w:tcPr>
                  <w:tcW w:w="2124" w:type="dxa"/>
                  <w:shd w:val="clear" w:color="auto" w:fill="auto"/>
                  <w:noWrap w:val="0"/>
                  <w:vAlign w:val="center"/>
                </w:tcPr>
                <w:p w14:paraId="484432D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w:t>
                  </w:r>
                </w:p>
              </w:tc>
              <w:tc>
                <w:tcPr>
                  <w:tcW w:w="1261" w:type="dxa"/>
                  <w:shd w:val="clear" w:color="auto" w:fill="auto"/>
                  <w:noWrap w:val="0"/>
                  <w:vAlign w:val="center"/>
                </w:tcPr>
                <w:p w14:paraId="14CD29AD">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w:t>
                  </w:r>
                </w:p>
              </w:tc>
            </w:tr>
            <w:tr w14:paraId="350A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shd w:val="clear" w:color="auto" w:fill="auto"/>
                  <w:noWrap w:val="0"/>
                  <w:vAlign w:val="center"/>
                </w:tcPr>
                <w:p w14:paraId="7A02C24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铜</w:t>
                  </w:r>
                </w:p>
              </w:tc>
              <w:tc>
                <w:tcPr>
                  <w:tcW w:w="2362" w:type="dxa"/>
                  <w:shd w:val="clear" w:color="auto" w:fill="auto"/>
                  <w:noWrap w:val="0"/>
                  <w:vAlign w:val="center"/>
                </w:tcPr>
                <w:p w14:paraId="1D77BFE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100</w:t>
                  </w:r>
                </w:p>
              </w:tc>
              <w:tc>
                <w:tcPr>
                  <w:tcW w:w="2124" w:type="dxa"/>
                  <w:shd w:val="clear" w:color="auto" w:fill="auto"/>
                  <w:noWrap w:val="0"/>
                  <w:vAlign w:val="center"/>
                </w:tcPr>
                <w:p w14:paraId="6405D5A1">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100</w:t>
                  </w:r>
                </w:p>
              </w:tc>
              <w:tc>
                <w:tcPr>
                  <w:tcW w:w="1261" w:type="dxa"/>
                  <w:shd w:val="clear" w:color="auto" w:fill="auto"/>
                  <w:noWrap w:val="0"/>
                  <w:vAlign w:val="center"/>
                </w:tcPr>
                <w:p w14:paraId="5EB18B6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r>
            <w:tr w14:paraId="7430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shd w:val="clear" w:color="auto" w:fill="auto"/>
                  <w:noWrap w:val="0"/>
                  <w:vAlign w:val="center"/>
                </w:tcPr>
                <w:p w14:paraId="52C9CD6A">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砷</w:t>
                  </w:r>
                </w:p>
              </w:tc>
              <w:tc>
                <w:tcPr>
                  <w:tcW w:w="2362" w:type="dxa"/>
                  <w:shd w:val="clear" w:color="auto" w:fill="auto"/>
                  <w:noWrap w:val="0"/>
                  <w:vAlign w:val="center"/>
                </w:tcPr>
                <w:p w14:paraId="138C0E95">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w:t>
                  </w:r>
                </w:p>
              </w:tc>
              <w:tc>
                <w:tcPr>
                  <w:tcW w:w="2124" w:type="dxa"/>
                  <w:shd w:val="clear" w:color="auto" w:fill="auto"/>
                  <w:noWrap w:val="0"/>
                  <w:vAlign w:val="center"/>
                </w:tcPr>
                <w:p w14:paraId="5DE9178E">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w:t>
                  </w:r>
                </w:p>
              </w:tc>
              <w:tc>
                <w:tcPr>
                  <w:tcW w:w="1261" w:type="dxa"/>
                  <w:shd w:val="clear" w:color="auto" w:fill="auto"/>
                  <w:noWrap w:val="0"/>
                  <w:vAlign w:val="center"/>
                </w:tcPr>
                <w:p w14:paraId="0209F684">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1</w:t>
                  </w:r>
                </w:p>
              </w:tc>
            </w:tr>
            <w:tr w14:paraId="043E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shd w:val="clear" w:color="auto" w:fill="auto"/>
                  <w:noWrap w:val="0"/>
                  <w:vAlign w:val="center"/>
                </w:tcPr>
                <w:p w14:paraId="31DB270F">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石油烃</w:t>
                  </w:r>
                </w:p>
              </w:tc>
              <w:tc>
                <w:tcPr>
                  <w:tcW w:w="2362" w:type="dxa"/>
                  <w:shd w:val="clear" w:color="auto" w:fill="auto"/>
                  <w:noWrap w:val="0"/>
                  <w:vAlign w:val="center"/>
                </w:tcPr>
                <w:p w14:paraId="684CAC9F">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c>
                <w:tcPr>
                  <w:tcW w:w="2124" w:type="dxa"/>
                  <w:shd w:val="clear" w:color="auto" w:fill="auto"/>
                  <w:noWrap w:val="0"/>
                  <w:vAlign w:val="center"/>
                </w:tcPr>
                <w:p w14:paraId="32C4FACC">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c>
                <w:tcPr>
                  <w:tcW w:w="1261" w:type="dxa"/>
                  <w:shd w:val="clear" w:color="auto" w:fill="auto"/>
                  <w:noWrap w:val="0"/>
                  <w:vAlign w:val="center"/>
                </w:tcPr>
                <w:p w14:paraId="3BF7B422">
                  <w:pPr>
                    <w:keepNext w:val="0"/>
                    <w:keepLines w:val="0"/>
                    <w:suppressLineNumbers w:val="0"/>
                    <w:spacing w:before="0" w:beforeAutospacing="0" w:after="0" w:afterAutospacing="0" w:line="240" w:lineRule="auto"/>
                    <w:ind w:left="0" w:right="0" w:firstLine="0" w:firstLineChars="0"/>
                    <w:jc w:val="center"/>
                    <w:rPr>
                      <w:rFonts w:hint="eastAsia"/>
                      <w:sz w:val="21"/>
                    </w:rPr>
                  </w:pPr>
                  <w:r>
                    <w:rPr>
                      <w:rFonts w:hint="eastAsia"/>
                      <w:sz w:val="21"/>
                    </w:rPr>
                    <w:t>20</w:t>
                  </w:r>
                </w:p>
              </w:tc>
            </w:tr>
          </w:tbl>
          <w:p w14:paraId="7C8434E5">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2、污染物排放标准</w:t>
            </w:r>
          </w:p>
          <w:p w14:paraId="76EE407B">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（1）废气</w:t>
            </w:r>
          </w:p>
          <w:p w14:paraId="2D2CB93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施工期车辆和机械的废气排放执行《大气污染物综合排放标准》（GB16297-1996）中二级标准及无组织排放监控浓度限值。</w:t>
            </w:r>
          </w:p>
          <w:p w14:paraId="27CABA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3.1</w:t>
            </w:r>
            <w:r>
              <w:rPr>
                <w:rFonts w:hint="eastAsia" w:cs="Times New Roman"/>
                <w:b/>
                <w:bCs/>
                <w:color w:val="auto"/>
                <w:kern w:val="0"/>
                <w:sz w:val="21"/>
                <w:szCs w:val="21"/>
                <w:lang w:val="en-US" w:eastAsia="zh-CN"/>
              </w:rPr>
              <w:t>3</w:t>
            </w:r>
            <w:r>
              <w:rPr>
                <w:rFonts w:hint="eastAsia" w:ascii="Times New Roman" w:hAnsi="Times New Roman" w:cs="Times New Roman"/>
                <w:b/>
                <w:bCs/>
                <w:color w:val="auto"/>
                <w:kern w:val="0"/>
                <w:sz w:val="21"/>
                <w:szCs w:val="21"/>
                <w:lang w:val="en-US" w:eastAsia="zh-CN"/>
              </w:rPr>
              <w:t>-6</w:t>
            </w:r>
            <w:r>
              <w:rPr>
                <w:rFonts w:hint="eastAsia" w:ascii="Times New Roman" w:hAnsi="Times New Roman" w:cs="Times New Roman"/>
                <w:b/>
                <w:bCs/>
                <w:color w:val="auto"/>
                <w:kern w:val="0"/>
                <w:sz w:val="21"/>
                <w:szCs w:val="21"/>
                <w:lang w:val="zh-CN" w:eastAsia="zh-CN"/>
              </w:rPr>
              <w:t xml:space="preserve"> 《大气污染物综合排放标准》（GB16297-1996）（摘录）</w:t>
            </w:r>
          </w:p>
          <w:tbl>
            <w:tblPr>
              <w:tblStyle w:val="28"/>
              <w:tblW w:w="43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868"/>
              <w:gridCol w:w="2652"/>
              <w:gridCol w:w="2088"/>
            </w:tblGrid>
            <w:tr w14:paraId="0F33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3" w:type="pct"/>
                  <w:vMerge w:val="restart"/>
                  <w:tcBorders>
                    <w:top w:val="single" w:color="auto" w:sz="4" w:space="0"/>
                    <w:left w:val="single" w:color="auto" w:sz="4" w:space="0"/>
                    <w:bottom w:val="single" w:color="auto" w:sz="4" w:space="0"/>
                    <w:right w:val="single" w:color="auto" w:sz="4" w:space="0"/>
                  </w:tcBorders>
                  <w:vAlign w:val="center"/>
                </w:tcPr>
                <w:p w14:paraId="275C68E3">
                  <w:pPr>
                    <w:keepNext w:val="0"/>
                    <w:keepLines w:val="0"/>
                    <w:suppressLineNumbers w:val="0"/>
                    <w:adjustRightInd w:val="0"/>
                    <w:snapToGrid w:val="0"/>
                    <w:spacing w:before="0" w:beforeAutospacing="0" w:after="0" w:afterAutospacing="0"/>
                    <w:ind w:left="0" w:right="0"/>
                    <w:jc w:val="center"/>
                    <w:rPr>
                      <w:rFonts w:hint="eastAsia"/>
                      <w:b/>
                      <w:color w:val="auto"/>
                      <w:kern w:val="24"/>
                      <w:lang w:val="fr-FR"/>
                    </w:rPr>
                  </w:pPr>
                  <w:r>
                    <w:rPr>
                      <w:rFonts w:hint="eastAsia"/>
                      <w:b/>
                      <w:color w:val="auto"/>
                      <w:kern w:val="24"/>
                      <w:lang w:val="fr-FR"/>
                    </w:rPr>
                    <w:t>序号</w:t>
                  </w:r>
                </w:p>
              </w:tc>
              <w:tc>
                <w:tcPr>
                  <w:tcW w:w="1234" w:type="pct"/>
                  <w:vMerge w:val="restart"/>
                  <w:tcBorders>
                    <w:top w:val="single" w:color="auto" w:sz="4" w:space="0"/>
                    <w:left w:val="single" w:color="auto" w:sz="4" w:space="0"/>
                    <w:bottom w:val="single" w:color="auto" w:sz="4" w:space="0"/>
                    <w:right w:val="single" w:color="auto" w:sz="4" w:space="0"/>
                  </w:tcBorders>
                  <w:vAlign w:val="center"/>
                </w:tcPr>
                <w:p w14:paraId="1F30A3E9">
                  <w:pPr>
                    <w:keepNext w:val="0"/>
                    <w:keepLines w:val="0"/>
                    <w:suppressLineNumbers w:val="0"/>
                    <w:adjustRightInd w:val="0"/>
                    <w:snapToGrid w:val="0"/>
                    <w:spacing w:before="0" w:beforeAutospacing="0" w:after="0" w:afterAutospacing="0"/>
                    <w:ind w:left="0" w:right="0"/>
                    <w:jc w:val="center"/>
                    <w:rPr>
                      <w:rFonts w:hint="eastAsia"/>
                      <w:b/>
                      <w:color w:val="auto"/>
                      <w:kern w:val="24"/>
                      <w:lang w:val="fr-FR"/>
                    </w:rPr>
                  </w:pPr>
                  <w:r>
                    <w:rPr>
                      <w:rFonts w:hint="eastAsia"/>
                      <w:b/>
                      <w:color w:val="auto"/>
                      <w:kern w:val="24"/>
                      <w:lang w:val="fr-FR"/>
                    </w:rPr>
                    <w:t>污染物名称</w:t>
                  </w:r>
                </w:p>
              </w:tc>
              <w:tc>
                <w:tcPr>
                  <w:tcW w:w="3132" w:type="pct"/>
                  <w:gridSpan w:val="2"/>
                  <w:tcBorders>
                    <w:top w:val="single" w:color="auto" w:sz="4" w:space="0"/>
                    <w:left w:val="single" w:color="auto" w:sz="4" w:space="0"/>
                    <w:bottom w:val="single" w:color="auto" w:sz="4" w:space="0"/>
                    <w:right w:val="single" w:color="auto" w:sz="4" w:space="0"/>
                  </w:tcBorders>
                  <w:vAlign w:val="center"/>
                </w:tcPr>
                <w:p w14:paraId="280CD426">
                  <w:pPr>
                    <w:keepNext w:val="0"/>
                    <w:keepLines w:val="0"/>
                    <w:suppressLineNumbers w:val="0"/>
                    <w:adjustRightInd w:val="0"/>
                    <w:snapToGrid w:val="0"/>
                    <w:spacing w:before="0" w:beforeAutospacing="0" w:after="0" w:afterAutospacing="0"/>
                    <w:ind w:left="0" w:right="0"/>
                    <w:jc w:val="center"/>
                    <w:rPr>
                      <w:rFonts w:hint="eastAsia"/>
                      <w:b/>
                      <w:color w:val="auto"/>
                      <w:kern w:val="24"/>
                      <w:lang w:val="fr-FR"/>
                    </w:rPr>
                  </w:pPr>
                  <w:r>
                    <w:rPr>
                      <w:rFonts w:hint="eastAsia"/>
                      <w:b/>
                      <w:color w:val="auto"/>
                      <w:kern w:val="24"/>
                      <w:lang w:val="fr-FR"/>
                    </w:rPr>
                    <w:t>无组织排放监控浓度限值</w:t>
                  </w:r>
                </w:p>
              </w:tc>
            </w:tr>
            <w:tr w14:paraId="2F4A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3" w:type="pct"/>
                  <w:vMerge w:val="continue"/>
                  <w:tcBorders>
                    <w:top w:val="single" w:color="auto" w:sz="4" w:space="0"/>
                    <w:left w:val="single" w:color="auto" w:sz="4" w:space="0"/>
                    <w:bottom w:val="single" w:color="auto" w:sz="4" w:space="0"/>
                    <w:right w:val="single" w:color="auto" w:sz="4" w:space="0"/>
                  </w:tcBorders>
                  <w:vAlign w:val="center"/>
                </w:tcPr>
                <w:p w14:paraId="44CD64A3">
                  <w:pPr>
                    <w:keepNext w:val="0"/>
                    <w:keepLines w:val="0"/>
                    <w:widowControl/>
                    <w:suppressLineNumbers w:val="0"/>
                    <w:spacing w:before="0" w:beforeAutospacing="0" w:after="0" w:afterAutospacing="0"/>
                    <w:ind w:left="0" w:right="0"/>
                    <w:jc w:val="left"/>
                    <w:rPr>
                      <w:rFonts w:hint="eastAsia"/>
                      <w:b/>
                      <w:color w:val="auto"/>
                      <w:kern w:val="24"/>
                      <w:lang w:val="fr-FR"/>
                    </w:rPr>
                  </w:pPr>
                </w:p>
              </w:tc>
              <w:tc>
                <w:tcPr>
                  <w:tcW w:w="1234" w:type="pct"/>
                  <w:vMerge w:val="continue"/>
                  <w:tcBorders>
                    <w:top w:val="single" w:color="auto" w:sz="4" w:space="0"/>
                    <w:left w:val="single" w:color="auto" w:sz="4" w:space="0"/>
                    <w:bottom w:val="single" w:color="auto" w:sz="4" w:space="0"/>
                    <w:right w:val="single" w:color="auto" w:sz="4" w:space="0"/>
                  </w:tcBorders>
                  <w:vAlign w:val="center"/>
                </w:tcPr>
                <w:p w14:paraId="169A8A93">
                  <w:pPr>
                    <w:keepNext w:val="0"/>
                    <w:keepLines w:val="0"/>
                    <w:widowControl/>
                    <w:suppressLineNumbers w:val="0"/>
                    <w:spacing w:before="0" w:beforeAutospacing="0" w:after="0" w:afterAutospacing="0"/>
                    <w:ind w:left="0" w:right="0"/>
                    <w:jc w:val="left"/>
                    <w:rPr>
                      <w:rFonts w:hint="eastAsia"/>
                      <w:b/>
                      <w:color w:val="auto"/>
                      <w:kern w:val="24"/>
                      <w:lang w:val="fr-FR"/>
                    </w:rPr>
                  </w:pPr>
                </w:p>
              </w:tc>
              <w:tc>
                <w:tcPr>
                  <w:tcW w:w="1752" w:type="pct"/>
                  <w:tcBorders>
                    <w:top w:val="single" w:color="auto" w:sz="4" w:space="0"/>
                    <w:left w:val="single" w:color="auto" w:sz="4" w:space="0"/>
                    <w:bottom w:val="single" w:color="auto" w:sz="4" w:space="0"/>
                    <w:right w:val="single" w:color="auto" w:sz="4" w:space="0"/>
                  </w:tcBorders>
                  <w:vAlign w:val="center"/>
                </w:tcPr>
                <w:p w14:paraId="41C2D636">
                  <w:pPr>
                    <w:keepNext w:val="0"/>
                    <w:keepLines w:val="0"/>
                    <w:suppressLineNumbers w:val="0"/>
                    <w:adjustRightInd w:val="0"/>
                    <w:snapToGrid w:val="0"/>
                    <w:spacing w:before="0" w:beforeAutospacing="0" w:after="0" w:afterAutospacing="0"/>
                    <w:ind w:left="0" w:right="0"/>
                    <w:jc w:val="center"/>
                    <w:rPr>
                      <w:rFonts w:hint="eastAsia"/>
                      <w:b/>
                      <w:color w:val="auto"/>
                      <w:kern w:val="24"/>
                      <w:lang w:val="fr-FR"/>
                    </w:rPr>
                  </w:pPr>
                  <w:r>
                    <w:rPr>
                      <w:rFonts w:hint="eastAsia"/>
                      <w:b/>
                      <w:color w:val="auto"/>
                      <w:kern w:val="24"/>
                      <w:lang w:val="fr-FR"/>
                    </w:rPr>
                    <w:t>监控点</w:t>
                  </w:r>
                </w:p>
              </w:tc>
              <w:tc>
                <w:tcPr>
                  <w:tcW w:w="1379" w:type="pct"/>
                  <w:tcBorders>
                    <w:top w:val="single" w:color="auto" w:sz="4" w:space="0"/>
                    <w:left w:val="single" w:color="auto" w:sz="4" w:space="0"/>
                    <w:bottom w:val="single" w:color="auto" w:sz="4" w:space="0"/>
                    <w:right w:val="single" w:color="auto" w:sz="4" w:space="0"/>
                  </w:tcBorders>
                  <w:vAlign w:val="center"/>
                </w:tcPr>
                <w:p w14:paraId="6AA0A0EB">
                  <w:pPr>
                    <w:keepNext w:val="0"/>
                    <w:keepLines w:val="0"/>
                    <w:suppressLineNumbers w:val="0"/>
                    <w:adjustRightInd w:val="0"/>
                    <w:snapToGrid w:val="0"/>
                    <w:spacing w:before="0" w:beforeAutospacing="0" w:after="0" w:afterAutospacing="0"/>
                    <w:ind w:left="0" w:right="0"/>
                    <w:jc w:val="center"/>
                    <w:rPr>
                      <w:rFonts w:hint="eastAsia"/>
                      <w:b/>
                      <w:color w:val="auto"/>
                      <w:kern w:val="24"/>
                      <w:lang w:val="fr-FR"/>
                    </w:rPr>
                  </w:pPr>
                  <w:r>
                    <w:rPr>
                      <w:rFonts w:hint="eastAsia"/>
                      <w:b/>
                      <w:color w:val="auto"/>
                      <w:kern w:val="24"/>
                      <w:lang w:val="fr-FR"/>
                    </w:rPr>
                    <w:t>浓度（</w:t>
                  </w:r>
                  <w:r>
                    <w:rPr>
                      <w:rFonts w:hint="eastAsia"/>
                      <w:b/>
                      <w:color w:val="auto"/>
                      <w:kern w:val="24"/>
                      <w:szCs w:val="20"/>
                    </w:rPr>
                    <w:t>mg/m</w:t>
                  </w:r>
                  <w:r>
                    <w:rPr>
                      <w:rFonts w:hint="eastAsia"/>
                      <w:b/>
                      <w:color w:val="auto"/>
                      <w:kern w:val="24"/>
                      <w:szCs w:val="20"/>
                      <w:vertAlign w:val="superscript"/>
                    </w:rPr>
                    <w:t>3</w:t>
                  </w:r>
                  <w:r>
                    <w:rPr>
                      <w:rFonts w:hint="eastAsia"/>
                      <w:b/>
                      <w:color w:val="auto"/>
                      <w:kern w:val="24"/>
                      <w:lang w:val="fr-FR"/>
                    </w:rPr>
                    <w:t>）</w:t>
                  </w:r>
                </w:p>
              </w:tc>
            </w:tr>
            <w:tr w14:paraId="4222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3" w:type="pct"/>
                  <w:tcBorders>
                    <w:top w:val="single" w:color="auto" w:sz="4" w:space="0"/>
                    <w:left w:val="single" w:color="auto" w:sz="4" w:space="0"/>
                    <w:bottom w:val="single" w:color="auto" w:sz="4" w:space="0"/>
                    <w:right w:val="single" w:color="auto" w:sz="4" w:space="0"/>
                  </w:tcBorders>
                  <w:vAlign w:val="center"/>
                </w:tcPr>
                <w:p w14:paraId="4F7671F3">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1</w:t>
                  </w:r>
                </w:p>
              </w:tc>
              <w:tc>
                <w:tcPr>
                  <w:tcW w:w="1234" w:type="pct"/>
                  <w:tcBorders>
                    <w:top w:val="single" w:color="auto" w:sz="4" w:space="0"/>
                    <w:left w:val="single" w:color="auto" w:sz="4" w:space="0"/>
                    <w:bottom w:val="single" w:color="auto" w:sz="4" w:space="0"/>
                    <w:right w:val="single" w:color="auto" w:sz="4" w:space="0"/>
                  </w:tcBorders>
                  <w:vAlign w:val="center"/>
                </w:tcPr>
                <w:p w14:paraId="0DFE498D">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颗粒物</w:t>
                  </w:r>
                </w:p>
              </w:tc>
              <w:tc>
                <w:tcPr>
                  <w:tcW w:w="1752" w:type="pct"/>
                  <w:tcBorders>
                    <w:top w:val="single" w:color="auto" w:sz="4" w:space="0"/>
                    <w:left w:val="single" w:color="auto" w:sz="4" w:space="0"/>
                    <w:bottom w:val="single" w:color="auto" w:sz="4" w:space="0"/>
                    <w:right w:val="single" w:color="auto" w:sz="4" w:space="0"/>
                  </w:tcBorders>
                  <w:vAlign w:val="center"/>
                </w:tcPr>
                <w:p w14:paraId="6F586AA1">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周界外浓度最高点</w:t>
                  </w:r>
                </w:p>
              </w:tc>
              <w:tc>
                <w:tcPr>
                  <w:tcW w:w="1379" w:type="pct"/>
                  <w:tcBorders>
                    <w:top w:val="single" w:color="auto" w:sz="4" w:space="0"/>
                    <w:left w:val="single" w:color="auto" w:sz="4" w:space="0"/>
                    <w:bottom w:val="single" w:color="auto" w:sz="4" w:space="0"/>
                    <w:right w:val="single" w:color="auto" w:sz="4" w:space="0"/>
                  </w:tcBorders>
                  <w:vAlign w:val="center"/>
                </w:tcPr>
                <w:p w14:paraId="2DFF9C79">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1.0</w:t>
                  </w:r>
                </w:p>
              </w:tc>
            </w:tr>
            <w:tr w14:paraId="0834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3" w:type="pct"/>
                  <w:tcBorders>
                    <w:top w:val="single" w:color="auto" w:sz="4" w:space="0"/>
                    <w:left w:val="single" w:color="auto" w:sz="4" w:space="0"/>
                    <w:bottom w:val="single" w:color="auto" w:sz="4" w:space="0"/>
                    <w:right w:val="single" w:color="auto" w:sz="4" w:space="0"/>
                  </w:tcBorders>
                  <w:vAlign w:val="center"/>
                </w:tcPr>
                <w:p w14:paraId="44E2A1EC">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2</w:t>
                  </w:r>
                </w:p>
              </w:tc>
              <w:tc>
                <w:tcPr>
                  <w:tcW w:w="1234" w:type="pct"/>
                  <w:tcBorders>
                    <w:top w:val="single" w:color="auto" w:sz="4" w:space="0"/>
                    <w:left w:val="single" w:color="auto" w:sz="4" w:space="0"/>
                    <w:bottom w:val="single" w:color="auto" w:sz="4" w:space="0"/>
                    <w:right w:val="single" w:color="auto" w:sz="4" w:space="0"/>
                  </w:tcBorders>
                  <w:vAlign w:val="center"/>
                </w:tcPr>
                <w:p w14:paraId="456AB03A">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二氧化硫</w:t>
                  </w:r>
                </w:p>
              </w:tc>
              <w:tc>
                <w:tcPr>
                  <w:tcW w:w="1752" w:type="pct"/>
                  <w:tcBorders>
                    <w:top w:val="single" w:color="auto" w:sz="4" w:space="0"/>
                    <w:left w:val="single" w:color="auto" w:sz="4" w:space="0"/>
                    <w:bottom w:val="single" w:color="auto" w:sz="4" w:space="0"/>
                    <w:right w:val="single" w:color="auto" w:sz="4" w:space="0"/>
                  </w:tcBorders>
                  <w:vAlign w:val="center"/>
                </w:tcPr>
                <w:p w14:paraId="28F78494">
                  <w:pPr>
                    <w:keepNext w:val="0"/>
                    <w:keepLines w:val="0"/>
                    <w:suppressLineNumbers w:val="0"/>
                    <w:adjustRightInd w:val="0"/>
                    <w:snapToGrid w:val="0"/>
                    <w:spacing w:before="0" w:beforeAutospacing="0" w:after="0" w:afterAutospacing="0"/>
                    <w:ind w:left="0" w:right="0"/>
                    <w:jc w:val="center"/>
                    <w:rPr>
                      <w:rFonts w:hint="eastAsia"/>
                      <w:color w:val="auto"/>
                      <w:kern w:val="24"/>
                    </w:rPr>
                  </w:pPr>
                  <w:r>
                    <w:rPr>
                      <w:rFonts w:hint="eastAsia"/>
                      <w:color w:val="auto"/>
                      <w:kern w:val="24"/>
                      <w:lang w:val="fr-FR"/>
                    </w:rPr>
                    <w:t>周界外浓度最高点</w:t>
                  </w:r>
                </w:p>
              </w:tc>
              <w:tc>
                <w:tcPr>
                  <w:tcW w:w="1379" w:type="pct"/>
                  <w:tcBorders>
                    <w:top w:val="single" w:color="auto" w:sz="4" w:space="0"/>
                    <w:left w:val="single" w:color="auto" w:sz="4" w:space="0"/>
                    <w:bottom w:val="single" w:color="auto" w:sz="4" w:space="0"/>
                    <w:right w:val="single" w:color="auto" w:sz="4" w:space="0"/>
                  </w:tcBorders>
                  <w:vAlign w:val="center"/>
                </w:tcPr>
                <w:p w14:paraId="3AA5DDA2">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0.40</w:t>
                  </w:r>
                </w:p>
              </w:tc>
            </w:tr>
            <w:tr w14:paraId="2D91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3" w:type="pct"/>
                  <w:tcBorders>
                    <w:top w:val="single" w:color="auto" w:sz="4" w:space="0"/>
                    <w:left w:val="single" w:color="auto" w:sz="4" w:space="0"/>
                    <w:bottom w:val="single" w:color="auto" w:sz="4" w:space="0"/>
                    <w:right w:val="single" w:color="auto" w:sz="4" w:space="0"/>
                  </w:tcBorders>
                  <w:vAlign w:val="center"/>
                </w:tcPr>
                <w:p w14:paraId="5E88144E">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3</w:t>
                  </w:r>
                </w:p>
              </w:tc>
              <w:tc>
                <w:tcPr>
                  <w:tcW w:w="1234" w:type="pct"/>
                  <w:tcBorders>
                    <w:top w:val="single" w:color="auto" w:sz="4" w:space="0"/>
                    <w:left w:val="single" w:color="auto" w:sz="4" w:space="0"/>
                    <w:bottom w:val="single" w:color="auto" w:sz="4" w:space="0"/>
                    <w:right w:val="single" w:color="auto" w:sz="4" w:space="0"/>
                  </w:tcBorders>
                  <w:vAlign w:val="center"/>
                </w:tcPr>
                <w:p w14:paraId="257FEC86">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氮氧化物</w:t>
                  </w:r>
                </w:p>
              </w:tc>
              <w:tc>
                <w:tcPr>
                  <w:tcW w:w="1752" w:type="pct"/>
                  <w:tcBorders>
                    <w:top w:val="single" w:color="auto" w:sz="4" w:space="0"/>
                    <w:left w:val="single" w:color="auto" w:sz="4" w:space="0"/>
                    <w:bottom w:val="single" w:color="auto" w:sz="4" w:space="0"/>
                    <w:right w:val="single" w:color="auto" w:sz="4" w:space="0"/>
                  </w:tcBorders>
                  <w:vAlign w:val="center"/>
                </w:tcPr>
                <w:p w14:paraId="37A191A5">
                  <w:pPr>
                    <w:keepNext w:val="0"/>
                    <w:keepLines w:val="0"/>
                    <w:suppressLineNumbers w:val="0"/>
                    <w:adjustRightInd w:val="0"/>
                    <w:snapToGrid w:val="0"/>
                    <w:spacing w:before="0" w:beforeAutospacing="0" w:after="0" w:afterAutospacing="0"/>
                    <w:ind w:left="0" w:right="0"/>
                    <w:jc w:val="center"/>
                    <w:rPr>
                      <w:rFonts w:hint="eastAsia"/>
                      <w:color w:val="auto"/>
                      <w:kern w:val="24"/>
                    </w:rPr>
                  </w:pPr>
                  <w:r>
                    <w:rPr>
                      <w:rFonts w:hint="eastAsia"/>
                      <w:color w:val="auto"/>
                      <w:kern w:val="24"/>
                      <w:lang w:val="fr-FR"/>
                    </w:rPr>
                    <w:t>周界外浓度最高点</w:t>
                  </w:r>
                </w:p>
              </w:tc>
              <w:tc>
                <w:tcPr>
                  <w:tcW w:w="1379" w:type="pct"/>
                  <w:tcBorders>
                    <w:top w:val="single" w:color="auto" w:sz="4" w:space="0"/>
                    <w:left w:val="single" w:color="auto" w:sz="4" w:space="0"/>
                    <w:bottom w:val="single" w:color="auto" w:sz="4" w:space="0"/>
                    <w:right w:val="single" w:color="auto" w:sz="4" w:space="0"/>
                  </w:tcBorders>
                  <w:vAlign w:val="center"/>
                </w:tcPr>
                <w:p w14:paraId="4C5D2CED">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0.12</w:t>
                  </w:r>
                </w:p>
              </w:tc>
            </w:tr>
            <w:tr w14:paraId="04FD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3" w:type="pct"/>
                  <w:tcBorders>
                    <w:top w:val="single" w:color="auto" w:sz="4" w:space="0"/>
                    <w:left w:val="single" w:color="auto" w:sz="4" w:space="0"/>
                    <w:bottom w:val="single" w:color="auto" w:sz="4" w:space="0"/>
                    <w:right w:val="single" w:color="auto" w:sz="4" w:space="0"/>
                  </w:tcBorders>
                  <w:vAlign w:val="center"/>
                </w:tcPr>
                <w:p w14:paraId="3A3474E1">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4</w:t>
                  </w:r>
                </w:p>
              </w:tc>
              <w:tc>
                <w:tcPr>
                  <w:tcW w:w="1234" w:type="pct"/>
                  <w:tcBorders>
                    <w:top w:val="single" w:color="auto" w:sz="4" w:space="0"/>
                    <w:left w:val="single" w:color="auto" w:sz="4" w:space="0"/>
                    <w:bottom w:val="single" w:color="auto" w:sz="4" w:space="0"/>
                    <w:right w:val="single" w:color="auto" w:sz="4" w:space="0"/>
                  </w:tcBorders>
                  <w:vAlign w:val="center"/>
                </w:tcPr>
                <w:p w14:paraId="0974B9C7">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非甲烷总烃</w:t>
                  </w:r>
                </w:p>
              </w:tc>
              <w:tc>
                <w:tcPr>
                  <w:tcW w:w="1752" w:type="pct"/>
                  <w:tcBorders>
                    <w:top w:val="single" w:color="auto" w:sz="4" w:space="0"/>
                    <w:left w:val="single" w:color="auto" w:sz="4" w:space="0"/>
                    <w:bottom w:val="single" w:color="auto" w:sz="4" w:space="0"/>
                    <w:right w:val="single" w:color="auto" w:sz="4" w:space="0"/>
                  </w:tcBorders>
                  <w:vAlign w:val="center"/>
                </w:tcPr>
                <w:p w14:paraId="5E07B932">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周界外浓度最高点</w:t>
                  </w:r>
                </w:p>
              </w:tc>
              <w:tc>
                <w:tcPr>
                  <w:tcW w:w="1379" w:type="pct"/>
                  <w:tcBorders>
                    <w:top w:val="single" w:color="auto" w:sz="4" w:space="0"/>
                    <w:left w:val="single" w:color="auto" w:sz="4" w:space="0"/>
                    <w:bottom w:val="single" w:color="auto" w:sz="4" w:space="0"/>
                    <w:right w:val="single" w:color="auto" w:sz="4" w:space="0"/>
                  </w:tcBorders>
                  <w:vAlign w:val="center"/>
                </w:tcPr>
                <w:p w14:paraId="69588BF4">
                  <w:pPr>
                    <w:keepNext w:val="0"/>
                    <w:keepLines w:val="0"/>
                    <w:suppressLineNumbers w:val="0"/>
                    <w:adjustRightInd w:val="0"/>
                    <w:snapToGrid w:val="0"/>
                    <w:spacing w:before="0" w:beforeAutospacing="0" w:after="0" w:afterAutospacing="0"/>
                    <w:ind w:left="0" w:right="0"/>
                    <w:jc w:val="center"/>
                    <w:rPr>
                      <w:rFonts w:hint="eastAsia"/>
                      <w:color w:val="auto"/>
                      <w:kern w:val="24"/>
                      <w:lang w:val="fr-FR"/>
                    </w:rPr>
                  </w:pPr>
                  <w:r>
                    <w:rPr>
                      <w:rFonts w:hint="eastAsia"/>
                      <w:color w:val="auto"/>
                      <w:kern w:val="24"/>
                      <w:lang w:val="fr-FR"/>
                    </w:rPr>
                    <w:t>4</w:t>
                  </w:r>
                </w:p>
              </w:tc>
            </w:tr>
          </w:tbl>
          <w:p w14:paraId="1D5A3531">
            <w:pPr>
              <w:keepNext w:val="0"/>
              <w:keepLines w:val="0"/>
              <w:suppressLineNumbers w:val="0"/>
              <w:spacing w:before="0" w:beforeAutospacing="0" w:after="0" w:afterAutospacing="0"/>
              <w:ind w:left="0" w:right="0"/>
              <w:jc w:val="left"/>
              <w:textAlignment w:val="baseline"/>
              <w:rPr>
                <w:rFonts w:hint="eastAsia"/>
                <w:b/>
                <w:bCs/>
                <w:color w:val="C00000"/>
                <w:szCs w:val="21"/>
              </w:rPr>
            </w:pPr>
          </w:p>
          <w:p w14:paraId="28B761C8">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（2）废水</w:t>
            </w:r>
          </w:p>
          <w:p w14:paraId="1E2F0C5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b w:val="0"/>
                <w:bCs w:val="0"/>
                <w:color w:val="auto"/>
                <w:sz w:val="24"/>
                <w:lang w:val="en-US" w:eastAsia="zh-CN"/>
              </w:rPr>
              <w:t>项目施工过程中依托广西盛隆</w:t>
            </w:r>
            <w:r>
              <w:rPr>
                <w:rFonts w:hint="eastAsia"/>
                <w:color w:val="auto"/>
                <w:kern w:val="0"/>
                <w:sz w:val="24"/>
                <w:lang w:val="en-US" w:eastAsia="zh-CN"/>
              </w:rPr>
              <w:t>冶金</w:t>
            </w:r>
            <w:r>
              <w:rPr>
                <w:rFonts w:hint="eastAsia"/>
                <w:b w:val="0"/>
                <w:bCs w:val="0"/>
                <w:color w:val="auto"/>
                <w:sz w:val="24"/>
                <w:lang w:val="en-US" w:eastAsia="zh-CN"/>
              </w:rPr>
              <w:t>有限公司厂区作为施工人员生活区，生活污水依托现有的污水收集设施进行收集</w:t>
            </w:r>
            <w:r>
              <w:rPr>
                <w:rFonts w:hint="eastAsia"/>
                <w:color w:val="auto"/>
                <w:sz w:val="24"/>
              </w:rPr>
              <w:t>。</w:t>
            </w:r>
          </w:p>
          <w:p w14:paraId="469F049A">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（3）噪声</w:t>
            </w:r>
          </w:p>
          <w:p w14:paraId="6803846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本项目施工期施工机械会产生噪声，执行《建筑施工场界环境噪声排放标准》（GB 12523-</w:t>
            </w:r>
            <w:r>
              <w:rPr>
                <w:rFonts w:hint="eastAsia"/>
                <w:color w:val="auto"/>
                <w:sz w:val="24"/>
                <w:lang w:val="en-US" w:eastAsia="zh-CN"/>
              </w:rPr>
              <w:t>2025</w:t>
            </w:r>
            <w:r>
              <w:rPr>
                <w:rFonts w:hint="eastAsia"/>
                <w:color w:val="auto"/>
                <w:sz w:val="24"/>
              </w:rPr>
              <w:t>）。</w:t>
            </w:r>
          </w:p>
          <w:p w14:paraId="65605F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zh-CN" w:eastAsia="zh-CN"/>
              </w:rPr>
              <w:t>表3</w:t>
            </w:r>
            <w:r>
              <w:rPr>
                <w:rFonts w:hint="eastAsia" w:ascii="Times New Roman" w:hAnsi="Times New Roman" w:cs="Times New Roman"/>
                <w:b/>
                <w:bCs/>
                <w:color w:val="auto"/>
                <w:kern w:val="0"/>
                <w:sz w:val="21"/>
                <w:szCs w:val="21"/>
                <w:lang w:val="en-US" w:eastAsia="zh-CN"/>
              </w:rPr>
              <w:t>.1</w:t>
            </w:r>
            <w:r>
              <w:rPr>
                <w:rFonts w:hint="eastAsia" w:cs="Times New Roman"/>
                <w:b/>
                <w:bCs/>
                <w:color w:val="auto"/>
                <w:kern w:val="0"/>
                <w:sz w:val="21"/>
                <w:szCs w:val="21"/>
                <w:lang w:val="en-US" w:eastAsia="zh-CN"/>
              </w:rPr>
              <w:t>3</w:t>
            </w:r>
            <w:r>
              <w:rPr>
                <w:rFonts w:hint="eastAsia" w:ascii="Times New Roman" w:hAnsi="Times New Roman" w:cs="Times New Roman"/>
                <w:b/>
                <w:bCs/>
                <w:color w:val="auto"/>
                <w:kern w:val="0"/>
                <w:sz w:val="21"/>
                <w:szCs w:val="21"/>
                <w:lang w:val="zh-CN" w:eastAsia="zh-CN"/>
              </w:rPr>
              <w:t>-</w:t>
            </w:r>
            <w:r>
              <w:rPr>
                <w:rFonts w:hint="eastAsia" w:ascii="Times New Roman" w:hAnsi="Times New Roman" w:cs="Times New Roman"/>
                <w:b/>
                <w:bCs/>
                <w:color w:val="auto"/>
                <w:kern w:val="0"/>
                <w:sz w:val="21"/>
                <w:szCs w:val="21"/>
                <w:lang w:val="en-US" w:eastAsia="zh-CN"/>
              </w:rPr>
              <w:t xml:space="preserve">8   </w:t>
            </w:r>
            <w:r>
              <w:rPr>
                <w:rFonts w:hint="eastAsia" w:ascii="Times New Roman" w:hAnsi="Times New Roman" w:cs="Times New Roman"/>
                <w:b/>
                <w:bCs/>
                <w:color w:val="auto"/>
                <w:kern w:val="0"/>
                <w:sz w:val="21"/>
                <w:szCs w:val="21"/>
                <w:lang w:val="zh-CN" w:eastAsia="zh-CN"/>
              </w:rPr>
              <w:t>噪声排放标准限值   单位：dB（A）</w:t>
            </w:r>
          </w:p>
          <w:tbl>
            <w:tblPr>
              <w:tblStyle w:val="28"/>
              <w:tblW w:w="43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91"/>
              <w:gridCol w:w="1532"/>
              <w:gridCol w:w="1800"/>
            </w:tblGrid>
            <w:tr w14:paraId="39BECB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4" w:type="pct"/>
                  <w:vAlign w:val="center"/>
                </w:tcPr>
                <w:p w14:paraId="3D2A6FD4">
                  <w:pPr>
                    <w:keepNext w:val="0"/>
                    <w:keepLines w:val="0"/>
                    <w:suppressLineNumbers w:val="0"/>
                    <w:spacing w:before="0" w:beforeAutospacing="0" w:after="0" w:afterAutospacing="0"/>
                    <w:ind w:left="0" w:right="0"/>
                    <w:jc w:val="center"/>
                    <w:rPr>
                      <w:rFonts w:hint="eastAsia"/>
                      <w:b/>
                      <w:color w:val="auto"/>
                      <w:szCs w:val="21"/>
                    </w:rPr>
                  </w:pPr>
                  <w:r>
                    <w:rPr>
                      <w:rFonts w:hint="eastAsia"/>
                      <w:b/>
                      <w:color w:val="auto"/>
                      <w:szCs w:val="21"/>
                    </w:rPr>
                    <w:t>标准名称</w:t>
                  </w:r>
                </w:p>
              </w:tc>
              <w:tc>
                <w:tcPr>
                  <w:tcW w:w="1004" w:type="pct"/>
                  <w:vAlign w:val="center"/>
                </w:tcPr>
                <w:p w14:paraId="2010DB27">
                  <w:pPr>
                    <w:keepNext w:val="0"/>
                    <w:keepLines w:val="0"/>
                    <w:suppressLineNumbers w:val="0"/>
                    <w:spacing w:before="0" w:beforeAutospacing="0" w:after="0" w:afterAutospacing="0"/>
                    <w:ind w:left="0" w:right="0"/>
                    <w:jc w:val="center"/>
                    <w:rPr>
                      <w:rFonts w:hint="eastAsia"/>
                      <w:b/>
                      <w:color w:val="auto"/>
                      <w:szCs w:val="21"/>
                    </w:rPr>
                  </w:pPr>
                  <w:r>
                    <w:rPr>
                      <w:rFonts w:hint="eastAsia"/>
                      <w:b/>
                      <w:color w:val="auto"/>
                      <w:szCs w:val="21"/>
                    </w:rPr>
                    <w:t>昼间</w:t>
                  </w:r>
                </w:p>
              </w:tc>
              <w:tc>
                <w:tcPr>
                  <w:tcW w:w="1180" w:type="pct"/>
                  <w:vAlign w:val="center"/>
                </w:tcPr>
                <w:p w14:paraId="41B4376B">
                  <w:pPr>
                    <w:keepNext w:val="0"/>
                    <w:keepLines w:val="0"/>
                    <w:suppressLineNumbers w:val="0"/>
                    <w:spacing w:before="0" w:beforeAutospacing="0" w:after="0" w:afterAutospacing="0"/>
                    <w:ind w:left="0" w:right="0"/>
                    <w:jc w:val="center"/>
                    <w:rPr>
                      <w:rFonts w:hint="eastAsia"/>
                      <w:b/>
                      <w:color w:val="auto"/>
                      <w:szCs w:val="21"/>
                    </w:rPr>
                  </w:pPr>
                  <w:r>
                    <w:rPr>
                      <w:rFonts w:hint="eastAsia"/>
                      <w:b/>
                      <w:color w:val="auto"/>
                      <w:szCs w:val="21"/>
                    </w:rPr>
                    <w:t>夜间</w:t>
                  </w:r>
                </w:p>
              </w:tc>
            </w:tr>
            <w:tr w14:paraId="0F3427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4" w:type="pct"/>
                  <w:vAlign w:val="center"/>
                </w:tcPr>
                <w:p w14:paraId="67A31F70">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建筑施工场界环境噪声排放标准</w:t>
                  </w:r>
                </w:p>
              </w:tc>
              <w:tc>
                <w:tcPr>
                  <w:tcW w:w="1004" w:type="pct"/>
                  <w:vAlign w:val="center"/>
                </w:tcPr>
                <w:p w14:paraId="77F9F6AF">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70</w:t>
                  </w:r>
                </w:p>
              </w:tc>
              <w:tc>
                <w:tcPr>
                  <w:tcW w:w="1180" w:type="pct"/>
                  <w:vAlign w:val="center"/>
                </w:tcPr>
                <w:p w14:paraId="4B798019">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55</w:t>
                  </w:r>
                </w:p>
              </w:tc>
            </w:tr>
          </w:tbl>
          <w:p w14:paraId="1F309CC8">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（4）固体废物</w:t>
            </w:r>
          </w:p>
          <w:p w14:paraId="26FB563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C00000"/>
                <w:sz w:val="24"/>
              </w:rPr>
            </w:pPr>
            <w:r>
              <w:rPr>
                <w:rFonts w:hint="eastAsia"/>
                <w:color w:val="auto"/>
                <w:sz w:val="24"/>
              </w:rPr>
              <w:t>项目产生的建筑垃圾、一般固体废物参照《中华人民共和国固体废物污染环境防治法》(2020年修订)、《一般工业固体废物贮存和填埋污染控制标准》(GB18599-2020)执行。生活垃圾参照《城市生活垃圾管理办法》（建设部令157号）的相关规定进行处理。</w:t>
            </w:r>
          </w:p>
        </w:tc>
      </w:tr>
      <w:tr w14:paraId="4F400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41" w:type="dxa"/>
            <w:vAlign w:val="center"/>
          </w:tcPr>
          <w:p w14:paraId="3975186A">
            <w:pPr>
              <w:keepNext w:val="0"/>
              <w:keepLines w:val="0"/>
              <w:suppressLineNumbers w:val="0"/>
              <w:adjustRightInd w:val="0"/>
              <w:snapToGrid w:val="0"/>
              <w:spacing w:before="0" w:beforeAutospacing="0" w:after="0" w:afterAutospacing="0"/>
              <w:ind w:left="0" w:right="0"/>
              <w:jc w:val="center"/>
              <w:rPr>
                <w:rFonts w:hint="eastAsia"/>
                <w:color w:val="auto"/>
                <w:kern w:val="0"/>
                <w:szCs w:val="21"/>
              </w:rPr>
            </w:pPr>
            <w:r>
              <w:rPr>
                <w:rFonts w:hint="eastAsia"/>
                <w:color w:val="auto"/>
                <w:kern w:val="0"/>
                <w:szCs w:val="21"/>
              </w:rPr>
              <w:t>其他</w:t>
            </w:r>
          </w:p>
        </w:tc>
        <w:tc>
          <w:tcPr>
            <w:tcW w:w="8890" w:type="dxa"/>
            <w:vAlign w:val="center"/>
          </w:tcPr>
          <w:p w14:paraId="25B6A9B2">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bookmarkStart w:id="44" w:name="_Toc11785"/>
            <w:bookmarkStart w:id="45" w:name="_Toc19975"/>
            <w:r>
              <w:rPr>
                <w:rFonts w:hint="eastAsia"/>
                <w:b/>
                <w:color w:val="auto"/>
                <w:sz w:val="24"/>
                <w:lang w:val="en-US" w:eastAsia="zh-CN"/>
              </w:rPr>
              <w:t>3.14</w:t>
            </w:r>
            <w:r>
              <w:rPr>
                <w:rFonts w:hint="eastAsia"/>
                <w:b/>
                <w:color w:val="auto"/>
                <w:sz w:val="24"/>
              </w:rPr>
              <w:t>环境影响要素识别和评价因子筛选</w:t>
            </w:r>
            <w:bookmarkEnd w:id="44"/>
            <w:bookmarkEnd w:id="45"/>
          </w:p>
          <w:p w14:paraId="4D26083F">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lang w:val="en-US" w:eastAsia="zh-CN"/>
              </w:rPr>
              <w:t>3.14.1</w:t>
            </w:r>
            <w:r>
              <w:rPr>
                <w:rFonts w:hint="eastAsia"/>
                <w:b/>
                <w:color w:val="auto"/>
                <w:sz w:val="24"/>
              </w:rPr>
              <w:t>目的</w:t>
            </w:r>
          </w:p>
          <w:p w14:paraId="541A5EF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根据拟建工程的</w:t>
            </w:r>
            <w:r>
              <w:rPr>
                <w:rFonts w:hint="eastAsia"/>
                <w:color w:val="auto"/>
                <w:sz w:val="24"/>
                <w:lang w:val="en-US" w:eastAsia="zh-CN"/>
              </w:rPr>
              <w:t>特点</w:t>
            </w:r>
            <w:r>
              <w:rPr>
                <w:rFonts w:hint="eastAsia"/>
                <w:color w:val="auto"/>
                <w:sz w:val="24"/>
              </w:rPr>
              <w:t>，结合项目所在区域的社会经济和生态环境</w:t>
            </w:r>
            <w:r>
              <w:rPr>
                <w:rFonts w:hint="eastAsia"/>
                <w:color w:val="auto"/>
                <w:sz w:val="24"/>
                <w:lang w:val="en-US" w:eastAsia="zh-CN"/>
              </w:rPr>
              <w:t>情况</w:t>
            </w:r>
            <w:r>
              <w:rPr>
                <w:rFonts w:hint="eastAsia"/>
                <w:color w:val="auto"/>
                <w:sz w:val="24"/>
              </w:rPr>
              <w:t>，判别项目在不同阶段，对环境产生影响的程度和范围，分析产生环境影响的因素，在此基础上进行分类和筛选，确定主要的环境影响因素和拟选取的评价因子。</w:t>
            </w:r>
          </w:p>
          <w:p w14:paraId="346F322C">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lang w:val="en-US" w:eastAsia="zh-CN"/>
              </w:rPr>
              <w:t>3.14.2</w:t>
            </w:r>
            <w:r>
              <w:rPr>
                <w:rFonts w:hint="eastAsia"/>
                <w:b/>
                <w:color w:val="auto"/>
                <w:sz w:val="24"/>
              </w:rPr>
              <w:t>环境影响要素识别</w:t>
            </w:r>
            <w:r>
              <w:rPr>
                <w:rFonts w:hint="eastAsia"/>
                <w:b/>
                <w:color w:val="auto"/>
                <w:sz w:val="24"/>
                <w:lang w:val="en-US" w:eastAsia="zh-CN"/>
              </w:rPr>
              <w:t>和筛选</w:t>
            </w:r>
          </w:p>
          <w:p w14:paraId="74212C0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lang w:val="en-US" w:eastAsia="zh-CN"/>
              </w:rPr>
            </w:pPr>
            <w:r>
              <w:rPr>
                <w:rFonts w:hint="eastAsia"/>
                <w:color w:val="auto"/>
                <w:sz w:val="24"/>
              </w:rPr>
              <w:t>根据</w:t>
            </w:r>
            <w:r>
              <w:rPr>
                <w:rFonts w:hint="eastAsia"/>
                <w:color w:val="auto"/>
                <w:sz w:val="24"/>
                <w:lang w:val="en-US" w:eastAsia="zh-CN"/>
              </w:rPr>
              <w:t>本项目工程特征，结合项目周边的环境保护目标和自然环境特征，对本项目环境影响要素识别和评价因子筛选如表3.14-1所示。</w:t>
            </w:r>
          </w:p>
          <w:p w14:paraId="2034FD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表3.1</w:t>
            </w:r>
            <w:r>
              <w:rPr>
                <w:rFonts w:hint="eastAsia" w:cs="Times New Roman"/>
                <w:b/>
                <w:bCs/>
                <w:color w:val="auto"/>
                <w:kern w:val="0"/>
                <w:sz w:val="21"/>
                <w:szCs w:val="21"/>
                <w:lang w:val="en-US" w:eastAsia="zh-CN"/>
              </w:rPr>
              <w:t>4</w:t>
            </w:r>
            <w:r>
              <w:rPr>
                <w:rFonts w:hint="eastAsia" w:ascii="Times New Roman" w:hAnsi="Times New Roman" w:cs="Times New Roman"/>
                <w:b/>
                <w:bCs/>
                <w:color w:val="auto"/>
                <w:kern w:val="0"/>
                <w:sz w:val="21"/>
                <w:szCs w:val="21"/>
                <w:lang w:val="en-US" w:eastAsia="zh-CN"/>
              </w:rPr>
              <w:t>-1 环境影响要素和评价因子识别及筛选表</w:t>
            </w:r>
          </w:p>
          <w:tbl>
            <w:tblPr>
              <w:tblStyle w:val="2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027"/>
              <w:gridCol w:w="1866"/>
              <w:gridCol w:w="2326"/>
              <w:gridCol w:w="1732"/>
            </w:tblGrid>
            <w:tr w14:paraId="5FFD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7" w:type="pct"/>
                  <w:noWrap w:val="0"/>
                  <w:vAlign w:val="center"/>
                </w:tcPr>
                <w:p w14:paraId="525193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环境要素</w:t>
                  </w:r>
                </w:p>
              </w:tc>
              <w:tc>
                <w:tcPr>
                  <w:tcW w:w="1170" w:type="pct"/>
                  <w:noWrap w:val="0"/>
                  <w:vAlign w:val="center"/>
                </w:tcPr>
                <w:p w14:paraId="435CF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
                      <w:bCs/>
                      <w:color w:val="auto"/>
                      <w:sz w:val="21"/>
                      <w:szCs w:val="21"/>
                      <w:u w:val="single"/>
                      <w:vertAlign w:val="baseline"/>
                      <w:lang w:val="en-US" w:eastAsia="zh-CN"/>
                    </w:rPr>
                  </w:pPr>
                  <w:r>
                    <w:rPr>
                      <w:rFonts w:hint="eastAsia"/>
                      <w:b/>
                      <w:bCs/>
                      <w:color w:val="auto"/>
                      <w:sz w:val="21"/>
                      <w:szCs w:val="21"/>
                      <w:u w:val="single"/>
                      <w:vertAlign w:val="baseline"/>
                      <w:lang w:val="en-US" w:eastAsia="zh-CN"/>
                    </w:rPr>
                    <w:t>受影响对象</w:t>
                  </w:r>
                </w:p>
              </w:tc>
              <w:tc>
                <w:tcPr>
                  <w:tcW w:w="1077" w:type="pct"/>
                  <w:noWrap w:val="0"/>
                  <w:vAlign w:val="center"/>
                </w:tcPr>
                <w:p w14:paraId="4363A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21"/>
                      <w:szCs w:val="21"/>
                      <w:u w:val="single"/>
                      <w:vertAlign w:val="baseline"/>
                      <w:lang w:val="en-US" w:eastAsia="zh-CN"/>
                    </w:rPr>
                  </w:pPr>
                  <w:r>
                    <w:rPr>
                      <w:rFonts w:hint="eastAsia"/>
                      <w:b/>
                      <w:bCs/>
                      <w:color w:val="auto"/>
                      <w:sz w:val="21"/>
                      <w:szCs w:val="21"/>
                      <w:u w:val="single"/>
                      <w:vertAlign w:val="baseline"/>
                      <w:lang w:val="en-US" w:eastAsia="zh-CN"/>
                    </w:rPr>
                    <w:t>评价因子</w:t>
                  </w:r>
                </w:p>
              </w:tc>
              <w:tc>
                <w:tcPr>
                  <w:tcW w:w="1343" w:type="pct"/>
                  <w:noWrap w:val="0"/>
                  <w:vAlign w:val="center"/>
                </w:tcPr>
                <w:p w14:paraId="6AD176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
                      <w:bCs/>
                      <w:color w:val="auto"/>
                      <w:sz w:val="21"/>
                      <w:szCs w:val="21"/>
                      <w:u w:val="single"/>
                      <w:vertAlign w:val="baseline"/>
                      <w:lang w:val="en-US" w:eastAsia="zh-CN"/>
                    </w:rPr>
                  </w:pPr>
                  <w:r>
                    <w:rPr>
                      <w:rFonts w:hint="eastAsia"/>
                      <w:b/>
                      <w:bCs/>
                      <w:color w:val="auto"/>
                      <w:sz w:val="21"/>
                      <w:szCs w:val="21"/>
                      <w:u w:val="single"/>
                      <w:vertAlign w:val="baseline"/>
                      <w:lang w:val="en-US" w:eastAsia="zh-CN"/>
                    </w:rPr>
                    <w:t>工程内容及影响方式</w:t>
                  </w:r>
                </w:p>
              </w:tc>
              <w:tc>
                <w:tcPr>
                  <w:tcW w:w="1000" w:type="pct"/>
                  <w:noWrap w:val="0"/>
                  <w:vAlign w:val="center"/>
                </w:tcPr>
                <w:p w14:paraId="1D5CFA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
                      <w:bCs/>
                      <w:color w:val="auto"/>
                      <w:sz w:val="21"/>
                      <w:szCs w:val="21"/>
                      <w:u w:val="single"/>
                      <w:vertAlign w:val="baseline"/>
                      <w:lang w:val="en-US" w:eastAsia="zh-CN"/>
                    </w:rPr>
                  </w:pPr>
                  <w:r>
                    <w:rPr>
                      <w:rFonts w:hint="eastAsia"/>
                      <w:b/>
                      <w:bCs/>
                      <w:color w:val="auto"/>
                      <w:sz w:val="21"/>
                      <w:szCs w:val="21"/>
                      <w:u w:val="single"/>
                      <w:vertAlign w:val="baseline"/>
                      <w:lang w:val="en-US" w:eastAsia="zh-CN"/>
                    </w:rPr>
                    <w:t>影响性质及影响时段</w:t>
                  </w:r>
                </w:p>
              </w:tc>
            </w:tr>
            <w:tr w14:paraId="571E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Merge w:val="restart"/>
                  <w:noWrap w:val="0"/>
                  <w:vAlign w:val="center"/>
                </w:tcPr>
                <w:p w14:paraId="49A7FB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u w:val="single"/>
                      <w:vertAlign w:val="baseline"/>
                      <w:lang w:val="en-US" w:eastAsia="zh-CN"/>
                    </w:rPr>
                  </w:pPr>
                  <w:r>
                    <w:rPr>
                      <w:rFonts w:hint="eastAsia"/>
                      <w:color w:val="auto"/>
                      <w:sz w:val="21"/>
                      <w:szCs w:val="21"/>
                      <w:u w:val="single"/>
                      <w:vertAlign w:val="baseline"/>
                      <w:lang w:val="en-US" w:eastAsia="zh-CN"/>
                    </w:rPr>
                    <w:t>海洋生态环境</w:t>
                  </w:r>
                </w:p>
              </w:tc>
              <w:tc>
                <w:tcPr>
                  <w:tcW w:w="1170" w:type="pct"/>
                  <w:noWrap w:val="0"/>
                  <w:vAlign w:val="center"/>
                </w:tcPr>
                <w:p w14:paraId="3C2B38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rPr>
                  </w:pPr>
                  <w:r>
                    <w:rPr>
                      <w:rFonts w:hint="eastAsia"/>
                      <w:color w:val="auto"/>
                      <w:sz w:val="21"/>
                      <w:szCs w:val="21"/>
                      <w:u w:val="single"/>
                      <w:vertAlign w:val="baseline"/>
                    </w:rPr>
                    <w:t>初级生产力</w:t>
                  </w:r>
                </w:p>
              </w:tc>
              <w:tc>
                <w:tcPr>
                  <w:tcW w:w="1077" w:type="pct"/>
                  <w:noWrap w:val="0"/>
                  <w:vAlign w:val="center"/>
                </w:tcPr>
                <w:p w14:paraId="232664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rPr>
                  </w:pPr>
                  <w:r>
                    <w:rPr>
                      <w:rFonts w:hint="eastAsia"/>
                      <w:color w:val="auto"/>
                      <w:sz w:val="21"/>
                      <w:szCs w:val="21"/>
                      <w:u w:val="single"/>
                      <w:vertAlign w:val="baseline"/>
                    </w:rPr>
                    <w:t>叶绿素a</w:t>
                  </w:r>
                </w:p>
              </w:tc>
              <w:tc>
                <w:tcPr>
                  <w:tcW w:w="1343" w:type="pct"/>
                  <w:vMerge w:val="restart"/>
                  <w:noWrap w:val="0"/>
                  <w:vAlign w:val="center"/>
                </w:tcPr>
                <w:p w14:paraId="39A82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u w:val="single"/>
                      <w:lang w:val="en-US" w:eastAsia="zh-CN"/>
                    </w:rPr>
                  </w:pPr>
                  <w:r>
                    <w:rPr>
                      <w:rFonts w:hint="eastAsia"/>
                      <w:color w:val="auto"/>
                      <w:sz w:val="21"/>
                      <w:szCs w:val="21"/>
                      <w:u w:val="single"/>
                      <w:vertAlign w:val="baseline"/>
                      <w:lang w:val="en-US" w:eastAsia="zh-CN"/>
                    </w:rPr>
                    <w:t>水上施工产生的悬浮物扩散。影响方式为直接影响。</w:t>
                  </w:r>
                </w:p>
              </w:tc>
              <w:tc>
                <w:tcPr>
                  <w:tcW w:w="1000" w:type="pct"/>
                  <w:noWrap w:val="0"/>
                  <w:vAlign w:val="center"/>
                </w:tcPr>
                <w:p w14:paraId="729B49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lang w:val="en-US" w:eastAsia="zh-CN"/>
                    </w:rPr>
                  </w:pPr>
                  <w:r>
                    <w:rPr>
                      <w:rFonts w:hint="eastAsia"/>
                      <w:color w:val="auto"/>
                      <w:sz w:val="21"/>
                      <w:szCs w:val="21"/>
                      <w:u w:val="single"/>
                      <w:vertAlign w:val="baseline"/>
                      <w:lang w:val="en-US" w:eastAsia="zh-CN"/>
                    </w:rPr>
                    <w:t>短期、可逆</w:t>
                  </w:r>
                </w:p>
                <w:p w14:paraId="45FE5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u w:val="single"/>
                      <w:lang w:val="en-US" w:eastAsia="zh-CN"/>
                    </w:rPr>
                  </w:pPr>
                  <w:r>
                    <w:rPr>
                      <w:rFonts w:hint="eastAsia"/>
                      <w:color w:val="auto"/>
                      <w:sz w:val="21"/>
                      <w:szCs w:val="21"/>
                      <w:u w:val="single"/>
                      <w:vertAlign w:val="baseline"/>
                      <w:lang w:val="en-US" w:eastAsia="zh-CN"/>
                    </w:rPr>
                    <w:t>施工期</w:t>
                  </w:r>
                </w:p>
              </w:tc>
            </w:tr>
            <w:tr w14:paraId="0E83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Merge w:val="continue"/>
                  <w:noWrap w:val="0"/>
                  <w:vAlign w:val="center"/>
                </w:tcPr>
                <w:p w14:paraId="2E4ED8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rPr>
                  </w:pPr>
                </w:p>
              </w:tc>
              <w:tc>
                <w:tcPr>
                  <w:tcW w:w="1170" w:type="pct"/>
                  <w:noWrap w:val="0"/>
                  <w:vAlign w:val="center"/>
                </w:tcPr>
                <w:p w14:paraId="3976E1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rPr>
                  </w:pPr>
                  <w:r>
                    <w:rPr>
                      <w:rFonts w:hint="eastAsia"/>
                      <w:color w:val="auto"/>
                      <w:sz w:val="21"/>
                      <w:szCs w:val="21"/>
                      <w:u w:val="single"/>
                      <w:vertAlign w:val="baseline"/>
                    </w:rPr>
                    <w:t>浮游植物、浮游动物、潮间带生物、底栖生物、游泳动物（含鱼卵仔稚鱼）</w:t>
                  </w:r>
                </w:p>
              </w:tc>
              <w:tc>
                <w:tcPr>
                  <w:tcW w:w="1077" w:type="pct"/>
                  <w:noWrap w:val="0"/>
                  <w:vAlign w:val="center"/>
                </w:tcPr>
                <w:p w14:paraId="3209B3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rPr>
                  </w:pPr>
                  <w:r>
                    <w:rPr>
                      <w:rFonts w:hint="eastAsia"/>
                      <w:color w:val="auto"/>
                      <w:sz w:val="21"/>
                      <w:szCs w:val="21"/>
                      <w:u w:val="single"/>
                      <w:vertAlign w:val="baseline"/>
                    </w:rPr>
                    <w:t>种类组成、生物量、密度（丰度）、种群结构、群落特征、分布范围、物种多样性指数等</w:t>
                  </w:r>
                </w:p>
              </w:tc>
              <w:tc>
                <w:tcPr>
                  <w:tcW w:w="1343" w:type="pct"/>
                  <w:vMerge w:val="continue"/>
                  <w:noWrap w:val="0"/>
                  <w:vAlign w:val="center"/>
                </w:tcPr>
                <w:p w14:paraId="60B55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rPr>
                  </w:pPr>
                </w:p>
              </w:tc>
              <w:tc>
                <w:tcPr>
                  <w:tcW w:w="1000" w:type="pct"/>
                  <w:noWrap w:val="0"/>
                  <w:vAlign w:val="center"/>
                </w:tcPr>
                <w:p w14:paraId="079BF6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lang w:val="en-US" w:eastAsia="zh-CN"/>
                    </w:rPr>
                  </w:pPr>
                  <w:r>
                    <w:rPr>
                      <w:rFonts w:hint="eastAsia"/>
                      <w:color w:val="auto"/>
                      <w:sz w:val="21"/>
                      <w:szCs w:val="21"/>
                      <w:u w:val="single"/>
                      <w:vertAlign w:val="baseline"/>
                      <w:lang w:val="en-US" w:eastAsia="zh-CN"/>
                    </w:rPr>
                    <w:t>对底栖生物的影响为施工期短期不可逆影响；</w:t>
                  </w:r>
                </w:p>
                <w:p w14:paraId="1E3D54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rPr>
                  </w:pPr>
                  <w:r>
                    <w:rPr>
                      <w:rFonts w:hint="eastAsia"/>
                      <w:color w:val="auto"/>
                      <w:sz w:val="21"/>
                      <w:szCs w:val="21"/>
                      <w:u w:val="single"/>
                      <w:vertAlign w:val="baseline"/>
                      <w:lang w:val="en-US" w:eastAsia="zh-CN"/>
                    </w:rPr>
                    <w:t>其他生物为施工期短期可逆性影响</w:t>
                  </w:r>
                </w:p>
              </w:tc>
            </w:tr>
            <w:tr w14:paraId="25CB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Merge w:val="continue"/>
                  <w:noWrap w:val="0"/>
                  <w:vAlign w:val="center"/>
                </w:tcPr>
                <w:p w14:paraId="514C96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vertAlign w:val="baseline"/>
                    </w:rPr>
                  </w:pPr>
                </w:p>
              </w:tc>
              <w:tc>
                <w:tcPr>
                  <w:tcW w:w="1170" w:type="pct"/>
                  <w:noWrap w:val="0"/>
                  <w:vAlign w:val="center"/>
                </w:tcPr>
                <w:p w14:paraId="46A64F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rPr>
                  </w:pPr>
                  <w:r>
                    <w:rPr>
                      <w:rFonts w:hint="eastAsia"/>
                      <w:color w:val="auto"/>
                      <w:sz w:val="21"/>
                      <w:szCs w:val="21"/>
                      <w:u w:val="single"/>
                      <w:vertAlign w:val="baseline"/>
                    </w:rPr>
                    <w:t>自然保护地和生态保护红线</w:t>
                  </w:r>
                </w:p>
              </w:tc>
              <w:tc>
                <w:tcPr>
                  <w:tcW w:w="1077" w:type="pct"/>
                  <w:noWrap w:val="0"/>
                  <w:vAlign w:val="center"/>
                </w:tcPr>
                <w:p w14:paraId="45941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rPr>
                  </w:pPr>
                  <w:r>
                    <w:rPr>
                      <w:rFonts w:hint="eastAsia"/>
                      <w:color w:val="auto"/>
                      <w:sz w:val="21"/>
                      <w:szCs w:val="21"/>
                      <w:u w:val="single"/>
                      <w:vertAlign w:val="baseline"/>
                    </w:rPr>
                    <w:t>主要保护对象数量和种群规模、主要生态功能、物种栖息地连通性</w:t>
                  </w:r>
                </w:p>
              </w:tc>
              <w:tc>
                <w:tcPr>
                  <w:tcW w:w="1343" w:type="pct"/>
                  <w:noWrap w:val="0"/>
                  <w:vAlign w:val="center"/>
                </w:tcPr>
                <w:p w14:paraId="260E16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u w:val="single"/>
                      <w:vertAlign w:val="baseline"/>
                      <w:lang w:val="en-US" w:eastAsia="zh-CN"/>
                    </w:rPr>
                  </w:pPr>
                  <w:r>
                    <w:rPr>
                      <w:rFonts w:hint="eastAsia"/>
                      <w:color w:val="auto"/>
                      <w:sz w:val="21"/>
                      <w:szCs w:val="21"/>
                      <w:u w:val="single"/>
                      <w:vertAlign w:val="baseline"/>
                      <w:lang w:val="en-US" w:eastAsia="zh-CN"/>
                    </w:rPr>
                    <w:t>评价范围分布有生态红线区，但不涉及占用。影响方式为间接影响。</w:t>
                  </w:r>
                </w:p>
              </w:tc>
              <w:tc>
                <w:tcPr>
                  <w:tcW w:w="1000" w:type="pct"/>
                  <w:noWrap w:val="0"/>
                  <w:vAlign w:val="center"/>
                </w:tcPr>
                <w:p w14:paraId="636130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lang w:val="en-US" w:eastAsia="zh-CN"/>
                    </w:rPr>
                  </w:pPr>
                  <w:r>
                    <w:rPr>
                      <w:rFonts w:hint="eastAsia"/>
                      <w:color w:val="auto"/>
                      <w:sz w:val="21"/>
                      <w:szCs w:val="21"/>
                      <w:u w:val="single"/>
                      <w:vertAlign w:val="baseline"/>
                      <w:lang w:val="en-US" w:eastAsia="zh-CN"/>
                    </w:rPr>
                    <w:t>短期、可逆</w:t>
                  </w:r>
                </w:p>
                <w:p w14:paraId="108366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rPr>
                  </w:pPr>
                  <w:r>
                    <w:rPr>
                      <w:rFonts w:hint="eastAsia"/>
                      <w:color w:val="auto"/>
                      <w:sz w:val="21"/>
                      <w:szCs w:val="21"/>
                      <w:u w:val="single"/>
                      <w:vertAlign w:val="baseline"/>
                      <w:lang w:val="en-US" w:eastAsia="zh-CN"/>
                    </w:rPr>
                    <w:t>施工期</w:t>
                  </w:r>
                </w:p>
              </w:tc>
            </w:tr>
            <w:tr w14:paraId="0A37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Merge w:val="continue"/>
                  <w:noWrap w:val="0"/>
                  <w:vAlign w:val="center"/>
                </w:tcPr>
                <w:p w14:paraId="531A9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p>
              </w:tc>
              <w:tc>
                <w:tcPr>
                  <w:tcW w:w="1170" w:type="pct"/>
                  <w:noWrap w:val="0"/>
                  <w:vAlign w:val="center"/>
                </w:tcPr>
                <w:p w14:paraId="15C292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vertAlign w:val="baseline"/>
                    </w:rPr>
                  </w:pPr>
                  <w:r>
                    <w:rPr>
                      <w:rFonts w:hint="eastAsia" w:ascii="宋体" w:hAnsi="宋体" w:eastAsia="宋体" w:cs="宋体"/>
                      <w:color w:val="auto"/>
                      <w:sz w:val="21"/>
                      <w:szCs w:val="21"/>
                    </w:rPr>
                    <w:t>自然岸线</w:t>
                  </w:r>
                </w:p>
              </w:tc>
              <w:tc>
                <w:tcPr>
                  <w:tcW w:w="1077" w:type="pct"/>
                  <w:noWrap w:val="0"/>
                  <w:vAlign w:val="center"/>
                </w:tcPr>
                <w:p w14:paraId="656AA0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vertAlign w:val="baseline"/>
                    </w:rPr>
                  </w:pPr>
                  <w:r>
                    <w:rPr>
                      <w:rFonts w:hint="eastAsia"/>
                      <w:color w:val="auto"/>
                      <w:sz w:val="21"/>
                      <w:szCs w:val="21"/>
                      <w:vertAlign w:val="baseline"/>
                    </w:rPr>
                    <w:t>长度、宽度、类型和功能</w:t>
                  </w:r>
                </w:p>
              </w:tc>
              <w:tc>
                <w:tcPr>
                  <w:tcW w:w="1343" w:type="pct"/>
                  <w:noWrap w:val="0"/>
                  <w:vAlign w:val="center"/>
                </w:tcPr>
                <w:p w14:paraId="25AF8A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项目工程区域不涉及自然岸线，对自然岸线不扰动。</w:t>
                  </w:r>
                </w:p>
              </w:tc>
              <w:tc>
                <w:tcPr>
                  <w:tcW w:w="1000" w:type="pct"/>
                  <w:noWrap w:val="0"/>
                  <w:vAlign w:val="center"/>
                </w:tcPr>
                <w:p w14:paraId="3A07AF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vertAlign w:val="baseline"/>
                    </w:rPr>
                  </w:pPr>
                  <w:r>
                    <w:rPr>
                      <w:rFonts w:hint="eastAsia"/>
                      <w:color w:val="auto"/>
                      <w:sz w:val="21"/>
                      <w:szCs w:val="21"/>
                      <w:vertAlign w:val="baseline"/>
                      <w:lang w:val="en-US" w:eastAsia="zh-CN"/>
                    </w:rPr>
                    <w:t>/</w:t>
                  </w:r>
                </w:p>
              </w:tc>
            </w:tr>
            <w:tr w14:paraId="726D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Merge w:val="restart"/>
                  <w:noWrap w:val="0"/>
                  <w:vAlign w:val="center"/>
                </w:tcPr>
                <w:p w14:paraId="2908F8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地表水环境</w:t>
                  </w:r>
                </w:p>
              </w:tc>
              <w:tc>
                <w:tcPr>
                  <w:tcW w:w="1170" w:type="pct"/>
                  <w:noWrap w:val="0"/>
                  <w:vAlign w:val="center"/>
                </w:tcPr>
                <w:p w14:paraId="7D0B60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水质</w:t>
                  </w:r>
                </w:p>
              </w:tc>
              <w:tc>
                <w:tcPr>
                  <w:tcW w:w="1077" w:type="pct"/>
                  <w:noWrap w:val="0"/>
                  <w:vAlign w:val="center"/>
                </w:tcPr>
                <w:p w14:paraId="6B78E1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悬浮物、COD、BOD</w:t>
                  </w:r>
                  <w:r>
                    <w:rPr>
                      <w:rFonts w:hint="eastAsia" w:ascii="Times New Roman" w:hAnsi="Times New Roman" w:eastAsia="宋体" w:cs="Times New Roman"/>
                      <w:color w:val="auto"/>
                      <w:sz w:val="21"/>
                      <w:szCs w:val="21"/>
                      <w:u w:val="single"/>
                      <w:vertAlign w:val="subscript"/>
                      <w:lang w:val="en-US" w:eastAsia="zh-CN"/>
                    </w:rPr>
                    <w:t>5</w:t>
                  </w:r>
                  <w:r>
                    <w:rPr>
                      <w:rFonts w:hint="eastAsia" w:ascii="Times New Roman" w:hAnsi="Times New Roman" w:eastAsia="宋体" w:cs="Times New Roman"/>
                      <w:color w:val="auto"/>
                      <w:sz w:val="21"/>
                      <w:szCs w:val="21"/>
                      <w:u w:val="single"/>
                      <w:vertAlign w:val="baseline"/>
                      <w:lang w:val="en-US" w:eastAsia="zh-CN"/>
                    </w:rPr>
                    <w:t>、氨氮，石油类</w:t>
                  </w:r>
                </w:p>
              </w:tc>
              <w:tc>
                <w:tcPr>
                  <w:tcW w:w="1343" w:type="pct"/>
                  <w:noWrap w:val="0"/>
                  <w:vAlign w:val="center"/>
                </w:tcPr>
                <w:p w14:paraId="7AB1F2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sz w:val="21"/>
                      <w:szCs w:val="21"/>
                      <w:u w:val="single"/>
                      <w:vertAlign w:val="baseline"/>
                      <w:lang w:val="en-US" w:eastAsia="zh-CN"/>
                    </w:rPr>
                    <w:t>水上施工产生的悬浮物扩散。影响方式为直接影响</w:t>
                  </w:r>
                  <w:r>
                    <w:rPr>
                      <w:rFonts w:hint="eastAsia" w:ascii="Times New Roman" w:hAnsi="Times New Roman" w:eastAsia="宋体" w:cs="Times New Roman"/>
                      <w:color w:val="auto"/>
                      <w:sz w:val="21"/>
                      <w:szCs w:val="21"/>
                      <w:u w:val="single"/>
                      <w:vertAlign w:val="baseline"/>
                      <w:lang w:val="en-US" w:eastAsia="zh-CN"/>
                    </w:rPr>
                    <w:t>。</w:t>
                  </w:r>
                </w:p>
              </w:tc>
              <w:tc>
                <w:tcPr>
                  <w:tcW w:w="1000" w:type="pct"/>
                  <w:noWrap w:val="0"/>
                  <w:vAlign w:val="center"/>
                </w:tcPr>
                <w:p w14:paraId="185F0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短期、可逆</w:t>
                  </w:r>
                </w:p>
                <w:p w14:paraId="2BA840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施工期</w:t>
                  </w:r>
                </w:p>
              </w:tc>
            </w:tr>
            <w:tr w14:paraId="76E5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Merge w:val="continue"/>
                  <w:noWrap w:val="0"/>
                  <w:vAlign w:val="center"/>
                </w:tcPr>
                <w:p w14:paraId="31846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p>
              </w:tc>
              <w:tc>
                <w:tcPr>
                  <w:tcW w:w="1170" w:type="pct"/>
                  <w:noWrap w:val="0"/>
                  <w:vAlign w:val="center"/>
                </w:tcPr>
                <w:p w14:paraId="1FDC76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水文动力条件</w:t>
                  </w:r>
                </w:p>
              </w:tc>
              <w:tc>
                <w:tcPr>
                  <w:tcW w:w="1077" w:type="pct"/>
                  <w:noWrap w:val="0"/>
                  <w:vAlign w:val="center"/>
                </w:tcPr>
                <w:p w14:paraId="0EEEDF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流态、流速</w:t>
                  </w:r>
                </w:p>
              </w:tc>
              <w:tc>
                <w:tcPr>
                  <w:tcW w:w="1343" w:type="pct"/>
                  <w:noWrap w:val="0"/>
                  <w:vAlign w:val="center"/>
                </w:tcPr>
                <w:p w14:paraId="6BD445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cs="Times New Roman"/>
                      <w:color w:val="auto"/>
                      <w:sz w:val="21"/>
                      <w:szCs w:val="21"/>
                      <w:u w:val="single"/>
                      <w:vertAlign w:val="baseline"/>
                      <w:lang w:val="en-US" w:eastAsia="zh-CN"/>
                    </w:rPr>
                    <w:t>项目建设占用海域，用海方式为非透水构筑物，</w:t>
                  </w:r>
                  <w:r>
                    <w:rPr>
                      <w:rFonts w:hint="eastAsia" w:ascii="Times New Roman" w:hAnsi="Times New Roman" w:eastAsia="宋体" w:cs="Times New Roman"/>
                      <w:color w:val="auto"/>
                      <w:sz w:val="21"/>
                      <w:szCs w:val="21"/>
                      <w:u w:val="single"/>
                      <w:vertAlign w:val="baseline"/>
                      <w:lang w:val="en-US" w:eastAsia="zh-CN"/>
                    </w:rPr>
                    <w:t>对水动力的影响；</w:t>
                  </w:r>
                </w:p>
                <w:p w14:paraId="0541C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影响方式为直接影响。</w:t>
                  </w:r>
                </w:p>
              </w:tc>
              <w:tc>
                <w:tcPr>
                  <w:tcW w:w="1000" w:type="pct"/>
                  <w:noWrap w:val="0"/>
                  <w:vAlign w:val="center"/>
                </w:tcPr>
                <w:p w14:paraId="1088FA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长期、不可逆</w:t>
                  </w:r>
                </w:p>
                <w:p w14:paraId="3819C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ascii="Times New Roman" w:hAnsi="Times New Roman" w:eastAsia="宋体" w:cs="Times New Roman"/>
                      <w:color w:val="auto"/>
                      <w:sz w:val="21"/>
                      <w:szCs w:val="21"/>
                      <w:u w:val="single"/>
                      <w:vertAlign w:val="baseline"/>
                      <w:lang w:val="en-US" w:eastAsia="zh-CN"/>
                    </w:rPr>
                    <w:t>生产运行期</w:t>
                  </w:r>
                </w:p>
              </w:tc>
            </w:tr>
            <w:tr w14:paraId="39FA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Merge w:val="continue"/>
                  <w:noWrap w:val="0"/>
                  <w:vAlign w:val="center"/>
                </w:tcPr>
                <w:p w14:paraId="08865F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p>
              </w:tc>
              <w:tc>
                <w:tcPr>
                  <w:tcW w:w="1170" w:type="pct"/>
                  <w:noWrap w:val="0"/>
                  <w:vAlign w:val="center"/>
                </w:tcPr>
                <w:p w14:paraId="4596E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地形地貌和冲淤环境</w:t>
                  </w:r>
                </w:p>
              </w:tc>
              <w:tc>
                <w:tcPr>
                  <w:tcW w:w="1077" w:type="pct"/>
                  <w:noWrap w:val="0"/>
                  <w:vAlign w:val="center"/>
                </w:tcPr>
                <w:p w14:paraId="130C1E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冲刷量和淤积量</w:t>
                  </w:r>
                </w:p>
              </w:tc>
              <w:tc>
                <w:tcPr>
                  <w:tcW w:w="1343" w:type="pct"/>
                  <w:noWrap w:val="0"/>
                  <w:vAlign w:val="center"/>
                </w:tcPr>
                <w:p w14:paraId="710F8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cs="Times New Roman"/>
                      <w:color w:val="auto"/>
                      <w:sz w:val="21"/>
                      <w:szCs w:val="21"/>
                      <w:u w:val="single"/>
                      <w:vertAlign w:val="baseline"/>
                      <w:lang w:val="en-US" w:eastAsia="zh-CN"/>
                    </w:rPr>
                    <w:t>项目建设占用海域，用海方式为非透水构筑物，</w:t>
                  </w:r>
                  <w:r>
                    <w:rPr>
                      <w:rFonts w:hint="eastAsia" w:ascii="Times New Roman" w:hAnsi="Times New Roman" w:eastAsia="宋体" w:cs="Times New Roman"/>
                      <w:color w:val="auto"/>
                      <w:sz w:val="21"/>
                      <w:szCs w:val="21"/>
                      <w:u w:val="single"/>
                      <w:vertAlign w:val="baseline"/>
                      <w:lang w:val="en-US" w:eastAsia="zh-CN"/>
                    </w:rPr>
                    <w:t>对冲淤</w:t>
                  </w:r>
                  <w:r>
                    <w:rPr>
                      <w:rFonts w:hint="eastAsia" w:cs="Times New Roman"/>
                      <w:color w:val="auto"/>
                      <w:sz w:val="21"/>
                      <w:szCs w:val="21"/>
                      <w:u w:val="single"/>
                      <w:vertAlign w:val="baseline"/>
                      <w:lang w:val="en-US" w:eastAsia="zh-CN"/>
                    </w:rPr>
                    <w:t>环境</w:t>
                  </w:r>
                  <w:r>
                    <w:rPr>
                      <w:rFonts w:hint="eastAsia" w:ascii="Times New Roman" w:hAnsi="Times New Roman" w:eastAsia="宋体" w:cs="Times New Roman"/>
                      <w:color w:val="auto"/>
                      <w:sz w:val="21"/>
                      <w:szCs w:val="21"/>
                      <w:u w:val="single"/>
                      <w:vertAlign w:val="baseline"/>
                      <w:lang w:val="en-US" w:eastAsia="zh-CN"/>
                    </w:rPr>
                    <w:t>的影响；</w:t>
                  </w:r>
                </w:p>
                <w:p w14:paraId="7801DFDA">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default"/>
                      <w:color w:val="auto"/>
                      <w:lang w:val="en-US" w:eastAsia="zh-CN"/>
                    </w:rPr>
                  </w:pPr>
                  <w:r>
                    <w:rPr>
                      <w:rFonts w:hint="eastAsia" w:ascii="Times New Roman" w:hAnsi="Times New Roman" w:eastAsia="宋体" w:cs="Times New Roman"/>
                      <w:color w:val="auto"/>
                      <w:sz w:val="21"/>
                      <w:szCs w:val="21"/>
                      <w:u w:val="single"/>
                      <w:vertAlign w:val="baseline"/>
                      <w:lang w:val="en-US" w:eastAsia="zh-CN"/>
                    </w:rPr>
                    <w:t>影响方式为直接影响</w:t>
                  </w:r>
                </w:p>
              </w:tc>
              <w:tc>
                <w:tcPr>
                  <w:tcW w:w="1000" w:type="pct"/>
                  <w:noWrap w:val="0"/>
                  <w:vAlign w:val="center"/>
                </w:tcPr>
                <w:p w14:paraId="478C40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长期、不可逆</w:t>
                  </w:r>
                </w:p>
                <w:p w14:paraId="4D87E4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生产运行期</w:t>
                  </w:r>
                </w:p>
              </w:tc>
            </w:tr>
            <w:tr w14:paraId="5781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65F483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val="en-US" w:eastAsia="zh-CN"/>
                    </w:rPr>
                    <w:t>噪声环境</w:t>
                  </w:r>
                </w:p>
              </w:tc>
              <w:tc>
                <w:tcPr>
                  <w:tcW w:w="1170" w:type="pct"/>
                  <w:noWrap w:val="0"/>
                  <w:vAlign w:val="center"/>
                </w:tcPr>
                <w:p w14:paraId="230CCD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val="en-US" w:eastAsia="zh-CN"/>
                    </w:rPr>
                    <w:t>噪声</w:t>
                  </w:r>
                </w:p>
              </w:tc>
              <w:tc>
                <w:tcPr>
                  <w:tcW w:w="1077" w:type="pct"/>
                  <w:noWrap w:val="0"/>
                  <w:vAlign w:val="center"/>
                </w:tcPr>
                <w:p w14:paraId="624670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u w:val="single"/>
                      <w:vertAlign w:val="baseline"/>
                      <w:lang w:val="en-US" w:eastAsia="zh-CN"/>
                    </w:rPr>
                  </w:pPr>
                  <w:r>
                    <w:rPr>
                      <w:rFonts w:hint="eastAsia"/>
                      <w:color w:val="auto"/>
                      <w:sz w:val="21"/>
                      <w:szCs w:val="21"/>
                      <w:u w:val="single"/>
                      <w:vertAlign w:val="baseline"/>
                      <w:lang w:val="en-US" w:eastAsia="zh-CN"/>
                    </w:rPr>
                    <w:t>等效连续A升级（LAeq）</w:t>
                  </w:r>
                </w:p>
              </w:tc>
              <w:tc>
                <w:tcPr>
                  <w:tcW w:w="1343" w:type="pct"/>
                  <w:noWrap w:val="0"/>
                  <w:vAlign w:val="center"/>
                </w:tcPr>
                <w:p w14:paraId="56ABD2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color w:val="auto"/>
                      <w:sz w:val="21"/>
                      <w:szCs w:val="21"/>
                      <w:u w:val="single"/>
                      <w:vertAlign w:val="baseline"/>
                      <w:lang w:val="en-US" w:eastAsia="zh-CN"/>
                    </w:rPr>
                    <w:t>施工机械、车辆产生的噪声</w:t>
                  </w:r>
                  <w:r>
                    <w:rPr>
                      <w:rFonts w:hint="eastAsia" w:ascii="Times New Roman" w:hAnsi="Times New Roman" w:eastAsia="宋体" w:cs="Times New Roman"/>
                      <w:color w:val="auto"/>
                      <w:sz w:val="21"/>
                      <w:szCs w:val="21"/>
                      <w:u w:val="single"/>
                      <w:vertAlign w:val="baseline"/>
                      <w:lang w:val="en-US" w:eastAsia="zh-CN"/>
                    </w:rPr>
                    <w:t>；</w:t>
                  </w:r>
                </w:p>
                <w:p w14:paraId="507E0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u w:val="single"/>
                      <w:lang w:val="en-US" w:eastAsia="zh-CN"/>
                    </w:rPr>
                  </w:pPr>
                  <w:r>
                    <w:rPr>
                      <w:rFonts w:hint="eastAsia" w:ascii="Times New Roman" w:hAnsi="Times New Roman" w:eastAsia="宋体" w:cs="Times New Roman"/>
                      <w:color w:val="auto"/>
                      <w:sz w:val="21"/>
                      <w:szCs w:val="21"/>
                      <w:u w:val="single"/>
                      <w:vertAlign w:val="baseline"/>
                      <w:lang w:val="en-US" w:eastAsia="zh-CN"/>
                    </w:rPr>
                    <w:t>影响方式为直接影响。</w:t>
                  </w:r>
                </w:p>
              </w:tc>
              <w:tc>
                <w:tcPr>
                  <w:tcW w:w="1000" w:type="pct"/>
                  <w:noWrap w:val="0"/>
                  <w:vAlign w:val="center"/>
                </w:tcPr>
                <w:p w14:paraId="6B6CE6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短期、可逆</w:t>
                  </w:r>
                </w:p>
                <w:p w14:paraId="745EAB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施工期；</w:t>
                  </w:r>
                </w:p>
              </w:tc>
            </w:tr>
            <w:tr w14:paraId="2E80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26EEFA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val="en-US" w:eastAsia="zh-CN"/>
                    </w:rPr>
                    <w:t>大气环境</w:t>
                  </w:r>
                </w:p>
              </w:tc>
              <w:tc>
                <w:tcPr>
                  <w:tcW w:w="1170" w:type="pct"/>
                  <w:noWrap w:val="0"/>
                  <w:vAlign w:val="center"/>
                </w:tcPr>
                <w:p w14:paraId="1D089B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val="en-US" w:eastAsia="zh-CN"/>
                    </w:rPr>
                    <w:t>大气</w:t>
                  </w:r>
                </w:p>
              </w:tc>
              <w:tc>
                <w:tcPr>
                  <w:tcW w:w="1077" w:type="pct"/>
                  <w:noWrap w:val="0"/>
                  <w:vAlign w:val="center"/>
                </w:tcPr>
                <w:p w14:paraId="497A5D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u w:val="single"/>
                      <w:vertAlign w:val="baseline"/>
                      <w:lang w:val="en-US" w:eastAsia="zh-CN"/>
                    </w:rPr>
                  </w:pPr>
                  <w:r>
                    <w:rPr>
                      <w:rFonts w:hint="eastAsia"/>
                      <w:color w:val="auto"/>
                      <w:sz w:val="21"/>
                      <w:szCs w:val="21"/>
                      <w:u w:val="single"/>
                      <w:vertAlign w:val="baseline"/>
                      <w:lang w:val="en-US" w:eastAsia="zh-CN"/>
                    </w:rPr>
                    <w:t>TSP、NOx、CO</w:t>
                  </w:r>
                </w:p>
              </w:tc>
              <w:tc>
                <w:tcPr>
                  <w:tcW w:w="1343" w:type="pct"/>
                  <w:noWrap w:val="0"/>
                  <w:vAlign w:val="center"/>
                </w:tcPr>
                <w:p w14:paraId="104B22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color w:val="auto"/>
                      <w:sz w:val="21"/>
                      <w:szCs w:val="21"/>
                      <w:u w:val="single"/>
                      <w:vertAlign w:val="baseline"/>
                      <w:lang w:val="en-US" w:eastAsia="zh-CN"/>
                    </w:rPr>
                    <w:t>施工扬尘，施工作业废气对大气环境的影响</w:t>
                  </w:r>
                  <w:r>
                    <w:rPr>
                      <w:rFonts w:hint="eastAsia" w:ascii="Times New Roman" w:hAnsi="Times New Roman" w:eastAsia="宋体" w:cs="Times New Roman"/>
                      <w:color w:val="auto"/>
                      <w:sz w:val="21"/>
                      <w:szCs w:val="21"/>
                      <w:u w:val="single"/>
                      <w:vertAlign w:val="baseline"/>
                      <w:lang w:val="en-US" w:eastAsia="zh-CN"/>
                    </w:rPr>
                    <w:t>；</w:t>
                  </w:r>
                </w:p>
                <w:p w14:paraId="1C1F9E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u w:val="single"/>
                      <w:lang w:val="en-US" w:eastAsia="zh-CN"/>
                    </w:rPr>
                  </w:pPr>
                  <w:r>
                    <w:rPr>
                      <w:rFonts w:hint="eastAsia" w:ascii="Times New Roman" w:hAnsi="Times New Roman" w:eastAsia="宋体" w:cs="Times New Roman"/>
                      <w:color w:val="auto"/>
                      <w:sz w:val="21"/>
                      <w:szCs w:val="21"/>
                      <w:u w:val="single"/>
                      <w:vertAlign w:val="baseline"/>
                      <w:lang w:val="en-US" w:eastAsia="zh-CN"/>
                    </w:rPr>
                    <w:t>影响方式为直接影响。</w:t>
                  </w:r>
                </w:p>
              </w:tc>
              <w:tc>
                <w:tcPr>
                  <w:tcW w:w="1000" w:type="pct"/>
                  <w:noWrap w:val="0"/>
                  <w:vAlign w:val="center"/>
                </w:tcPr>
                <w:p w14:paraId="6B9D41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短期、可逆</w:t>
                  </w:r>
                </w:p>
                <w:p w14:paraId="611597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施工期；</w:t>
                  </w:r>
                </w:p>
              </w:tc>
            </w:tr>
            <w:tr w14:paraId="667E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5A532C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陆域生态环境</w:t>
                  </w:r>
                </w:p>
              </w:tc>
              <w:tc>
                <w:tcPr>
                  <w:tcW w:w="1170" w:type="pct"/>
                  <w:noWrap w:val="0"/>
                  <w:vAlign w:val="center"/>
                </w:tcPr>
                <w:p w14:paraId="359C18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陆域生态环境</w:t>
                  </w:r>
                </w:p>
              </w:tc>
              <w:tc>
                <w:tcPr>
                  <w:tcW w:w="1077" w:type="pct"/>
                  <w:noWrap w:val="0"/>
                  <w:vAlign w:val="center"/>
                </w:tcPr>
                <w:p w14:paraId="11E545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植被、景观、野生动物、生态系统结构完整性和稳定性</w:t>
                  </w:r>
                </w:p>
              </w:tc>
              <w:tc>
                <w:tcPr>
                  <w:tcW w:w="1343" w:type="pct"/>
                  <w:noWrap w:val="0"/>
                  <w:vAlign w:val="center"/>
                </w:tcPr>
                <w:p w14:paraId="722AEB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项目建设不涉及植被景观等</w:t>
                  </w:r>
                </w:p>
              </w:tc>
              <w:tc>
                <w:tcPr>
                  <w:tcW w:w="1000" w:type="pct"/>
                  <w:noWrap w:val="0"/>
                  <w:vAlign w:val="center"/>
                </w:tcPr>
                <w:p w14:paraId="26D05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bl>
          <w:p w14:paraId="79ABD73F">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eastAsia="宋体"/>
                <w:color w:val="auto"/>
                <w:kern w:val="0"/>
                <w:sz w:val="24"/>
                <w:lang w:val="en-US" w:eastAsia="zh-CN"/>
              </w:rPr>
            </w:pPr>
          </w:p>
        </w:tc>
      </w:tr>
    </w:tbl>
    <w:p w14:paraId="65D61FCD">
      <w:pPr>
        <w:pStyle w:val="21"/>
        <w:jc w:val="center"/>
        <w:outlineLvl w:val="0"/>
        <w:rPr>
          <w:rFonts w:ascii="Times New Roman" w:hAnsi="Times New Roman"/>
          <w:b/>
          <w:snapToGrid w:val="0"/>
          <w:color w:val="auto"/>
          <w:sz w:val="30"/>
          <w:szCs w:val="30"/>
        </w:rPr>
      </w:pPr>
      <w:r>
        <w:rPr>
          <w:rFonts w:ascii="Times New Roman" w:hAnsi="Times New Roman"/>
          <w:snapToGrid w:val="0"/>
          <w:color w:val="C00000"/>
          <w:kern w:val="2"/>
          <w:sz w:val="36"/>
          <w:szCs w:val="36"/>
        </w:rPr>
        <w:br w:type="page"/>
      </w:r>
      <w:bookmarkStart w:id="46" w:name="_Toc103157934"/>
      <w:r>
        <w:rPr>
          <w:rFonts w:ascii="Times New Roman" w:hAnsi="Times New Roman"/>
          <w:b/>
          <w:snapToGrid w:val="0"/>
          <w:color w:val="auto"/>
          <w:sz w:val="30"/>
          <w:szCs w:val="30"/>
        </w:rPr>
        <w:t>四、生态环境影响分析</w:t>
      </w:r>
      <w:bookmarkEnd w:id="46"/>
    </w:p>
    <w:tbl>
      <w:tblPr>
        <w:tblStyle w:val="28"/>
        <w:tblW w:w="96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8486"/>
      </w:tblGrid>
      <w:tr w14:paraId="25680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43" w:type="dxa"/>
            <w:tcMar>
              <w:left w:w="28" w:type="dxa"/>
              <w:right w:w="28" w:type="dxa"/>
            </w:tcMar>
            <w:vAlign w:val="center"/>
          </w:tcPr>
          <w:p w14:paraId="628EEFE9">
            <w:pPr>
              <w:pStyle w:val="21"/>
              <w:keepNext w:val="0"/>
              <w:keepLines w:val="0"/>
              <w:suppressLineNumbers w:val="0"/>
              <w:adjustRightInd w:val="0"/>
              <w:snapToGrid w:val="0"/>
              <w:spacing w:before="0" w:beforeAutospacing="0" w:after="0" w:afterAutospacing="0"/>
              <w:ind w:left="0" w:right="0"/>
              <w:jc w:val="center"/>
              <w:rPr>
                <w:rFonts w:hint="eastAsia" w:ascii="Times New Roman" w:hAnsi="Times New Roman"/>
                <w:bCs/>
                <w:color w:val="C00000"/>
                <w:kern w:val="2"/>
                <w:sz w:val="21"/>
                <w:szCs w:val="21"/>
              </w:rPr>
            </w:pPr>
            <w:bookmarkStart w:id="47" w:name="_Hlk49796138"/>
            <w:r>
              <w:rPr>
                <w:rFonts w:hint="eastAsia" w:ascii="Times New Roman" w:hAnsi="Times New Roman"/>
                <w:bCs/>
                <w:color w:val="auto"/>
                <w:spacing w:val="10"/>
                <w:kern w:val="2"/>
                <w:szCs w:val="21"/>
              </w:rPr>
              <w:t>施工期生态环境影响分析</w:t>
            </w:r>
            <w:bookmarkEnd w:id="47"/>
          </w:p>
        </w:tc>
        <w:tc>
          <w:tcPr>
            <w:tcW w:w="8486" w:type="dxa"/>
          </w:tcPr>
          <w:p w14:paraId="06E15EB8">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4.1水环境影响分析</w:t>
            </w:r>
          </w:p>
          <w:p w14:paraId="31C30807">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4.1.1施工悬浮泥沙</w:t>
            </w:r>
          </w:p>
          <w:p w14:paraId="4B6E5A72">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val="0"/>
                <w:color w:val="auto"/>
                <w:sz w:val="24"/>
                <w:lang w:val="en-US" w:eastAsia="zh-CN"/>
              </w:rPr>
            </w:pPr>
            <w:r>
              <w:rPr>
                <w:rFonts w:hint="eastAsia"/>
                <w:b w:val="0"/>
                <w:bCs w:val="0"/>
                <w:color w:val="auto"/>
                <w:sz w:val="24"/>
                <w:lang w:val="en-US" w:eastAsia="zh-CN"/>
              </w:rPr>
              <w:t>本工程项目位于榕木江区域潮间带滩涂，主要施工内容为在现有砌石海堤基础外增加片石抛填护坡，加固海堤防护。所在施工区域为潮间带滩涂，高程较高，每天低潮干滩时间为13小时，施工选择在低潮位时进行，此时工程所在区域全部裸露，采用大型反铲式挖掘机抛填片石，施工时间短，基本不产生悬浮泥沙；且项目位于沿岸海域，水域波浪影响较小，潮流较弱，悬浮物在扩散过程中沉降时间较快，对海域的影响将很快结束。因此，项目施工产生的悬浮泥沙基本不会对周边水环境产生影响。</w:t>
            </w:r>
          </w:p>
          <w:p w14:paraId="69D11598">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4.1.2施工人员产生的生活污水</w:t>
            </w:r>
          </w:p>
          <w:p w14:paraId="097B8120">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val="0"/>
                <w:color w:val="auto"/>
                <w:sz w:val="24"/>
                <w:lang w:val="en-US" w:eastAsia="zh-CN"/>
              </w:rPr>
            </w:pPr>
            <w:r>
              <w:rPr>
                <w:rFonts w:hint="eastAsia"/>
                <w:b w:val="0"/>
                <w:bCs w:val="0"/>
                <w:color w:val="auto"/>
                <w:sz w:val="24"/>
                <w:lang w:val="en-US" w:eastAsia="zh-CN"/>
              </w:rPr>
              <w:t>本项目施工期产生的生活污水主要为施工人员生活污水。根据施工经验，施工人员生活污水主要污染因子COD约250mg/L，BOD</w:t>
            </w:r>
            <w:r>
              <w:rPr>
                <w:rFonts w:hint="eastAsia"/>
                <w:b w:val="0"/>
                <w:bCs w:val="0"/>
                <w:color w:val="auto"/>
                <w:sz w:val="24"/>
                <w:vertAlign w:val="subscript"/>
                <w:lang w:val="en-US" w:eastAsia="zh-CN"/>
              </w:rPr>
              <w:t>5</w:t>
            </w:r>
            <w:r>
              <w:rPr>
                <w:rFonts w:hint="eastAsia"/>
                <w:b w:val="0"/>
                <w:bCs w:val="0"/>
                <w:color w:val="auto"/>
                <w:sz w:val="24"/>
                <w:lang w:val="en-US" w:eastAsia="zh-CN"/>
              </w:rPr>
              <w:t>约150mg/L，NH</w:t>
            </w:r>
            <w:r>
              <w:rPr>
                <w:rFonts w:hint="eastAsia"/>
                <w:b w:val="0"/>
                <w:bCs w:val="0"/>
                <w:color w:val="auto"/>
                <w:sz w:val="24"/>
                <w:vertAlign w:val="subscript"/>
                <w:lang w:val="en-US" w:eastAsia="zh-CN"/>
              </w:rPr>
              <w:t>3</w:t>
            </w:r>
            <w:r>
              <w:rPr>
                <w:rFonts w:hint="eastAsia"/>
                <w:b w:val="0"/>
                <w:bCs w:val="0"/>
                <w:color w:val="auto"/>
                <w:sz w:val="24"/>
                <w:lang w:val="en-US" w:eastAsia="zh-CN"/>
              </w:rPr>
              <w:t>-N约30mg/L。本项目施工人数约20人，生活污水按20L/人·d，施工期生活污水产生量约为0.4m</w:t>
            </w:r>
            <w:r>
              <w:rPr>
                <w:rFonts w:hint="eastAsia"/>
                <w:b w:val="0"/>
                <w:bCs w:val="0"/>
                <w:color w:val="auto"/>
                <w:sz w:val="24"/>
                <w:vertAlign w:val="superscript"/>
                <w:lang w:val="en-US" w:eastAsia="zh-CN"/>
              </w:rPr>
              <w:t>3</w:t>
            </w:r>
            <w:r>
              <w:rPr>
                <w:rFonts w:hint="eastAsia"/>
                <w:b w:val="0"/>
                <w:bCs w:val="0"/>
                <w:color w:val="auto"/>
                <w:sz w:val="24"/>
                <w:lang w:val="en-US" w:eastAsia="zh-CN"/>
              </w:rPr>
              <w:t>/d，产生污染物COD为0.1kg/d，BOD</w:t>
            </w:r>
            <w:r>
              <w:rPr>
                <w:rFonts w:hint="eastAsia"/>
                <w:b w:val="0"/>
                <w:bCs w:val="0"/>
                <w:color w:val="auto"/>
                <w:sz w:val="24"/>
                <w:vertAlign w:val="subscript"/>
                <w:lang w:val="en-US" w:eastAsia="zh-CN"/>
              </w:rPr>
              <w:t>5</w:t>
            </w:r>
            <w:r>
              <w:rPr>
                <w:rFonts w:hint="eastAsia"/>
                <w:b w:val="0"/>
                <w:bCs w:val="0"/>
                <w:color w:val="auto"/>
                <w:sz w:val="24"/>
                <w:lang w:val="en-US" w:eastAsia="zh-CN"/>
              </w:rPr>
              <w:t>约为0.06kg/d，NH</w:t>
            </w:r>
            <w:r>
              <w:rPr>
                <w:rFonts w:hint="eastAsia"/>
                <w:b w:val="0"/>
                <w:bCs w:val="0"/>
                <w:color w:val="auto"/>
                <w:sz w:val="24"/>
                <w:vertAlign w:val="subscript"/>
                <w:lang w:val="en-US" w:eastAsia="zh-CN"/>
              </w:rPr>
              <w:t>3</w:t>
            </w:r>
            <w:r>
              <w:rPr>
                <w:rFonts w:hint="eastAsia"/>
                <w:b w:val="0"/>
                <w:bCs w:val="0"/>
                <w:color w:val="auto"/>
                <w:sz w:val="24"/>
                <w:lang w:val="en-US" w:eastAsia="zh-CN"/>
              </w:rPr>
              <w:t>-N约为0.012kg/d；施工期按40d计算，整个施工期生活污水产生量约为16m</w:t>
            </w:r>
            <w:r>
              <w:rPr>
                <w:rFonts w:hint="eastAsia"/>
                <w:b w:val="0"/>
                <w:bCs w:val="0"/>
                <w:color w:val="auto"/>
                <w:sz w:val="24"/>
                <w:vertAlign w:val="superscript"/>
                <w:lang w:val="en-US" w:eastAsia="zh-CN"/>
              </w:rPr>
              <w:t>3</w:t>
            </w:r>
            <w:r>
              <w:rPr>
                <w:rFonts w:hint="eastAsia"/>
                <w:b w:val="0"/>
                <w:bCs w:val="0"/>
                <w:color w:val="auto"/>
                <w:sz w:val="24"/>
                <w:lang w:val="en-US" w:eastAsia="zh-CN"/>
              </w:rPr>
              <w:t>，产生污染物COD为4.0kg，BOD</w:t>
            </w:r>
            <w:r>
              <w:rPr>
                <w:rFonts w:hint="eastAsia"/>
                <w:b w:val="0"/>
                <w:bCs w:val="0"/>
                <w:color w:val="auto"/>
                <w:sz w:val="24"/>
                <w:vertAlign w:val="subscript"/>
                <w:lang w:val="en-US" w:eastAsia="zh-CN"/>
              </w:rPr>
              <w:t>5</w:t>
            </w:r>
            <w:r>
              <w:rPr>
                <w:rFonts w:hint="eastAsia"/>
                <w:b w:val="0"/>
                <w:bCs w:val="0"/>
                <w:color w:val="auto"/>
                <w:sz w:val="24"/>
                <w:lang w:val="en-US" w:eastAsia="zh-CN"/>
              </w:rPr>
              <w:t>约为2.4kg，NH</w:t>
            </w:r>
            <w:r>
              <w:rPr>
                <w:rFonts w:hint="eastAsia"/>
                <w:b w:val="0"/>
                <w:bCs w:val="0"/>
                <w:color w:val="auto"/>
                <w:sz w:val="24"/>
                <w:vertAlign w:val="subscript"/>
                <w:lang w:val="en-US" w:eastAsia="zh-CN"/>
              </w:rPr>
              <w:t>3</w:t>
            </w:r>
            <w:r>
              <w:rPr>
                <w:rFonts w:hint="eastAsia"/>
                <w:b w:val="0"/>
                <w:bCs w:val="0"/>
                <w:color w:val="auto"/>
                <w:sz w:val="24"/>
                <w:lang w:val="en-US" w:eastAsia="zh-CN"/>
              </w:rPr>
              <w:t>-N约为0.48kg。项目施工过程中依托广西盛隆</w:t>
            </w:r>
            <w:r>
              <w:rPr>
                <w:rFonts w:hint="eastAsia"/>
                <w:color w:val="auto"/>
                <w:kern w:val="0"/>
                <w:sz w:val="24"/>
                <w:lang w:val="en-US" w:eastAsia="zh-CN"/>
              </w:rPr>
              <w:t>冶金</w:t>
            </w:r>
            <w:r>
              <w:rPr>
                <w:rFonts w:hint="eastAsia"/>
                <w:b w:val="0"/>
                <w:bCs w:val="0"/>
                <w:color w:val="auto"/>
                <w:sz w:val="24"/>
                <w:lang w:val="en-US" w:eastAsia="zh-CN"/>
              </w:rPr>
              <w:t>有限公司厂区作为施工人员生活区，生活污水依托现有的污水收集设施进行收集，然后送污水处理厂处理。</w:t>
            </w:r>
          </w:p>
          <w:p w14:paraId="5A1E98F8">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4.1.3施工废水</w:t>
            </w:r>
          </w:p>
          <w:p w14:paraId="034E0A9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auto"/>
                <w:sz w:val="24"/>
                <w:szCs w:val="24"/>
                <w:u w:val="none"/>
                <w:lang w:val="en-US" w:eastAsia="zh-CN"/>
              </w:rPr>
            </w:pPr>
            <w:r>
              <w:rPr>
                <w:rFonts w:hint="default"/>
                <w:color w:val="auto"/>
                <w:sz w:val="24"/>
                <w:szCs w:val="24"/>
                <w:u w:val="none"/>
                <w:lang w:val="en-US" w:eastAsia="zh-CN"/>
              </w:rPr>
              <w:t>由于施工物料均外购，不存在砂石料冲洗废水和砼拌合系统冲洗废水。施工期生产废水包括小型机械设备</w:t>
            </w:r>
            <w:r>
              <w:rPr>
                <w:rFonts w:hint="eastAsia"/>
                <w:color w:val="auto"/>
                <w:sz w:val="24"/>
                <w:szCs w:val="24"/>
                <w:u w:val="none"/>
                <w:lang w:val="en-US" w:eastAsia="zh-CN"/>
              </w:rPr>
              <w:t>及车辆冲洗废水</w:t>
            </w:r>
            <w:r>
              <w:rPr>
                <w:rFonts w:hint="default"/>
                <w:color w:val="auto"/>
                <w:sz w:val="24"/>
                <w:szCs w:val="24"/>
                <w:u w:val="none"/>
                <w:lang w:val="en-US" w:eastAsia="zh-CN"/>
              </w:rPr>
              <w:t>等。</w:t>
            </w:r>
          </w:p>
          <w:p w14:paraId="6466CF0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auto"/>
                <w:sz w:val="24"/>
                <w:szCs w:val="24"/>
                <w:u w:val="none"/>
                <w:lang w:val="en-US" w:eastAsia="zh-CN"/>
              </w:rPr>
            </w:pPr>
            <w:r>
              <w:rPr>
                <w:rFonts w:hint="default"/>
                <w:color w:val="auto"/>
                <w:sz w:val="24"/>
                <w:szCs w:val="24"/>
                <w:u w:val="none"/>
                <w:lang w:val="en-US" w:eastAsia="zh-CN"/>
              </w:rPr>
              <w:t>本工程交通较为方便，</w:t>
            </w:r>
            <w:r>
              <w:rPr>
                <w:rFonts w:hint="eastAsia"/>
                <w:color w:val="auto"/>
                <w:sz w:val="24"/>
                <w:szCs w:val="24"/>
                <w:u w:val="none"/>
                <w:lang w:val="en-US" w:eastAsia="zh-CN"/>
              </w:rPr>
              <w:t>附近分布有</w:t>
            </w:r>
            <w:r>
              <w:rPr>
                <w:rFonts w:hint="default"/>
                <w:color w:val="auto"/>
                <w:sz w:val="24"/>
                <w:szCs w:val="24"/>
                <w:u w:val="none"/>
                <w:lang w:val="en-US" w:eastAsia="zh-CN"/>
              </w:rPr>
              <w:t>船厂及机修厂，因此在各施工现场</w:t>
            </w:r>
            <w:r>
              <w:rPr>
                <w:rFonts w:hint="eastAsia"/>
                <w:color w:val="auto"/>
                <w:sz w:val="24"/>
                <w:szCs w:val="24"/>
                <w:u w:val="none"/>
                <w:lang w:val="en-US" w:eastAsia="zh-CN"/>
              </w:rPr>
              <w:t>不</w:t>
            </w:r>
            <w:r>
              <w:rPr>
                <w:rFonts w:hint="default"/>
                <w:color w:val="auto"/>
                <w:sz w:val="24"/>
                <w:szCs w:val="24"/>
                <w:u w:val="none"/>
                <w:lang w:val="en-US" w:eastAsia="zh-CN"/>
              </w:rPr>
              <w:t>设车辆及机械维修保养站点</w:t>
            </w:r>
            <w:r>
              <w:rPr>
                <w:rFonts w:hint="eastAsia"/>
                <w:color w:val="auto"/>
                <w:sz w:val="24"/>
                <w:szCs w:val="24"/>
                <w:u w:val="none"/>
                <w:lang w:val="en-US" w:eastAsia="zh-CN"/>
              </w:rPr>
              <w:t>，维修及保养工作外委开展</w:t>
            </w:r>
            <w:r>
              <w:rPr>
                <w:rFonts w:hint="default"/>
                <w:color w:val="auto"/>
                <w:sz w:val="24"/>
                <w:szCs w:val="24"/>
                <w:u w:val="none"/>
                <w:lang w:val="en-US" w:eastAsia="zh-CN"/>
              </w:rPr>
              <w:t>。</w:t>
            </w:r>
          </w:p>
          <w:p w14:paraId="2A3CDE2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auto"/>
                <w:sz w:val="24"/>
                <w:szCs w:val="24"/>
                <w:u w:val="none"/>
                <w:lang w:val="en-US" w:eastAsia="zh-CN"/>
              </w:rPr>
            </w:pPr>
            <w:r>
              <w:rPr>
                <w:rFonts w:hint="default"/>
                <w:color w:val="auto"/>
                <w:sz w:val="24"/>
                <w:szCs w:val="24"/>
                <w:u w:val="none"/>
                <w:lang w:val="en-US" w:eastAsia="zh-CN"/>
              </w:rPr>
              <w:t>汽车冲洗废水采用高压水枪冲洗汽车，冲洗用水量为400L辆</w:t>
            </w:r>
            <w:r>
              <w:rPr>
                <w:rFonts w:hint="eastAsia"/>
                <w:color w:val="auto"/>
                <w:sz w:val="24"/>
                <w:szCs w:val="24"/>
                <w:u w:val="none"/>
                <w:lang w:val="en-US" w:eastAsia="zh-CN"/>
              </w:rPr>
              <w:t>·</w:t>
            </w:r>
            <w:r>
              <w:rPr>
                <w:rFonts w:hint="default"/>
                <w:color w:val="auto"/>
                <w:sz w:val="24"/>
                <w:szCs w:val="24"/>
                <w:u w:val="none"/>
                <w:lang w:val="en-US" w:eastAsia="zh-CN"/>
              </w:rPr>
              <w:t>次，产污率90%计，每天按冲洗一次计算。本工程高峰期使用机械约</w:t>
            </w:r>
            <w:r>
              <w:rPr>
                <w:rFonts w:hint="eastAsia"/>
                <w:color w:val="auto"/>
                <w:sz w:val="24"/>
                <w:szCs w:val="24"/>
                <w:u w:val="none"/>
                <w:lang w:val="en-US" w:eastAsia="zh-CN"/>
              </w:rPr>
              <w:t>5</w:t>
            </w:r>
            <w:r>
              <w:rPr>
                <w:rFonts w:hint="default"/>
                <w:color w:val="auto"/>
                <w:sz w:val="24"/>
                <w:szCs w:val="24"/>
                <w:u w:val="none"/>
                <w:lang w:val="en-US" w:eastAsia="zh-CN"/>
              </w:rPr>
              <w:t>台，则高峰期机械冲洗废水产生量约为</w:t>
            </w:r>
            <w:r>
              <w:rPr>
                <w:rFonts w:hint="eastAsia"/>
                <w:color w:val="auto"/>
                <w:sz w:val="24"/>
                <w:szCs w:val="24"/>
                <w:u w:val="none"/>
                <w:lang w:val="en-US" w:eastAsia="zh-CN"/>
              </w:rPr>
              <w:t>1.8</w:t>
            </w:r>
            <w:r>
              <w:rPr>
                <w:rFonts w:hint="default"/>
                <w:color w:val="auto"/>
                <w:sz w:val="24"/>
                <w:szCs w:val="24"/>
                <w:u w:val="none"/>
                <w:lang w:val="en-US" w:eastAsia="zh-CN"/>
              </w:rPr>
              <w:t>m</w:t>
            </w:r>
            <w:r>
              <w:rPr>
                <w:rFonts w:hint="default"/>
                <w:color w:val="auto"/>
                <w:sz w:val="24"/>
                <w:szCs w:val="24"/>
                <w:u w:val="none"/>
                <w:vertAlign w:val="superscript"/>
                <w:lang w:val="en-US" w:eastAsia="zh-CN"/>
              </w:rPr>
              <w:t>3</w:t>
            </w:r>
            <w:r>
              <w:rPr>
                <w:rFonts w:hint="default"/>
                <w:color w:val="auto"/>
                <w:sz w:val="24"/>
                <w:szCs w:val="24"/>
                <w:u w:val="none"/>
                <w:lang w:val="en-US" w:eastAsia="zh-CN"/>
              </w:rPr>
              <w:t>/d，废水仅在有车辆进出或需要冲洗时产生。</w:t>
            </w:r>
          </w:p>
          <w:p w14:paraId="0D9672A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auto"/>
                <w:sz w:val="24"/>
                <w:szCs w:val="24"/>
                <w:u w:val="none"/>
                <w:lang w:val="en-US" w:eastAsia="zh-CN"/>
              </w:rPr>
            </w:pPr>
            <w:r>
              <w:rPr>
                <w:rFonts w:hint="default"/>
                <w:color w:val="auto"/>
                <w:sz w:val="24"/>
                <w:szCs w:val="24"/>
                <w:u w:val="none"/>
                <w:lang w:val="en-US" w:eastAsia="zh-CN"/>
              </w:rPr>
              <w:t>工程施工工期</w:t>
            </w:r>
            <w:r>
              <w:rPr>
                <w:rFonts w:hint="eastAsia"/>
                <w:color w:val="auto"/>
                <w:sz w:val="24"/>
                <w:szCs w:val="24"/>
                <w:u w:val="none"/>
                <w:lang w:val="en-US" w:eastAsia="zh-CN"/>
              </w:rPr>
              <w:t>约40天</w:t>
            </w:r>
            <w:r>
              <w:rPr>
                <w:rFonts w:hint="default"/>
                <w:color w:val="auto"/>
                <w:sz w:val="24"/>
                <w:szCs w:val="24"/>
                <w:u w:val="none"/>
                <w:lang w:val="en-US" w:eastAsia="zh-CN"/>
              </w:rPr>
              <w:t>，施工期</w:t>
            </w:r>
            <w:r>
              <w:rPr>
                <w:rFonts w:hint="eastAsia"/>
                <w:color w:val="auto"/>
                <w:sz w:val="24"/>
                <w:szCs w:val="24"/>
                <w:u w:val="none"/>
                <w:lang w:val="en-US" w:eastAsia="zh-CN"/>
              </w:rPr>
              <w:t>冲洗</w:t>
            </w:r>
            <w:r>
              <w:rPr>
                <w:rFonts w:hint="default"/>
                <w:color w:val="auto"/>
                <w:sz w:val="24"/>
                <w:szCs w:val="24"/>
                <w:u w:val="none"/>
                <w:lang w:val="en-US" w:eastAsia="zh-CN"/>
              </w:rPr>
              <w:t>废水总量约</w:t>
            </w:r>
            <w:r>
              <w:rPr>
                <w:rFonts w:hint="eastAsia"/>
                <w:color w:val="auto"/>
                <w:sz w:val="24"/>
                <w:szCs w:val="24"/>
                <w:u w:val="none"/>
                <w:lang w:val="en-US" w:eastAsia="zh-CN"/>
              </w:rPr>
              <w:t>72</w:t>
            </w:r>
            <w:r>
              <w:rPr>
                <w:rFonts w:hint="default"/>
                <w:color w:val="auto"/>
                <w:sz w:val="24"/>
                <w:szCs w:val="24"/>
                <w:u w:val="none"/>
                <w:lang w:val="en-US" w:eastAsia="zh-CN"/>
              </w:rPr>
              <w:t>t，SS平均浓度约为1000mg/L，石油类浓度约为</w:t>
            </w:r>
            <w:r>
              <w:rPr>
                <w:rFonts w:hint="eastAsia"/>
                <w:color w:val="auto"/>
                <w:sz w:val="24"/>
                <w:szCs w:val="24"/>
                <w:u w:val="none"/>
                <w:lang w:val="en-US" w:eastAsia="zh-CN"/>
              </w:rPr>
              <w:t>1</w:t>
            </w:r>
            <w:r>
              <w:rPr>
                <w:rFonts w:hint="default"/>
                <w:color w:val="auto"/>
                <w:sz w:val="24"/>
                <w:szCs w:val="24"/>
                <w:u w:val="none"/>
                <w:lang w:val="en-US" w:eastAsia="zh-CN"/>
              </w:rPr>
              <w:t>0mg/L，则SS排放量为</w:t>
            </w:r>
            <w:r>
              <w:rPr>
                <w:rFonts w:hint="eastAsia"/>
                <w:color w:val="auto"/>
                <w:sz w:val="24"/>
                <w:szCs w:val="24"/>
                <w:u w:val="none"/>
                <w:lang w:val="en-US" w:eastAsia="zh-CN"/>
              </w:rPr>
              <w:t>1.8</w:t>
            </w:r>
            <w:r>
              <w:rPr>
                <w:rFonts w:hint="default"/>
                <w:color w:val="auto"/>
                <w:sz w:val="24"/>
                <w:szCs w:val="24"/>
                <w:u w:val="none"/>
                <w:lang w:val="en-US" w:eastAsia="zh-CN"/>
              </w:rPr>
              <w:t>kg/d，</w:t>
            </w:r>
            <w:r>
              <w:rPr>
                <w:rFonts w:hint="eastAsia"/>
                <w:color w:val="auto"/>
                <w:sz w:val="24"/>
                <w:szCs w:val="24"/>
                <w:u w:val="none"/>
                <w:lang w:val="en-US" w:eastAsia="zh-CN"/>
              </w:rPr>
              <w:t>0.072</w:t>
            </w:r>
            <w:r>
              <w:rPr>
                <w:rFonts w:hint="default"/>
                <w:color w:val="auto"/>
                <w:sz w:val="24"/>
                <w:szCs w:val="24"/>
                <w:u w:val="none"/>
                <w:lang w:val="en-US" w:eastAsia="zh-CN"/>
              </w:rPr>
              <w:t>t；石油类0.</w:t>
            </w:r>
            <w:r>
              <w:rPr>
                <w:rFonts w:hint="eastAsia"/>
                <w:color w:val="auto"/>
                <w:sz w:val="24"/>
                <w:szCs w:val="24"/>
                <w:u w:val="none"/>
                <w:lang w:val="en-US" w:eastAsia="zh-CN"/>
              </w:rPr>
              <w:t>018</w:t>
            </w:r>
            <w:r>
              <w:rPr>
                <w:rFonts w:hint="default"/>
                <w:color w:val="auto"/>
                <w:sz w:val="24"/>
                <w:szCs w:val="24"/>
                <w:u w:val="none"/>
                <w:lang w:val="en-US" w:eastAsia="zh-CN"/>
              </w:rPr>
              <w:t>kg/d，</w:t>
            </w:r>
            <w:r>
              <w:rPr>
                <w:rFonts w:hint="eastAsia"/>
                <w:color w:val="auto"/>
                <w:sz w:val="24"/>
                <w:szCs w:val="24"/>
                <w:u w:val="none"/>
                <w:lang w:val="en-US" w:eastAsia="zh-CN"/>
              </w:rPr>
              <w:t>0.72kg</w:t>
            </w:r>
            <w:r>
              <w:rPr>
                <w:rFonts w:hint="default"/>
                <w:color w:val="auto"/>
                <w:sz w:val="24"/>
                <w:szCs w:val="24"/>
                <w:u w:val="none"/>
                <w:lang w:val="en-US" w:eastAsia="zh-CN"/>
              </w:rPr>
              <w:t>。</w:t>
            </w:r>
          </w:p>
          <w:p w14:paraId="65594A7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auto"/>
                <w:sz w:val="24"/>
                <w:szCs w:val="24"/>
                <w:u w:val="none"/>
                <w:lang w:val="en-US" w:eastAsia="zh-CN"/>
              </w:rPr>
            </w:pPr>
            <w:r>
              <w:rPr>
                <w:rFonts w:hint="default"/>
                <w:color w:val="auto"/>
                <w:sz w:val="24"/>
                <w:szCs w:val="24"/>
                <w:u w:val="none"/>
                <w:lang w:val="en-US" w:eastAsia="zh-CN"/>
              </w:rPr>
              <w:t>施工</w:t>
            </w:r>
            <w:r>
              <w:rPr>
                <w:rFonts w:hint="eastAsia"/>
                <w:color w:val="auto"/>
                <w:sz w:val="24"/>
                <w:szCs w:val="24"/>
                <w:u w:val="none"/>
                <w:lang w:val="en-US" w:eastAsia="zh-CN"/>
              </w:rPr>
              <w:t>在进出施工场地处设置冲洗平台，冲洗废水产生于冲洗平台处</w:t>
            </w:r>
            <w:r>
              <w:rPr>
                <w:rFonts w:hint="default"/>
                <w:color w:val="auto"/>
                <w:sz w:val="24"/>
                <w:szCs w:val="24"/>
                <w:u w:val="none"/>
                <w:lang w:val="en-US" w:eastAsia="zh-CN"/>
              </w:rPr>
              <w:t>，</w:t>
            </w:r>
            <w:r>
              <w:rPr>
                <w:rFonts w:hint="eastAsia"/>
                <w:color w:val="auto"/>
                <w:sz w:val="24"/>
                <w:szCs w:val="24"/>
                <w:u w:val="none"/>
                <w:lang w:val="en-US" w:eastAsia="zh-CN"/>
              </w:rPr>
              <w:t>冲洗废水</w:t>
            </w:r>
            <w:r>
              <w:rPr>
                <w:rFonts w:hint="default"/>
                <w:color w:val="auto"/>
                <w:sz w:val="24"/>
                <w:szCs w:val="24"/>
                <w:u w:val="none"/>
                <w:lang w:val="en-US" w:eastAsia="zh-CN"/>
              </w:rPr>
              <w:t>经引水沟收集，</w:t>
            </w:r>
            <w:r>
              <w:rPr>
                <w:rFonts w:hint="eastAsia"/>
                <w:color w:val="auto"/>
                <w:sz w:val="24"/>
                <w:szCs w:val="24"/>
                <w:u w:val="none"/>
                <w:lang w:val="en-US" w:eastAsia="zh-CN"/>
              </w:rPr>
              <w:t>沉淀</w:t>
            </w:r>
            <w:r>
              <w:rPr>
                <w:rFonts w:hint="default"/>
                <w:color w:val="auto"/>
                <w:sz w:val="24"/>
                <w:szCs w:val="24"/>
                <w:u w:val="none"/>
                <w:lang w:val="en-US" w:eastAsia="zh-CN"/>
              </w:rPr>
              <w:t>处理后，</w:t>
            </w:r>
            <w:r>
              <w:rPr>
                <w:rFonts w:hint="eastAsia"/>
                <w:color w:val="auto"/>
                <w:sz w:val="24"/>
                <w:szCs w:val="24"/>
                <w:u w:val="none"/>
                <w:lang w:val="en-US" w:eastAsia="zh-CN"/>
              </w:rPr>
              <w:t>循环用于车辆冲洗</w:t>
            </w:r>
            <w:r>
              <w:rPr>
                <w:rFonts w:hint="default"/>
                <w:color w:val="auto"/>
                <w:sz w:val="24"/>
                <w:szCs w:val="24"/>
                <w:u w:val="none"/>
                <w:lang w:val="en-US" w:eastAsia="zh-CN"/>
              </w:rPr>
              <w:t>。</w:t>
            </w:r>
          </w:p>
          <w:p w14:paraId="6380B01F">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4.2大气环境影响分析</w:t>
            </w:r>
          </w:p>
          <w:p w14:paraId="6C6CB23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本项目施工废气主要来自场地铺沙作业、场地整平扬尘、运输车辆扬尘及施工机械废气等。</w:t>
            </w:r>
          </w:p>
          <w:p w14:paraId="49B5605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sz w:val="24"/>
                <w:szCs w:val="24"/>
                <w:u w:val="none"/>
                <w:lang w:val="en-US" w:eastAsia="zh-CN"/>
              </w:rPr>
            </w:pPr>
            <w:r>
              <w:rPr>
                <w:rFonts w:hint="eastAsia" w:ascii="Times New Roman" w:hAnsi="Times New Roman" w:cs="Times New Roman"/>
                <w:b/>
                <w:bCs/>
                <w:color w:val="auto"/>
                <w:sz w:val="24"/>
                <w:szCs w:val="24"/>
                <w:u w:val="none"/>
                <w:lang w:val="en-US" w:eastAsia="zh-CN"/>
              </w:rPr>
              <w:t>（1）施工场地整平扬尘</w:t>
            </w:r>
          </w:p>
          <w:p w14:paraId="5168F81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本项目场地铺沙、场地整平过程中，在气候干燥又有风的情况下，会产生扬尘，其扬尘量可按堆场起尘的经验公式计算：</w:t>
            </w:r>
          </w:p>
          <w:p w14:paraId="61DECCE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Q=2.1（</w:t>
            </w:r>
            <w:r>
              <w:rPr>
                <w:rFonts w:hint="eastAsia" w:ascii="Times New Roman" w:hAnsi="Times New Roman" w:cs="Times New Roman"/>
                <w:i/>
                <w:iCs/>
                <w:color w:val="auto"/>
                <w:sz w:val="24"/>
                <w:szCs w:val="24"/>
                <w:u w:val="none"/>
                <w:lang w:val="en-US" w:eastAsia="zh-CN"/>
              </w:rPr>
              <w:t>V</w:t>
            </w:r>
            <w:r>
              <w:rPr>
                <w:rFonts w:hint="eastAsia" w:ascii="Times New Roman" w:hAnsi="Times New Roman" w:cs="Times New Roman"/>
                <w:i/>
                <w:iCs/>
                <w:color w:val="auto"/>
                <w:sz w:val="24"/>
                <w:szCs w:val="24"/>
                <w:u w:val="none"/>
                <w:vertAlign w:val="subscript"/>
                <w:lang w:val="en-US" w:eastAsia="zh-CN"/>
              </w:rPr>
              <w:t>50</w:t>
            </w:r>
            <w:r>
              <w:rPr>
                <w:rFonts w:hint="eastAsia" w:ascii="Times New Roman" w:hAnsi="Times New Roman" w:cs="Times New Roman"/>
                <w:i/>
                <w:iCs/>
                <w:color w:val="auto"/>
                <w:sz w:val="24"/>
                <w:szCs w:val="24"/>
                <w:u w:val="none"/>
                <w:lang w:val="en-US" w:eastAsia="zh-CN"/>
              </w:rPr>
              <w:t>-V</w:t>
            </w:r>
            <w:r>
              <w:rPr>
                <w:rFonts w:hint="eastAsia" w:ascii="Times New Roman" w:hAnsi="Times New Roman" w:cs="Times New Roman"/>
                <w:i/>
                <w:iCs/>
                <w:color w:val="auto"/>
                <w:sz w:val="24"/>
                <w:szCs w:val="24"/>
                <w:u w:val="none"/>
                <w:vertAlign w:val="subscript"/>
                <w:lang w:val="en-US" w:eastAsia="zh-CN"/>
              </w:rPr>
              <w:t>0</w:t>
            </w:r>
            <w:r>
              <w:rPr>
                <w:rFonts w:hint="eastAsia" w:ascii="Times New Roman" w:hAnsi="Times New Roman" w:cs="Times New Roman"/>
                <w:color w:val="auto"/>
                <w:sz w:val="24"/>
                <w:szCs w:val="24"/>
                <w:u w:val="none"/>
                <w:lang w:val="en-US" w:eastAsia="zh-CN"/>
              </w:rPr>
              <w:t>）</w:t>
            </w:r>
            <w:r>
              <w:rPr>
                <w:rFonts w:hint="eastAsia" w:ascii="Times New Roman" w:hAnsi="Times New Roman" w:cs="Times New Roman"/>
                <w:color w:val="auto"/>
                <w:sz w:val="24"/>
                <w:szCs w:val="24"/>
                <w:u w:val="none"/>
                <w:vertAlign w:val="superscript"/>
                <w:lang w:val="en-US" w:eastAsia="zh-CN"/>
              </w:rPr>
              <w:t>3</w:t>
            </w:r>
            <w:r>
              <w:rPr>
                <w:rFonts w:hint="eastAsia" w:ascii="Times New Roman" w:hAnsi="Times New Roman" w:cs="Times New Roman"/>
                <w:color w:val="auto"/>
                <w:sz w:val="24"/>
                <w:szCs w:val="24"/>
                <w:u w:val="none"/>
                <w:lang w:val="en-US" w:eastAsia="zh-CN"/>
              </w:rPr>
              <w:t>e</w:t>
            </w:r>
            <w:r>
              <w:rPr>
                <w:rFonts w:hint="eastAsia" w:ascii="Times New Roman" w:hAnsi="Times New Roman" w:cs="Times New Roman"/>
                <w:color w:val="auto"/>
                <w:sz w:val="24"/>
                <w:szCs w:val="24"/>
                <w:u w:val="none"/>
                <w:vertAlign w:val="superscript"/>
                <w:lang w:val="en-US" w:eastAsia="zh-CN"/>
              </w:rPr>
              <w:t>-1.023W</w:t>
            </w:r>
          </w:p>
          <w:p w14:paraId="5D9099C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式中：Q——起尘量，kg/吨·年；V</w:t>
            </w:r>
            <w:r>
              <w:rPr>
                <w:rFonts w:hint="eastAsia" w:ascii="Times New Roman" w:hAnsi="Times New Roman" w:cs="Times New Roman"/>
                <w:color w:val="auto"/>
                <w:sz w:val="24"/>
                <w:szCs w:val="24"/>
                <w:u w:val="none"/>
                <w:vertAlign w:val="subscript"/>
                <w:lang w:val="en-US" w:eastAsia="zh-CN"/>
              </w:rPr>
              <w:t>50</w:t>
            </w:r>
            <w:r>
              <w:rPr>
                <w:rFonts w:hint="eastAsia" w:ascii="Times New Roman" w:hAnsi="Times New Roman" w:cs="Times New Roman"/>
                <w:color w:val="auto"/>
                <w:sz w:val="24"/>
                <w:szCs w:val="24"/>
                <w:u w:val="none"/>
                <w:lang w:val="en-US" w:eastAsia="zh-CN"/>
              </w:rPr>
              <w:t>——距地面50m处风速，m/s；</w:t>
            </w:r>
          </w:p>
          <w:p w14:paraId="13103F2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V</w:t>
            </w:r>
            <w:r>
              <w:rPr>
                <w:rFonts w:hint="eastAsia" w:ascii="Times New Roman" w:hAnsi="Times New Roman" w:cs="Times New Roman"/>
                <w:color w:val="auto"/>
                <w:sz w:val="24"/>
                <w:szCs w:val="24"/>
                <w:u w:val="none"/>
                <w:vertAlign w:val="subscript"/>
                <w:lang w:val="en-US" w:eastAsia="zh-CN"/>
              </w:rPr>
              <w:t>0</w:t>
            </w:r>
            <w:r>
              <w:rPr>
                <w:rFonts w:hint="eastAsia" w:ascii="Times New Roman" w:hAnsi="Times New Roman" w:cs="Times New Roman"/>
                <w:color w:val="auto"/>
                <w:sz w:val="24"/>
                <w:szCs w:val="24"/>
                <w:u w:val="none"/>
                <w:lang w:val="en-US" w:eastAsia="zh-CN"/>
              </w:rPr>
              <w:t>——起尘风速，m/s；W——尘粒的含水率，%。</w:t>
            </w:r>
          </w:p>
          <w:p w14:paraId="11523BD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起尘风速与粒径和含水率有关，因此保证一定的含水率及减少裸露地面是减少风力起尘的有效手段。粉尘在空气中的扩散稀释与风速等气象条件有关，也与粉尘本身的沉降速度有关。不同粒径粉尘的沉降速度见</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REF _Ref198995939 \h  \* MERGEFORMAT </w:instrText>
            </w:r>
            <w:r>
              <w:rPr>
                <w:rFonts w:hint="eastAsia" w:ascii="Times New Roman" w:hAnsi="Times New Roman" w:cs="Times New Roman"/>
                <w:color w:val="auto"/>
                <w:sz w:val="24"/>
                <w:szCs w:val="24"/>
                <w:u w:val="none"/>
                <w:lang w:val="en-US" w:eastAsia="zh-CN"/>
              </w:rPr>
              <w:fldChar w:fldCharType="separate"/>
            </w:r>
            <w:r>
              <w:rPr>
                <w:rFonts w:hint="eastAsia" w:ascii="Times New Roman" w:hAnsi="Times New Roman" w:cs="Times New Roman"/>
                <w:color w:val="auto"/>
                <w:sz w:val="24"/>
                <w:szCs w:val="24"/>
                <w:u w:val="none"/>
                <w:lang w:val="en-US" w:eastAsia="zh-CN"/>
              </w:rPr>
              <w:t>表4.2-1</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p>
          <w:p w14:paraId="0F96DF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bookmarkStart w:id="48" w:name="_Ref198995939"/>
            <w:r>
              <w:rPr>
                <w:rFonts w:hint="eastAsia" w:ascii="Times New Roman" w:hAnsi="Times New Roman" w:cs="Times New Roman"/>
                <w:b/>
                <w:bCs/>
                <w:color w:val="auto"/>
                <w:kern w:val="0"/>
                <w:sz w:val="21"/>
                <w:szCs w:val="21"/>
                <w:lang w:val="en-US" w:eastAsia="zh-CN"/>
              </w:rPr>
              <w:t xml:space="preserve">表 </w:t>
            </w:r>
            <w:r>
              <w:rPr>
                <w:rFonts w:hint="eastAsia" w:ascii="Times New Roman" w:hAnsi="Times New Roman" w:cs="Times New Roman"/>
                <w:b/>
                <w:bCs/>
                <w:color w:val="auto"/>
                <w:kern w:val="0"/>
                <w:sz w:val="21"/>
                <w:szCs w:val="21"/>
                <w:lang w:val="en-US" w:eastAsia="zh-CN"/>
              </w:rPr>
              <w:fldChar w:fldCharType="begin"/>
            </w:r>
            <w:r>
              <w:rPr>
                <w:rFonts w:hint="eastAsia" w:ascii="Times New Roman" w:hAnsi="Times New Roman" w:cs="Times New Roman"/>
                <w:b/>
                <w:bCs/>
                <w:color w:val="auto"/>
                <w:kern w:val="0"/>
                <w:sz w:val="21"/>
                <w:szCs w:val="21"/>
                <w:lang w:val="en-US" w:eastAsia="zh-CN"/>
              </w:rPr>
              <w:instrText xml:space="preserve"> STYLEREF 2 \s </w:instrText>
            </w:r>
            <w:r>
              <w:rPr>
                <w:rFonts w:hint="eastAsia" w:ascii="Times New Roman" w:hAnsi="Times New Roman" w:cs="Times New Roman"/>
                <w:b/>
                <w:bCs/>
                <w:color w:val="auto"/>
                <w:kern w:val="0"/>
                <w:sz w:val="21"/>
                <w:szCs w:val="21"/>
                <w:lang w:val="en-US" w:eastAsia="zh-CN"/>
              </w:rPr>
              <w:fldChar w:fldCharType="separate"/>
            </w:r>
            <w:r>
              <w:rPr>
                <w:rFonts w:hint="eastAsia" w:ascii="Times New Roman" w:hAnsi="Times New Roman" w:cs="Times New Roman"/>
                <w:b/>
                <w:bCs/>
                <w:color w:val="auto"/>
                <w:kern w:val="0"/>
                <w:sz w:val="21"/>
                <w:szCs w:val="21"/>
                <w:lang w:val="en-US" w:eastAsia="zh-CN"/>
              </w:rPr>
              <w:t>4.2</w:t>
            </w:r>
            <w:r>
              <w:rPr>
                <w:rFonts w:hint="eastAsia" w:ascii="Times New Roman" w:hAnsi="Times New Roman" w:cs="Times New Roman"/>
                <w:b/>
                <w:bCs/>
                <w:color w:val="auto"/>
                <w:kern w:val="0"/>
                <w:sz w:val="21"/>
                <w:szCs w:val="21"/>
                <w:lang w:val="en-US" w:eastAsia="zh-CN"/>
              </w:rPr>
              <w:fldChar w:fldCharType="end"/>
            </w:r>
            <w:r>
              <w:rPr>
                <w:rFonts w:hint="eastAsia" w:ascii="Times New Roman" w:hAnsi="Times New Roman" w:cs="Times New Roman"/>
                <w:b/>
                <w:bCs/>
                <w:color w:val="auto"/>
                <w:kern w:val="0"/>
                <w:sz w:val="21"/>
                <w:szCs w:val="21"/>
                <w:lang w:val="en-US" w:eastAsia="zh-CN"/>
              </w:rPr>
              <w:noBreakHyphen/>
            </w:r>
            <w:r>
              <w:rPr>
                <w:rFonts w:hint="eastAsia" w:ascii="Times New Roman" w:hAnsi="Times New Roman" w:cs="Times New Roman"/>
                <w:b/>
                <w:bCs/>
                <w:color w:val="auto"/>
                <w:kern w:val="0"/>
                <w:sz w:val="21"/>
                <w:szCs w:val="21"/>
                <w:lang w:val="en-US" w:eastAsia="zh-CN"/>
              </w:rPr>
              <w:fldChar w:fldCharType="begin"/>
            </w:r>
            <w:r>
              <w:rPr>
                <w:rFonts w:hint="eastAsia" w:ascii="Times New Roman" w:hAnsi="Times New Roman" w:cs="Times New Roman"/>
                <w:b/>
                <w:bCs/>
                <w:color w:val="auto"/>
                <w:kern w:val="0"/>
                <w:sz w:val="21"/>
                <w:szCs w:val="21"/>
                <w:lang w:val="en-US" w:eastAsia="zh-CN"/>
              </w:rPr>
              <w:instrText xml:space="preserve"> SEQ 表 \* ARABIC \s 2 </w:instrText>
            </w:r>
            <w:r>
              <w:rPr>
                <w:rFonts w:hint="eastAsia" w:ascii="Times New Roman" w:hAnsi="Times New Roman" w:cs="Times New Roman"/>
                <w:b/>
                <w:bCs/>
                <w:color w:val="auto"/>
                <w:kern w:val="0"/>
                <w:sz w:val="21"/>
                <w:szCs w:val="21"/>
                <w:lang w:val="en-US" w:eastAsia="zh-CN"/>
              </w:rPr>
              <w:fldChar w:fldCharType="separate"/>
            </w:r>
            <w:r>
              <w:rPr>
                <w:rFonts w:hint="eastAsia" w:ascii="Times New Roman" w:hAnsi="Times New Roman" w:cs="Times New Roman"/>
                <w:b/>
                <w:bCs/>
                <w:color w:val="auto"/>
                <w:kern w:val="0"/>
                <w:sz w:val="21"/>
                <w:szCs w:val="21"/>
                <w:lang w:val="en-US" w:eastAsia="zh-CN"/>
              </w:rPr>
              <w:t>1</w:t>
            </w:r>
            <w:r>
              <w:rPr>
                <w:rFonts w:hint="eastAsia" w:ascii="Times New Roman" w:hAnsi="Times New Roman" w:cs="Times New Roman"/>
                <w:b/>
                <w:bCs/>
                <w:color w:val="auto"/>
                <w:kern w:val="0"/>
                <w:sz w:val="21"/>
                <w:szCs w:val="21"/>
                <w:lang w:val="en-US" w:eastAsia="zh-CN"/>
              </w:rPr>
              <w:fldChar w:fldCharType="end"/>
            </w:r>
            <w:bookmarkEnd w:id="48"/>
            <w:r>
              <w:rPr>
                <w:rFonts w:hint="eastAsia" w:ascii="Times New Roman" w:hAnsi="Times New Roman" w:cs="Times New Roman"/>
                <w:b/>
                <w:bCs/>
                <w:color w:val="auto"/>
                <w:kern w:val="0"/>
                <w:sz w:val="21"/>
                <w:szCs w:val="21"/>
                <w:lang w:val="en-US" w:eastAsia="zh-CN"/>
              </w:rPr>
              <w:t xml:space="preserve">  不同粒径尘粒的沉降速度</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689"/>
              <w:gridCol w:w="689"/>
              <w:gridCol w:w="689"/>
              <w:gridCol w:w="689"/>
              <w:gridCol w:w="689"/>
              <w:gridCol w:w="689"/>
              <w:gridCol w:w="689"/>
            </w:tblGrid>
            <w:tr w14:paraId="2B83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noWrap w:val="0"/>
                  <w:vAlign w:val="center"/>
                </w:tcPr>
                <w:p w14:paraId="4CA66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粉尘粒径（μm）</w:t>
                  </w:r>
                </w:p>
              </w:tc>
              <w:tc>
                <w:tcPr>
                  <w:tcW w:w="689" w:type="dxa"/>
                  <w:shd w:val="clear" w:color="auto" w:fill="auto"/>
                  <w:noWrap w:val="0"/>
                  <w:vAlign w:val="center"/>
                </w:tcPr>
                <w:p w14:paraId="01FE0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w:t>
                  </w:r>
                </w:p>
              </w:tc>
              <w:tc>
                <w:tcPr>
                  <w:tcW w:w="689" w:type="dxa"/>
                  <w:shd w:val="clear" w:color="auto" w:fill="auto"/>
                  <w:noWrap w:val="0"/>
                  <w:vAlign w:val="center"/>
                </w:tcPr>
                <w:p w14:paraId="1E6AC4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20</w:t>
                  </w:r>
                </w:p>
              </w:tc>
              <w:tc>
                <w:tcPr>
                  <w:tcW w:w="689" w:type="dxa"/>
                  <w:shd w:val="clear" w:color="auto" w:fill="auto"/>
                  <w:noWrap w:val="0"/>
                  <w:vAlign w:val="center"/>
                </w:tcPr>
                <w:p w14:paraId="6E1E3A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30</w:t>
                  </w:r>
                </w:p>
              </w:tc>
              <w:tc>
                <w:tcPr>
                  <w:tcW w:w="689" w:type="dxa"/>
                  <w:shd w:val="clear" w:color="auto" w:fill="auto"/>
                  <w:noWrap w:val="0"/>
                  <w:vAlign w:val="center"/>
                </w:tcPr>
                <w:p w14:paraId="5DECF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40</w:t>
                  </w:r>
                </w:p>
              </w:tc>
              <w:tc>
                <w:tcPr>
                  <w:tcW w:w="689" w:type="dxa"/>
                  <w:shd w:val="clear" w:color="auto" w:fill="auto"/>
                  <w:noWrap w:val="0"/>
                  <w:vAlign w:val="center"/>
                </w:tcPr>
                <w:p w14:paraId="2D7A5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50</w:t>
                  </w:r>
                </w:p>
              </w:tc>
              <w:tc>
                <w:tcPr>
                  <w:tcW w:w="689" w:type="dxa"/>
                  <w:shd w:val="clear" w:color="auto" w:fill="auto"/>
                  <w:noWrap w:val="0"/>
                  <w:vAlign w:val="center"/>
                </w:tcPr>
                <w:p w14:paraId="34503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60</w:t>
                  </w:r>
                </w:p>
              </w:tc>
              <w:tc>
                <w:tcPr>
                  <w:tcW w:w="689" w:type="dxa"/>
                  <w:shd w:val="clear" w:color="auto" w:fill="auto"/>
                  <w:noWrap w:val="0"/>
                  <w:vAlign w:val="center"/>
                </w:tcPr>
                <w:p w14:paraId="0FB0F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70</w:t>
                  </w:r>
                </w:p>
              </w:tc>
            </w:tr>
            <w:tr w14:paraId="7358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noWrap w:val="0"/>
                  <w:vAlign w:val="center"/>
                </w:tcPr>
                <w:p w14:paraId="5E543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沉降速度（m/s）</w:t>
                  </w:r>
                </w:p>
              </w:tc>
              <w:tc>
                <w:tcPr>
                  <w:tcW w:w="689" w:type="dxa"/>
                  <w:shd w:val="clear" w:color="auto" w:fill="auto"/>
                  <w:noWrap w:val="0"/>
                  <w:vAlign w:val="center"/>
                </w:tcPr>
                <w:p w14:paraId="2E18C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0.003</w:t>
                  </w:r>
                </w:p>
              </w:tc>
              <w:tc>
                <w:tcPr>
                  <w:tcW w:w="689" w:type="dxa"/>
                  <w:shd w:val="clear" w:color="auto" w:fill="auto"/>
                  <w:noWrap w:val="0"/>
                  <w:vAlign w:val="center"/>
                </w:tcPr>
                <w:p w14:paraId="20120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0.012</w:t>
                  </w:r>
                </w:p>
              </w:tc>
              <w:tc>
                <w:tcPr>
                  <w:tcW w:w="689" w:type="dxa"/>
                  <w:shd w:val="clear" w:color="auto" w:fill="auto"/>
                  <w:noWrap w:val="0"/>
                  <w:vAlign w:val="center"/>
                </w:tcPr>
                <w:p w14:paraId="6703A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0.027</w:t>
                  </w:r>
                </w:p>
              </w:tc>
              <w:tc>
                <w:tcPr>
                  <w:tcW w:w="689" w:type="dxa"/>
                  <w:shd w:val="clear" w:color="auto" w:fill="auto"/>
                  <w:noWrap w:val="0"/>
                  <w:vAlign w:val="center"/>
                </w:tcPr>
                <w:p w14:paraId="16DD4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0.048</w:t>
                  </w:r>
                </w:p>
              </w:tc>
              <w:tc>
                <w:tcPr>
                  <w:tcW w:w="689" w:type="dxa"/>
                  <w:shd w:val="clear" w:color="auto" w:fill="auto"/>
                  <w:noWrap w:val="0"/>
                  <w:vAlign w:val="center"/>
                </w:tcPr>
                <w:p w14:paraId="3DDF57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0.075</w:t>
                  </w:r>
                </w:p>
              </w:tc>
              <w:tc>
                <w:tcPr>
                  <w:tcW w:w="689" w:type="dxa"/>
                  <w:shd w:val="clear" w:color="auto" w:fill="auto"/>
                  <w:noWrap w:val="0"/>
                  <w:vAlign w:val="center"/>
                </w:tcPr>
                <w:p w14:paraId="232CB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0.108</w:t>
                  </w:r>
                </w:p>
              </w:tc>
              <w:tc>
                <w:tcPr>
                  <w:tcW w:w="689" w:type="dxa"/>
                  <w:shd w:val="clear" w:color="auto" w:fill="auto"/>
                  <w:noWrap w:val="0"/>
                  <w:vAlign w:val="center"/>
                </w:tcPr>
                <w:p w14:paraId="6F1D3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0.147</w:t>
                  </w:r>
                </w:p>
              </w:tc>
            </w:tr>
            <w:tr w14:paraId="3B21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noWrap w:val="0"/>
                  <w:vAlign w:val="center"/>
                </w:tcPr>
                <w:p w14:paraId="34449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粉尘粒径（μm）</w:t>
                  </w:r>
                </w:p>
              </w:tc>
              <w:tc>
                <w:tcPr>
                  <w:tcW w:w="689" w:type="dxa"/>
                  <w:shd w:val="clear" w:color="auto" w:fill="auto"/>
                  <w:noWrap w:val="0"/>
                  <w:vAlign w:val="center"/>
                </w:tcPr>
                <w:p w14:paraId="4E62BD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80</w:t>
                  </w:r>
                </w:p>
              </w:tc>
              <w:tc>
                <w:tcPr>
                  <w:tcW w:w="689" w:type="dxa"/>
                  <w:shd w:val="clear" w:color="auto" w:fill="auto"/>
                  <w:noWrap w:val="0"/>
                  <w:vAlign w:val="center"/>
                </w:tcPr>
                <w:p w14:paraId="5F43D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90</w:t>
                  </w:r>
                </w:p>
              </w:tc>
              <w:tc>
                <w:tcPr>
                  <w:tcW w:w="689" w:type="dxa"/>
                  <w:shd w:val="clear" w:color="auto" w:fill="auto"/>
                  <w:noWrap w:val="0"/>
                  <w:vAlign w:val="center"/>
                </w:tcPr>
                <w:p w14:paraId="31BE0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100</w:t>
                  </w:r>
                </w:p>
              </w:tc>
              <w:tc>
                <w:tcPr>
                  <w:tcW w:w="689" w:type="dxa"/>
                  <w:shd w:val="clear" w:color="auto" w:fill="auto"/>
                  <w:noWrap w:val="0"/>
                  <w:vAlign w:val="center"/>
                </w:tcPr>
                <w:p w14:paraId="35A2C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150</w:t>
                  </w:r>
                </w:p>
              </w:tc>
              <w:tc>
                <w:tcPr>
                  <w:tcW w:w="689" w:type="dxa"/>
                  <w:shd w:val="clear" w:color="auto" w:fill="auto"/>
                  <w:noWrap w:val="0"/>
                  <w:vAlign w:val="center"/>
                </w:tcPr>
                <w:p w14:paraId="4A406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200</w:t>
                  </w:r>
                </w:p>
              </w:tc>
              <w:tc>
                <w:tcPr>
                  <w:tcW w:w="689" w:type="dxa"/>
                  <w:shd w:val="clear" w:color="auto" w:fill="auto"/>
                  <w:noWrap w:val="0"/>
                  <w:vAlign w:val="center"/>
                </w:tcPr>
                <w:p w14:paraId="56607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250</w:t>
                  </w:r>
                </w:p>
              </w:tc>
              <w:tc>
                <w:tcPr>
                  <w:tcW w:w="689" w:type="dxa"/>
                  <w:shd w:val="clear" w:color="auto" w:fill="auto"/>
                  <w:noWrap w:val="0"/>
                  <w:vAlign w:val="center"/>
                </w:tcPr>
                <w:p w14:paraId="13E6D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350</w:t>
                  </w:r>
                </w:p>
              </w:tc>
            </w:tr>
            <w:tr w14:paraId="4234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noWrap w:val="0"/>
                  <w:vAlign w:val="center"/>
                </w:tcPr>
                <w:p w14:paraId="66748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沉降速度（m/s）</w:t>
                  </w:r>
                </w:p>
              </w:tc>
              <w:tc>
                <w:tcPr>
                  <w:tcW w:w="689" w:type="dxa"/>
                  <w:shd w:val="clear" w:color="auto" w:fill="auto"/>
                  <w:noWrap w:val="0"/>
                  <w:vAlign w:val="center"/>
                </w:tcPr>
                <w:p w14:paraId="1BCE26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0.158</w:t>
                  </w:r>
                </w:p>
              </w:tc>
              <w:tc>
                <w:tcPr>
                  <w:tcW w:w="689" w:type="dxa"/>
                  <w:shd w:val="clear" w:color="auto" w:fill="auto"/>
                  <w:noWrap w:val="0"/>
                  <w:vAlign w:val="center"/>
                </w:tcPr>
                <w:p w14:paraId="31F7D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0.170</w:t>
                  </w:r>
                </w:p>
              </w:tc>
              <w:tc>
                <w:tcPr>
                  <w:tcW w:w="689" w:type="dxa"/>
                  <w:shd w:val="clear" w:color="auto" w:fill="auto"/>
                  <w:noWrap w:val="0"/>
                  <w:vAlign w:val="center"/>
                </w:tcPr>
                <w:p w14:paraId="3C3954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0.182</w:t>
                  </w:r>
                </w:p>
              </w:tc>
              <w:tc>
                <w:tcPr>
                  <w:tcW w:w="689" w:type="dxa"/>
                  <w:shd w:val="clear" w:color="auto" w:fill="auto"/>
                  <w:noWrap w:val="0"/>
                  <w:vAlign w:val="center"/>
                </w:tcPr>
                <w:p w14:paraId="56CB6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0.239</w:t>
                  </w:r>
                </w:p>
              </w:tc>
              <w:tc>
                <w:tcPr>
                  <w:tcW w:w="689" w:type="dxa"/>
                  <w:shd w:val="clear" w:color="auto" w:fill="auto"/>
                  <w:noWrap w:val="0"/>
                  <w:vAlign w:val="center"/>
                </w:tcPr>
                <w:p w14:paraId="79562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0.804</w:t>
                  </w:r>
                </w:p>
              </w:tc>
              <w:tc>
                <w:tcPr>
                  <w:tcW w:w="689" w:type="dxa"/>
                  <w:shd w:val="clear" w:color="auto" w:fill="auto"/>
                  <w:noWrap w:val="0"/>
                  <w:vAlign w:val="center"/>
                </w:tcPr>
                <w:p w14:paraId="4EFB3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1.005</w:t>
                  </w:r>
                </w:p>
              </w:tc>
              <w:tc>
                <w:tcPr>
                  <w:tcW w:w="689" w:type="dxa"/>
                  <w:shd w:val="clear" w:color="auto" w:fill="auto"/>
                  <w:noWrap w:val="0"/>
                  <w:vAlign w:val="center"/>
                </w:tcPr>
                <w:p w14:paraId="1E6602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1.829</w:t>
                  </w:r>
                </w:p>
              </w:tc>
            </w:tr>
            <w:tr w14:paraId="1FBE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noWrap w:val="0"/>
                  <w:vAlign w:val="center"/>
                </w:tcPr>
                <w:p w14:paraId="061C0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粉尘粒径（μm）</w:t>
                  </w:r>
                </w:p>
              </w:tc>
              <w:tc>
                <w:tcPr>
                  <w:tcW w:w="689" w:type="dxa"/>
                  <w:shd w:val="clear" w:color="auto" w:fill="auto"/>
                  <w:noWrap w:val="0"/>
                  <w:vAlign w:val="center"/>
                </w:tcPr>
                <w:p w14:paraId="00412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450</w:t>
                  </w:r>
                </w:p>
              </w:tc>
              <w:tc>
                <w:tcPr>
                  <w:tcW w:w="689" w:type="dxa"/>
                  <w:shd w:val="clear" w:color="auto" w:fill="auto"/>
                  <w:noWrap w:val="0"/>
                  <w:vAlign w:val="center"/>
                </w:tcPr>
                <w:p w14:paraId="70FBF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550</w:t>
                  </w:r>
                </w:p>
              </w:tc>
              <w:tc>
                <w:tcPr>
                  <w:tcW w:w="689" w:type="dxa"/>
                  <w:shd w:val="clear" w:color="auto" w:fill="auto"/>
                  <w:noWrap w:val="0"/>
                  <w:vAlign w:val="center"/>
                </w:tcPr>
                <w:p w14:paraId="070A5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650</w:t>
                  </w:r>
                </w:p>
              </w:tc>
              <w:tc>
                <w:tcPr>
                  <w:tcW w:w="689" w:type="dxa"/>
                  <w:shd w:val="clear" w:color="auto" w:fill="auto"/>
                  <w:noWrap w:val="0"/>
                  <w:vAlign w:val="center"/>
                </w:tcPr>
                <w:p w14:paraId="4D318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750</w:t>
                  </w:r>
                </w:p>
              </w:tc>
              <w:tc>
                <w:tcPr>
                  <w:tcW w:w="689" w:type="dxa"/>
                  <w:shd w:val="clear" w:color="auto" w:fill="auto"/>
                  <w:noWrap w:val="0"/>
                  <w:vAlign w:val="center"/>
                </w:tcPr>
                <w:p w14:paraId="7FD6A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850</w:t>
                  </w:r>
                </w:p>
              </w:tc>
              <w:tc>
                <w:tcPr>
                  <w:tcW w:w="689" w:type="dxa"/>
                  <w:shd w:val="clear" w:color="auto" w:fill="auto"/>
                  <w:noWrap w:val="0"/>
                  <w:vAlign w:val="center"/>
                </w:tcPr>
                <w:p w14:paraId="5478F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950</w:t>
                  </w:r>
                </w:p>
              </w:tc>
              <w:tc>
                <w:tcPr>
                  <w:tcW w:w="689" w:type="dxa"/>
                  <w:shd w:val="clear" w:color="auto" w:fill="auto"/>
                  <w:noWrap w:val="0"/>
                  <w:vAlign w:val="center"/>
                </w:tcPr>
                <w:p w14:paraId="731B8A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1050</w:t>
                  </w:r>
                </w:p>
              </w:tc>
            </w:tr>
            <w:tr w14:paraId="254F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noWrap w:val="0"/>
                  <w:vAlign w:val="center"/>
                </w:tcPr>
                <w:p w14:paraId="7AE0A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沉降速度（m/s）</w:t>
                  </w:r>
                </w:p>
              </w:tc>
              <w:tc>
                <w:tcPr>
                  <w:tcW w:w="689" w:type="dxa"/>
                  <w:shd w:val="clear" w:color="auto" w:fill="auto"/>
                  <w:noWrap w:val="0"/>
                  <w:vAlign w:val="center"/>
                </w:tcPr>
                <w:p w14:paraId="3AE96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2.211</w:t>
                  </w:r>
                </w:p>
              </w:tc>
              <w:tc>
                <w:tcPr>
                  <w:tcW w:w="689" w:type="dxa"/>
                  <w:shd w:val="clear" w:color="auto" w:fill="auto"/>
                  <w:noWrap w:val="0"/>
                  <w:vAlign w:val="center"/>
                </w:tcPr>
                <w:p w14:paraId="6840F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2.614</w:t>
                  </w:r>
                </w:p>
              </w:tc>
              <w:tc>
                <w:tcPr>
                  <w:tcW w:w="689" w:type="dxa"/>
                  <w:shd w:val="clear" w:color="auto" w:fill="auto"/>
                  <w:noWrap w:val="0"/>
                  <w:vAlign w:val="center"/>
                </w:tcPr>
                <w:p w14:paraId="0EDA7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3.016</w:t>
                  </w:r>
                </w:p>
              </w:tc>
              <w:tc>
                <w:tcPr>
                  <w:tcW w:w="689" w:type="dxa"/>
                  <w:shd w:val="clear" w:color="auto" w:fill="auto"/>
                  <w:noWrap w:val="0"/>
                  <w:vAlign w:val="center"/>
                </w:tcPr>
                <w:p w14:paraId="279B0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3.418</w:t>
                  </w:r>
                </w:p>
              </w:tc>
              <w:tc>
                <w:tcPr>
                  <w:tcW w:w="689" w:type="dxa"/>
                  <w:shd w:val="clear" w:color="auto" w:fill="auto"/>
                  <w:noWrap w:val="0"/>
                  <w:vAlign w:val="center"/>
                </w:tcPr>
                <w:p w14:paraId="7FEEC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3.820</w:t>
                  </w:r>
                </w:p>
              </w:tc>
              <w:tc>
                <w:tcPr>
                  <w:tcW w:w="689" w:type="dxa"/>
                  <w:shd w:val="clear" w:color="auto" w:fill="auto"/>
                  <w:noWrap w:val="0"/>
                  <w:vAlign w:val="center"/>
                </w:tcPr>
                <w:p w14:paraId="5D582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4.222</w:t>
                  </w:r>
                </w:p>
              </w:tc>
              <w:tc>
                <w:tcPr>
                  <w:tcW w:w="689" w:type="dxa"/>
                  <w:shd w:val="clear" w:color="auto" w:fill="auto"/>
                  <w:noWrap w:val="0"/>
                  <w:vAlign w:val="center"/>
                </w:tcPr>
                <w:p w14:paraId="372F1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4.624</w:t>
                  </w:r>
                </w:p>
              </w:tc>
            </w:tr>
          </w:tbl>
          <w:p w14:paraId="2253ADA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可见，当尘粒大于</w:t>
            </w:r>
            <w:r>
              <w:rPr>
                <w:rFonts w:hint="default" w:ascii="Times New Roman" w:hAnsi="Times New Roman" w:cs="Times New Roman"/>
                <w:color w:val="auto"/>
                <w:sz w:val="24"/>
                <w:szCs w:val="24"/>
                <w:u w:val="none"/>
                <w:lang w:val="en-US" w:eastAsia="zh-CN"/>
              </w:rPr>
              <w:t>200μm时，粉尘可在扬尘点近距离范围内快速沉降，而真正对外环境产生影响的是一些微小粒径的粉尘。同是，由于本项目工程主要位于岸滩区域，空气湿度较大，对施工现场空气环境影响较小。</w:t>
            </w:r>
          </w:p>
          <w:p w14:paraId="21E0A03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sz w:val="24"/>
                <w:szCs w:val="24"/>
                <w:u w:val="none"/>
                <w:lang w:val="en-US" w:eastAsia="zh-CN"/>
              </w:rPr>
            </w:pPr>
            <w:r>
              <w:rPr>
                <w:rFonts w:hint="eastAsia" w:ascii="Times New Roman" w:hAnsi="Times New Roman" w:cs="Times New Roman"/>
                <w:b/>
                <w:bCs/>
                <w:color w:val="auto"/>
                <w:sz w:val="24"/>
                <w:szCs w:val="24"/>
                <w:u w:val="none"/>
                <w:lang w:val="en-US" w:eastAsia="zh-CN"/>
              </w:rPr>
              <w:t>（2）施工机械、运输车辆排放废气</w:t>
            </w:r>
          </w:p>
          <w:p w14:paraId="30C648D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项目施工期排放的废气主要包括施工机械设备的废气、运输车辆排放的尾气、施工船舶排放的尾气，主要污染物是NO</w:t>
            </w:r>
            <w:r>
              <w:rPr>
                <w:rFonts w:hint="eastAsia" w:ascii="Times New Roman" w:hAnsi="Times New Roman" w:cs="Times New Roman"/>
                <w:color w:val="auto"/>
                <w:sz w:val="24"/>
                <w:szCs w:val="24"/>
                <w:u w:val="none"/>
                <w:vertAlign w:val="subscript"/>
                <w:lang w:val="en-US" w:eastAsia="zh-CN"/>
              </w:rPr>
              <w:t>x</w:t>
            </w:r>
            <w:r>
              <w:rPr>
                <w:rFonts w:hint="eastAsia" w:ascii="Times New Roman" w:hAnsi="Times New Roman" w:cs="Times New Roman"/>
                <w:color w:val="auto"/>
                <w:sz w:val="24"/>
                <w:szCs w:val="24"/>
                <w:u w:val="none"/>
                <w:lang w:val="en-US" w:eastAsia="zh-CN"/>
              </w:rPr>
              <w:t>、SO</w:t>
            </w:r>
            <w:r>
              <w:rPr>
                <w:rFonts w:hint="eastAsia" w:ascii="Times New Roman" w:hAnsi="Times New Roman" w:cs="Times New Roman"/>
                <w:color w:val="auto"/>
                <w:sz w:val="24"/>
                <w:szCs w:val="24"/>
                <w:u w:val="none"/>
                <w:vertAlign w:val="subscript"/>
                <w:lang w:val="en-US" w:eastAsia="zh-CN"/>
              </w:rPr>
              <w:t>2</w:t>
            </w:r>
            <w:r>
              <w:rPr>
                <w:rFonts w:hint="eastAsia" w:ascii="Times New Roman" w:hAnsi="Times New Roman" w:cs="Times New Roman"/>
                <w:color w:val="auto"/>
                <w:sz w:val="24"/>
                <w:szCs w:val="24"/>
                <w:u w:val="none"/>
                <w:lang w:val="en-US" w:eastAsia="zh-CN"/>
              </w:rPr>
              <w:t>、CO、烃类等污染气体。机械使用时间较短，且表现为间歇性，随着施工的结束，这些影响也将消失。根据现场勘查，项目所在区域为开阔海域，通风条件良好，故施工过程中产生的废气中污染物对外界环境的影响较小，本次评价不做定量计算。</w:t>
            </w:r>
          </w:p>
          <w:p w14:paraId="6617591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sz w:val="24"/>
                <w:szCs w:val="24"/>
                <w:u w:val="none"/>
                <w:lang w:val="en-US" w:eastAsia="zh-CN"/>
              </w:rPr>
            </w:pPr>
            <w:r>
              <w:rPr>
                <w:rFonts w:hint="eastAsia" w:ascii="Times New Roman" w:hAnsi="Times New Roman" w:cs="Times New Roman"/>
                <w:b/>
                <w:bCs/>
                <w:color w:val="auto"/>
                <w:sz w:val="24"/>
                <w:szCs w:val="24"/>
                <w:u w:val="none"/>
                <w:lang w:val="en-US" w:eastAsia="zh-CN"/>
              </w:rPr>
              <w:t>（3）环境影响分析</w:t>
            </w:r>
          </w:p>
          <w:p w14:paraId="30DB0BA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施工过程中产生的扬尘对周边的环境影响是本项目施工的重要环境影响源。根据施工的类比调查，扬尘量与土壤湿度、粒径、气候条件、施工方法、施工管理和产尘控制措施有关，一般在风速大于3m/s时容易产生起尘。</w:t>
            </w:r>
          </w:p>
          <w:p w14:paraId="4C2A7CE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由于本项目工程主要位于岸滩区域，空气湿度较大，对施工现场空气环境影响较小。且采取洒水措施，施工场地洒水频率为4~5次/天时，扬尘造成的污染可缩小到20~50m范围内。因此，本项目施工扬尘对大气环境的影响较小。</w:t>
            </w:r>
          </w:p>
          <w:p w14:paraId="3CCFB03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bookmarkStart w:id="49" w:name="OLE_LINK30"/>
            <w:bookmarkStart w:id="50" w:name="OLE_LINK32"/>
            <w:r>
              <w:rPr>
                <w:rFonts w:hint="eastAsia" w:ascii="Times New Roman" w:hAnsi="Times New Roman" w:cs="Times New Roman"/>
                <w:color w:val="auto"/>
                <w:sz w:val="24"/>
                <w:szCs w:val="24"/>
                <w:u w:val="none"/>
                <w:lang w:val="en-US" w:eastAsia="zh-CN"/>
              </w:rPr>
              <w:t>施工机械、运输车辆以柴油为燃料，运距较短且施工机械较少，设备燃油量少，影响范围较小。</w:t>
            </w:r>
            <w:bookmarkEnd w:id="49"/>
            <w:bookmarkEnd w:id="50"/>
            <w:r>
              <w:rPr>
                <w:rFonts w:hint="eastAsia" w:ascii="Times New Roman" w:hAnsi="Times New Roman" w:cs="Times New Roman"/>
                <w:color w:val="auto"/>
                <w:sz w:val="24"/>
                <w:szCs w:val="24"/>
                <w:u w:val="none"/>
                <w:lang w:val="en-US" w:eastAsia="zh-CN"/>
              </w:rPr>
              <w:t>柴油废气影响具有点多、面广、浓度低的特点，对周围环境影响不大。综上所述，本项目施工期对大气环境影响较小。</w:t>
            </w:r>
          </w:p>
          <w:p w14:paraId="2DF64EC3">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4.3声环境影响分析</w:t>
            </w:r>
          </w:p>
          <w:p w14:paraId="71266E32">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4.3.1污染源强</w:t>
            </w:r>
          </w:p>
          <w:p w14:paraId="724D191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通过对施工过程中声源的统计分析可知，陆域施工主要噪声源有自卸汽车、挖掘机等。施工期噪声主要为自卸汽车、挖掘机、平板震动夯等的发动机产生的噪声。这些噪声具有无规则、不连续、高强度等特点，其影响会随着施工的结束而消失。噪声在距离声源1m处的噪声声级范围见下表。</w:t>
            </w:r>
          </w:p>
          <w:p w14:paraId="79CD9E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表4.3</w:t>
            </w:r>
            <w:r>
              <w:rPr>
                <w:rFonts w:hint="eastAsia" w:ascii="Times New Roman" w:hAnsi="Times New Roman" w:cs="Times New Roman"/>
                <w:b/>
                <w:bCs/>
                <w:color w:val="auto"/>
                <w:kern w:val="0"/>
                <w:sz w:val="21"/>
                <w:szCs w:val="21"/>
                <w:lang w:val="en-US" w:eastAsia="zh-CN"/>
              </w:rPr>
              <w:noBreakHyphen/>
            </w:r>
            <w:r>
              <w:rPr>
                <w:rFonts w:hint="eastAsia" w:ascii="Times New Roman" w:hAnsi="Times New Roman" w:cs="Times New Roman"/>
                <w:b/>
                <w:bCs/>
                <w:color w:val="auto"/>
                <w:kern w:val="0"/>
                <w:sz w:val="21"/>
                <w:szCs w:val="21"/>
                <w:lang w:val="en-US" w:eastAsia="zh-CN"/>
              </w:rPr>
              <w:fldChar w:fldCharType="begin"/>
            </w:r>
            <w:r>
              <w:rPr>
                <w:rFonts w:hint="eastAsia" w:ascii="Times New Roman" w:hAnsi="Times New Roman" w:cs="Times New Roman"/>
                <w:b/>
                <w:bCs/>
                <w:color w:val="auto"/>
                <w:kern w:val="0"/>
                <w:sz w:val="21"/>
                <w:szCs w:val="21"/>
                <w:lang w:val="en-US" w:eastAsia="zh-CN"/>
              </w:rPr>
              <w:instrText xml:space="preserve"> SEQ 表 \* ARABIC \s 2 </w:instrText>
            </w:r>
            <w:r>
              <w:rPr>
                <w:rFonts w:hint="eastAsia" w:ascii="Times New Roman" w:hAnsi="Times New Roman" w:cs="Times New Roman"/>
                <w:b/>
                <w:bCs/>
                <w:color w:val="auto"/>
                <w:kern w:val="0"/>
                <w:sz w:val="21"/>
                <w:szCs w:val="21"/>
                <w:lang w:val="en-US" w:eastAsia="zh-CN"/>
              </w:rPr>
              <w:fldChar w:fldCharType="separate"/>
            </w:r>
            <w:r>
              <w:rPr>
                <w:rFonts w:hint="eastAsia" w:ascii="Times New Roman" w:hAnsi="Times New Roman" w:cs="Times New Roman"/>
                <w:b/>
                <w:bCs/>
                <w:color w:val="auto"/>
                <w:kern w:val="0"/>
                <w:sz w:val="21"/>
                <w:szCs w:val="21"/>
                <w:lang w:val="en-US" w:eastAsia="zh-CN"/>
              </w:rPr>
              <w:t>1</w:t>
            </w:r>
            <w:r>
              <w:rPr>
                <w:rFonts w:hint="eastAsia" w:ascii="Times New Roman" w:hAnsi="Times New Roman" w:cs="Times New Roman"/>
                <w:b/>
                <w:bCs/>
                <w:color w:val="auto"/>
                <w:kern w:val="0"/>
                <w:sz w:val="21"/>
                <w:szCs w:val="21"/>
                <w:lang w:val="en-US" w:eastAsia="zh-CN"/>
              </w:rPr>
              <w:fldChar w:fldCharType="end"/>
            </w:r>
            <w:r>
              <w:rPr>
                <w:rFonts w:hint="eastAsia" w:ascii="Times New Roman" w:hAnsi="Times New Roman" w:cs="Times New Roman"/>
                <w:b/>
                <w:bCs/>
                <w:color w:val="auto"/>
                <w:kern w:val="0"/>
                <w:sz w:val="21"/>
                <w:szCs w:val="21"/>
                <w:lang w:val="en-US" w:eastAsia="zh-CN"/>
              </w:rPr>
              <w:t xml:space="preserve">  施工设备噪声一览表</w:t>
            </w:r>
          </w:p>
          <w:tbl>
            <w:tblPr>
              <w:tblStyle w:val="28"/>
              <w:tblW w:w="37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689"/>
              <w:gridCol w:w="2230"/>
              <w:gridCol w:w="1585"/>
            </w:tblGrid>
            <w:tr w14:paraId="72EF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48" w:type="pct"/>
                  <w:noWrap w:val="0"/>
                  <w:vAlign w:val="top"/>
                </w:tcPr>
                <w:p w14:paraId="43AA0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序号</w:t>
                  </w:r>
                </w:p>
              </w:tc>
              <w:tc>
                <w:tcPr>
                  <w:tcW w:w="1366" w:type="pct"/>
                  <w:noWrap w:val="0"/>
                  <w:vAlign w:val="center"/>
                </w:tcPr>
                <w:p w14:paraId="55891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污染源</w:t>
                  </w:r>
                </w:p>
              </w:tc>
              <w:tc>
                <w:tcPr>
                  <w:tcW w:w="1803" w:type="pct"/>
                  <w:noWrap w:val="0"/>
                  <w:vAlign w:val="center"/>
                </w:tcPr>
                <w:p w14:paraId="49DCF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噪声源强dB（A）</w:t>
                  </w:r>
                </w:p>
              </w:tc>
              <w:tc>
                <w:tcPr>
                  <w:tcW w:w="1281" w:type="pct"/>
                  <w:noWrap w:val="0"/>
                  <w:vAlign w:val="center"/>
                </w:tcPr>
                <w:p w14:paraId="1E08E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排放方式</w:t>
                  </w:r>
                </w:p>
              </w:tc>
            </w:tr>
            <w:tr w14:paraId="5C86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noWrap w:val="0"/>
                  <w:vAlign w:val="top"/>
                </w:tcPr>
                <w:p w14:paraId="21B29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w:t>
                  </w:r>
                </w:p>
              </w:tc>
              <w:tc>
                <w:tcPr>
                  <w:tcW w:w="1366" w:type="pct"/>
                  <w:noWrap w:val="0"/>
                  <w:vAlign w:val="center"/>
                </w:tcPr>
                <w:p w14:paraId="46829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自卸汽车</w:t>
                  </w:r>
                </w:p>
              </w:tc>
              <w:tc>
                <w:tcPr>
                  <w:tcW w:w="1803" w:type="pct"/>
                  <w:noWrap w:val="0"/>
                  <w:vAlign w:val="center"/>
                </w:tcPr>
                <w:p w14:paraId="5F580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80-85</w:t>
                  </w:r>
                </w:p>
              </w:tc>
              <w:tc>
                <w:tcPr>
                  <w:tcW w:w="1281" w:type="pct"/>
                  <w:vMerge w:val="restart"/>
                  <w:noWrap w:val="0"/>
                  <w:vAlign w:val="center"/>
                </w:tcPr>
                <w:p w14:paraId="198F3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点源间断排放</w:t>
                  </w:r>
                </w:p>
              </w:tc>
            </w:tr>
            <w:tr w14:paraId="0743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8" w:type="pct"/>
                  <w:noWrap w:val="0"/>
                  <w:vAlign w:val="top"/>
                </w:tcPr>
                <w:p w14:paraId="57C79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w:t>
                  </w:r>
                </w:p>
              </w:tc>
              <w:tc>
                <w:tcPr>
                  <w:tcW w:w="1366" w:type="pct"/>
                  <w:noWrap w:val="0"/>
                  <w:vAlign w:val="center"/>
                </w:tcPr>
                <w:p w14:paraId="5B3D7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挖掘机</w:t>
                  </w:r>
                </w:p>
              </w:tc>
              <w:tc>
                <w:tcPr>
                  <w:tcW w:w="1803" w:type="pct"/>
                  <w:noWrap w:val="0"/>
                  <w:vAlign w:val="center"/>
                </w:tcPr>
                <w:p w14:paraId="70B572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80-85</w:t>
                  </w:r>
                </w:p>
              </w:tc>
              <w:tc>
                <w:tcPr>
                  <w:tcW w:w="1281" w:type="pct"/>
                  <w:vMerge w:val="continue"/>
                  <w:noWrap w:val="0"/>
                  <w:vAlign w:val="center"/>
                </w:tcPr>
                <w:p w14:paraId="32E82721">
                  <w:pPr>
                    <w:pStyle w:val="54"/>
                    <w:keepNext w:val="0"/>
                    <w:keepLines w:val="0"/>
                    <w:suppressLineNumbers w:val="0"/>
                    <w:spacing w:before="0" w:beforeAutospacing="0" w:after="0" w:afterAutospacing="0"/>
                    <w:ind w:left="0" w:right="0"/>
                    <w:rPr>
                      <w:rFonts w:hint="eastAsia"/>
                    </w:rPr>
                  </w:pPr>
                </w:p>
              </w:tc>
            </w:tr>
          </w:tbl>
          <w:p w14:paraId="2B0F78D6">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4.3.2环境影响分析</w:t>
            </w:r>
          </w:p>
          <w:p w14:paraId="10742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sz w:val="24"/>
                <w:szCs w:val="24"/>
              </w:rPr>
              <w:t>工程施工期间的主要噪声源为各种施工机械设备，为点声源，其噪声影响随距离增加而逐渐衰减，噪声衰减公式如下：</w:t>
            </w:r>
          </w:p>
          <w:p w14:paraId="6FD13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i/>
                <w:sz w:val="24"/>
                <w:szCs w:val="24"/>
              </w:rPr>
            </w:pPr>
            <w:r>
              <w:rPr>
                <w:rFonts w:hint="eastAsia"/>
                <w:i/>
                <w:sz w:val="24"/>
                <w:szCs w:val="24"/>
              </w:rPr>
              <w:t>L</w:t>
            </w:r>
            <w:r>
              <w:rPr>
                <w:rFonts w:hint="eastAsia"/>
                <w:i/>
                <w:sz w:val="24"/>
                <w:szCs w:val="24"/>
                <w:vertAlign w:val="subscript"/>
              </w:rPr>
              <w:t>A</w:t>
            </w:r>
            <w:r>
              <w:rPr>
                <w:rFonts w:hint="eastAsia"/>
                <w:i/>
                <w:sz w:val="24"/>
                <w:szCs w:val="24"/>
              </w:rPr>
              <w:t>（r）</w:t>
            </w:r>
            <w:r>
              <w:rPr>
                <w:rFonts w:hint="eastAsia"/>
                <w:sz w:val="24"/>
                <w:szCs w:val="24"/>
              </w:rPr>
              <w:t>=</w:t>
            </w:r>
            <w:r>
              <w:rPr>
                <w:rFonts w:hint="eastAsia"/>
                <w:i/>
                <w:sz w:val="24"/>
                <w:szCs w:val="24"/>
              </w:rPr>
              <w:t>L</w:t>
            </w:r>
            <w:r>
              <w:rPr>
                <w:rFonts w:hint="eastAsia"/>
                <w:i/>
                <w:sz w:val="24"/>
                <w:szCs w:val="24"/>
                <w:vertAlign w:val="subscript"/>
              </w:rPr>
              <w:t>A</w:t>
            </w:r>
            <w:r>
              <w:rPr>
                <w:rFonts w:hint="eastAsia"/>
                <w:i/>
                <w:sz w:val="24"/>
                <w:szCs w:val="24"/>
              </w:rPr>
              <w:t>（r</w:t>
            </w:r>
            <w:r>
              <w:rPr>
                <w:rFonts w:hint="eastAsia"/>
                <w:i/>
                <w:sz w:val="24"/>
                <w:szCs w:val="24"/>
                <w:vertAlign w:val="subscript"/>
              </w:rPr>
              <w:t>0</w:t>
            </w:r>
            <w:r>
              <w:rPr>
                <w:rFonts w:hint="eastAsia"/>
                <w:i/>
                <w:sz w:val="24"/>
                <w:szCs w:val="24"/>
              </w:rPr>
              <w:t>）</w:t>
            </w:r>
            <w:r>
              <w:rPr>
                <w:rFonts w:hint="eastAsia"/>
                <w:sz w:val="24"/>
                <w:szCs w:val="24"/>
              </w:rPr>
              <w:t>-20lg（r/r</w:t>
            </w:r>
            <w:r>
              <w:rPr>
                <w:rFonts w:hint="eastAsia"/>
                <w:sz w:val="24"/>
                <w:szCs w:val="24"/>
                <w:vertAlign w:val="subscript"/>
              </w:rPr>
              <w:t>0</w:t>
            </w:r>
            <w:r>
              <w:rPr>
                <w:rFonts w:hint="eastAsia"/>
                <w:sz w:val="24"/>
                <w:szCs w:val="24"/>
              </w:rPr>
              <w:t>）-</w:t>
            </w:r>
            <w:r>
              <w:rPr>
                <w:rFonts w:hint="eastAsia"/>
                <w:i/>
                <w:sz w:val="24"/>
                <w:szCs w:val="24"/>
              </w:rPr>
              <w:t>△L</w:t>
            </w:r>
          </w:p>
          <w:p w14:paraId="00D4A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sz w:val="24"/>
                <w:szCs w:val="24"/>
              </w:rPr>
              <w:t>式中，</w:t>
            </w:r>
            <w:r>
              <w:rPr>
                <w:rFonts w:hint="eastAsia"/>
                <w:i/>
                <w:iCs/>
                <w:sz w:val="24"/>
                <w:szCs w:val="24"/>
              </w:rPr>
              <w:t>L</w:t>
            </w:r>
            <w:r>
              <w:rPr>
                <w:rFonts w:hint="eastAsia"/>
                <w:i/>
                <w:iCs/>
                <w:sz w:val="24"/>
                <w:szCs w:val="24"/>
                <w:vertAlign w:val="subscript"/>
              </w:rPr>
              <w:t>A</w:t>
            </w:r>
            <w:r>
              <w:rPr>
                <w:rFonts w:hint="eastAsia"/>
                <w:sz w:val="24"/>
                <w:szCs w:val="24"/>
              </w:rPr>
              <w:t>（r）——距离声源r（m）处的A声级；</w:t>
            </w:r>
          </w:p>
          <w:p w14:paraId="5CDD9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i/>
                <w:iCs/>
                <w:sz w:val="24"/>
                <w:szCs w:val="24"/>
              </w:rPr>
              <w:t>L</w:t>
            </w:r>
            <w:r>
              <w:rPr>
                <w:rFonts w:hint="eastAsia"/>
                <w:i/>
                <w:iCs/>
                <w:sz w:val="24"/>
                <w:szCs w:val="24"/>
                <w:vertAlign w:val="subscript"/>
              </w:rPr>
              <w:t>A</w:t>
            </w:r>
            <w:r>
              <w:rPr>
                <w:rFonts w:hint="eastAsia"/>
                <w:sz w:val="24"/>
                <w:szCs w:val="24"/>
              </w:rPr>
              <w:t>（r</w:t>
            </w:r>
            <w:r>
              <w:rPr>
                <w:rFonts w:hint="eastAsia"/>
                <w:sz w:val="24"/>
                <w:szCs w:val="24"/>
                <w:vertAlign w:val="subscript"/>
              </w:rPr>
              <w:t>0</w:t>
            </w:r>
            <w:r>
              <w:rPr>
                <w:rFonts w:hint="eastAsia"/>
                <w:sz w:val="24"/>
                <w:szCs w:val="24"/>
              </w:rPr>
              <w:t>）——距离声源r</w:t>
            </w:r>
            <w:r>
              <w:rPr>
                <w:rFonts w:hint="eastAsia"/>
                <w:sz w:val="24"/>
                <w:szCs w:val="24"/>
                <w:vertAlign w:val="subscript"/>
              </w:rPr>
              <w:t>0</w:t>
            </w:r>
            <w:r>
              <w:rPr>
                <w:rFonts w:hint="eastAsia"/>
                <w:sz w:val="24"/>
                <w:szCs w:val="24"/>
              </w:rPr>
              <w:t>（m）处的A声级。</w:t>
            </w:r>
          </w:p>
          <w:p w14:paraId="47868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rPr>
            </w:pPr>
            <w:r>
              <w:rPr>
                <w:rFonts w:hint="eastAsia"/>
                <w:i/>
                <w:iCs/>
                <w:sz w:val="24"/>
                <w:szCs w:val="24"/>
              </w:rPr>
              <w:t>△L</w:t>
            </w:r>
            <w:r>
              <w:rPr>
                <w:rFonts w:hint="eastAsia"/>
                <w:sz w:val="24"/>
                <w:szCs w:val="24"/>
              </w:rPr>
              <w:t>—噪声传播路径上因遮挡物、空气和地面状况引起的附加衰减。本陆域施工时均会在施工现场增设围挡，故陆域项目的</w:t>
            </w:r>
            <w:r>
              <w:rPr>
                <w:rFonts w:hint="eastAsia"/>
                <w:i/>
                <w:sz w:val="24"/>
                <w:szCs w:val="24"/>
              </w:rPr>
              <w:t>△L</w:t>
            </w:r>
            <w:r>
              <w:rPr>
                <w:rFonts w:hint="eastAsia"/>
                <w:iCs/>
                <w:sz w:val="24"/>
                <w:szCs w:val="24"/>
              </w:rPr>
              <w:t>取5dB。</w:t>
            </w:r>
          </w:p>
          <w:p w14:paraId="473E1F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表4.3-2  施工机械噪声影响范围  单位：dB（A）</w:t>
            </w:r>
          </w:p>
          <w:tbl>
            <w:tblPr>
              <w:tblStyle w:val="28"/>
              <w:tblW w:w="48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1543"/>
              <w:gridCol w:w="773"/>
              <w:gridCol w:w="773"/>
              <w:gridCol w:w="773"/>
              <w:gridCol w:w="777"/>
              <w:gridCol w:w="681"/>
              <w:gridCol w:w="671"/>
            </w:tblGrid>
            <w:tr w14:paraId="3844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pct"/>
                  <w:vMerge w:val="restart"/>
                  <w:shd w:val="clear" w:color="auto" w:fill="auto"/>
                  <w:noWrap w:val="0"/>
                  <w:vAlign w:val="center"/>
                </w:tcPr>
                <w:p w14:paraId="3AAA4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设备</w:t>
                  </w:r>
                </w:p>
              </w:tc>
              <w:tc>
                <w:tcPr>
                  <w:tcW w:w="958" w:type="pct"/>
                  <w:vMerge w:val="restart"/>
                  <w:shd w:val="clear" w:color="auto" w:fill="auto"/>
                  <w:noWrap w:val="0"/>
                  <w:vAlign w:val="center"/>
                </w:tcPr>
                <w:p w14:paraId="09B9D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1m处噪声值</w:t>
                  </w:r>
                </w:p>
              </w:tc>
              <w:tc>
                <w:tcPr>
                  <w:tcW w:w="1923" w:type="pct"/>
                  <w:gridSpan w:val="4"/>
                  <w:shd w:val="clear" w:color="auto" w:fill="auto"/>
                  <w:noWrap w:val="0"/>
                  <w:vAlign w:val="center"/>
                </w:tcPr>
                <w:p w14:paraId="45C6CB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距离（m）</w:t>
                  </w:r>
                </w:p>
              </w:tc>
              <w:tc>
                <w:tcPr>
                  <w:tcW w:w="840" w:type="pct"/>
                  <w:gridSpan w:val="2"/>
                  <w:shd w:val="clear" w:color="auto" w:fill="auto"/>
                  <w:noWrap w:val="0"/>
                  <w:vAlign w:val="center"/>
                </w:tcPr>
                <w:p w14:paraId="63EFF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限值标准</w:t>
                  </w:r>
                </w:p>
              </w:tc>
            </w:tr>
            <w:tr w14:paraId="7BAF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pct"/>
                  <w:vMerge w:val="continue"/>
                  <w:shd w:val="clear" w:color="auto" w:fill="auto"/>
                  <w:noWrap w:val="0"/>
                  <w:vAlign w:val="center"/>
                </w:tcPr>
                <w:p w14:paraId="2032A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p>
              </w:tc>
              <w:tc>
                <w:tcPr>
                  <w:tcW w:w="958" w:type="pct"/>
                  <w:vMerge w:val="continue"/>
                  <w:shd w:val="clear" w:color="auto" w:fill="auto"/>
                  <w:noWrap w:val="0"/>
                  <w:vAlign w:val="center"/>
                </w:tcPr>
                <w:p w14:paraId="16007E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p>
              </w:tc>
              <w:tc>
                <w:tcPr>
                  <w:tcW w:w="480" w:type="pct"/>
                  <w:shd w:val="clear" w:color="auto" w:fill="auto"/>
                  <w:noWrap w:val="0"/>
                  <w:vAlign w:val="center"/>
                </w:tcPr>
                <w:p w14:paraId="3DD22B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w:t>
                  </w:r>
                </w:p>
              </w:tc>
              <w:tc>
                <w:tcPr>
                  <w:tcW w:w="480" w:type="pct"/>
                  <w:shd w:val="clear" w:color="auto" w:fill="auto"/>
                  <w:noWrap w:val="0"/>
                  <w:vAlign w:val="center"/>
                </w:tcPr>
                <w:p w14:paraId="4D534B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20</w:t>
                  </w:r>
                </w:p>
              </w:tc>
              <w:tc>
                <w:tcPr>
                  <w:tcW w:w="480" w:type="pct"/>
                  <w:shd w:val="clear" w:color="auto" w:fill="auto"/>
                  <w:noWrap w:val="0"/>
                  <w:vAlign w:val="center"/>
                </w:tcPr>
                <w:p w14:paraId="64EED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30</w:t>
                  </w:r>
                </w:p>
              </w:tc>
              <w:tc>
                <w:tcPr>
                  <w:tcW w:w="482" w:type="pct"/>
                  <w:shd w:val="clear" w:color="auto" w:fill="auto"/>
                  <w:noWrap w:val="0"/>
                  <w:vAlign w:val="center"/>
                </w:tcPr>
                <w:p w14:paraId="4A9C1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50</w:t>
                  </w:r>
                </w:p>
              </w:tc>
              <w:tc>
                <w:tcPr>
                  <w:tcW w:w="423" w:type="pct"/>
                  <w:shd w:val="clear" w:color="auto" w:fill="auto"/>
                  <w:noWrap w:val="0"/>
                  <w:vAlign w:val="center"/>
                </w:tcPr>
                <w:p w14:paraId="500DD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昼</w:t>
                  </w:r>
                </w:p>
              </w:tc>
              <w:tc>
                <w:tcPr>
                  <w:tcW w:w="416" w:type="pct"/>
                  <w:shd w:val="clear" w:color="auto" w:fill="auto"/>
                  <w:noWrap w:val="0"/>
                  <w:vAlign w:val="center"/>
                </w:tcPr>
                <w:p w14:paraId="59FA95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夜</w:t>
                  </w:r>
                </w:p>
              </w:tc>
            </w:tr>
            <w:tr w14:paraId="2D3B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pct"/>
                  <w:shd w:val="clear" w:color="auto" w:fill="auto"/>
                  <w:noWrap w:val="0"/>
                  <w:vAlign w:val="center"/>
                </w:tcPr>
                <w:p w14:paraId="309774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自卸汽车、挖掘机</w:t>
                  </w:r>
                </w:p>
              </w:tc>
              <w:tc>
                <w:tcPr>
                  <w:tcW w:w="958" w:type="pct"/>
                  <w:shd w:val="clear" w:color="auto" w:fill="auto"/>
                  <w:noWrap w:val="0"/>
                  <w:vAlign w:val="center"/>
                </w:tcPr>
                <w:p w14:paraId="7B2A55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85</w:t>
                  </w:r>
                </w:p>
              </w:tc>
              <w:tc>
                <w:tcPr>
                  <w:tcW w:w="480" w:type="pct"/>
                  <w:shd w:val="clear" w:color="auto" w:fill="auto"/>
                  <w:noWrap w:val="0"/>
                  <w:vAlign w:val="center"/>
                </w:tcPr>
                <w:p w14:paraId="2DC63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60</w:t>
                  </w:r>
                </w:p>
              </w:tc>
              <w:tc>
                <w:tcPr>
                  <w:tcW w:w="480" w:type="pct"/>
                  <w:shd w:val="clear" w:color="auto" w:fill="auto"/>
                  <w:noWrap w:val="0"/>
                  <w:vAlign w:val="center"/>
                </w:tcPr>
                <w:p w14:paraId="423ADA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54</w:t>
                  </w:r>
                </w:p>
              </w:tc>
              <w:tc>
                <w:tcPr>
                  <w:tcW w:w="480" w:type="pct"/>
                  <w:shd w:val="clear" w:color="auto" w:fill="auto"/>
                  <w:noWrap w:val="0"/>
                  <w:vAlign w:val="center"/>
                </w:tcPr>
                <w:p w14:paraId="0DC9D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50</w:t>
                  </w:r>
                </w:p>
              </w:tc>
              <w:tc>
                <w:tcPr>
                  <w:tcW w:w="482" w:type="pct"/>
                  <w:shd w:val="clear" w:color="auto" w:fill="auto"/>
                  <w:noWrap w:val="0"/>
                  <w:vAlign w:val="center"/>
                </w:tcPr>
                <w:p w14:paraId="44CB44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46</w:t>
                  </w:r>
                </w:p>
              </w:tc>
              <w:tc>
                <w:tcPr>
                  <w:tcW w:w="423" w:type="pct"/>
                  <w:shd w:val="clear" w:color="auto" w:fill="auto"/>
                  <w:noWrap w:val="0"/>
                  <w:vAlign w:val="center"/>
                </w:tcPr>
                <w:p w14:paraId="7EC6E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70</w:t>
                  </w:r>
                </w:p>
              </w:tc>
              <w:tc>
                <w:tcPr>
                  <w:tcW w:w="416" w:type="pct"/>
                  <w:shd w:val="clear" w:color="auto" w:fill="auto"/>
                  <w:noWrap w:val="0"/>
                  <w:vAlign w:val="center"/>
                </w:tcPr>
                <w:p w14:paraId="3966F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55</w:t>
                  </w:r>
                </w:p>
              </w:tc>
            </w:tr>
          </w:tbl>
          <w:p w14:paraId="6A2D6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z w:val="24"/>
                <w:szCs w:val="24"/>
              </w:rPr>
            </w:pPr>
            <w:r>
              <w:rPr>
                <w:rFonts w:hint="eastAsia" w:ascii="Times New Roman" w:hAnsi="Times New Roman" w:cs="Times New Roman"/>
                <w:sz w:val="24"/>
                <w:szCs w:val="24"/>
              </w:rPr>
              <w:t>根据上表，各项目所用各类设备产生的噪声在传播至10m处时已满足施工期间昼间噪声值，施工期夜间不进行施工操作，不产生噪声，满足《建筑施工场界环境噪声排放标准》（GB 12523-20</w:t>
            </w:r>
            <w:r>
              <w:rPr>
                <w:rFonts w:hint="eastAsia" w:cs="Times New Roman"/>
                <w:sz w:val="24"/>
                <w:szCs w:val="24"/>
                <w:lang w:val="en-US" w:eastAsia="zh-CN"/>
              </w:rPr>
              <w:t>25</w:t>
            </w:r>
            <w:r>
              <w:rPr>
                <w:rFonts w:hint="eastAsia" w:ascii="Times New Roman" w:hAnsi="Times New Roman" w:cs="Times New Roman"/>
                <w:sz w:val="24"/>
                <w:szCs w:val="24"/>
              </w:rPr>
              <w:t>）的要求。各项目所用各类设备产生的噪声在传播至30m处时已满足1类功能区昼间声环境质量标准（55 dB（A））。</w:t>
            </w:r>
          </w:p>
          <w:p w14:paraId="01B26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z w:val="24"/>
                <w:szCs w:val="24"/>
              </w:rPr>
            </w:pPr>
            <w:r>
              <w:rPr>
                <w:rFonts w:hint="eastAsia" w:ascii="Times New Roman" w:hAnsi="Times New Roman" w:cs="Times New Roman"/>
                <w:sz w:val="24"/>
                <w:szCs w:val="24"/>
              </w:rPr>
              <w:t>本项目施工过程为短期过程，施工期采取严格的施工管理，夜间不施工，不会对周边环境敏感目标产生明显影响，且施工噪声对环境的不利影响是暂时的、短期的，在工程竣工后，施工噪声的影响将不再存在。</w:t>
            </w:r>
          </w:p>
          <w:p w14:paraId="0A92F944">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4.4固体废弃物</w:t>
            </w:r>
          </w:p>
          <w:p w14:paraId="11391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rPr>
              <w:t>施工期产生的固体废物主要是施工人员产生的生活垃圾</w:t>
            </w:r>
            <w:r>
              <w:rPr>
                <w:rFonts w:hint="eastAsia" w:ascii="Times New Roman" w:hAnsi="Times New Roman" w:cs="Times New Roman"/>
                <w:sz w:val="24"/>
                <w:szCs w:val="24"/>
                <w:lang w:val="en-US" w:eastAsia="zh-CN"/>
              </w:rPr>
              <w:t>和施工产生的建筑垃圾等</w:t>
            </w:r>
            <w:r>
              <w:rPr>
                <w:rFonts w:hint="eastAsia" w:ascii="Times New Roman" w:hAnsi="Times New Roman" w:cs="Times New Roman"/>
                <w:sz w:val="24"/>
                <w:szCs w:val="24"/>
                <w:lang w:eastAsia="zh-CN"/>
              </w:rPr>
              <w:t>。</w:t>
            </w:r>
          </w:p>
          <w:p w14:paraId="4525C225">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4.4.1生活垃圾</w:t>
            </w:r>
          </w:p>
          <w:p w14:paraId="0CA8C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z w:val="24"/>
                <w:szCs w:val="24"/>
              </w:rPr>
            </w:pPr>
            <w:r>
              <w:rPr>
                <w:rFonts w:hint="eastAsia" w:ascii="Times New Roman" w:hAnsi="Times New Roman" w:cs="Times New Roman"/>
                <w:sz w:val="24"/>
                <w:szCs w:val="24"/>
              </w:rPr>
              <w:t>本项目施工人数约</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0人，施工期为</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0</w:t>
            </w:r>
            <w:r>
              <w:rPr>
                <w:rFonts w:hint="eastAsia" w:ascii="Times New Roman" w:hAnsi="Times New Roman" w:cs="Times New Roman"/>
                <w:sz w:val="24"/>
                <w:szCs w:val="24"/>
                <w:lang w:val="en-US" w:eastAsia="zh-CN"/>
              </w:rPr>
              <w:t>天</w:t>
            </w:r>
            <w:r>
              <w:rPr>
                <w:rFonts w:hint="eastAsia" w:ascii="Times New Roman" w:hAnsi="Times New Roman" w:cs="Times New Roman"/>
                <w:sz w:val="24"/>
                <w:szCs w:val="24"/>
              </w:rPr>
              <w:t>，施工人员生活垃圾产生量按0.7kg/d·人估算，施工期生活垃圾排放量为</w:t>
            </w:r>
            <w:r>
              <w:rPr>
                <w:rFonts w:hint="eastAsia" w:ascii="Times New Roman" w:hAnsi="Times New Roman" w:cs="Times New Roman"/>
                <w:sz w:val="24"/>
                <w:szCs w:val="24"/>
                <w:lang w:val="en-US" w:eastAsia="zh-CN"/>
              </w:rPr>
              <w:t>14</w:t>
            </w:r>
            <w:r>
              <w:rPr>
                <w:rFonts w:hint="eastAsia" w:ascii="Times New Roman" w:hAnsi="Times New Roman" w:cs="Times New Roman"/>
                <w:sz w:val="24"/>
                <w:szCs w:val="24"/>
              </w:rPr>
              <w:t>.0kg/d，施工期生活垃圾产生总量约为</w:t>
            </w:r>
            <w:r>
              <w:rPr>
                <w:rFonts w:hint="eastAsia" w:ascii="Times New Roman" w:hAnsi="Times New Roman" w:cs="Times New Roman"/>
                <w:sz w:val="24"/>
                <w:szCs w:val="24"/>
                <w:lang w:val="en-US" w:eastAsia="zh-CN"/>
              </w:rPr>
              <w:t>0.56t</w:t>
            </w:r>
            <w:r>
              <w:rPr>
                <w:rFonts w:hint="eastAsia" w:ascii="Times New Roman" w:hAnsi="Times New Roman" w:cs="Times New Roman"/>
                <w:sz w:val="24"/>
                <w:szCs w:val="24"/>
              </w:rPr>
              <w:t>。生活垃圾以有机污染物为主，</w:t>
            </w:r>
            <w:r>
              <w:rPr>
                <w:rFonts w:hint="eastAsia" w:ascii="Times New Roman" w:hAnsi="Times New Roman" w:cs="Times New Roman"/>
                <w:sz w:val="24"/>
                <w:szCs w:val="24"/>
                <w:lang w:val="en-US" w:eastAsia="zh-CN"/>
              </w:rPr>
              <w:t>统一收集后送环卫部门接收、转运、处理</w:t>
            </w:r>
            <w:r>
              <w:rPr>
                <w:rFonts w:hint="eastAsia" w:ascii="Times New Roman" w:hAnsi="Times New Roman" w:cs="Times New Roman"/>
                <w:sz w:val="24"/>
                <w:szCs w:val="24"/>
              </w:rPr>
              <w:t>。</w:t>
            </w:r>
          </w:p>
          <w:p w14:paraId="2C87AD26">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4.4.2施工现场产生的建筑垃圾、岸滩清理产生的垃圾</w:t>
            </w:r>
          </w:p>
          <w:p w14:paraId="2B8F3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产生于岸线清理、生态护岸，预估需要清除的土工建筑垃圾产生量为2t，沙滩清理产生的杂草、海漂垃圾、木头等垃圾约1t，交由资源回收单位或环卫部门接收、转运、处理。</w:t>
            </w:r>
          </w:p>
          <w:p w14:paraId="3C687BE8">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4.5海洋生态影响分析</w:t>
            </w:r>
          </w:p>
          <w:p w14:paraId="3AB7A0BE">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4.5.1水文动力环境影响分析</w:t>
            </w:r>
          </w:p>
          <w:p w14:paraId="4B944EF1">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4.5.1.1水动力模型介绍</w:t>
            </w:r>
          </w:p>
          <w:p w14:paraId="06E21A9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rPr>
            </w:pPr>
            <w:r>
              <w:rPr>
                <w:rFonts w:hint="eastAsia" w:ascii="Times New Roman" w:hAnsi="Times New Roman" w:cs="Times New Roman"/>
                <w:color w:val="auto"/>
                <w:sz w:val="24"/>
                <w:lang w:val="en-US" w:eastAsia="zh-CN"/>
              </w:rPr>
              <w:t>本项目采用非结构网格的有限体积海洋模型进行水动力模拟。防城港沿海海域地形复杂，水动力数值模拟对网格分辨率要求极高，因此选用三角形网格模式作为本课题的数值模型。</w:t>
            </w:r>
          </w:p>
          <w:p w14:paraId="0EA8DC54">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bookmarkStart w:id="51" w:name="_Toc183188492"/>
            <w:r>
              <w:rPr>
                <w:rFonts w:hint="eastAsia" w:ascii="Times New Roman" w:hAnsi="Times New Roman" w:cs="Times New Roman"/>
                <w:b/>
                <w:bCs/>
                <w:color w:val="auto"/>
                <w:sz w:val="24"/>
                <w:lang w:val="en-US" w:eastAsia="zh-CN"/>
              </w:rPr>
              <w:t>4.5.1.1.1模型方程组</w:t>
            </w:r>
            <w:bookmarkEnd w:id="51"/>
          </w:p>
          <w:p w14:paraId="5F5A2B9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模式海洋原始控制方程组由动量方程、连续方程、密度方程、温度方程和盐度方程组成：</w:t>
            </w:r>
          </w:p>
          <w:p w14:paraId="15BC40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sz w:val="24"/>
                <w:szCs w:val="22"/>
                <w:lang w:val="en-US"/>
              </w:rPr>
            </w:pPr>
            <w:r>
              <w:rPr>
                <w:rFonts w:hint="eastAsia" w:ascii="等线" w:hAnsi="等线" w:eastAsia="等线" w:cs="Times New Roman"/>
                <w:color w:val="FF0000"/>
                <w:kern w:val="2"/>
                <w:sz w:val="24"/>
                <w:szCs w:val="22"/>
                <w:lang w:val="en-US" w:eastAsia="zh-CN" w:bidi="ar"/>
              </w:rPr>
              <w:object>
                <v:shape id="_x0000_i1026" o:spt="75" type="#_x0000_t75" style="height:29.8pt;width:76.1pt;" o:ole="t" filled="f" o:preferrelative="t" stroked="f" coordsize="21600,21600">
                  <v:path/>
                  <v:fill on="f" focussize="0,0"/>
                  <v:stroke on="f"/>
                  <v:imagedata r:id="rId19" o:title=""/>
                  <o:lock v:ext="edit" aspectratio="t"/>
                  <w10:wrap type="none"/>
                  <w10:anchorlock/>
                </v:shape>
                <o:OLEObject Type="Embed" ProgID="Equation.3" ShapeID="_x0000_i1026" DrawAspect="Content" ObjectID="_1468075726" r:id="rId18">
                  <o:LockedField>false</o:LockedField>
                </o:OLEObject>
              </w:object>
            </w:r>
          </w:p>
          <w:p w14:paraId="78F27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sz w:val="24"/>
                <w:szCs w:val="22"/>
                <w:lang w:val="en-US"/>
              </w:rPr>
            </w:pPr>
            <w:r>
              <w:rPr>
                <w:rFonts w:hint="eastAsia" w:ascii="等线" w:hAnsi="等线" w:eastAsia="等线" w:cs="Times New Roman"/>
                <w:color w:val="FF0000"/>
                <w:kern w:val="2"/>
                <w:sz w:val="24"/>
                <w:szCs w:val="22"/>
                <w:lang w:val="en-US" w:eastAsia="zh-CN" w:bidi="ar"/>
              </w:rPr>
              <w:object>
                <v:shape id="_x0000_i1027" o:spt="75" type="#_x0000_t75" style="height:32.65pt;width:255.05pt;" o:ole="t" filled="f" o:preferrelative="t" stroked="f" coordsize="21600,21600">
                  <v:path/>
                  <v:fill on="f" focussize="0,0"/>
                  <v:stroke on="f"/>
                  <v:imagedata r:id="rId21" o:title=""/>
                  <o:lock v:ext="edit" aspectratio="t"/>
                  <w10:wrap type="none"/>
                  <w10:anchorlock/>
                </v:shape>
                <o:OLEObject Type="Embed" ProgID="Equation.3" ShapeID="_x0000_i1027" DrawAspect="Content" ObjectID="_1468075727" r:id="rId20">
                  <o:LockedField>false</o:LockedField>
                </o:OLEObject>
              </w:object>
            </w:r>
          </w:p>
          <w:p w14:paraId="30BE2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sz w:val="24"/>
                <w:szCs w:val="22"/>
                <w:lang w:val="en-US"/>
              </w:rPr>
            </w:pPr>
            <w:r>
              <w:rPr>
                <w:rFonts w:hint="eastAsia" w:ascii="等线" w:hAnsi="等线" w:eastAsia="等线" w:cs="Times New Roman"/>
                <w:kern w:val="2"/>
                <w:sz w:val="24"/>
                <w:szCs w:val="22"/>
                <w:lang w:val="en-US" w:eastAsia="zh-CN" w:bidi="ar"/>
              </w:rPr>
              <w:object>
                <v:shape id="_x0000_i1028" o:spt="75" type="#_x0000_t75" style="height:32.9pt;width:257.05pt;" o:ole="t" filled="f" o:preferrelative="t" stroked="f" coordsize="21600,21600">
                  <v:path/>
                  <v:fill on="f" focussize="0,0"/>
                  <v:stroke on="f"/>
                  <v:imagedata r:id="rId23" o:title=""/>
                  <o:lock v:ext="edit" aspectratio="t"/>
                  <w10:wrap type="none"/>
                  <w10:anchorlock/>
                </v:shape>
                <o:OLEObject Type="Embed" ProgID="Equation.3" ShapeID="_x0000_i1028" DrawAspect="Content" ObjectID="_1468075728" r:id="rId22">
                  <o:LockedField>false</o:LockedField>
                </o:OLEObject>
              </w:object>
            </w:r>
          </w:p>
          <w:p w14:paraId="1E864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sz w:val="24"/>
                <w:szCs w:val="22"/>
                <w:lang w:val="en-US"/>
              </w:rPr>
            </w:pPr>
            <w:r>
              <w:rPr>
                <w:rFonts w:hint="eastAsia" w:ascii="等线" w:hAnsi="等线" w:eastAsia="等线" w:cs="Times New Roman"/>
                <w:kern w:val="2"/>
                <w:sz w:val="24"/>
                <w:szCs w:val="22"/>
                <w:lang w:val="en-US" w:eastAsia="zh-CN" w:bidi="ar"/>
              </w:rPr>
              <w:object>
                <v:shape id="_x0000_i1029" o:spt="75" type="#_x0000_t75" style="height:27.6pt;width:49.65pt;" o:ole="t" filled="f" o:preferrelative="t" stroked="f" coordsize="21600,21600">
                  <v:path/>
                  <v:fill on="f" focussize="0,0"/>
                  <v:stroke on="f"/>
                  <v:imagedata r:id="rId25" o:title=""/>
                  <o:lock v:ext="edit" aspectratio="t"/>
                  <w10:wrap type="none"/>
                  <w10:anchorlock/>
                </v:shape>
                <o:OLEObject Type="Embed" ProgID="Equation.3" ShapeID="_x0000_i1029" DrawAspect="Content" ObjectID="_1468075729" r:id="rId24">
                  <o:LockedField>false</o:LockedField>
                </o:OLEObject>
              </w:object>
            </w:r>
          </w:p>
          <w:p w14:paraId="106A5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sz w:val="24"/>
                <w:szCs w:val="22"/>
                <w:lang w:val="en-US"/>
              </w:rPr>
            </w:pPr>
            <w:r>
              <w:rPr>
                <w:rFonts w:hint="eastAsia" w:ascii="等线" w:hAnsi="等线" w:eastAsia="等线" w:cs="Times New Roman"/>
                <w:kern w:val="2"/>
                <w:sz w:val="24"/>
                <w:szCs w:val="22"/>
                <w:lang w:val="en-US" w:eastAsia="zh-CN" w:bidi="ar"/>
              </w:rPr>
              <w:object>
                <v:shape id="_x0000_i1030" o:spt="75" type="#_x0000_t75" style="height:14.5pt;width:54.5pt;" o:ole="t" filled="f" o:preferrelative="t" stroked="f" coordsize="21600,21600">
                  <v:path/>
                  <v:fill on="f" focussize="0,0"/>
                  <v:stroke on="f"/>
                  <v:imagedata r:id="rId27" o:title=""/>
                  <o:lock v:ext="edit" aspectratio="t"/>
                  <w10:wrap type="none"/>
                  <w10:anchorlock/>
                </v:shape>
                <o:OLEObject Type="Embed" ProgID="Equation.3" ShapeID="_x0000_i1030" DrawAspect="Content" ObjectID="_1468075730" r:id="rId26">
                  <o:LockedField>false</o:LockedField>
                </o:OLEObject>
              </w:object>
            </w:r>
          </w:p>
          <w:p w14:paraId="445A23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sz w:val="24"/>
                <w:szCs w:val="22"/>
                <w:lang w:val="en-US"/>
              </w:rPr>
            </w:pPr>
            <w:r>
              <w:rPr>
                <w:rFonts w:hint="eastAsia" w:ascii="等线" w:hAnsi="等线" w:eastAsia="等线" w:cs="Times New Roman"/>
                <w:kern w:val="2"/>
                <w:sz w:val="24"/>
                <w:szCs w:val="22"/>
                <w:lang w:val="en-US" w:eastAsia="zh-CN" w:bidi="ar"/>
              </w:rPr>
              <w:object>
                <v:shape id="_x0000_i1031" o:spt="75" type="#_x0000_t75" style="height:29.3pt;width:174.5pt;" o:ole="t" filled="f" o:preferrelative="t" stroked="f" coordsize="21600,21600">
                  <v:path/>
                  <v:fill on="f" focussize="0,0"/>
                  <v:stroke on="f"/>
                  <v:imagedata r:id="rId29" o:title=""/>
                  <o:lock v:ext="edit" aspectratio="t"/>
                  <w10:wrap type="none"/>
                  <w10:anchorlock/>
                </v:shape>
                <o:OLEObject Type="Embed" ProgID="Equation.3" ShapeID="_x0000_i1031" DrawAspect="Content" ObjectID="_1468075731" r:id="rId28">
                  <o:LockedField>false</o:LockedField>
                </o:OLEObject>
              </w:object>
            </w:r>
          </w:p>
          <w:p w14:paraId="3C219F21">
            <w:pPr>
              <w:keepNext w:val="0"/>
              <w:keepLines w:val="0"/>
              <w:pageBreakBefore w:val="0"/>
              <w:widowControl w:val="0"/>
              <w:suppressLineNumbers w:val="0"/>
              <w:kinsoku/>
              <w:wordWrap/>
              <w:overflowPunct/>
              <w:topLinePunct w:val="0"/>
              <w:autoSpaceDE/>
              <w:autoSpaceDN/>
              <w:bidi w:val="0"/>
              <w:adjustRightInd/>
              <w:snapToGrid/>
              <w:spacing w:before="120" w:beforeLines="50" w:beforeAutospacing="0" w:after="120" w:afterLines="50" w:afterAutospacing="0" w:line="240" w:lineRule="auto"/>
              <w:ind w:left="0" w:right="0" w:firstLine="480" w:firstLineChars="200"/>
              <w:jc w:val="left"/>
              <w:textAlignment w:val="auto"/>
              <w:rPr>
                <w:rFonts w:hint="eastAsia"/>
                <w:sz w:val="24"/>
                <w:szCs w:val="22"/>
                <w:lang w:val="en-US"/>
              </w:rPr>
            </w:pPr>
            <w:r>
              <w:rPr>
                <w:rFonts w:hint="eastAsia" w:ascii="等线" w:hAnsi="等线" w:eastAsia="等线" w:cs="Times New Roman"/>
                <w:kern w:val="2"/>
                <w:sz w:val="24"/>
                <w:szCs w:val="22"/>
                <w:lang w:val="en-US" w:eastAsia="zh-CN" w:bidi="ar"/>
              </w:rPr>
              <w:object>
                <v:shape id="_x0000_i1032" o:spt="75" type="#_x0000_t75" style="height:15.95pt;width:52.45pt;" o:ole="t" filled="f" o:preferrelative="t" stroked="f" coordsize="21600,21600">
                  <v:path/>
                  <v:fill on="f" focussize="0,0"/>
                  <v:stroke on="f"/>
                  <v:imagedata r:id="rId31" o:title=""/>
                  <o:lock v:ext="edit" aspectratio="t"/>
                  <w10:wrap type="none"/>
                  <w10:anchorlock/>
                </v:shape>
                <o:OLEObject Type="Embed" ProgID="Equation.3" ShapeID="_x0000_i1032" DrawAspect="Content" ObjectID="_1468075732" r:id="rId30">
                  <o:LockedField>false</o:LockedField>
                </o:OLEObject>
              </w:object>
            </w:r>
          </w:p>
          <w:p w14:paraId="5B881E1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384" w:rightChars="183" w:firstLine="480" w:firstLineChars="20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iCs/>
                <w:kern w:val="0"/>
                <w:sz w:val="24"/>
                <w:szCs w:val="24"/>
                <w:lang w:val="en-US" w:eastAsia="zh-CN" w:bidi="ar"/>
              </w:rPr>
              <w:t>上式中，x为直角坐标系中东向坐标，y为北向坐标，z为垂直方向的坐标；u是x方向上的速度分量，v是y方向上的速度分量，w是z方向上的速度分量；g为重力加速度；</w:t>
            </w:r>
            <w:r>
              <w:rPr>
                <w:rFonts w:hint="default" w:ascii="Times New Roman" w:hAnsi="Times New Roman" w:eastAsia="宋体" w:cs="Times New Roman"/>
                <w:iCs/>
                <w:kern w:val="0"/>
                <w:sz w:val="24"/>
                <w:szCs w:val="24"/>
                <w:lang w:val="en-US" w:eastAsia="zh-CN" w:bidi="ar"/>
              </w:rPr>
              <w:object>
                <v:shape id="_x0000_i1033" o:spt="75" type="#_x0000_t75" style="height:13.9pt;width:12.75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33" r:id="rId32">
                  <o:LockedField>false</o:LockedField>
                </o:OLEObject>
              </w:object>
            </w:r>
            <w:r>
              <w:rPr>
                <w:rFonts w:hint="default" w:ascii="Times New Roman" w:hAnsi="Times New Roman" w:eastAsia="宋体" w:cs="Times New Roman"/>
                <w:iCs/>
                <w:kern w:val="0"/>
                <w:sz w:val="24"/>
                <w:szCs w:val="24"/>
                <w:lang w:val="en-US" w:eastAsia="zh-CN" w:bidi="ar"/>
              </w:rPr>
              <w:t>为密度；S为盐度；</w:t>
            </w:r>
            <w:r>
              <w:rPr>
                <w:rFonts w:hint="default" w:ascii="Times New Roman" w:hAnsi="Times New Roman" w:eastAsia="宋体" w:cs="Times New Roman"/>
                <w:iCs/>
                <w:kern w:val="0"/>
                <w:sz w:val="24"/>
                <w:szCs w:val="24"/>
                <w:lang w:val="en-US" w:eastAsia="zh-CN" w:bidi="ar"/>
              </w:rPr>
              <w:object>
                <v:shape id="_x0000_i1034" o:spt="75" type="#_x0000_t75" style="height:12.75pt;width:12.75pt;" o:ole="t" filled="f" o:preferrelative="t" stroked="f" coordsize="21600,21600">
                  <v:path/>
                  <v:fill on="f" focussize="0,0"/>
                  <v:stroke on="f" joinstyle="miter"/>
                  <v:imagedata r:id="rId35" o:title=""/>
                  <o:lock v:ext="edit" aspectratio="t"/>
                  <w10:wrap type="none"/>
                  <w10:anchorlock/>
                </v:shape>
                <o:OLEObject Type="Embed" ProgID="Equation.3" ShapeID="_x0000_i1034" DrawAspect="Content" ObjectID="_1468075734" r:id="rId34">
                  <o:LockedField>false</o:LockedField>
                </o:OLEObject>
              </w:object>
            </w:r>
            <w:r>
              <w:rPr>
                <w:rFonts w:hint="default" w:ascii="Times New Roman" w:hAnsi="Times New Roman" w:eastAsia="宋体" w:cs="Times New Roman"/>
                <w:iCs/>
                <w:kern w:val="0"/>
                <w:sz w:val="24"/>
                <w:szCs w:val="24"/>
                <w:lang w:val="en-US" w:eastAsia="zh-CN" w:bidi="ar"/>
              </w:rPr>
              <w:t>是位温；P为压强；f是科氏力参数；</w:t>
            </w:r>
            <w:r>
              <w:rPr>
                <w:rFonts w:hint="default" w:ascii="Times New Roman" w:hAnsi="Times New Roman" w:eastAsia="宋体" w:cs="Times New Roman"/>
                <w:iCs/>
                <w:kern w:val="0"/>
                <w:sz w:val="24"/>
                <w:szCs w:val="24"/>
                <w:lang w:val="en-US" w:eastAsia="zh-CN" w:bidi="ar"/>
              </w:rPr>
              <w:object>
                <v:shape id="_x0000_i1035" o:spt="75" type="#_x0000_t75" style="height:18pt;width:18pt;" o:ole="t" filled="f" o:preferrelative="t" stroked="f" coordsize="21600,21600">
                  <v:path/>
                  <v:fill on="f" focussize="0,0"/>
                  <v:stroke on="f" joinstyle="miter"/>
                  <v:imagedata r:id="rId37" o:title=""/>
                  <o:lock v:ext="edit" aspectratio="t"/>
                  <w10:wrap type="none"/>
                  <w10:anchorlock/>
                </v:shape>
                <o:OLEObject Type="Embed" ProgID="Equation.3" ShapeID="_x0000_i1035" DrawAspect="Content" ObjectID="_1468075735" r:id="rId36">
                  <o:LockedField>false</o:LockedField>
                </o:OLEObject>
              </w:object>
            </w:r>
            <w:r>
              <w:rPr>
                <w:rFonts w:hint="default" w:ascii="Times New Roman" w:hAnsi="Times New Roman" w:eastAsia="宋体" w:cs="Times New Roman"/>
                <w:iCs/>
                <w:kern w:val="0"/>
                <w:sz w:val="24"/>
                <w:szCs w:val="24"/>
                <w:lang w:val="en-US" w:eastAsia="zh-CN" w:bidi="ar"/>
              </w:rPr>
              <w:t>和</w:t>
            </w:r>
            <w:r>
              <w:rPr>
                <w:rFonts w:hint="default" w:ascii="Times New Roman" w:hAnsi="Times New Roman" w:eastAsia="宋体" w:cs="Times New Roman"/>
                <w:iCs/>
                <w:kern w:val="0"/>
                <w:sz w:val="24"/>
                <w:szCs w:val="24"/>
                <w:lang w:val="en-US" w:eastAsia="zh-CN" w:bidi="ar"/>
              </w:rPr>
              <w:object>
                <v:shape id="_x0000_i1036" o:spt="75" type="#_x0000_t75" style="height:18pt;width:18pt;" o:ole="t" filled="f" o:preferrelative="t" stroked="f" coordsize="21600,21600">
                  <v:path/>
                  <v:fill on="f" focussize="0,0"/>
                  <v:stroke on="f" joinstyle="miter"/>
                  <v:imagedata r:id="rId39" o:title=""/>
                  <o:lock v:ext="edit" aspectratio="t"/>
                  <w10:wrap type="none"/>
                  <w10:anchorlock/>
                </v:shape>
                <o:OLEObject Type="Embed" ProgID="Equation.3" ShapeID="_x0000_i1036" DrawAspect="Content" ObjectID="_1468075736" r:id="rId38">
                  <o:LockedField>false</o:LockedField>
                </o:OLEObject>
              </w:object>
            </w:r>
            <w:r>
              <w:rPr>
                <w:rFonts w:hint="default" w:ascii="Times New Roman" w:hAnsi="Times New Roman" w:eastAsia="宋体" w:cs="Times New Roman"/>
                <w:kern w:val="2"/>
                <w:sz w:val="24"/>
                <w:szCs w:val="24"/>
                <w:lang w:val="en-US" w:eastAsia="zh-CN" w:bidi="ar"/>
              </w:rPr>
              <w:t>分别为垂向涡动黏性系数和热力学垂向涡动摩擦系数。</w:t>
            </w:r>
            <w:r>
              <w:rPr>
                <w:rFonts w:hint="default" w:ascii="Times New Roman" w:hAnsi="Times New Roman" w:eastAsia="宋体" w:cs="Times New Roman"/>
                <w:i/>
                <w:iCs/>
                <w:kern w:val="2"/>
                <w:sz w:val="24"/>
                <w:szCs w:val="24"/>
                <w:lang w:val="en-US" w:eastAsia="zh-CN" w:bidi="ar"/>
              </w:rPr>
              <w:t>F</w:t>
            </w:r>
            <w:r>
              <w:rPr>
                <w:rFonts w:hint="default" w:ascii="Times New Roman" w:hAnsi="Times New Roman" w:eastAsia="宋体" w:cs="Times New Roman"/>
                <w:i/>
                <w:iCs/>
                <w:kern w:val="2"/>
                <w:sz w:val="24"/>
                <w:szCs w:val="24"/>
                <w:vertAlign w:val="subscript"/>
                <w:lang w:val="en-US" w:eastAsia="zh-CN" w:bidi="ar"/>
              </w:rPr>
              <w:t>u</w:t>
            </w:r>
            <w:r>
              <w:rPr>
                <w:rFonts w:hint="default" w:ascii="Times New Roman" w:hAnsi="Times New Roman" w:eastAsia="宋体" w:cs="Times New Roman"/>
                <w:kern w:val="2"/>
                <w:sz w:val="24"/>
                <w:szCs w:val="24"/>
                <w:lang w:val="en-US" w:eastAsia="zh-CN" w:bidi="ar"/>
              </w:rPr>
              <w:t>和</w:t>
            </w:r>
            <w:r>
              <w:rPr>
                <w:rFonts w:hint="default" w:ascii="Times New Roman" w:hAnsi="Times New Roman" w:eastAsia="宋体" w:cs="Times New Roman"/>
                <w:i/>
                <w:iCs/>
                <w:kern w:val="2"/>
                <w:sz w:val="24"/>
                <w:szCs w:val="24"/>
                <w:lang w:val="en-US" w:eastAsia="zh-CN" w:bidi="ar"/>
              </w:rPr>
              <w:t>F</w:t>
            </w:r>
            <w:r>
              <w:rPr>
                <w:rFonts w:hint="default" w:ascii="Times New Roman" w:hAnsi="Times New Roman" w:eastAsia="宋体" w:cs="Times New Roman"/>
                <w:i/>
                <w:iCs/>
                <w:kern w:val="2"/>
                <w:sz w:val="24"/>
                <w:szCs w:val="24"/>
                <w:vertAlign w:val="subscript"/>
                <w:lang w:val="en-US" w:eastAsia="zh-CN" w:bidi="ar"/>
              </w:rPr>
              <w:t>v</w:t>
            </w:r>
            <w:r>
              <w:rPr>
                <w:rFonts w:hint="default" w:ascii="Times New Roman" w:hAnsi="Times New Roman" w:eastAsia="宋体" w:cs="Times New Roman"/>
                <w:kern w:val="2"/>
                <w:sz w:val="24"/>
                <w:szCs w:val="24"/>
                <w:lang w:val="en-US" w:eastAsia="zh-CN" w:bidi="ar"/>
              </w:rPr>
              <w:t xml:space="preserve">是水平动量扩散项， </w:t>
            </w:r>
            <w:r>
              <w:rPr>
                <w:rFonts w:hint="default" w:ascii="Times New Roman" w:hAnsi="Times New Roman" w:eastAsia="宋体" w:cs="Times New Roman"/>
                <w:kern w:val="2"/>
                <w:sz w:val="24"/>
                <w:szCs w:val="24"/>
                <w:lang w:val="en-US" w:eastAsia="zh-CN" w:bidi="ar"/>
              </w:rPr>
              <w:object>
                <v:shape id="_x0000_i1037" o:spt="75" type="#_x0000_t75" style="height:18pt;width:18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7" r:id="rId40">
                  <o:LockedField>false</o:LockedField>
                </o:OLEObject>
              </w:object>
            </w:r>
            <w:r>
              <w:rPr>
                <w:rFonts w:hint="default" w:ascii="Times New Roman" w:hAnsi="Times New Roman" w:eastAsia="宋体" w:cs="Times New Roman"/>
                <w:kern w:val="2"/>
                <w:sz w:val="24"/>
                <w:szCs w:val="24"/>
                <w:lang w:val="en-US" w:eastAsia="zh-CN" w:bidi="ar"/>
              </w:rPr>
              <w:t>代表温度扩散项，</w:t>
            </w:r>
            <w:r>
              <w:rPr>
                <w:rFonts w:hint="default" w:ascii="Times New Roman" w:hAnsi="Times New Roman" w:eastAsia="宋体" w:cs="Times New Roman"/>
                <w:kern w:val="2"/>
                <w:sz w:val="24"/>
                <w:szCs w:val="24"/>
                <w:lang w:val="en-US" w:eastAsia="zh-CN" w:bidi="ar"/>
              </w:rPr>
              <w:object>
                <v:shape id="_x0000_i1038" o:spt="75" type="#_x0000_t75" style="height:18pt;width:18pt;" o:ole="t" filled="f" o:preferrelative="t" stroked="f" coordsize="21600,21600">
                  <v:path/>
                  <v:fill on="f" focussize="0,0"/>
                  <v:stroke on="f" joinstyle="miter"/>
                  <v:imagedata r:id="rId43" o:title=""/>
                  <o:lock v:ext="edit" aspectratio="t"/>
                  <w10:wrap type="none"/>
                  <w10:anchorlock/>
                </v:shape>
                <o:OLEObject Type="Embed" ProgID="Equation.3" ShapeID="_x0000_i1038" DrawAspect="Content" ObjectID="_1468075738" r:id="rId42">
                  <o:LockedField>false</o:LockedField>
                </o:OLEObject>
              </w:object>
            </w:r>
            <w:r>
              <w:rPr>
                <w:rFonts w:hint="default" w:ascii="Times New Roman" w:hAnsi="Times New Roman" w:eastAsia="宋体" w:cs="Times New Roman"/>
                <w:kern w:val="2"/>
                <w:sz w:val="24"/>
                <w:szCs w:val="24"/>
                <w:lang w:val="en-US" w:eastAsia="zh-CN" w:bidi="ar"/>
              </w:rPr>
              <w:t>代表盐度扩散项。</w:t>
            </w:r>
          </w:p>
          <w:p w14:paraId="3C61A885">
            <w:pPr>
              <w:pStyle w:val="90"/>
              <w:keepNext w:val="0"/>
              <w:keepLines w:val="0"/>
              <w:pageBreakBefore w:val="0"/>
              <w:widowControl/>
              <w:kinsoku/>
              <w:wordWrap/>
              <w:overflowPunct/>
              <w:topLinePunct w:val="0"/>
              <w:autoSpaceDE/>
              <w:autoSpaceDN/>
              <w:bidi w:val="0"/>
              <w:ind w:left="0" w:firstLine="480" w:firstLineChars="20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eastAsia="zh-CN"/>
              </w:rPr>
              <w:t>垂向采用σ坐标，σ坐标变换如下：</w:t>
            </w:r>
          </w:p>
          <w:p w14:paraId="0975B6EC">
            <w:pPr>
              <w:pStyle w:val="90"/>
              <w:keepNext w:val="0"/>
              <w:keepLines w:val="0"/>
              <w:pageBreakBefore w:val="0"/>
              <w:widowControl/>
              <w:kinsoku/>
              <w:wordWrap/>
              <w:overflowPunct/>
              <w:topLinePunct w:val="0"/>
              <w:autoSpaceDE/>
              <w:autoSpaceDN/>
              <w:bidi w:val="0"/>
              <w:ind w:left="0"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eastAsia="zh-CN"/>
              </w:rPr>
              <w:object>
                <v:shape id="_x0000_i1039" o:spt="75" type="#_x0000_t75" style="height:27.5pt;width:82.8pt;" o:ole="t" filled="f" o:preferrelative="t" stroked="f" coordsize="21600,21600">
                  <v:path/>
                  <v:fill on="f" focussize="0,0"/>
                  <v:stroke on="f"/>
                  <v:imagedata r:id="rId45" o:title=""/>
                  <o:lock v:ext="edit" aspectratio="t"/>
                  <w10:wrap type="none"/>
                  <w10:anchorlock/>
                </v:shape>
                <o:OLEObject Type="Embed" ProgID="Equation.3" ShapeID="_x0000_i1039" DrawAspect="Content" ObjectID="_1468075739" r:id="rId44">
                  <o:LockedField>false</o:LockedField>
                </o:OLEObject>
              </w:object>
            </w:r>
          </w:p>
          <w:p w14:paraId="103B9CF9">
            <w:pPr>
              <w:pStyle w:val="90"/>
              <w:keepNext w:val="0"/>
              <w:keepLines w:val="0"/>
              <w:pageBreakBefore w:val="0"/>
              <w:widowControl/>
              <w:kinsoku/>
              <w:wordWrap/>
              <w:overflowPunct/>
              <w:topLinePunct w:val="0"/>
              <w:autoSpaceDE/>
              <w:autoSpaceDN/>
              <w:bidi w:val="0"/>
              <w:ind w:left="0"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eastAsia="zh-CN"/>
              </w:rPr>
              <w:t>在</w:t>
            </w:r>
            <w:r>
              <w:rPr>
                <w:rFonts w:hint="eastAsia" w:ascii="宋体" w:hAnsi="宋体" w:eastAsia="宋体" w:cs="宋体"/>
                <w:sz w:val="24"/>
                <w:szCs w:val="24"/>
                <w:lang w:eastAsia="zh-CN"/>
              </w:rPr>
              <w:object>
                <v:shape id="_x0000_i1040" o:spt="75" type="#_x0000_t75" style="height:13.15pt;width:11.25pt;" o:ole="t" filled="f" o:preferrelative="t" stroked="f" coordsize="21600,21600">
                  <v:path/>
                  <v:fill on="f" focussize="0,0"/>
                  <v:stroke on="f" joinstyle="miter"/>
                  <v:imagedata r:id="rId47" o:title=""/>
                  <o:lock v:ext="edit" aspectratio="t"/>
                  <w10:wrap type="none"/>
                  <w10:anchorlock/>
                </v:shape>
                <o:OLEObject Type="Embed" ProgID="Equation.3" ShapeID="_x0000_i1040" DrawAspect="Content" ObjectID="_1468075740" r:id="rId46">
                  <o:LockedField>false</o:LockedField>
                </o:OLEObject>
              </w:object>
            </w:r>
            <w:r>
              <w:rPr>
                <w:rFonts w:hint="eastAsia" w:ascii="宋体" w:hAnsi="宋体" w:eastAsia="宋体" w:cs="宋体"/>
                <w:sz w:val="24"/>
                <w:szCs w:val="24"/>
                <w:lang w:eastAsia="zh-CN"/>
              </w:rPr>
              <w:t>坐标变换下，模式的控制方程组可写为：</w:t>
            </w:r>
          </w:p>
          <w:p w14:paraId="28BDDA35">
            <w:pPr>
              <w:pStyle w:val="90"/>
              <w:keepNext w:val="0"/>
              <w:keepLines w:val="0"/>
              <w:pageBreakBefore w:val="0"/>
              <w:widowControl/>
              <w:kinsoku/>
              <w:wordWrap/>
              <w:overflowPunct/>
              <w:topLinePunct w:val="0"/>
              <w:autoSpaceDE/>
              <w:autoSpaceDN/>
              <w:bidi w:val="0"/>
              <w:ind w:left="0" w:firstLine="480" w:firstLineChars="200"/>
              <w:textAlignment w:val="auto"/>
              <w:rPr>
                <w:sz w:val="24"/>
                <w:szCs w:val="24"/>
                <w:lang w:val="en-US"/>
              </w:rPr>
            </w:pPr>
            <w:r>
              <w:rPr>
                <w:sz w:val="24"/>
                <w:szCs w:val="24"/>
                <w:lang w:eastAsia="zh-CN"/>
              </w:rPr>
              <w:object>
                <v:shape id="_x0000_i1041" o:spt="75" type="#_x0000_t75" style="height:30.8pt;width:128.9pt;" o:ole="t" filled="f" o:preferrelative="t" stroked="f" coordsize="21600,21600">
                  <v:path/>
                  <v:fill on="f" focussize="0,0"/>
                  <v:stroke on="f"/>
                  <v:imagedata r:id="rId49" o:title=""/>
                  <o:lock v:ext="edit" aspectratio="t"/>
                  <w10:wrap type="none"/>
                  <w10:anchorlock/>
                </v:shape>
                <o:OLEObject Type="Embed" ProgID="Equation.3" ShapeID="_x0000_i1041" DrawAspect="Content" ObjectID="_1468075741" r:id="rId48">
                  <o:LockedField>false</o:LockedField>
                </o:OLEObject>
              </w:object>
            </w:r>
          </w:p>
          <w:p w14:paraId="6A212E23">
            <w:pPr>
              <w:pStyle w:val="90"/>
              <w:keepNext w:val="0"/>
              <w:keepLines w:val="0"/>
              <w:pageBreakBefore w:val="0"/>
              <w:widowControl/>
              <w:kinsoku/>
              <w:wordWrap/>
              <w:overflowPunct/>
              <w:topLinePunct w:val="0"/>
              <w:autoSpaceDE/>
              <w:autoSpaceDN/>
              <w:bidi w:val="0"/>
              <w:ind w:left="0" w:firstLine="480" w:firstLineChars="200"/>
              <w:textAlignment w:val="auto"/>
              <w:rPr>
                <w:sz w:val="24"/>
                <w:szCs w:val="24"/>
                <w:lang w:val="en-US"/>
              </w:rPr>
            </w:pPr>
            <w:r>
              <w:rPr>
                <w:sz w:val="24"/>
                <w:szCs w:val="24"/>
                <w:lang w:eastAsia="zh-CN"/>
              </w:rPr>
              <w:object>
                <v:shape id="_x0000_i1042" o:spt="75" type="#_x0000_t75" style="height:67.15pt;width:289.25pt;" o:ole="t" filled="f" o:preferrelative="t" stroked="f" coordsize="21600,21600">
                  <v:path/>
                  <v:fill on="f" focussize="0,0"/>
                  <v:stroke on="f"/>
                  <v:imagedata r:id="rId51" o:title=""/>
                  <o:lock v:ext="edit" aspectratio="t"/>
                  <w10:wrap type="none"/>
                  <w10:anchorlock/>
                </v:shape>
                <o:OLEObject Type="Embed" ProgID="Equation.3" ShapeID="_x0000_i1042" DrawAspect="Content" ObjectID="_1468075742" r:id="rId50">
                  <o:LockedField>false</o:LockedField>
                </o:OLEObject>
              </w:object>
            </w:r>
          </w:p>
          <w:p w14:paraId="1A106D87">
            <w:pPr>
              <w:pStyle w:val="90"/>
              <w:keepNext w:val="0"/>
              <w:keepLines w:val="0"/>
              <w:pageBreakBefore w:val="0"/>
              <w:widowControl/>
              <w:kinsoku/>
              <w:wordWrap/>
              <w:overflowPunct/>
              <w:topLinePunct w:val="0"/>
              <w:autoSpaceDE/>
              <w:autoSpaceDN/>
              <w:bidi w:val="0"/>
              <w:ind w:left="0" w:firstLine="480" w:firstLineChars="200"/>
              <w:textAlignment w:val="auto"/>
              <w:rPr>
                <w:sz w:val="24"/>
                <w:szCs w:val="24"/>
                <w:lang w:val="en-US"/>
              </w:rPr>
            </w:pPr>
            <w:r>
              <w:rPr>
                <w:sz w:val="24"/>
                <w:szCs w:val="24"/>
                <w:lang w:eastAsia="zh-CN"/>
              </w:rPr>
              <w:object>
                <v:shape id="_x0000_i1043" o:spt="75" type="#_x0000_t75" style="height:69.1pt;width:295.5pt;" o:ole="t" filled="f" o:preferrelative="t" stroked="f" coordsize="21600,21600">
                  <v:path/>
                  <v:fill on="f" focussize="0,0"/>
                  <v:stroke on="f"/>
                  <v:imagedata r:id="rId53" o:title=""/>
                  <o:lock v:ext="edit" aspectratio="t"/>
                  <w10:wrap type="none"/>
                  <w10:anchorlock/>
                </v:shape>
                <o:OLEObject Type="Embed" ProgID="Equation.3" ShapeID="_x0000_i1043" DrawAspect="Content" ObjectID="_1468075743" r:id="rId52">
                  <o:LockedField>false</o:LockedField>
                </o:OLEObject>
              </w:object>
            </w:r>
          </w:p>
          <w:p w14:paraId="511EF1A3">
            <w:pPr>
              <w:pStyle w:val="90"/>
              <w:keepNext w:val="0"/>
              <w:keepLines w:val="0"/>
              <w:pageBreakBefore w:val="0"/>
              <w:widowControl/>
              <w:kinsoku/>
              <w:wordWrap/>
              <w:overflowPunct/>
              <w:topLinePunct w:val="0"/>
              <w:autoSpaceDE/>
              <w:autoSpaceDN/>
              <w:bidi w:val="0"/>
              <w:ind w:left="0" w:firstLine="480" w:firstLineChars="200"/>
              <w:textAlignment w:val="auto"/>
              <w:rPr>
                <w:sz w:val="24"/>
                <w:szCs w:val="24"/>
                <w:lang w:val="en-US"/>
              </w:rPr>
            </w:pPr>
            <w:r>
              <w:rPr>
                <w:sz w:val="24"/>
                <w:szCs w:val="24"/>
                <w:lang w:eastAsia="zh-CN"/>
              </w:rPr>
              <w:object>
                <v:shape id="_x0000_i1044" o:spt="75" type="#_x0000_t75" style="height:30.4pt;width:269.85pt;" o:ole="t" filled="f" o:preferrelative="t" stroked="f" coordsize="21600,21600">
                  <v:path/>
                  <v:fill on="f" focussize="0,0"/>
                  <v:stroke on="f"/>
                  <v:imagedata r:id="rId55" o:title=""/>
                  <o:lock v:ext="edit" aspectratio="t"/>
                  <w10:wrap type="none"/>
                  <w10:anchorlock/>
                </v:shape>
                <o:OLEObject Type="Embed" ProgID="Equation.3" ShapeID="_x0000_i1044" DrawAspect="Content" ObjectID="_1468075744" r:id="rId54">
                  <o:LockedField>false</o:LockedField>
                </o:OLEObject>
              </w:object>
            </w:r>
          </w:p>
          <w:p w14:paraId="2098E14F">
            <w:pPr>
              <w:pStyle w:val="90"/>
              <w:keepNext w:val="0"/>
              <w:keepLines w:val="0"/>
              <w:pageBreakBefore w:val="0"/>
              <w:widowControl/>
              <w:kinsoku/>
              <w:wordWrap/>
              <w:overflowPunct/>
              <w:topLinePunct w:val="0"/>
              <w:autoSpaceDE/>
              <w:autoSpaceDN/>
              <w:bidi w:val="0"/>
              <w:ind w:left="0" w:firstLine="480" w:firstLineChars="200"/>
              <w:textAlignment w:val="auto"/>
              <w:rPr>
                <w:sz w:val="24"/>
                <w:szCs w:val="24"/>
                <w:lang w:val="en-US"/>
              </w:rPr>
            </w:pPr>
            <w:r>
              <w:rPr>
                <w:sz w:val="24"/>
                <w:szCs w:val="24"/>
                <w:lang w:eastAsia="zh-CN"/>
              </w:rPr>
              <w:object>
                <v:shape id="_x0000_i1045" o:spt="75" type="#_x0000_t75" style="height:30.7pt;width:236.2pt;" o:ole="t" filled="f" o:preferrelative="t" stroked="f" coordsize="21600,21600">
                  <v:path/>
                  <v:fill on="f" focussize="0,0"/>
                  <v:stroke on="f"/>
                  <v:imagedata r:id="rId57" o:title=""/>
                  <o:lock v:ext="edit" aspectratio="t"/>
                  <w10:wrap type="none"/>
                  <w10:anchorlock/>
                </v:shape>
                <o:OLEObject Type="Embed" ProgID="Equation.3" ShapeID="_x0000_i1045" DrawAspect="Content" ObjectID="_1468075745" r:id="rId56">
                  <o:LockedField>false</o:LockedField>
                </o:OLEObject>
              </w:object>
            </w:r>
          </w:p>
          <w:p w14:paraId="09938BE5">
            <w:pPr>
              <w:pStyle w:val="90"/>
              <w:keepNext w:val="0"/>
              <w:keepLines w:val="0"/>
              <w:pageBreakBefore w:val="0"/>
              <w:widowControl/>
              <w:kinsoku/>
              <w:wordWrap/>
              <w:overflowPunct/>
              <w:topLinePunct w:val="0"/>
              <w:autoSpaceDE/>
              <w:autoSpaceDN/>
              <w:bidi w:val="0"/>
              <w:ind w:left="0" w:firstLine="480" w:firstLineChars="200"/>
              <w:textAlignment w:val="auto"/>
              <w:rPr>
                <w:sz w:val="24"/>
                <w:szCs w:val="24"/>
                <w:lang w:val="en-US"/>
              </w:rPr>
            </w:pPr>
            <w:r>
              <w:rPr>
                <w:sz w:val="24"/>
                <w:szCs w:val="24"/>
                <w:lang w:eastAsia="zh-CN"/>
              </w:rPr>
              <w:object>
                <v:shape id="_x0000_i1046" o:spt="75" type="#_x0000_t75" style="height:16.15pt;width:57pt;" o:ole="t" filled="f" o:preferrelative="t" stroked="f" coordsize="21600,21600">
                  <v:path/>
                  <v:fill on="f" focussize="0,0"/>
                  <v:stroke on="f" joinstyle="miter"/>
                  <v:imagedata r:id="rId59" o:title=""/>
                  <o:lock v:ext="edit" aspectratio="t"/>
                  <w10:wrap type="none"/>
                  <w10:anchorlock/>
                </v:shape>
                <o:OLEObject Type="Embed" ProgID="Equation.3" ShapeID="_x0000_i1046" DrawAspect="Content" ObjectID="_1468075746" r:id="rId58">
                  <o:LockedField>false</o:LockedField>
                </o:OLEObject>
              </w:object>
            </w:r>
          </w:p>
          <w:p w14:paraId="4BC6C92E">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bookmarkStart w:id="52" w:name="_Toc183188493"/>
            <w:r>
              <w:rPr>
                <w:rFonts w:hint="eastAsia" w:ascii="Times New Roman" w:hAnsi="Times New Roman" w:cs="Times New Roman"/>
                <w:b/>
                <w:bCs/>
                <w:color w:val="auto"/>
                <w:sz w:val="24"/>
                <w:lang w:val="en-US" w:eastAsia="zh-CN"/>
              </w:rPr>
              <w:t>4.5.1.1.2有限体积法</w:t>
            </w:r>
            <w:bookmarkEnd w:id="52"/>
          </w:p>
          <w:p w14:paraId="278A879C">
            <w:pPr>
              <w:pStyle w:val="90"/>
              <w:keepNext w:val="0"/>
              <w:keepLines w:val="0"/>
              <w:pageBreakBefore w:val="0"/>
              <w:widowControl/>
              <w:kinsoku/>
              <w:wordWrap/>
              <w:overflowPunct/>
              <w:topLinePunct w:val="0"/>
              <w:autoSpaceDE/>
              <w:autoSpaceDN/>
              <w:bidi w:val="0"/>
              <w:adjustRightInd w:val="0"/>
              <w:snapToGrid w:val="0"/>
              <w:ind w:left="0" w:firstLine="560"/>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eastAsia="zh-CN"/>
              </w:rPr>
              <w:t>对于连续方程，对于一个三角形面积通量为：</w:t>
            </w:r>
          </w:p>
          <w:p w14:paraId="03A98920">
            <w:pPr>
              <w:pStyle w:val="90"/>
              <w:keepNext w:val="0"/>
              <w:keepLines w:val="0"/>
              <w:pageBreakBefore w:val="0"/>
              <w:widowControl/>
              <w:kinsoku/>
              <w:wordWrap/>
              <w:overflowPunct/>
              <w:topLinePunct w:val="0"/>
              <w:autoSpaceDE/>
              <w:autoSpaceDN/>
              <w:bidi w:val="0"/>
              <w:adjustRightInd w:val="0"/>
              <w:snapToGrid w:val="0"/>
              <w:ind w:left="0" w:firstLine="480"/>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2853055" cy="433070"/>
                  <wp:effectExtent l="0" t="0" r="4445" b="5080"/>
                  <wp:docPr id="1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3"/>
                          <pic:cNvPicPr>
                            <a:picLocks noChangeAspect="1"/>
                          </pic:cNvPicPr>
                        </pic:nvPicPr>
                        <pic:blipFill>
                          <a:blip r:embed="rId60"/>
                          <a:stretch>
                            <a:fillRect/>
                          </a:stretch>
                        </pic:blipFill>
                        <pic:spPr>
                          <a:xfrm>
                            <a:off x="0" y="0"/>
                            <a:ext cx="2853055" cy="433070"/>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5CF24EEE">
            <w:pPr>
              <w:pStyle w:val="90"/>
              <w:keepNext w:val="0"/>
              <w:keepLines w:val="0"/>
              <w:pageBreakBefore w:val="0"/>
              <w:widowControl/>
              <w:kinsoku/>
              <w:wordWrap/>
              <w:overflowPunct/>
              <w:topLinePunct w:val="0"/>
              <w:autoSpaceDE/>
              <w:autoSpaceDN/>
              <w:bidi w:val="0"/>
              <w:adjustRightInd w:val="0"/>
              <w:snapToGrid w:val="0"/>
              <w:ind w:left="0" w:firstLine="560"/>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eastAsia="zh-CN"/>
              </w:rPr>
              <w:t>其中，</w:t>
            </w:r>
            <w:r>
              <w:rPr>
                <w:rFonts w:hint="default" w:ascii="Times New Roman" w:hAnsi="Times New Roman" w:eastAsia="宋体" w:cs="Times New Roman"/>
                <w:sz w:val="24"/>
                <w:szCs w:val="24"/>
                <w:lang w:eastAsia="zh-CN"/>
              </w:rPr>
              <w:object>
                <v:shape id="_x0000_i1047" o:spt="75" type="#_x0000_t75" style="height:17.25pt;width:13.15pt;" o:ole="t" filled="f" o:preferrelative="t" stroked="f" coordsize="21600,21600">
                  <v:path/>
                  <v:fill on="f" focussize="0,0"/>
                  <v:stroke on="f" joinstyle="miter"/>
                  <v:imagedata r:id="rId62" o:title=""/>
                  <o:lock v:ext="edit" aspectratio="t"/>
                  <w10:wrap type="none"/>
                  <w10:anchorlock/>
                </v:shape>
                <o:OLEObject Type="Embed" ProgID="" ShapeID="_x0000_i1047" DrawAspect="Content" ObjectID="_1468075747" r:id="rId61">
                  <o:LockedField>false</o:LockedField>
                </o:OLEObject>
              </w:object>
            </w:r>
            <w:r>
              <w:rPr>
                <w:rFonts w:hint="default" w:ascii="Times New Roman" w:hAnsi="Times New Roman" w:eastAsia="宋体" w:cs="Times New Roman"/>
                <w:sz w:val="24"/>
                <w:szCs w:val="24"/>
                <w:lang w:eastAsia="zh-CN"/>
              </w:rPr>
              <w:t>为三角形边的垂直法线分量；</w:t>
            </w:r>
            <w:r>
              <w:rPr>
                <w:rFonts w:hint="default" w:ascii="Times New Roman" w:hAnsi="Times New Roman" w:eastAsia="宋体" w:cs="Times New Roman"/>
                <w:sz w:val="24"/>
                <w:szCs w:val="24"/>
                <w:lang w:eastAsia="zh-CN"/>
              </w:rPr>
              <w:object>
                <v:shape id="_x0000_i1048" o:spt="75" type="#_x0000_t75" style="height:13.9pt;width:13.9pt;" o:ole="t" filled="f" o:preferrelative="t" stroked="f" coordsize="21600,21600">
                  <v:path/>
                  <v:fill on="f" focussize="0,0"/>
                  <v:stroke on="f" joinstyle="miter"/>
                  <v:imagedata r:id="rId64" o:title=""/>
                  <o:lock v:ext="edit" aspectratio="t"/>
                  <w10:wrap type="none"/>
                  <w10:anchorlock/>
                </v:shape>
                <o:OLEObject Type="Embed" ProgID="" ShapeID="_x0000_i1048" DrawAspect="Content" ObjectID="_1468075748" r:id="rId63">
                  <o:LockedField>false</o:LockedField>
                </o:OLEObject>
              </w:object>
            </w:r>
            <w:r>
              <w:rPr>
                <w:rFonts w:hint="default" w:ascii="Times New Roman" w:hAnsi="Times New Roman" w:eastAsia="宋体" w:cs="Times New Roman"/>
                <w:sz w:val="24"/>
                <w:szCs w:val="24"/>
                <w:lang w:eastAsia="zh-CN"/>
              </w:rPr>
              <w:t>为包含三条边的闭合曲线。上述方程是改进的四阶</w:t>
            </w:r>
            <w:r>
              <w:rPr>
                <w:rFonts w:hint="default" w:ascii="Times New Roman" w:hAnsi="Times New Roman" w:eastAsia="宋体" w:cs="Times New Roman"/>
                <w:sz w:val="24"/>
                <w:szCs w:val="24"/>
                <w:lang w:val="en-US"/>
              </w:rPr>
              <w:t>Runge-Kutta</w:t>
            </w:r>
            <w:r>
              <w:rPr>
                <w:rFonts w:hint="default" w:ascii="Times New Roman" w:hAnsi="Times New Roman" w:eastAsia="宋体" w:cs="Times New Roman"/>
                <w:sz w:val="24"/>
                <w:szCs w:val="24"/>
                <w:lang w:eastAsia="zh-CN"/>
              </w:rPr>
              <w:t>时间步长方案的积分。这是具有二阶时间精确性的多阶时间步进法，这种方法的具体步骤如下：</w:t>
            </w:r>
          </w:p>
          <w:p w14:paraId="4D7DB7B4">
            <w:pPr>
              <w:pStyle w:val="90"/>
              <w:keepNext w:val="0"/>
              <w:keepLines w:val="0"/>
              <w:pageBreakBefore w:val="0"/>
              <w:widowControl/>
              <w:kinsoku/>
              <w:wordWrap/>
              <w:overflowPunct/>
              <w:topLinePunct w:val="0"/>
              <w:autoSpaceDE/>
              <w:autoSpaceDN/>
              <w:bidi w:val="0"/>
              <w:adjustRightInd w:val="0"/>
              <w:snapToGrid w:val="0"/>
              <w:spacing w:line="240" w:lineRule="auto"/>
              <w:ind w:left="0" w:firstLine="480"/>
              <w:jc w:val="left"/>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3938905" cy="386715"/>
                  <wp:effectExtent l="0" t="0" r="4445" b="3810"/>
                  <wp:docPr id="1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6"/>
                          <pic:cNvPicPr>
                            <a:picLocks noChangeAspect="1"/>
                          </pic:cNvPicPr>
                        </pic:nvPicPr>
                        <pic:blipFill>
                          <a:blip r:embed="rId65"/>
                          <a:srcRect b="54585"/>
                          <a:stretch>
                            <a:fillRect/>
                          </a:stretch>
                        </pic:blipFill>
                        <pic:spPr>
                          <a:xfrm>
                            <a:off x="0" y="0"/>
                            <a:ext cx="3938905" cy="386715"/>
                          </a:xfrm>
                          <a:prstGeom prst="rect">
                            <a:avLst/>
                          </a:prstGeom>
                          <a:noFill/>
                          <a:ln>
                            <a:noFill/>
                          </a:ln>
                        </pic:spPr>
                      </pic:pic>
                    </a:graphicData>
                  </a:graphic>
                </wp:inline>
              </w:drawing>
            </w:r>
          </w:p>
          <w:p w14:paraId="480A0685">
            <w:pPr>
              <w:pStyle w:val="90"/>
              <w:keepNext w:val="0"/>
              <w:keepLines w:val="0"/>
              <w:pageBreakBefore w:val="0"/>
              <w:widowControl/>
              <w:kinsoku/>
              <w:wordWrap/>
              <w:overflowPunct/>
              <w:topLinePunct w:val="0"/>
              <w:autoSpaceDE/>
              <w:autoSpaceDN/>
              <w:bidi w:val="0"/>
              <w:adjustRightInd w:val="0"/>
              <w:snapToGrid w:val="0"/>
              <w:ind w:left="0" w:firstLine="480"/>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1873885" cy="429260"/>
                  <wp:effectExtent l="0" t="0" r="2540" b="8890"/>
                  <wp:docPr id="1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7"/>
                          <pic:cNvPicPr>
                            <a:picLocks noChangeAspect="1"/>
                          </pic:cNvPicPr>
                        </pic:nvPicPr>
                        <pic:blipFill>
                          <a:blip r:embed="rId65"/>
                          <a:srcRect l="2" t="51172" r="53581"/>
                          <a:stretch>
                            <a:fillRect/>
                          </a:stretch>
                        </pic:blipFill>
                        <pic:spPr>
                          <a:xfrm>
                            <a:off x="0" y="0"/>
                            <a:ext cx="1873885" cy="429260"/>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0B820F0C">
            <w:pPr>
              <w:pStyle w:val="90"/>
              <w:keepNext w:val="0"/>
              <w:keepLines w:val="0"/>
              <w:pageBreakBefore w:val="0"/>
              <w:widowControl/>
              <w:kinsoku/>
              <w:wordWrap/>
              <w:overflowPunct/>
              <w:topLinePunct w:val="0"/>
              <w:autoSpaceDE/>
              <w:autoSpaceDN/>
              <w:bidi w:val="0"/>
              <w:adjustRightInd w:val="0"/>
              <w:snapToGrid w:val="0"/>
              <w:ind w:left="0" w:firstLine="560"/>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eastAsia="zh-CN"/>
              </w:rPr>
              <w:t>其中</w:t>
            </w:r>
            <w:r>
              <w:rPr>
                <w:rFonts w:hint="default" w:ascii="Times New Roman" w:hAnsi="Times New Roman" w:eastAsia="宋体" w:cs="Times New Roman"/>
                <w:sz w:val="24"/>
                <w:szCs w:val="24"/>
                <w:lang w:val="en-US"/>
              </w:rPr>
              <w:t>k=1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object>
                <v:shape id="_x0000_i1049" o:spt="75" type="#_x0000_t75" style="height:16.15pt;width:13.9pt;" o:ole="t" filled="f" o:preferrelative="t" stroked="f" coordsize="21600,21600">
                  <v:path/>
                  <v:fill on="f" focussize="0,0"/>
                  <v:stroke on="f" joinstyle="miter"/>
                  <v:imagedata r:id="rId67" o:title=""/>
                  <o:lock v:ext="edit" aspectratio="t"/>
                  <w10:wrap type="none"/>
                  <w10:anchorlock/>
                </v:shape>
                <o:OLEObject Type="Embed" ProgID="" ShapeID="_x0000_i1049" DrawAspect="Content" ObjectID="_1468075749" r:id="rId66">
                  <o:LockedField>false</o:LockedField>
                </o:OLEObject>
              </w:objec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object>
                <v:shape id="_x0000_i1050" o:spt="75" type="#_x0000_t75" style="height:16.15pt;width:16.15pt;" o:ole="t" filled="f" o:preferrelative="t" stroked="f" coordsize="21600,21600">
                  <v:path/>
                  <v:fill on="f" focussize="0,0"/>
                  <v:stroke on="f" joinstyle="miter"/>
                  <v:imagedata r:id="rId69" o:title=""/>
                  <o:lock v:ext="edit" aspectratio="t"/>
                  <w10:wrap type="none"/>
                  <w10:anchorlock/>
                </v:shape>
                <o:OLEObject Type="Embed" ProgID="" ShapeID="_x0000_i1050" DrawAspect="Content" ObjectID="_1468075750" r:id="rId68">
                  <o:LockedField>false</o:LockedField>
                </o:OLEObject>
              </w:objec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object>
                <v:shape id="_x0000_i1051" o:spt="75" type="#_x0000_t75" style="height:16.15pt;width:15pt;" o:ole="t" filled="f" o:preferrelative="t" stroked="f" coordsize="21600,21600">
                  <v:path/>
                  <v:fill on="f" focussize="0,0"/>
                  <v:stroke on="f" joinstyle="miter"/>
                  <v:imagedata r:id="rId71" o:title=""/>
                  <o:lock v:ext="edit" aspectratio="t"/>
                  <w10:wrap type="none"/>
                  <w10:anchorlock/>
                </v:shape>
                <o:OLEObject Type="Embed" ProgID="" ShapeID="_x0000_i1051" DrawAspect="Content" ObjectID="_1468075751" r:id="rId70">
                  <o:LockedField>false</o:LockedField>
                </o:OLEObject>
              </w:objec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object>
                <v:shape id="_x0000_i1052" o:spt="75" type="#_x0000_t75" style="height:16.15pt;width:16.15pt;" o:ole="t" filled="f" o:preferrelative="t" stroked="f" coordsize="21600,21600">
                  <v:path/>
                  <v:fill on="f" focussize="0,0"/>
                  <v:stroke on="f" joinstyle="miter"/>
                  <v:imagedata r:id="rId73" o:title=""/>
                  <o:lock v:ext="edit" aspectratio="t"/>
                  <w10:wrap type="none"/>
                  <w10:anchorlock/>
                </v:shape>
                <o:OLEObject Type="Embed" ProgID="" ShapeID="_x0000_i1052" DrawAspect="Content" ObjectID="_1468075752" r:id="rId72">
                  <o:LockedField>false</o:LockedField>
                </o:OLEObject>
              </w:objec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rPr>
              <w:t>1/4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rPr>
              <w:t>1/3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rPr>
              <w:t>1/2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rPr>
              <w:t>1</w:t>
            </w:r>
            <w:r>
              <w:rPr>
                <w:rFonts w:hint="default" w:ascii="Times New Roman" w:hAnsi="Times New Roman" w:eastAsia="宋体" w:cs="Times New Roman"/>
                <w:sz w:val="24"/>
                <w:szCs w:val="24"/>
                <w:lang w:eastAsia="zh-CN"/>
              </w:rPr>
              <w:t>）；上标</w:t>
            </w:r>
            <w:r>
              <w:rPr>
                <w:rFonts w:hint="default" w:ascii="Times New Roman" w:hAnsi="Times New Roman" w:eastAsia="宋体" w:cs="Times New Roman"/>
                <w:sz w:val="24"/>
                <w:szCs w:val="24"/>
                <w:lang w:val="en-US"/>
              </w:rPr>
              <w:t>n</w:t>
            </w:r>
            <w:r>
              <w:rPr>
                <w:rFonts w:hint="default" w:ascii="Times New Roman" w:hAnsi="Times New Roman" w:eastAsia="宋体" w:cs="Times New Roman"/>
                <w:sz w:val="24"/>
                <w:szCs w:val="24"/>
                <w:lang w:eastAsia="zh-CN"/>
              </w:rPr>
              <w:t>代表第</w:t>
            </w:r>
            <w:r>
              <w:rPr>
                <w:rFonts w:hint="default" w:ascii="Times New Roman" w:hAnsi="Times New Roman" w:eastAsia="宋体" w:cs="Times New Roman"/>
                <w:sz w:val="24"/>
                <w:szCs w:val="24"/>
                <w:lang w:val="en-US"/>
              </w:rPr>
              <w:t>n</w:t>
            </w:r>
            <w:r>
              <w:rPr>
                <w:rFonts w:hint="default" w:ascii="Times New Roman" w:hAnsi="Times New Roman" w:eastAsia="宋体" w:cs="Times New Roman"/>
                <w:sz w:val="24"/>
                <w:szCs w:val="24"/>
                <w:lang w:eastAsia="zh-CN"/>
              </w:rPr>
              <w:t>个时间步长；</w:t>
            </w:r>
            <w:r>
              <w:rPr>
                <w:rFonts w:hint="default" w:ascii="Times New Roman" w:hAnsi="Times New Roman" w:eastAsia="宋体" w:cs="Times New Roman"/>
                <w:position w:val="-30"/>
                <w:sz w:val="24"/>
                <w:szCs w:val="24"/>
                <w:lang w:val="en-US" w:eastAsia="zh-CN" w:bidi="ar"/>
              </w:rPr>
              <w:drawing>
                <wp:inline distT="0" distB="0" distL="114300" distR="114300">
                  <wp:extent cx="205105" cy="390525"/>
                  <wp:effectExtent l="0" t="0" r="4445" b="0"/>
                  <wp:docPr id="1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2"/>
                          <pic:cNvPicPr>
                            <a:picLocks noChangeAspect="1"/>
                          </pic:cNvPicPr>
                        </pic:nvPicPr>
                        <pic:blipFill>
                          <a:blip r:embed="rId74">
                            <a:clrChange>
                              <a:clrFrom>
                                <a:srgbClr val="FFFFFF"/>
                              </a:clrFrom>
                              <a:clrTo>
                                <a:srgbClr val="FFFFFF">
                                  <a:alpha val="0"/>
                                </a:srgbClr>
                              </a:clrTo>
                            </a:clrChange>
                          </a:blip>
                          <a:stretch>
                            <a:fillRect/>
                          </a:stretch>
                        </pic:blipFill>
                        <pic:spPr>
                          <a:xfrm>
                            <a:off x="0" y="0"/>
                            <a:ext cx="205105" cy="390525"/>
                          </a:xfrm>
                          <a:prstGeom prst="rect">
                            <a:avLst/>
                          </a:prstGeom>
                          <a:noFill/>
                          <a:ln>
                            <a:noFill/>
                          </a:ln>
                        </pic:spPr>
                      </pic:pic>
                    </a:graphicData>
                  </a:graphic>
                </wp:inline>
              </w:drawing>
            </w:r>
            <w:r>
              <w:rPr>
                <w:rFonts w:hint="default" w:ascii="Times New Roman" w:hAnsi="Times New Roman" w:eastAsia="宋体" w:cs="Times New Roman"/>
                <w:sz w:val="24"/>
                <w:szCs w:val="24"/>
                <w:lang w:eastAsia="zh-CN"/>
              </w:rPr>
              <w:t>为质心、相邻三角形边中点与</w:t>
            </w:r>
            <w:r>
              <w:rPr>
                <w:rFonts w:hint="default" w:ascii="Times New Roman" w:hAnsi="Times New Roman" w:eastAsia="宋体" w:cs="Times New Roman"/>
                <w:position w:val="-27"/>
                <w:sz w:val="24"/>
                <w:szCs w:val="24"/>
                <w:lang w:val="en-US" w:eastAsia="zh-CN" w:bidi="ar"/>
              </w:rPr>
              <w:drawing>
                <wp:inline distT="0" distB="0" distL="114300" distR="114300">
                  <wp:extent cx="147955" cy="333375"/>
                  <wp:effectExtent l="0" t="0" r="4445" b="0"/>
                  <wp:docPr id="1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3"/>
                          <pic:cNvPicPr>
                            <a:picLocks noChangeAspect="1"/>
                          </pic:cNvPicPr>
                        </pic:nvPicPr>
                        <pic:blipFill>
                          <a:blip r:embed="rId75">
                            <a:clrChange>
                              <a:clrFrom>
                                <a:srgbClr val="FFFFFF"/>
                              </a:clrFrom>
                              <a:clrTo>
                                <a:srgbClr val="FFFFFF">
                                  <a:alpha val="0"/>
                                </a:srgbClr>
                              </a:clrTo>
                            </a:clrChange>
                          </a:blip>
                          <a:stretch>
                            <a:fillRect/>
                          </a:stretch>
                        </pic:blipFill>
                        <pic:spPr>
                          <a:xfrm>
                            <a:off x="0" y="0"/>
                            <a:ext cx="147955" cy="333375"/>
                          </a:xfrm>
                          <a:prstGeom prst="rect">
                            <a:avLst/>
                          </a:prstGeom>
                          <a:noFill/>
                          <a:ln>
                            <a:noFill/>
                          </a:ln>
                        </pic:spPr>
                      </pic:pic>
                    </a:graphicData>
                  </a:graphic>
                </wp:inline>
              </w:drawing>
            </w:r>
            <w:r>
              <w:rPr>
                <w:rFonts w:hint="default" w:ascii="Times New Roman" w:hAnsi="Times New Roman" w:eastAsia="宋体" w:cs="Times New Roman"/>
                <w:sz w:val="24"/>
                <w:szCs w:val="24"/>
                <w:lang w:eastAsia="zh-CN"/>
              </w:rPr>
              <w:t>所在节点围成的面积。</w:t>
            </w:r>
            <w:r>
              <w:rPr>
                <w:rFonts w:hint="default" w:ascii="Times New Roman" w:hAnsi="Times New Roman" w:eastAsia="宋体" w:cs="Times New Roman"/>
                <w:sz w:val="24"/>
                <w:szCs w:val="24"/>
                <w:lang w:eastAsia="zh-CN"/>
              </w:rPr>
              <w:object>
                <v:shape id="_x0000_i1053" o:spt="75" type="#_x0000_t75" style="height:18pt;width:15pt;" o:ole="t" filled="f" o:preferrelative="t" stroked="f" coordsize="21600,21600">
                  <v:path/>
                  <v:fill on="f" focussize="0,0"/>
                  <v:stroke on="f" joinstyle="miter"/>
                  <v:imagedata r:id="rId77" o:title=""/>
                  <o:lock v:ext="edit" aspectratio="t"/>
                  <w10:wrap type="none"/>
                  <w10:anchorlock/>
                </v:shape>
                <o:OLEObject Type="Embed" ProgID="" ShapeID="_x0000_i1053" DrawAspect="Content" ObjectID="_1468075753" r:id="rId76">
                  <o:LockedField>false</o:LockedField>
                </o:OLEObject>
              </w:object>
            </w:r>
            <w:r>
              <w:rPr>
                <w:rFonts w:hint="default" w:ascii="Times New Roman" w:hAnsi="Times New Roman" w:eastAsia="宋体" w:cs="Times New Roman"/>
                <w:sz w:val="24"/>
                <w:szCs w:val="24"/>
                <w:lang w:eastAsia="zh-CN"/>
              </w:rPr>
              <w:t>和</w:t>
            </w:r>
            <w:r>
              <w:rPr>
                <w:rFonts w:hint="default" w:ascii="Times New Roman" w:hAnsi="Times New Roman" w:eastAsia="宋体" w:cs="Times New Roman"/>
                <w:sz w:val="24"/>
                <w:szCs w:val="24"/>
                <w:lang w:eastAsia="zh-CN"/>
              </w:rPr>
              <w:object>
                <v:shape id="_x0000_i1054" o:spt="75" type="#_x0000_t75" style="height:18pt;width:15pt;" o:ole="t" filled="f" o:preferrelative="t" stroked="f" coordsize="21600,21600">
                  <v:path/>
                  <v:fill on="f" focussize="0,0"/>
                  <v:stroke on="f" joinstyle="miter"/>
                  <v:imagedata r:id="rId79" o:title=""/>
                  <o:lock v:ext="edit" aspectratio="t"/>
                  <w10:wrap type="none"/>
                  <w10:anchorlock/>
                </v:shape>
                <o:OLEObject Type="Embed" ProgID="" ShapeID="_x0000_i1054" DrawAspect="Content" ObjectID="_1468075754" r:id="rId78">
                  <o:LockedField>false</o:LockedField>
                </o:OLEObject>
              </w:object>
            </w:r>
            <w:r>
              <w:rPr>
                <w:rFonts w:hint="default" w:ascii="Times New Roman" w:hAnsi="Times New Roman" w:eastAsia="宋体" w:cs="Times New Roman"/>
                <w:sz w:val="24"/>
                <w:szCs w:val="24"/>
                <w:lang w:eastAsia="zh-CN"/>
              </w:rPr>
              <w:t>定义如下：</w:t>
            </w:r>
          </w:p>
          <w:p w14:paraId="56E6909D">
            <w:pPr>
              <w:pStyle w:val="90"/>
              <w:keepNext w:val="0"/>
              <w:keepLines w:val="0"/>
              <w:pageBreakBefore w:val="0"/>
              <w:widowControl/>
              <w:kinsoku/>
              <w:wordWrap/>
              <w:overflowPunct/>
              <w:topLinePunct w:val="0"/>
              <w:autoSpaceDE/>
              <w:autoSpaceDN/>
              <w:bidi w:val="0"/>
              <w:adjustRightInd w:val="0"/>
              <w:snapToGrid w:val="0"/>
              <w:ind w:left="0" w:firstLine="480"/>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2074545" cy="358775"/>
                  <wp:effectExtent l="0" t="0" r="1905" b="3175"/>
                  <wp:docPr id="1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6"/>
                          <pic:cNvPicPr>
                            <a:picLocks noChangeAspect="1"/>
                          </pic:cNvPicPr>
                        </pic:nvPicPr>
                        <pic:blipFill>
                          <a:blip r:embed="rId80"/>
                          <a:stretch>
                            <a:fillRect/>
                          </a:stretch>
                        </pic:blipFill>
                        <pic:spPr>
                          <a:xfrm>
                            <a:off x="0" y="0"/>
                            <a:ext cx="2074545" cy="358775"/>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740FE6A3">
            <w:pPr>
              <w:pStyle w:val="90"/>
              <w:keepNext w:val="0"/>
              <w:keepLines w:val="0"/>
              <w:pageBreakBefore w:val="0"/>
              <w:widowControl/>
              <w:kinsoku/>
              <w:wordWrap/>
              <w:overflowPunct/>
              <w:topLinePunct w:val="0"/>
              <w:autoSpaceDE/>
              <w:autoSpaceDN/>
              <w:bidi w:val="0"/>
              <w:adjustRightInd w:val="0"/>
              <w:snapToGrid w:val="0"/>
              <w:ind w:left="0" w:firstLine="560"/>
              <w:rPr>
                <w:rFonts w:hint="default" w:ascii="Times New Roman" w:hAnsi="Times New Roman" w:eastAsia="宋体" w:cs="Times New Roman"/>
                <w:sz w:val="24"/>
                <w:szCs w:val="24"/>
                <w:lang w:val="en-US"/>
              </w:rPr>
            </w:pPr>
            <w:r>
              <w:rPr>
                <w:rFonts w:hint="default" w:ascii="Times New Roman" w:hAnsi="Times New Roman" w:eastAsia="宋体" w:cs="Times New Roman"/>
                <w:position w:val="-23"/>
                <w:sz w:val="24"/>
                <w:szCs w:val="24"/>
                <w:lang w:val="en-US" w:eastAsia="zh-CN" w:bidi="ar"/>
              </w:rPr>
              <w:drawing>
                <wp:inline distT="0" distB="0" distL="114300" distR="114300">
                  <wp:extent cx="180975" cy="314325"/>
                  <wp:effectExtent l="0" t="0" r="0" b="0"/>
                  <wp:docPr id="1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7"/>
                          <pic:cNvPicPr>
                            <a:picLocks noChangeAspect="1"/>
                          </pic:cNvPicPr>
                        </pic:nvPicPr>
                        <pic:blipFill>
                          <a:blip r:embed="rId81">
                            <a:clrChange>
                              <a:clrFrom>
                                <a:srgbClr val="FFFFFF"/>
                              </a:clrFrom>
                              <a:clrTo>
                                <a:srgbClr val="FFFFFF">
                                  <a:alpha val="0"/>
                                </a:srgbClr>
                              </a:clrTo>
                            </a:clrChange>
                          </a:blip>
                          <a:stretch>
                            <a:fillRect/>
                          </a:stretch>
                        </pic:blipFill>
                        <pic:spPr>
                          <a:xfrm>
                            <a:off x="0" y="0"/>
                            <a:ext cx="180975" cy="314325"/>
                          </a:xfrm>
                          <a:prstGeom prst="rect">
                            <a:avLst/>
                          </a:prstGeom>
                          <a:noFill/>
                          <a:ln>
                            <a:noFill/>
                          </a:ln>
                        </pic:spPr>
                      </pic:pic>
                    </a:graphicData>
                  </a:graphic>
                </wp:inline>
              </w:drawing>
            </w:r>
            <w:r>
              <w:rPr>
                <w:rFonts w:hint="default" w:ascii="Times New Roman" w:hAnsi="Times New Roman" w:eastAsia="宋体" w:cs="Times New Roman"/>
                <w:sz w:val="24"/>
                <w:szCs w:val="24"/>
                <w:lang w:eastAsia="zh-CN"/>
              </w:rPr>
              <w:t>是外模时间步长，有：</w:t>
            </w:r>
          </w:p>
          <w:p w14:paraId="1A682DA2">
            <w:pPr>
              <w:pStyle w:val="90"/>
              <w:keepNext w:val="0"/>
              <w:keepLines w:val="0"/>
              <w:pageBreakBefore w:val="0"/>
              <w:widowControl/>
              <w:kinsoku/>
              <w:wordWrap/>
              <w:overflowPunct/>
              <w:topLinePunct w:val="0"/>
              <w:autoSpaceDE/>
              <w:autoSpaceDN/>
              <w:bidi w:val="0"/>
              <w:adjustRightInd w:val="0"/>
              <w:snapToGrid w:val="0"/>
              <w:ind w:left="0" w:firstLine="480"/>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2738120" cy="238125"/>
                  <wp:effectExtent l="0" t="0" r="5080" b="0"/>
                  <wp:docPr id="1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8"/>
                          <pic:cNvPicPr>
                            <a:picLocks noChangeAspect="1"/>
                          </pic:cNvPicPr>
                        </pic:nvPicPr>
                        <pic:blipFill>
                          <a:blip r:embed="rId82"/>
                          <a:srcRect r="3447" b="59541"/>
                          <a:stretch>
                            <a:fillRect/>
                          </a:stretch>
                        </pic:blipFill>
                        <pic:spPr>
                          <a:xfrm>
                            <a:off x="0" y="0"/>
                            <a:ext cx="2738120" cy="238125"/>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4DDB7A27">
            <w:pPr>
              <w:pStyle w:val="90"/>
              <w:keepNext w:val="0"/>
              <w:keepLines w:val="0"/>
              <w:pageBreakBefore w:val="0"/>
              <w:widowControl/>
              <w:kinsoku/>
              <w:wordWrap/>
              <w:overflowPunct/>
              <w:topLinePunct w:val="0"/>
              <w:autoSpaceDE/>
              <w:autoSpaceDN/>
              <w:bidi w:val="0"/>
              <w:adjustRightInd w:val="0"/>
              <w:snapToGrid w:val="0"/>
              <w:ind w:left="0" w:firstLine="480"/>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2678430" cy="229235"/>
                  <wp:effectExtent l="0" t="0" r="7620" b="8890"/>
                  <wp:docPr id="1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9"/>
                          <pic:cNvPicPr>
                            <a:picLocks noChangeAspect="1"/>
                          </pic:cNvPicPr>
                        </pic:nvPicPr>
                        <pic:blipFill>
                          <a:blip r:embed="rId82"/>
                          <a:srcRect t="56360" r="1735" b="3204"/>
                          <a:stretch>
                            <a:fillRect/>
                          </a:stretch>
                        </pic:blipFill>
                        <pic:spPr>
                          <a:xfrm>
                            <a:off x="0" y="0"/>
                            <a:ext cx="2678430" cy="229235"/>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794093B5">
            <w:pPr>
              <w:pStyle w:val="90"/>
              <w:keepNext w:val="0"/>
              <w:keepLines w:val="0"/>
              <w:pageBreakBefore w:val="0"/>
              <w:widowControl/>
              <w:kinsoku/>
              <w:wordWrap/>
              <w:overflowPunct/>
              <w:topLinePunct w:val="0"/>
              <w:autoSpaceDE/>
              <w:autoSpaceDN/>
              <w:bidi w:val="0"/>
              <w:adjustRightInd w:val="0"/>
              <w:snapToGrid w:val="0"/>
              <w:ind w:left="0" w:firstLine="560"/>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eastAsia="zh-CN"/>
              </w:rPr>
              <w:t>相似地，对于动量方程，有：</w:t>
            </w:r>
          </w:p>
          <w:p w14:paraId="34D00B09">
            <w:pPr>
              <w:pStyle w:val="90"/>
              <w:keepNext w:val="0"/>
              <w:keepLines w:val="0"/>
              <w:pageBreakBefore w:val="0"/>
              <w:widowControl/>
              <w:kinsoku/>
              <w:wordWrap/>
              <w:overflowPunct/>
              <w:topLinePunct w:val="0"/>
              <w:autoSpaceDE/>
              <w:autoSpaceDN/>
              <w:bidi w:val="0"/>
              <w:adjustRightInd w:val="0"/>
              <w:snapToGrid w:val="0"/>
              <w:ind w:left="0" w:firstLine="480"/>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3385820" cy="1240155"/>
                  <wp:effectExtent l="0" t="0" r="5080" b="7620"/>
                  <wp:docPr id="13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0"/>
                          <pic:cNvPicPr>
                            <a:picLocks noChangeAspect="1"/>
                          </pic:cNvPicPr>
                        </pic:nvPicPr>
                        <pic:blipFill>
                          <a:blip r:embed="rId83"/>
                          <a:stretch>
                            <a:fillRect/>
                          </a:stretch>
                        </pic:blipFill>
                        <pic:spPr>
                          <a:xfrm>
                            <a:off x="0" y="0"/>
                            <a:ext cx="3385820" cy="1240155"/>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2BD0F00C">
            <w:pPr>
              <w:pStyle w:val="90"/>
              <w:keepNext w:val="0"/>
              <w:keepLines w:val="0"/>
              <w:pageBreakBefore w:val="0"/>
              <w:widowControl/>
              <w:kinsoku/>
              <w:wordWrap/>
              <w:overflowPunct/>
              <w:topLinePunct w:val="0"/>
              <w:autoSpaceDE/>
              <w:autoSpaceDN/>
              <w:bidi w:val="0"/>
              <w:adjustRightInd w:val="0"/>
              <w:snapToGrid w:val="0"/>
              <w:ind w:left="0" w:firstLine="480"/>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3533140" cy="1223645"/>
                  <wp:effectExtent l="0" t="0" r="635" b="5080"/>
                  <wp:docPr id="1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1"/>
                          <pic:cNvPicPr>
                            <a:picLocks noChangeAspect="1"/>
                          </pic:cNvPicPr>
                        </pic:nvPicPr>
                        <pic:blipFill>
                          <a:blip r:embed="rId84"/>
                          <a:stretch>
                            <a:fillRect/>
                          </a:stretch>
                        </pic:blipFill>
                        <pic:spPr>
                          <a:xfrm>
                            <a:off x="0" y="0"/>
                            <a:ext cx="3533140" cy="1223645"/>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418A27C8">
            <w:pPr>
              <w:pStyle w:val="90"/>
              <w:keepNext w:val="0"/>
              <w:keepLines w:val="0"/>
              <w:pageBreakBefore w:val="0"/>
              <w:widowControl/>
              <w:kinsoku/>
              <w:wordWrap/>
              <w:overflowPunct/>
              <w:topLinePunct w:val="0"/>
              <w:autoSpaceDE/>
              <w:autoSpaceDN/>
              <w:bidi w:val="0"/>
              <w:adjustRightInd w:val="0"/>
              <w:snapToGrid w:val="0"/>
              <w:ind w:left="0" w:firstLine="560"/>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eastAsia="zh-CN"/>
              </w:rPr>
              <w:t>用改进的四阶</w:t>
            </w:r>
            <w:r>
              <w:rPr>
                <w:rFonts w:hint="default" w:ascii="Times New Roman" w:hAnsi="Times New Roman" w:eastAsia="宋体" w:cs="Times New Roman"/>
                <w:sz w:val="24"/>
                <w:szCs w:val="24"/>
                <w:lang w:val="en-US"/>
              </w:rPr>
              <w:t>Runge-Kutta</w:t>
            </w:r>
            <w:r>
              <w:rPr>
                <w:rFonts w:hint="default" w:ascii="Times New Roman" w:hAnsi="Times New Roman" w:eastAsia="宋体" w:cs="Times New Roman"/>
                <w:sz w:val="24"/>
                <w:szCs w:val="24"/>
                <w:lang w:eastAsia="zh-CN"/>
              </w:rPr>
              <w:t>时间方案进行积分：</w:t>
            </w:r>
          </w:p>
          <w:p w14:paraId="790D1F71">
            <w:pPr>
              <w:pStyle w:val="90"/>
              <w:keepNext w:val="0"/>
              <w:keepLines w:val="0"/>
              <w:pageBreakBefore w:val="0"/>
              <w:widowControl/>
              <w:kinsoku/>
              <w:wordWrap/>
              <w:overflowPunct/>
              <w:topLinePunct w:val="0"/>
              <w:autoSpaceDE/>
              <w:autoSpaceDN/>
              <w:bidi w:val="0"/>
              <w:adjustRightInd w:val="0"/>
              <w:snapToGrid w:val="0"/>
              <w:spacing w:line="240" w:lineRule="auto"/>
              <w:ind w:left="0" w:firstLine="48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2362835" cy="266700"/>
                  <wp:effectExtent l="0" t="0" r="8890" b="0"/>
                  <wp:docPr id="13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2"/>
                          <pic:cNvPicPr>
                            <a:picLocks noChangeAspect="1"/>
                          </pic:cNvPicPr>
                        </pic:nvPicPr>
                        <pic:blipFill>
                          <a:blip r:embed="rId85"/>
                          <a:srcRect r="14748" b="75841"/>
                          <a:stretch>
                            <a:fillRect/>
                          </a:stretch>
                        </pic:blipFill>
                        <pic:spPr>
                          <a:xfrm>
                            <a:off x="0" y="0"/>
                            <a:ext cx="2362835" cy="266700"/>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26A3FCC3">
            <w:pPr>
              <w:pStyle w:val="90"/>
              <w:keepNext w:val="0"/>
              <w:keepLines w:val="0"/>
              <w:pageBreakBefore w:val="0"/>
              <w:widowControl/>
              <w:kinsoku/>
              <w:wordWrap/>
              <w:overflowPunct/>
              <w:topLinePunct w:val="0"/>
              <w:autoSpaceDE/>
              <w:autoSpaceDN/>
              <w:bidi w:val="0"/>
              <w:adjustRightInd w:val="0"/>
              <w:snapToGrid w:val="0"/>
              <w:spacing w:line="240" w:lineRule="auto"/>
              <w:ind w:left="0" w:firstLine="48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2701290" cy="482600"/>
                  <wp:effectExtent l="0" t="0" r="3810" b="3175"/>
                  <wp:docPr id="13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3"/>
                          <pic:cNvPicPr>
                            <a:picLocks noChangeAspect="1"/>
                          </pic:cNvPicPr>
                        </pic:nvPicPr>
                        <pic:blipFill>
                          <a:blip r:embed="rId85"/>
                          <a:srcRect t="29379" r="2568" b="26863"/>
                          <a:stretch>
                            <a:fillRect/>
                          </a:stretch>
                        </pic:blipFill>
                        <pic:spPr>
                          <a:xfrm>
                            <a:off x="0" y="0"/>
                            <a:ext cx="2701290" cy="482600"/>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52383515">
            <w:pPr>
              <w:pStyle w:val="90"/>
              <w:keepNext w:val="0"/>
              <w:keepLines w:val="0"/>
              <w:pageBreakBefore w:val="0"/>
              <w:widowControl/>
              <w:kinsoku/>
              <w:wordWrap/>
              <w:overflowPunct/>
              <w:topLinePunct w:val="0"/>
              <w:autoSpaceDE/>
              <w:autoSpaceDN/>
              <w:bidi w:val="0"/>
              <w:adjustRightInd w:val="0"/>
              <w:snapToGrid w:val="0"/>
              <w:spacing w:line="240" w:lineRule="auto"/>
              <w:ind w:left="0" w:firstLine="48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napToGrid/>
                <w:sz w:val="24"/>
                <w:szCs w:val="24"/>
                <w:lang w:val="en-US"/>
              </w:rPr>
              <w:drawing>
                <wp:inline distT="0" distB="0" distL="114300" distR="114300">
                  <wp:extent cx="1283335" cy="281305"/>
                  <wp:effectExtent l="0" t="0" r="2540" b="4445"/>
                  <wp:docPr id="13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4"/>
                          <pic:cNvPicPr>
                            <a:picLocks noChangeAspect="1"/>
                          </pic:cNvPicPr>
                        </pic:nvPicPr>
                        <pic:blipFill>
                          <a:blip r:embed="rId85"/>
                          <a:srcRect t="73788" r="52579"/>
                          <a:stretch>
                            <a:fillRect/>
                          </a:stretch>
                        </pic:blipFill>
                        <pic:spPr>
                          <a:xfrm>
                            <a:off x="0" y="0"/>
                            <a:ext cx="1283335" cy="281305"/>
                          </a:xfrm>
                          <a:prstGeom prst="rect">
                            <a:avLst/>
                          </a:prstGeom>
                          <a:noFill/>
                          <a:ln>
                            <a:noFill/>
                          </a:ln>
                        </pic:spPr>
                      </pic:pic>
                    </a:graphicData>
                  </a:graphic>
                </wp:inline>
              </w:drawing>
            </w:r>
            <w:r>
              <w:rPr>
                <w:rFonts w:hint="default" w:ascii="Times New Roman" w:hAnsi="Times New Roman" w:eastAsia="宋体" w:cs="Times New Roman"/>
                <w:sz w:val="24"/>
                <w:szCs w:val="24"/>
                <w:lang w:val="en-US"/>
              </w:rPr>
              <w:t xml:space="preserve">                                         </w:t>
            </w:r>
          </w:p>
          <w:p w14:paraId="3B1C392E">
            <w:pPr>
              <w:pStyle w:val="90"/>
              <w:keepNext w:val="0"/>
              <w:keepLines w:val="0"/>
              <w:pageBreakBefore w:val="0"/>
              <w:widowControl/>
              <w:kinsoku/>
              <w:wordWrap/>
              <w:overflowPunct/>
              <w:topLinePunct w:val="0"/>
              <w:autoSpaceDE/>
              <w:autoSpaceDN/>
              <w:bidi w:val="0"/>
              <w:adjustRightInd w:val="0"/>
              <w:snapToGrid w:val="0"/>
              <w:ind w:left="0" w:firstLine="560"/>
              <w:textAlignment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eastAsia="zh-CN"/>
              </w:rPr>
              <w:t>其中</w:t>
            </w:r>
            <w:r>
              <w:rPr>
                <w:rFonts w:hint="default" w:ascii="Times New Roman" w:hAnsi="Times New Roman" w:eastAsia="宋体" w:cs="Times New Roman"/>
                <w:sz w:val="24"/>
                <w:szCs w:val="24"/>
                <w:lang w:eastAsia="zh-CN"/>
              </w:rPr>
              <w:object>
                <v:shape id="_x0000_i1055" o:spt="75" type="#_x0000_t75" style="height:18pt;width:17.25pt;" o:ole="t" filled="f" o:preferrelative="t" stroked="f" coordsize="21600,21600">
                  <v:path/>
                  <v:fill on="f" focussize="0,0"/>
                  <v:stroke on="f" joinstyle="miter"/>
                  <v:imagedata r:id="rId87" o:title=""/>
                  <o:lock v:ext="edit" aspectratio="t"/>
                  <w10:wrap type="none"/>
                  <w10:anchorlock/>
                </v:shape>
                <o:OLEObject Type="Embed" ProgID="" ShapeID="_x0000_i1055" DrawAspect="Content" ObjectID="_1468075755" r:id="rId86">
                  <o:LockedField>false</o:LockedField>
                </o:OLEObject>
              </w:object>
            </w:r>
            <w:r>
              <w:rPr>
                <w:rFonts w:hint="default" w:ascii="Times New Roman" w:hAnsi="Times New Roman" w:eastAsia="宋体" w:cs="Times New Roman"/>
                <w:sz w:val="24"/>
                <w:szCs w:val="24"/>
                <w:lang w:eastAsia="zh-CN"/>
              </w:rPr>
              <w:t>和</w:t>
            </w:r>
            <w:r>
              <w:rPr>
                <w:rFonts w:hint="default" w:ascii="Times New Roman" w:hAnsi="Times New Roman" w:eastAsia="宋体" w:cs="Times New Roman"/>
                <w:sz w:val="24"/>
                <w:szCs w:val="24"/>
                <w:lang w:eastAsia="zh-CN"/>
              </w:rPr>
              <w:object>
                <v:shape id="_x0000_i1056" o:spt="75" type="#_x0000_t75" style="height:18pt;width:17.25pt;" o:ole="t" filled="f" o:preferrelative="t" stroked="f" coordsize="21600,21600">
                  <v:path/>
                  <v:fill on="f" focussize="0,0"/>
                  <v:stroke on="f" joinstyle="miter"/>
                  <v:imagedata r:id="rId89" o:title=""/>
                  <o:lock v:ext="edit" aspectratio="t"/>
                  <w10:wrap type="none"/>
                  <w10:anchorlock/>
                </v:shape>
                <o:OLEObject Type="Embed" ProgID="" ShapeID="_x0000_i1056" DrawAspect="Content" ObjectID="_1468075756" r:id="rId88">
                  <o:LockedField>false</o:LockedField>
                </o:OLEObject>
              </w:object>
            </w:r>
            <w:r>
              <w:rPr>
                <w:rFonts w:hint="default" w:ascii="Times New Roman" w:hAnsi="Times New Roman" w:eastAsia="宋体" w:cs="Times New Roman"/>
                <w:sz w:val="24"/>
                <w:szCs w:val="24"/>
                <w:lang w:eastAsia="zh-CN"/>
              </w:rPr>
              <w:t>为</w:t>
            </w:r>
            <w:r>
              <w:rPr>
                <w:rFonts w:hint="default" w:ascii="Times New Roman" w:hAnsi="Times New Roman" w:eastAsia="宋体" w:cs="Times New Roman"/>
                <w:sz w:val="24"/>
                <w:szCs w:val="24"/>
                <w:lang w:eastAsia="zh-CN"/>
              </w:rPr>
              <w:object>
                <v:shape id="_x0000_i1057" o:spt="75" type="#_x0000_t75" style="height:13.15pt;width:11.25pt;" o:ole="t" filled="f" o:preferrelative="t" stroked="f" coordsize="21600,21600">
                  <v:path/>
                  <v:fill on="f" focussize="0,0"/>
                  <v:stroke on="f" joinstyle="miter"/>
                  <v:imagedata r:id="rId91" o:title=""/>
                  <o:lock v:ext="edit" aspectratio="t"/>
                  <w10:wrap type="none"/>
                  <w10:anchorlock/>
                </v:shape>
                <o:OLEObject Type="Embed" ProgID="" ShapeID="_x0000_i1057" DrawAspect="Content" ObjectID="_1468075757" r:id="rId90">
                  <o:LockedField>false</o:LockedField>
                </o:OLEObject>
              </w:object>
            </w:r>
            <w:r>
              <w:rPr>
                <w:rFonts w:hint="default" w:ascii="Times New Roman" w:hAnsi="Times New Roman" w:eastAsia="宋体" w:cs="Times New Roman"/>
                <w:sz w:val="24"/>
                <w:szCs w:val="24"/>
                <w:lang w:eastAsia="zh-CN"/>
              </w:rPr>
              <w:t>和</w:t>
            </w:r>
            <w:r>
              <w:rPr>
                <w:rFonts w:hint="default" w:ascii="Times New Roman" w:hAnsi="Times New Roman" w:eastAsia="宋体" w:cs="Times New Roman"/>
                <w:sz w:val="24"/>
                <w:szCs w:val="24"/>
                <w:lang w:eastAsia="zh-CN"/>
              </w:rPr>
              <w:object>
                <v:shape id="_x0000_i1058" o:spt="75" type="#_x0000_t75" style="height:13.15pt;width:11.25pt;" o:ole="t" filled="f" o:preferrelative="t" stroked="f" coordsize="21600,21600">
                  <v:path/>
                  <v:fill on="f" focussize="0,0"/>
                  <v:stroke on="f" joinstyle="miter"/>
                  <v:imagedata r:id="rId93" o:title=""/>
                  <o:lock v:ext="edit" aspectratio="t"/>
                  <w10:wrap type="none"/>
                  <w10:anchorlock/>
                </v:shape>
                <o:OLEObject Type="Embed" ProgID="" ShapeID="_x0000_i1058" DrawAspect="Content" ObjectID="_1468075758" r:id="rId92">
                  <o:LockedField>false</o:LockedField>
                </o:OLEObject>
              </w:object>
            </w:r>
            <w:r>
              <w:rPr>
                <w:rFonts w:hint="default" w:ascii="Times New Roman" w:hAnsi="Times New Roman" w:eastAsia="宋体" w:cs="Times New Roman"/>
                <w:sz w:val="24"/>
                <w:szCs w:val="24"/>
                <w:lang w:eastAsia="zh-CN"/>
              </w:rPr>
              <w:t>所在的三角形面积。在这种模式使用的网格中，</w:t>
            </w:r>
            <w:r>
              <w:rPr>
                <w:rFonts w:hint="default" w:ascii="Times New Roman" w:hAnsi="Times New Roman" w:eastAsia="宋体" w:cs="Times New Roman"/>
                <w:sz w:val="24"/>
                <w:szCs w:val="24"/>
                <w:lang w:eastAsia="zh-CN"/>
              </w:rPr>
              <w:object>
                <v:shape id="_x0000_i1059" o:spt="75" type="#_x0000_t75" style="height:13.15pt;width:11.25pt;" o:ole="t" filled="f" o:preferrelative="t" stroked="f" coordsize="21600,21600">
                  <v:path/>
                  <v:fill on="f" focussize="0,0"/>
                  <v:stroke on="f" joinstyle="miter"/>
                  <v:imagedata r:id="rId91" o:title=""/>
                  <o:lock v:ext="edit" aspectratio="t"/>
                  <w10:wrap type="none"/>
                  <w10:anchorlock/>
                </v:shape>
                <o:OLEObject Type="Embed" ProgID="" ShapeID="_x0000_i1059" DrawAspect="Content" ObjectID="_1468075759" r:id="rId94">
                  <o:LockedField>false</o:LockedField>
                </o:OLEObject>
              </w:object>
            </w:r>
            <w:r>
              <w:rPr>
                <w:rFonts w:hint="default" w:ascii="Times New Roman" w:hAnsi="Times New Roman" w:eastAsia="宋体" w:cs="Times New Roman"/>
                <w:sz w:val="24"/>
                <w:szCs w:val="24"/>
                <w:lang w:eastAsia="zh-CN"/>
              </w:rPr>
              <w:t>和</w:t>
            </w:r>
            <w:r>
              <w:rPr>
                <w:rFonts w:hint="default" w:ascii="Times New Roman" w:hAnsi="Times New Roman" w:eastAsia="宋体" w:cs="Times New Roman"/>
                <w:sz w:val="24"/>
                <w:szCs w:val="24"/>
                <w:lang w:eastAsia="zh-CN"/>
              </w:rPr>
              <w:object>
                <v:shape id="_x0000_i1060" o:spt="75" type="#_x0000_t75" style="height:13.15pt;width:11.25pt;" o:ole="t" filled="f" o:preferrelative="t" stroked="f" coordsize="21600,21600">
                  <v:path/>
                  <v:fill on="f" focussize="0,0"/>
                  <v:stroke on="f" joinstyle="miter"/>
                  <v:imagedata r:id="rId93" o:title=""/>
                  <o:lock v:ext="edit" aspectratio="t"/>
                  <w10:wrap type="none"/>
                  <w10:anchorlock/>
                </v:shape>
                <o:OLEObject Type="Embed" ProgID="" ShapeID="_x0000_i1060" DrawAspect="Content" ObjectID="_1468075760" r:id="rId95">
                  <o:LockedField>false</o:LockedField>
                </o:OLEObject>
              </w:object>
            </w:r>
            <w:r>
              <w:rPr>
                <w:rFonts w:hint="default" w:ascii="Times New Roman" w:hAnsi="Times New Roman" w:eastAsia="宋体" w:cs="Times New Roman"/>
                <w:sz w:val="24"/>
                <w:szCs w:val="24"/>
                <w:lang w:eastAsia="zh-CN"/>
              </w:rPr>
              <w:t>总是位于质心，所以</w:t>
            </w:r>
            <w:r>
              <w:rPr>
                <w:rFonts w:hint="default" w:ascii="Times New Roman" w:hAnsi="Times New Roman" w:eastAsia="宋体" w:cs="Times New Roman"/>
                <w:position w:val="-24"/>
                <w:sz w:val="24"/>
                <w:szCs w:val="24"/>
                <w:lang w:val="en-US" w:eastAsia="zh-CN" w:bidi="ar"/>
              </w:rPr>
              <w:drawing>
                <wp:inline distT="0" distB="0" distL="114300" distR="114300">
                  <wp:extent cx="1038225" cy="319405"/>
                  <wp:effectExtent l="0" t="0" r="0" b="0"/>
                  <wp:docPr id="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1"/>
                          <pic:cNvPicPr>
                            <a:picLocks noChangeAspect="1"/>
                          </pic:cNvPicPr>
                        </pic:nvPicPr>
                        <pic:blipFill>
                          <a:blip r:embed="rId96">
                            <a:clrChange>
                              <a:clrFrom>
                                <a:srgbClr val="FFFFFF"/>
                              </a:clrFrom>
                              <a:clrTo>
                                <a:srgbClr val="FFFFFF">
                                  <a:alpha val="0"/>
                                </a:srgbClr>
                              </a:clrTo>
                            </a:clrChange>
                          </a:blip>
                          <a:stretch>
                            <a:fillRect/>
                          </a:stretch>
                        </pic:blipFill>
                        <pic:spPr>
                          <a:xfrm>
                            <a:off x="0" y="0"/>
                            <a:ext cx="1038225" cy="319405"/>
                          </a:xfrm>
                          <a:prstGeom prst="rect">
                            <a:avLst/>
                          </a:prstGeom>
                          <a:noFill/>
                          <a:ln>
                            <a:noFill/>
                          </a:ln>
                        </pic:spPr>
                      </pic:pic>
                    </a:graphicData>
                  </a:graphic>
                </wp:inline>
              </w:drawing>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object>
                <v:shape id="_x0000_i1061" o:spt="75" type="#_x0000_t75" style="height:21pt;width:16.15pt;" o:ole="t" filled="f" o:preferrelative="t" stroked="f" coordsize="21600,21600">
                  <v:path/>
                  <v:fill on="f" focussize="0,0"/>
                  <v:stroke on="f" joinstyle="miter"/>
                  <v:imagedata r:id="rId98" o:title=""/>
                  <o:lock v:ext="edit" aspectratio="t"/>
                  <w10:wrap type="none"/>
                  <w10:anchorlock/>
                </v:shape>
                <o:OLEObject Type="Embed" ProgID="" ShapeID="_x0000_i1061" DrawAspect="Content" ObjectID="_1468075761" r:id="rId97">
                  <o:LockedField>false</o:LockedField>
                </o:OLEObject>
              </w:object>
            </w:r>
            <w:r>
              <w:rPr>
                <w:rFonts w:hint="default" w:ascii="Times New Roman" w:hAnsi="Times New Roman" w:eastAsia="宋体" w:cs="Times New Roman"/>
                <w:sz w:val="24"/>
                <w:szCs w:val="24"/>
                <w:lang w:eastAsia="zh-CN"/>
              </w:rPr>
              <w:t>为质心深度，是在相邻三个节点的深度插值。</w:t>
            </w:r>
          </w:p>
          <w:p w14:paraId="11FBD77E">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bookmarkStart w:id="53" w:name="_Toc183188494"/>
            <w:r>
              <w:rPr>
                <w:rFonts w:hint="eastAsia" w:ascii="Times New Roman" w:hAnsi="Times New Roman" w:cs="Times New Roman"/>
                <w:b/>
                <w:bCs/>
                <w:color w:val="auto"/>
                <w:sz w:val="24"/>
                <w:lang w:val="en-US" w:eastAsia="zh-CN"/>
              </w:rPr>
              <w:t>4.5.1.1.3网格设计</w:t>
            </w:r>
            <w:bookmarkEnd w:id="53"/>
          </w:p>
          <w:p w14:paraId="12EFE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lang w:val="en-US"/>
              </w:rPr>
            </w:pPr>
            <w:r>
              <w:rPr>
                <w:rFonts w:hint="eastAsia" w:ascii="Times New Roman" w:hAnsi="Times New Roman" w:eastAsia="宋体" w:cs="宋体"/>
                <w:kern w:val="2"/>
                <w:sz w:val="24"/>
                <w:szCs w:val="24"/>
                <w:lang w:val="en-US" w:eastAsia="zh-CN" w:bidi="ar"/>
              </w:rPr>
              <w:t>不同于结构化网格，非结构化网格是指网格区域内所有的内部点都没有相同的毗邻单元。也就是说与网格区域内的不同内部点相连的网格数目不同。可见，结构化网格中不会包含非结构化网格，但是非结构化网格中则可能包含结构化网格。非结构化网格技术的发展是从六十年代开始的，主要是想解决结构化网格不能够生成任意形状和连通区域的网格的问题。但是，这种非结构化网格的生成技术较结构性网格生成技术要复杂很多，求解区域的复杂性的提高也会随之提高对非结构化网格生成技术的要求。目前，非结构化网格生成技术中发展较为成熟的只有平面三角形网格的自动生成技术。</w:t>
            </w:r>
          </w:p>
          <w:p w14:paraId="34B31703">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Arial"/>
                <w:sz w:val="24"/>
                <w:szCs w:val="24"/>
                <w:lang w:val="en-US"/>
              </w:rPr>
            </w:pPr>
            <w:r>
              <w:rPr>
                <w:rFonts w:hint="default" w:ascii="Arial" w:hAnsi="Arial" w:eastAsia="黑体" w:cs="Arial"/>
                <w:kern w:val="0"/>
                <w:sz w:val="24"/>
                <w:szCs w:val="20"/>
                <w:lang w:val="en-US" w:eastAsia="zh-CN" w:bidi="ar"/>
              </w:rPr>
              <w:drawing>
                <wp:inline distT="0" distB="0" distL="114300" distR="114300">
                  <wp:extent cx="4261485" cy="1914525"/>
                  <wp:effectExtent l="0" t="0" r="0" b="0"/>
                  <wp:docPr id="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7"/>
                          <pic:cNvPicPr>
                            <a:picLocks noChangeAspect="1"/>
                          </pic:cNvPicPr>
                        </pic:nvPicPr>
                        <pic:blipFill>
                          <a:blip r:embed="rId99"/>
                          <a:srcRect l="5054" r="14188"/>
                          <a:stretch>
                            <a:fillRect/>
                          </a:stretch>
                        </pic:blipFill>
                        <pic:spPr>
                          <a:xfrm>
                            <a:off x="0" y="0"/>
                            <a:ext cx="4261485" cy="1914525"/>
                          </a:xfrm>
                          <a:prstGeom prst="rect">
                            <a:avLst/>
                          </a:prstGeom>
                          <a:noFill/>
                          <a:ln>
                            <a:noFill/>
                          </a:ln>
                        </pic:spPr>
                      </pic:pic>
                    </a:graphicData>
                  </a:graphic>
                </wp:inline>
              </w:drawing>
            </w:r>
          </w:p>
          <w:p w14:paraId="6C6B3A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 结构网格（左）与非结构网格（右）比较</w:t>
            </w:r>
          </w:p>
          <w:p w14:paraId="43FE9D5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bookmarkStart w:id="54" w:name="_Toc295325927"/>
            <w:bookmarkEnd w:id="54"/>
            <w:bookmarkStart w:id="55" w:name="_Toc7233"/>
            <w:bookmarkEnd w:id="55"/>
            <w:bookmarkStart w:id="56" w:name="_Toc293922074"/>
            <w:bookmarkEnd w:id="56"/>
            <w:r>
              <w:rPr>
                <w:rFonts w:hint="default" w:ascii="Times New Roman" w:hAnsi="Times New Roman" w:eastAsia="宋体" w:cs="Times New Roman"/>
                <w:kern w:val="2"/>
                <w:sz w:val="24"/>
                <w:szCs w:val="24"/>
                <w:lang w:val="en-US" w:eastAsia="zh-CN" w:bidi="ar"/>
              </w:rPr>
              <w:t>模式中，采用Paving方法对计算范围进行网格剖分，生成若干个三角形，每个三角形都有特定的编号，每个节点也有特定编号。一个不规则三角形包含三个节点、一个质心和三条边（下图）。若用N表示三角形中心的总数，用M表示三角形节点的总数目，则计算区域内任一三角形中心的坐标可由下式得到：</w:t>
            </w:r>
          </w:p>
          <w:tbl>
            <w:tblPr>
              <w:tblStyle w:val="29"/>
              <w:tblW w:w="8303" w:type="dxa"/>
              <w:tblInd w:w="0" w:type="dxa"/>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7057"/>
              <w:gridCol w:w="1245"/>
            </w:tblGrid>
            <w:tr w14:paraId="0072B5D6">
              <w:tblPrEx>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CellMar>
                  <w:top w:w="0" w:type="dxa"/>
                  <w:left w:w="0" w:type="dxa"/>
                  <w:bottom w:w="0" w:type="dxa"/>
                  <w:right w:w="0" w:type="dxa"/>
                </w:tblCellMar>
              </w:tblPrEx>
              <w:tc>
                <w:tcPr>
                  <w:tcW w:w="7060" w:type="dxa"/>
                  <w:shd w:val="clear" w:color="auto" w:fill="auto"/>
                  <w:vAlign w:val="center"/>
                </w:tcPr>
                <w:p w14:paraId="2C759DB6">
                  <w:pPr>
                    <w:pStyle w:val="21"/>
                    <w:keepNext w:val="0"/>
                    <w:keepLines w:val="0"/>
                    <w:widowControl w:val="0"/>
                    <w:suppressLineNumbers w:val="0"/>
                    <w:spacing w:before="0" w:beforeAutospacing="0" w:after="0" w:afterAutospacing="0"/>
                    <w:ind w:left="420" w:right="0"/>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drawing>
                      <wp:inline distT="0" distB="0" distL="114300" distR="114300">
                        <wp:extent cx="1276350" cy="214630"/>
                        <wp:effectExtent l="0" t="0" r="0" b="0"/>
                        <wp:docPr id="21" name="图片 118" descr="wps_clip_image-2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8" descr="wps_clip_image-29018"/>
                                <pic:cNvPicPr>
                                  <a:picLocks noChangeAspect="1"/>
                                </pic:cNvPicPr>
                              </pic:nvPicPr>
                              <pic:blipFill>
                                <a:blip r:embed="rId100"/>
                                <a:stretch>
                                  <a:fillRect/>
                                </a:stretch>
                              </pic:blipFill>
                              <pic:spPr>
                                <a:xfrm>
                                  <a:off x="0" y="0"/>
                                  <a:ext cx="1276350" cy="214630"/>
                                </a:xfrm>
                                <a:prstGeom prst="rect">
                                  <a:avLst/>
                                </a:prstGeom>
                                <a:noFill/>
                                <a:ln>
                                  <a:noFill/>
                                </a:ln>
                              </pic:spPr>
                            </pic:pic>
                          </a:graphicData>
                        </a:graphic>
                      </wp:inline>
                    </w:drawing>
                  </w:r>
                </w:p>
              </w:tc>
              <w:tc>
                <w:tcPr>
                  <w:tcW w:w="1246" w:type="dxa"/>
                  <w:shd w:val="clear" w:color="auto" w:fill="auto"/>
                  <w:vAlign w:val="center"/>
                </w:tcPr>
                <w:p w14:paraId="07FF8B4D">
                  <w:pPr>
                    <w:pStyle w:val="21"/>
                    <w:keepNext w:val="0"/>
                    <w:keepLines w:val="0"/>
                    <w:widowControl w:val="0"/>
                    <w:suppressLineNumbers w:val="0"/>
                    <w:spacing w:before="0" w:beforeAutospacing="0" w:after="0" w:afterAutospacing="0"/>
                    <w:ind w:left="420" w:right="0"/>
                    <w:jc w:val="center"/>
                    <w:rPr>
                      <w:rFonts w:hint="default" w:ascii="Times New Roman" w:hAnsi="Times New Roman" w:eastAsia="宋体" w:cs="Times New Roman"/>
                      <w:kern w:val="0"/>
                      <w:sz w:val="24"/>
                      <w:szCs w:val="24"/>
                      <w:lang w:val="en-US"/>
                    </w:rPr>
                  </w:pPr>
                </w:p>
              </w:tc>
            </w:tr>
          </w:tbl>
          <w:p w14:paraId="5BD47E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同样，节点坐标可以表示为：</w:t>
            </w:r>
          </w:p>
          <w:tbl>
            <w:tblPr>
              <w:tblStyle w:val="29"/>
              <w:tblW w:w="8303" w:type="dxa"/>
              <w:tblInd w:w="0" w:type="dxa"/>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7057"/>
              <w:gridCol w:w="1245"/>
            </w:tblGrid>
            <w:tr w14:paraId="56F8C3AB">
              <w:tblPrEx>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CellMar>
                  <w:top w:w="0" w:type="dxa"/>
                  <w:left w:w="0" w:type="dxa"/>
                  <w:bottom w:w="0" w:type="dxa"/>
                  <w:right w:w="0" w:type="dxa"/>
                </w:tblCellMar>
              </w:tblPrEx>
              <w:tc>
                <w:tcPr>
                  <w:tcW w:w="7060" w:type="dxa"/>
                  <w:shd w:val="clear" w:color="auto" w:fill="auto"/>
                  <w:vAlign w:val="center"/>
                </w:tcPr>
                <w:p w14:paraId="0B1B8E58">
                  <w:pPr>
                    <w:pStyle w:val="21"/>
                    <w:keepNext w:val="0"/>
                    <w:keepLines w:val="0"/>
                    <w:widowControl w:val="0"/>
                    <w:suppressLineNumbers w:val="0"/>
                    <w:spacing w:before="0" w:beforeAutospacing="0" w:after="0" w:afterAutospacing="0"/>
                    <w:ind w:left="420" w:right="0"/>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drawing>
                      <wp:inline distT="0" distB="0" distL="114300" distR="114300">
                        <wp:extent cx="1405255" cy="243205"/>
                        <wp:effectExtent l="0" t="0" r="0" b="0"/>
                        <wp:docPr id="12" name="图片 119" descr="wps_clip_image-3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9" descr="wps_clip_image-32278"/>
                                <pic:cNvPicPr>
                                  <a:picLocks noChangeAspect="1"/>
                                </pic:cNvPicPr>
                              </pic:nvPicPr>
                              <pic:blipFill>
                                <a:blip r:embed="rId101"/>
                                <a:stretch>
                                  <a:fillRect/>
                                </a:stretch>
                              </pic:blipFill>
                              <pic:spPr>
                                <a:xfrm>
                                  <a:off x="0" y="0"/>
                                  <a:ext cx="1405255" cy="243205"/>
                                </a:xfrm>
                                <a:prstGeom prst="rect">
                                  <a:avLst/>
                                </a:prstGeom>
                                <a:noFill/>
                                <a:ln>
                                  <a:noFill/>
                                </a:ln>
                              </pic:spPr>
                            </pic:pic>
                          </a:graphicData>
                        </a:graphic>
                      </wp:inline>
                    </w:drawing>
                  </w:r>
                </w:p>
              </w:tc>
              <w:tc>
                <w:tcPr>
                  <w:tcW w:w="1246" w:type="dxa"/>
                  <w:shd w:val="clear" w:color="auto" w:fill="auto"/>
                  <w:vAlign w:val="center"/>
                </w:tcPr>
                <w:p w14:paraId="479832C5">
                  <w:pPr>
                    <w:pStyle w:val="21"/>
                    <w:keepNext w:val="0"/>
                    <w:keepLines w:val="0"/>
                    <w:widowControl w:val="0"/>
                    <w:suppressLineNumbers w:val="0"/>
                    <w:spacing w:before="0" w:beforeAutospacing="0" w:after="0" w:afterAutospacing="0"/>
                    <w:ind w:left="420" w:right="0"/>
                    <w:jc w:val="center"/>
                    <w:rPr>
                      <w:rFonts w:hint="default" w:ascii="Times New Roman" w:hAnsi="Times New Roman" w:eastAsia="宋体" w:cs="Times New Roman"/>
                      <w:kern w:val="0"/>
                      <w:sz w:val="24"/>
                      <w:szCs w:val="24"/>
                      <w:lang w:val="en-US"/>
                    </w:rPr>
                  </w:pPr>
                </w:p>
              </w:tc>
            </w:tr>
          </w:tbl>
          <w:p w14:paraId="3423905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因为所有的三角形网格都没有发生重合，因此总的三角形网格数也等于N。而且，每一个三角形都有特定的编号，所有的三角形都有特定的组合方式，以便于计算和处理。</w:t>
            </w:r>
          </w:p>
          <w:p w14:paraId="6B1BAF1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所有的变量都是在这些三角形网格上进行的，其中</w:t>
            </w:r>
            <w:r>
              <w:rPr>
                <w:rFonts w:hint="default" w:ascii="Times New Roman" w:hAnsi="Times New Roman" w:eastAsia="宋体" w:cs="Times New Roman"/>
                <w:kern w:val="2"/>
                <w:sz w:val="24"/>
                <w:szCs w:val="24"/>
                <w:lang w:val="en-US" w:eastAsia="zh-CN" w:bidi="ar"/>
              </w:rPr>
              <w:drawing>
                <wp:inline distT="0" distB="0" distL="114300" distR="114300">
                  <wp:extent cx="1123950" cy="205105"/>
                  <wp:effectExtent l="0" t="0" r="0" b="0"/>
                  <wp:docPr id="23" name="图片 174" descr="wps_clip_image-2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4" descr="wps_clip_image-26542"/>
                          <pic:cNvPicPr>
                            <a:picLocks noChangeAspect="1"/>
                          </pic:cNvPicPr>
                        </pic:nvPicPr>
                        <pic:blipFill>
                          <a:blip r:embed="rId102"/>
                          <a:stretch>
                            <a:fillRect/>
                          </a:stretch>
                        </pic:blipFill>
                        <pic:spPr>
                          <a:xfrm>
                            <a:off x="0" y="0"/>
                            <a:ext cx="1123950" cy="205105"/>
                          </a:xfrm>
                          <a:prstGeom prst="rect">
                            <a:avLst/>
                          </a:prstGeom>
                          <a:noFill/>
                          <a:ln>
                            <a:noFill/>
                          </a:ln>
                        </pic:spPr>
                      </pic:pic>
                    </a:graphicData>
                  </a:graphic>
                </wp:inline>
              </w:drawing>
            </w:r>
            <w:r>
              <w:rPr>
                <w:rFonts w:hint="default" w:ascii="Times New Roman" w:hAnsi="Times New Roman"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drawing>
                <wp:inline distT="0" distB="0" distL="114300" distR="114300">
                  <wp:extent cx="1276350" cy="252730"/>
                  <wp:effectExtent l="0" t="0" r="0" b="0"/>
                  <wp:docPr id="24" name="图片 173" descr="wps_clip_image-1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3" descr="wps_clip_image-16497"/>
                          <pic:cNvPicPr>
                            <a:picLocks noChangeAspect="1"/>
                          </pic:cNvPicPr>
                        </pic:nvPicPr>
                        <pic:blipFill>
                          <a:blip r:embed="rId103"/>
                          <a:stretch>
                            <a:fillRect/>
                          </a:stretch>
                        </pic:blipFill>
                        <pic:spPr>
                          <a:xfrm>
                            <a:off x="0" y="0"/>
                            <a:ext cx="1276350" cy="252730"/>
                          </a:xfrm>
                          <a:prstGeom prst="rect">
                            <a:avLst/>
                          </a:prstGeom>
                          <a:noFill/>
                          <a:ln>
                            <a:noFill/>
                          </a:ln>
                        </pic:spPr>
                      </pic:pic>
                    </a:graphicData>
                  </a:graphic>
                </wp:inline>
              </w:drawing>
            </w:r>
            <w:r>
              <w:rPr>
                <w:rFonts w:hint="default" w:ascii="Times New Roman" w:hAnsi="Times New Roman" w:eastAsia="宋体" w:cs="Times New Roman"/>
                <w:kern w:val="2"/>
                <w:sz w:val="24"/>
                <w:szCs w:val="24"/>
                <w:lang w:val="en-US" w:eastAsia="zh-CN" w:bidi="ar"/>
              </w:rPr>
              <w:t>及</w:t>
            </w:r>
            <w:r>
              <w:rPr>
                <w:rFonts w:hint="default" w:ascii="Times New Roman" w:hAnsi="Times New Roman" w:eastAsia="宋体" w:cs="Times New Roman"/>
                <w:kern w:val="2"/>
                <w:sz w:val="24"/>
                <w:szCs w:val="24"/>
                <w:lang w:val="en-US" w:eastAsia="zh-CN" w:bidi="ar"/>
              </w:rPr>
              <w:drawing>
                <wp:inline distT="0" distB="0" distL="114300" distR="114300">
                  <wp:extent cx="200025" cy="200025"/>
                  <wp:effectExtent l="0" t="0" r="0" b="0"/>
                  <wp:docPr id="25" name="图片 172" descr="wps_clip_image-2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2" descr="wps_clip_image-26296"/>
                          <pic:cNvPicPr>
                            <a:picLocks noChangeAspect="1"/>
                          </pic:cNvPicPr>
                        </pic:nvPicPr>
                        <pic:blipFill>
                          <a:blip r:embed="rId104"/>
                          <a:stretch>
                            <a:fillRect/>
                          </a:stretch>
                        </pic:blipFill>
                        <pic:spPr>
                          <a:xfrm>
                            <a:off x="0" y="0"/>
                            <a:ext cx="200025" cy="200025"/>
                          </a:xfrm>
                          <a:prstGeom prst="rect">
                            <a:avLst/>
                          </a:prstGeom>
                          <a:noFill/>
                          <a:ln>
                            <a:noFill/>
                          </a:ln>
                        </pic:spPr>
                      </pic:pic>
                    </a:graphicData>
                  </a:graphic>
                </wp:inline>
              </w:drawing>
            </w:r>
            <w:r>
              <w:rPr>
                <w:rFonts w:hint="default" w:ascii="Times New Roman" w:hAnsi="Times New Roman" w:eastAsia="宋体" w:cs="Times New Roman"/>
                <w:kern w:val="2"/>
                <w:sz w:val="24"/>
                <w:szCs w:val="24"/>
                <w:lang w:val="en-US" w:eastAsia="zh-CN" w:bidi="ar"/>
              </w:rPr>
              <w:t>是通过三角形节点计算的，不同的是，u和v是通过三角形中心点计算的（图4.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-2）。</w:t>
            </w:r>
          </w:p>
          <w:p w14:paraId="6419FE0C">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3086100" cy="2464435"/>
                  <wp:effectExtent l="0" t="0" r="0" b="2540"/>
                  <wp:docPr id="6" name="图片 171" descr="wps_clip_image-1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1" descr="wps_clip_image-19006"/>
                          <pic:cNvPicPr>
                            <a:picLocks noChangeAspect="1"/>
                          </pic:cNvPicPr>
                        </pic:nvPicPr>
                        <pic:blipFill>
                          <a:blip r:embed="rId105"/>
                          <a:stretch>
                            <a:fillRect/>
                          </a:stretch>
                        </pic:blipFill>
                        <pic:spPr>
                          <a:xfrm>
                            <a:off x="0" y="0"/>
                            <a:ext cx="3086100" cy="2464435"/>
                          </a:xfrm>
                          <a:prstGeom prst="rect">
                            <a:avLst/>
                          </a:prstGeom>
                          <a:noFill/>
                          <a:ln>
                            <a:noFill/>
                          </a:ln>
                        </pic:spPr>
                      </pic:pic>
                    </a:graphicData>
                  </a:graphic>
                </wp:inline>
              </w:drawing>
            </w:r>
          </w:p>
          <w:p w14:paraId="4BFA23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-2 变量空间配置计算量在网格点上的分布</w:t>
            </w:r>
          </w:p>
          <w:p w14:paraId="07C61EC7">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lang w:val="en-US" w:eastAsia="zh-CN"/>
              </w:rPr>
            </w:pPr>
            <w:bookmarkStart w:id="57" w:name="_Toc183188495"/>
            <w:r>
              <w:rPr>
                <w:rFonts w:hint="eastAsia" w:ascii="Times New Roman" w:hAnsi="Times New Roman" w:cs="Times New Roman"/>
                <w:b/>
                <w:bCs/>
                <w:color w:val="auto"/>
                <w:sz w:val="24"/>
                <w:lang w:val="en-US" w:eastAsia="zh-CN"/>
              </w:rPr>
              <w:t>4.5.1.1.4干湿网格处理</w:t>
            </w:r>
            <w:bookmarkEnd w:id="57"/>
          </w:p>
          <w:p w14:paraId="47281692">
            <w:pPr>
              <w:keepNext w:val="0"/>
              <w:keepLines w:val="0"/>
              <w:widowControl w:val="0"/>
              <w:suppressLineNumbers w:val="0"/>
              <w:spacing w:before="0" w:beforeAutospacing="0" w:after="0"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河口海岸数值模型中，对于滩涂区体积输运一直难以准确模拟，结果误差也难以令人满意。一些方法也被尝试来解决这个难题：一种不固定边界，而是采用变边界法，另一种则是利用干湿点判来判断边界。如果计算区域网格上某一点的总水深大于该点的参考水深和是海表面起伏ζ之和时判断该点为湿点，正常进行变量计算；否则判断该点是干点，此点的速度给定为零。若此点上一时刻是湿点，本时刻为干点，则可能造成物理上的不连续，即不能保证体积守恒。但是此种判断方法简单方便，被广泛应用于对近岸海洋模型中的潮间带水体体积输运的数值模拟。</w:t>
            </w:r>
          </w:p>
          <w:p w14:paraId="1838687B">
            <w:pPr>
              <w:keepNext w:val="0"/>
              <w:keepLines w:val="0"/>
              <w:widowControl w:val="0"/>
              <w:suppressLineNumbers w:val="0"/>
              <w:spacing w:before="0" w:beforeAutospacing="0" w:after="0"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而FVCOM中的干湿处理方法利用的是质量守恒，这一方法已在一系列模拟中证实有效。同时这一方法探讨了网格分辨率、时间步长以及潮间带地形坡度等等之间的关系。</w:t>
            </w:r>
          </w:p>
          <w:p w14:paraId="2571F825">
            <w:pPr>
              <w:keepNext w:val="0"/>
              <w:keepLines w:val="0"/>
              <w:widowControl w:val="0"/>
              <w:suppressLineNumbers w:val="0"/>
              <w:spacing w:before="0" w:beforeAutospacing="0" w:after="0"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判断某一节点的干或湿的准则给出为：</w:t>
            </w:r>
          </w:p>
          <w:tbl>
            <w:tblPr>
              <w:tblStyle w:val="29"/>
              <w:tblW w:w="8303" w:type="dxa"/>
              <w:tblInd w:w="0" w:type="dxa"/>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7227"/>
              <w:gridCol w:w="1075"/>
            </w:tblGrid>
            <w:tr w14:paraId="0E0C5057">
              <w:tblPrEx>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PrEx>
              <w:tc>
                <w:tcPr>
                  <w:tcW w:w="7230" w:type="dxa"/>
                  <w:shd w:val="clear" w:color="auto" w:fill="auto"/>
                  <w:vAlign w:val="center"/>
                </w:tcPr>
                <w:p w14:paraId="2BBEC208">
                  <w:pPr>
                    <w:pStyle w:val="21"/>
                    <w:keepNext w:val="0"/>
                    <w:keepLines w:val="0"/>
                    <w:widowControl w:val="0"/>
                    <w:suppressLineNumbers w:val="0"/>
                    <w:spacing w:before="0" w:beforeAutospacing="0" w:after="0" w:afterAutospacing="0" w:line="360" w:lineRule="auto"/>
                    <w:ind w:left="420" w:right="0"/>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drawing>
                      <wp:inline distT="0" distB="0" distL="114300" distR="114300">
                        <wp:extent cx="2117725" cy="515620"/>
                        <wp:effectExtent l="0" t="0" r="0" b="0"/>
                        <wp:docPr id="7" name="图片 120" descr="wps_clip_image-2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0" descr="wps_clip_image-23319"/>
                                <pic:cNvPicPr>
                                  <a:picLocks noChangeAspect="1"/>
                                </pic:cNvPicPr>
                              </pic:nvPicPr>
                              <pic:blipFill>
                                <a:blip r:embed="rId106"/>
                                <a:stretch>
                                  <a:fillRect/>
                                </a:stretch>
                              </pic:blipFill>
                              <pic:spPr>
                                <a:xfrm>
                                  <a:off x="0" y="0"/>
                                  <a:ext cx="2117725" cy="515620"/>
                                </a:xfrm>
                                <a:prstGeom prst="rect">
                                  <a:avLst/>
                                </a:prstGeom>
                                <a:noFill/>
                                <a:ln>
                                  <a:noFill/>
                                </a:ln>
                              </pic:spPr>
                            </pic:pic>
                          </a:graphicData>
                        </a:graphic>
                      </wp:inline>
                    </w:drawing>
                  </w:r>
                </w:p>
              </w:tc>
              <w:tc>
                <w:tcPr>
                  <w:tcW w:w="1076" w:type="dxa"/>
                  <w:shd w:val="clear" w:color="auto" w:fill="auto"/>
                  <w:vAlign w:val="center"/>
                </w:tcPr>
                <w:p w14:paraId="11204510">
                  <w:pPr>
                    <w:pStyle w:val="21"/>
                    <w:keepNext w:val="0"/>
                    <w:keepLines w:val="0"/>
                    <w:widowControl w:val="0"/>
                    <w:suppressLineNumbers w:val="0"/>
                    <w:spacing w:before="0" w:beforeAutospacing="0" w:after="0" w:afterAutospacing="0" w:line="360" w:lineRule="auto"/>
                    <w:ind w:left="420" w:right="0"/>
                    <w:jc w:val="center"/>
                    <w:rPr>
                      <w:rFonts w:hint="default" w:ascii="Times New Roman" w:hAnsi="Times New Roman" w:eastAsia="宋体" w:cs="Times New Roman"/>
                      <w:kern w:val="0"/>
                      <w:sz w:val="24"/>
                      <w:szCs w:val="24"/>
                      <w:lang w:val="en-US"/>
                    </w:rPr>
                  </w:pPr>
                </w:p>
              </w:tc>
            </w:tr>
          </w:tbl>
          <w:p w14:paraId="670BC1FC">
            <w:pPr>
              <w:keepNext w:val="0"/>
              <w:keepLines w:val="0"/>
              <w:widowControl w:val="0"/>
              <w:suppressLineNumbers w:val="0"/>
              <w:spacing w:before="0" w:beforeAutospacing="0" w:after="0"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对三角形单元：</w:t>
            </w:r>
          </w:p>
          <w:tbl>
            <w:tblPr>
              <w:tblStyle w:val="29"/>
              <w:tblW w:w="8303" w:type="dxa"/>
              <w:tblInd w:w="0" w:type="dxa"/>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7243"/>
              <w:gridCol w:w="1059"/>
            </w:tblGrid>
            <w:tr w14:paraId="5328103A">
              <w:tblPrEx>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CellMar>
                  <w:top w:w="0" w:type="dxa"/>
                  <w:left w:w="0" w:type="dxa"/>
                  <w:bottom w:w="0" w:type="dxa"/>
                  <w:right w:w="0" w:type="dxa"/>
                </w:tblCellMar>
              </w:tblPrEx>
              <w:tc>
                <w:tcPr>
                  <w:tcW w:w="7246" w:type="dxa"/>
                  <w:shd w:val="clear" w:color="auto" w:fill="auto"/>
                  <w:vAlign w:val="center"/>
                </w:tcPr>
                <w:p w14:paraId="2F4B887F">
                  <w:pPr>
                    <w:pStyle w:val="21"/>
                    <w:keepNext w:val="0"/>
                    <w:keepLines w:val="0"/>
                    <w:widowControl w:val="0"/>
                    <w:suppressLineNumbers w:val="0"/>
                    <w:spacing w:before="0" w:beforeAutospacing="0" w:after="0" w:afterAutospacing="0"/>
                    <w:ind w:left="420" w:right="0"/>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drawing>
                      <wp:inline distT="0" distB="0" distL="114300" distR="114300">
                        <wp:extent cx="3549650" cy="592455"/>
                        <wp:effectExtent l="0" t="0" r="3175" b="0"/>
                        <wp:docPr id="53" name="图片 121" descr="wps_clip_image-2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1" descr="wps_clip_image-27265"/>
                                <pic:cNvPicPr>
                                  <a:picLocks noChangeAspect="1"/>
                                </pic:cNvPicPr>
                              </pic:nvPicPr>
                              <pic:blipFill>
                                <a:blip r:embed="rId107"/>
                                <a:stretch>
                                  <a:fillRect/>
                                </a:stretch>
                              </pic:blipFill>
                              <pic:spPr>
                                <a:xfrm>
                                  <a:off x="0" y="0"/>
                                  <a:ext cx="3549650" cy="592455"/>
                                </a:xfrm>
                                <a:prstGeom prst="rect">
                                  <a:avLst/>
                                </a:prstGeom>
                                <a:noFill/>
                                <a:ln>
                                  <a:noFill/>
                                </a:ln>
                              </pic:spPr>
                            </pic:pic>
                          </a:graphicData>
                        </a:graphic>
                      </wp:inline>
                    </w:drawing>
                  </w:r>
                </w:p>
              </w:tc>
              <w:tc>
                <w:tcPr>
                  <w:tcW w:w="1060" w:type="dxa"/>
                  <w:shd w:val="clear" w:color="auto" w:fill="auto"/>
                  <w:vAlign w:val="center"/>
                </w:tcPr>
                <w:p w14:paraId="356D1538">
                  <w:pPr>
                    <w:pStyle w:val="21"/>
                    <w:keepNext w:val="0"/>
                    <w:keepLines w:val="0"/>
                    <w:widowControl w:val="0"/>
                    <w:suppressLineNumbers w:val="0"/>
                    <w:spacing w:before="0" w:beforeAutospacing="0" w:after="0" w:afterAutospacing="0"/>
                    <w:ind w:left="420" w:right="0"/>
                    <w:jc w:val="center"/>
                    <w:rPr>
                      <w:rFonts w:hint="default" w:ascii="Times New Roman" w:hAnsi="Times New Roman" w:eastAsia="宋体" w:cs="Times New Roman"/>
                      <w:kern w:val="0"/>
                      <w:sz w:val="24"/>
                      <w:szCs w:val="24"/>
                      <w:lang w:val="en-US"/>
                    </w:rPr>
                  </w:pPr>
                </w:p>
              </w:tc>
            </w:tr>
          </w:tbl>
          <w:p w14:paraId="5FB70A5C">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4210685" cy="2213610"/>
                  <wp:effectExtent l="0" t="0" r="8890" b="5715"/>
                  <wp:docPr id="54" name="图片 168" descr="wps_clip_image-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8" descr="wps_clip_image-2308"/>
                          <pic:cNvPicPr>
                            <a:picLocks noChangeAspect="1"/>
                          </pic:cNvPicPr>
                        </pic:nvPicPr>
                        <pic:blipFill>
                          <a:blip r:embed="rId108"/>
                          <a:stretch>
                            <a:fillRect/>
                          </a:stretch>
                        </pic:blipFill>
                        <pic:spPr>
                          <a:xfrm>
                            <a:off x="0" y="0"/>
                            <a:ext cx="4210685" cy="2213610"/>
                          </a:xfrm>
                          <a:prstGeom prst="rect">
                            <a:avLst/>
                          </a:prstGeom>
                          <a:noFill/>
                          <a:ln>
                            <a:noFill/>
                          </a:ln>
                        </pic:spPr>
                      </pic:pic>
                    </a:graphicData>
                  </a:graphic>
                </wp:inline>
              </w:drawing>
            </w:r>
          </w:p>
          <w:p w14:paraId="65CECF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 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-2 参考水深（H），海面水位（</w:t>
            </w:r>
            <w:r>
              <w:rPr>
                <w:rFonts w:hint="default" w:ascii="Times New Roman" w:hAnsi="Times New Roman" w:cs="Times New Roman"/>
                <w:b/>
                <w:bCs/>
                <w:color w:val="auto"/>
                <w:kern w:val="0"/>
                <w:sz w:val="21"/>
                <w:szCs w:val="21"/>
                <w:lang w:val="en-US" w:eastAsia="zh-CN"/>
              </w:rPr>
              <w:drawing>
                <wp:inline distT="0" distB="0" distL="114300" distR="114300">
                  <wp:extent cx="161925" cy="205105"/>
                  <wp:effectExtent l="0" t="0" r="0" b="0"/>
                  <wp:docPr id="57" name="图片 167" descr="wps_clip_image-3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7" descr="wps_clip_image-32295"/>
                          <pic:cNvPicPr>
                            <a:picLocks noChangeAspect="1"/>
                          </pic:cNvPicPr>
                        </pic:nvPicPr>
                        <pic:blipFill>
                          <a:blip r:embed="rId109"/>
                          <a:stretch>
                            <a:fillRect/>
                          </a:stretch>
                        </pic:blipFill>
                        <pic:spPr>
                          <a:xfrm>
                            <a:off x="0" y="0"/>
                            <a:ext cx="161925" cy="205105"/>
                          </a:xfrm>
                          <a:prstGeom prst="rect">
                            <a:avLst/>
                          </a:prstGeom>
                          <a:noFill/>
                          <a:ln>
                            <a:noFill/>
                          </a:ln>
                        </pic:spPr>
                      </pic:pic>
                    </a:graphicData>
                  </a:graphic>
                </wp:inline>
              </w:drawing>
            </w:r>
            <w:r>
              <w:rPr>
                <w:rFonts w:hint="default" w:ascii="Times New Roman" w:hAnsi="Times New Roman" w:cs="Times New Roman"/>
                <w:b/>
                <w:bCs/>
                <w:color w:val="auto"/>
                <w:kern w:val="0"/>
                <w:sz w:val="21"/>
                <w:szCs w:val="21"/>
                <w:lang w:val="en-US" w:eastAsia="zh-CN"/>
              </w:rPr>
              <w:t>）和地形高度（hB）的定义</w:t>
            </w:r>
          </w:p>
          <w:p w14:paraId="7B92617D">
            <w:pPr>
              <w:keepNext w:val="0"/>
              <w:keepLines w:val="0"/>
              <w:widowControl w:val="0"/>
              <w:suppressLineNumbers w:val="0"/>
              <w:spacing w:before="0" w:beforeAutospacing="0" w:after="0"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式中，Dmin是在底部指定的粘性层的厚度，而hB则如图4-3所示，是与河流主渠道边界相连的地形高度，</w:t>
            </w:r>
            <w:r>
              <w:rPr>
                <w:rFonts w:hint="default" w:ascii="Times New Roman" w:hAnsi="Times New Roman" w:eastAsia="宋体" w:cs="Times New Roman"/>
                <w:kern w:val="2"/>
                <w:sz w:val="24"/>
                <w:szCs w:val="24"/>
                <w:lang w:val="en-US" w:eastAsia="zh-CN" w:bidi="ar"/>
              </w:rPr>
              <w:drawing>
                <wp:inline distT="0" distB="0" distL="114300" distR="114300">
                  <wp:extent cx="371475" cy="252730"/>
                  <wp:effectExtent l="0" t="0" r="0" b="0"/>
                  <wp:docPr id="70" name="图片 166" descr="wps_clip_image-1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6" descr="wps_clip_image-18407"/>
                          <pic:cNvPicPr>
                            <a:picLocks noChangeAspect="1"/>
                          </pic:cNvPicPr>
                        </pic:nvPicPr>
                        <pic:blipFill>
                          <a:blip r:embed="rId110"/>
                          <a:stretch>
                            <a:fillRect/>
                          </a:stretch>
                        </pic:blipFill>
                        <pic:spPr>
                          <a:xfrm>
                            <a:off x="0" y="0"/>
                            <a:ext cx="371475" cy="252730"/>
                          </a:xfrm>
                          <a:prstGeom prst="rect">
                            <a:avLst/>
                          </a:prstGeom>
                          <a:noFill/>
                          <a:ln>
                            <a:noFill/>
                          </a:ln>
                        </pic:spPr>
                      </pic:pic>
                    </a:graphicData>
                  </a:graphic>
                </wp:inline>
              </w:drawing>
            </w:r>
            <w:r>
              <w:rPr>
                <w:rFonts w:hint="default" w:ascii="Times New Roman" w:hAnsi="Times New Roman" w:eastAsia="宋体" w:cs="Times New Roman"/>
                <w:kern w:val="2"/>
                <w:sz w:val="24"/>
                <w:szCs w:val="24"/>
                <w:lang w:val="en-US" w:eastAsia="zh-CN" w:bidi="ar"/>
              </w:rPr>
              <w:t>是表示一个三角形单元的三个节点的整数，这三个整数确定意味着这个三角形确定。</w:t>
            </w:r>
          </w:p>
          <w:p w14:paraId="6C153E60">
            <w:pPr>
              <w:keepNext w:val="0"/>
              <w:keepLines w:val="0"/>
              <w:widowControl w:val="0"/>
              <w:suppressLineNumbers w:val="0"/>
              <w:spacing w:before="0" w:beforeAutospacing="0" w:after="0"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若三角形被定义为干，则此三角形质心处的速度被定义成零，并且三角形的三条边的断面通量也给定为零。在这个时间步长里，这个三角形单元将不参加计算。例如，连续方程的积分形式可写为：</w:t>
            </w:r>
          </w:p>
          <w:tbl>
            <w:tblPr>
              <w:tblStyle w:val="29"/>
              <w:tblW w:w="8303" w:type="dxa"/>
              <w:tblInd w:w="0" w:type="dxa"/>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7057"/>
              <w:gridCol w:w="1245"/>
            </w:tblGrid>
            <w:tr w14:paraId="54D65E2B">
              <w:tblPrEx>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auto"/>
                <w:tblCellMar>
                  <w:top w:w="0" w:type="dxa"/>
                  <w:left w:w="0" w:type="dxa"/>
                  <w:bottom w:w="0" w:type="dxa"/>
                  <w:right w:w="0" w:type="dxa"/>
                </w:tblCellMar>
              </w:tblPrEx>
              <w:tc>
                <w:tcPr>
                  <w:tcW w:w="7060" w:type="dxa"/>
                  <w:shd w:val="clear" w:color="auto" w:fill="auto"/>
                  <w:vAlign w:val="center"/>
                </w:tcPr>
                <w:p w14:paraId="1945F81B">
                  <w:pPr>
                    <w:pStyle w:val="21"/>
                    <w:keepNext w:val="0"/>
                    <w:keepLines w:val="0"/>
                    <w:widowControl w:val="0"/>
                    <w:suppressLineNumbers w:val="0"/>
                    <w:spacing w:before="0" w:beforeAutospacing="0" w:after="0" w:afterAutospacing="0"/>
                    <w:ind w:left="420" w:right="0"/>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drawing>
                      <wp:inline distT="0" distB="0" distL="114300" distR="114300">
                        <wp:extent cx="3209925" cy="476250"/>
                        <wp:effectExtent l="0" t="0" r="0" b="0"/>
                        <wp:docPr id="52" name="图片 122" descr="wps_clip_image-2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2" descr="wps_clip_image-23966"/>
                                <pic:cNvPicPr>
                                  <a:picLocks noChangeAspect="1"/>
                                </pic:cNvPicPr>
                              </pic:nvPicPr>
                              <pic:blipFill>
                                <a:blip r:embed="rId111"/>
                                <a:stretch>
                                  <a:fillRect/>
                                </a:stretch>
                              </pic:blipFill>
                              <pic:spPr>
                                <a:xfrm>
                                  <a:off x="0" y="0"/>
                                  <a:ext cx="3209925" cy="476250"/>
                                </a:xfrm>
                                <a:prstGeom prst="rect">
                                  <a:avLst/>
                                </a:prstGeom>
                                <a:noFill/>
                                <a:ln>
                                  <a:noFill/>
                                </a:ln>
                              </pic:spPr>
                            </pic:pic>
                          </a:graphicData>
                        </a:graphic>
                      </wp:inline>
                    </w:drawing>
                  </w:r>
                </w:p>
              </w:tc>
              <w:tc>
                <w:tcPr>
                  <w:tcW w:w="1246" w:type="dxa"/>
                  <w:shd w:val="clear" w:color="auto" w:fill="auto"/>
                  <w:vAlign w:val="center"/>
                </w:tcPr>
                <w:p w14:paraId="6F125D1D">
                  <w:pPr>
                    <w:pStyle w:val="21"/>
                    <w:keepNext w:val="0"/>
                    <w:keepLines w:val="0"/>
                    <w:widowControl w:val="0"/>
                    <w:suppressLineNumbers w:val="0"/>
                    <w:spacing w:before="0" w:beforeAutospacing="0" w:after="0" w:afterAutospacing="0"/>
                    <w:ind w:left="420" w:right="0"/>
                    <w:jc w:val="center"/>
                    <w:rPr>
                      <w:rFonts w:hint="default" w:ascii="Times New Roman" w:hAnsi="Times New Roman" w:eastAsia="宋体" w:cs="Times New Roman"/>
                      <w:kern w:val="0"/>
                      <w:sz w:val="24"/>
                      <w:szCs w:val="24"/>
                      <w:lang w:val="en-US"/>
                    </w:rPr>
                  </w:pPr>
                </w:p>
              </w:tc>
            </w:tr>
          </w:tbl>
          <w:p w14:paraId="4618FF3D">
            <w:pPr>
              <w:keepNext w:val="0"/>
              <w:keepLines w:val="0"/>
              <w:widowControl w:val="0"/>
              <w:suppressLineNumbers w:val="0"/>
              <w:spacing w:before="0" w:beforeAutospacing="0" w:after="0"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drawing>
                <wp:inline distT="0" distB="0" distL="114300" distR="114300">
                  <wp:extent cx="119380" cy="200025"/>
                  <wp:effectExtent l="0" t="0" r="0" b="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112"/>
                          <a:stretch>
                            <a:fillRect/>
                          </a:stretch>
                        </pic:blipFill>
                        <pic:spPr>
                          <a:xfrm>
                            <a:off x="0" y="0"/>
                            <a:ext cx="119380" cy="200025"/>
                          </a:xfrm>
                          <a:prstGeom prst="rect">
                            <a:avLst/>
                          </a:prstGeom>
                          <a:noFill/>
                          <a:ln>
                            <a:noFill/>
                          </a:ln>
                        </pic:spPr>
                      </pic:pic>
                    </a:graphicData>
                  </a:graphic>
                </wp:inline>
              </w:drawing>
            </w:r>
            <w:r>
              <w:rPr>
                <w:rFonts w:hint="default" w:ascii="Times New Roman" w:hAnsi="Times New Roman" w:eastAsia="宋体" w:cs="Times New Roman"/>
                <w:kern w:val="2"/>
                <w:sz w:val="24"/>
                <w:szCs w:val="24"/>
                <w:lang w:val="en-US" w:eastAsia="zh-CN" w:bidi="ar"/>
              </w:rPr>
              <w:t>和</w:t>
            </w:r>
            <w:r>
              <w:rPr>
                <w:rFonts w:hint="default" w:ascii="Times New Roman" w:hAnsi="Times New Roman" w:eastAsia="宋体" w:cs="Times New Roman"/>
                <w:kern w:val="2"/>
                <w:sz w:val="24"/>
                <w:szCs w:val="24"/>
                <w:lang w:val="en-US" w:eastAsia="zh-CN" w:bidi="ar"/>
              </w:rPr>
              <w:drawing>
                <wp:inline distT="0" distB="0" distL="114300" distR="114300">
                  <wp:extent cx="119380" cy="200025"/>
                  <wp:effectExtent l="0" t="0" r="0" b="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13"/>
                          <a:stretch>
                            <a:fillRect/>
                          </a:stretch>
                        </pic:blipFill>
                        <pic:spPr>
                          <a:xfrm>
                            <a:off x="0" y="0"/>
                            <a:ext cx="119380" cy="200025"/>
                          </a:xfrm>
                          <a:prstGeom prst="rect">
                            <a:avLst/>
                          </a:prstGeom>
                          <a:noFill/>
                          <a:ln>
                            <a:noFill/>
                          </a:ln>
                        </pic:spPr>
                      </pic:pic>
                    </a:graphicData>
                  </a:graphic>
                </wp:inline>
              </w:drawing>
            </w:r>
            <w:r>
              <w:rPr>
                <w:rFonts w:hint="default" w:ascii="Times New Roman" w:hAnsi="Times New Roman" w:eastAsia="宋体" w:cs="Times New Roman"/>
                <w:kern w:val="2"/>
                <w:sz w:val="24"/>
                <w:szCs w:val="24"/>
                <w:lang w:val="en-US" w:eastAsia="zh-CN" w:bidi="ar"/>
              </w:rPr>
              <w:t>分别表示垂向平均速度在x和y方向的分量。这一方法也保证了体积守恒，因为计算中不考虑干的三角形，即判断为干的三角形的边界通量为零。</w:t>
            </w:r>
          </w:p>
          <w:p w14:paraId="07E669C0">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4.5.1.2数值模型建立</w:t>
            </w:r>
          </w:p>
          <w:p w14:paraId="58A33C2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4.5.1.2.1工程前后网格</w:t>
            </w:r>
          </w:p>
          <w:p w14:paraId="0FE2461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工程前模式计算海域如图4.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-3所示，计算范围为：105°E-113°E，14-22°N，覆盖了防城港市及周边海域。计算区域内有105132个节点，这些节点将计算区域分成201618个互不重合的三角形单元。海堤建设区域分辨率最高可达3-5m，外海开边界处分辨率约10km，这样对非重点研究区域采用较低分辨率，减少了网格总数，大大节省了计算资源。模式中将开边界设置在较远位置，计算范围大，能够有效消除开边界影响。</w:t>
            </w:r>
          </w:p>
          <w:p w14:paraId="07B215A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工程后的模式计算海域如图4.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-4所示，计算范围与工程前相同。计算区域内有105606个节点，这些节点将计算区域分成202541个互不重合的三角形单元，三角形网格数与工程前接近，外海开边界处分辨率约10km，与工程前相同。</w:t>
            </w:r>
          </w:p>
          <w:p w14:paraId="2031C35F">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3310255" cy="3253105"/>
                  <wp:effectExtent l="0" t="0" r="4445" b="444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14"/>
                          <a:stretch>
                            <a:fillRect/>
                          </a:stretch>
                        </pic:blipFill>
                        <pic:spPr>
                          <a:xfrm>
                            <a:off x="0" y="0"/>
                            <a:ext cx="3310255" cy="3253105"/>
                          </a:xfrm>
                          <a:prstGeom prst="rect">
                            <a:avLst/>
                          </a:prstGeom>
                          <a:noFill/>
                          <a:ln>
                            <a:noFill/>
                          </a:ln>
                        </pic:spPr>
                      </pic:pic>
                    </a:graphicData>
                  </a:graphic>
                </wp:inline>
              </w:drawing>
            </w:r>
          </w:p>
          <w:p w14:paraId="105BA4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-3 工程前计算范围和网格分布</w:t>
            </w:r>
          </w:p>
          <w:p w14:paraId="5E0BB9A2">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3186430" cy="3186430"/>
                  <wp:effectExtent l="0" t="0" r="4445" b="444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115"/>
                          <a:stretch>
                            <a:fillRect/>
                          </a:stretch>
                        </pic:blipFill>
                        <pic:spPr>
                          <a:xfrm>
                            <a:off x="0" y="0"/>
                            <a:ext cx="3186430" cy="3186430"/>
                          </a:xfrm>
                          <a:prstGeom prst="rect">
                            <a:avLst/>
                          </a:prstGeom>
                          <a:noFill/>
                          <a:ln>
                            <a:noFill/>
                          </a:ln>
                        </pic:spPr>
                      </pic:pic>
                    </a:graphicData>
                  </a:graphic>
                </wp:inline>
              </w:drawing>
            </w:r>
          </w:p>
          <w:p w14:paraId="0E59B1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-4 工程后计算范围和网格分布</w:t>
            </w:r>
          </w:p>
          <w:p w14:paraId="0BE6CCA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数学模型中工程的模拟主要有加密网格法、附加糙率法和附加阻力法等。本次数学模型中采用网格加密的方法进行模拟，对工程岸线和附近海域进行加密，分辨率为3m，可以较好的计算工程前后对周围海域的影响。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-5为工程前海堤周围网格，图4.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-6为工程后海堤周围网格。</w:t>
            </w:r>
          </w:p>
          <w:p w14:paraId="6EA0D7FB">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2805430" cy="2976880"/>
                  <wp:effectExtent l="0" t="0" r="4445" b="444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16"/>
                          <a:stretch>
                            <a:fillRect/>
                          </a:stretch>
                        </pic:blipFill>
                        <pic:spPr>
                          <a:xfrm>
                            <a:off x="0" y="0"/>
                            <a:ext cx="2805430" cy="2976880"/>
                          </a:xfrm>
                          <a:prstGeom prst="rect">
                            <a:avLst/>
                          </a:prstGeom>
                          <a:noFill/>
                          <a:ln>
                            <a:noFill/>
                          </a:ln>
                        </pic:spPr>
                      </pic:pic>
                    </a:graphicData>
                  </a:graphic>
                </wp:inline>
              </w:drawing>
            </w:r>
          </w:p>
          <w:p w14:paraId="605694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-5 工程前海堤周围网格</w:t>
            </w:r>
          </w:p>
          <w:p w14:paraId="7469D856">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2781300" cy="3338830"/>
                  <wp:effectExtent l="0" t="0" r="0" b="444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17"/>
                          <a:srcRect l="6831"/>
                          <a:stretch>
                            <a:fillRect/>
                          </a:stretch>
                        </pic:blipFill>
                        <pic:spPr>
                          <a:xfrm>
                            <a:off x="0" y="0"/>
                            <a:ext cx="2781300" cy="3338830"/>
                          </a:xfrm>
                          <a:prstGeom prst="rect">
                            <a:avLst/>
                          </a:prstGeom>
                          <a:noFill/>
                          <a:ln>
                            <a:noFill/>
                          </a:ln>
                        </pic:spPr>
                      </pic:pic>
                    </a:graphicData>
                  </a:graphic>
                </wp:inline>
              </w:drawing>
            </w:r>
          </w:p>
          <w:p w14:paraId="5A5729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-6 工程后海堤周围网格</w:t>
            </w:r>
          </w:p>
          <w:p w14:paraId="5A9D5880">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4.5.1.2.2水深地形数据</w:t>
            </w:r>
          </w:p>
          <w:p w14:paraId="6C45CCD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水深地形数据采用2022年版流沙湾至东兴港海图、钦州湾海图、防城港湾海图、广西908专项、2023年5月工程区海域局部调查数据，外海的水深来自国家海洋信息中心中国近海水深数据集，不同水深的起算面或基面是不一样的，需要利用当地平均海平面、理论深度基准面和85高程等基面以及相对关系将三种水深进行标准化处理和基准统一，并利用ArcGIS软件将水深进行拼接、融合。计算区域地形分布如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-7所示。</w:t>
            </w:r>
          </w:p>
          <w:p w14:paraId="6666C603">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3228975" cy="2924175"/>
                  <wp:effectExtent l="0" t="0" r="0" b="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118"/>
                          <a:stretch>
                            <a:fillRect/>
                          </a:stretch>
                        </pic:blipFill>
                        <pic:spPr>
                          <a:xfrm>
                            <a:off x="0" y="0"/>
                            <a:ext cx="3228975" cy="2924175"/>
                          </a:xfrm>
                          <a:prstGeom prst="rect">
                            <a:avLst/>
                          </a:prstGeom>
                          <a:noFill/>
                          <a:ln>
                            <a:noFill/>
                          </a:ln>
                        </pic:spPr>
                      </pic:pic>
                    </a:graphicData>
                  </a:graphic>
                </wp:inline>
              </w:drawing>
            </w:r>
          </w:p>
          <w:p w14:paraId="391E25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-7 计算范围水深分布</w:t>
            </w:r>
          </w:p>
          <w:p w14:paraId="4E8771A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岸线采用最新的岸线资料。外海潮位开边界由TPXO10模型提供。一般9月已逐渐转为平水期，故防城河径流量估取60m</w:t>
            </w:r>
            <w:r>
              <w:rPr>
                <w:rFonts w:hint="default" w:ascii="Times New Roman" w:hAnsi="Times New Roman" w:eastAsia="宋体" w:cs="Times New Roman"/>
                <w:kern w:val="2"/>
                <w:sz w:val="24"/>
                <w:szCs w:val="24"/>
                <w:vertAlign w:val="superscript"/>
                <w:lang w:val="en-US" w:eastAsia="zh-CN" w:bidi="ar"/>
              </w:rPr>
              <w:t>3</w:t>
            </w:r>
            <w:r>
              <w:rPr>
                <w:rFonts w:hint="default" w:ascii="Times New Roman" w:hAnsi="Times New Roman" w:eastAsia="宋体" w:cs="Times New Roman"/>
                <w:kern w:val="2"/>
                <w:sz w:val="24"/>
                <w:szCs w:val="24"/>
                <w:lang w:val="en-US" w:eastAsia="zh-CN" w:bidi="ar"/>
              </w:rPr>
              <w:t>/s。</w:t>
            </w:r>
          </w:p>
          <w:p w14:paraId="77DC5C6E">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4.5.1.3模型验证</w:t>
            </w:r>
          </w:p>
          <w:p w14:paraId="12ECA1E0">
            <w:pPr>
              <w:keepNext w:val="0"/>
              <w:keepLines w:val="0"/>
              <w:widowControl w:val="0"/>
              <w:suppressLineNumbers w:val="0"/>
              <w:spacing w:before="96" w:beforeAutospacing="0" w:after="96"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采用2022年9月的水文资料对模型进行验证，选取的防城港湾4个潮流站的调查时间为2022年9月6日至7日。具体站位布置见图4.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-8。</w:t>
            </w:r>
          </w:p>
          <w:p w14:paraId="4D46C796">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4695825" cy="4695825"/>
                  <wp:effectExtent l="0" t="0" r="0" b="0"/>
                  <wp:docPr id="48" name="图片 20" descr="站点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descr="站点位置"/>
                          <pic:cNvPicPr>
                            <a:picLocks noChangeAspect="1"/>
                          </pic:cNvPicPr>
                        </pic:nvPicPr>
                        <pic:blipFill>
                          <a:blip r:embed="rId119"/>
                          <a:stretch>
                            <a:fillRect/>
                          </a:stretch>
                        </pic:blipFill>
                        <pic:spPr>
                          <a:xfrm>
                            <a:off x="0" y="0"/>
                            <a:ext cx="4695825" cy="4695825"/>
                          </a:xfrm>
                          <a:prstGeom prst="rect">
                            <a:avLst/>
                          </a:prstGeom>
                          <a:noFill/>
                          <a:ln>
                            <a:noFill/>
                          </a:ln>
                        </pic:spPr>
                      </pic:pic>
                    </a:graphicData>
                  </a:graphic>
                </wp:inline>
              </w:drawing>
            </w:r>
          </w:p>
          <w:p w14:paraId="392BFCA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-8 潮流测站空间分布图</w:t>
            </w:r>
          </w:p>
          <w:p w14:paraId="01FC5516">
            <w:pPr>
              <w:keepNext w:val="0"/>
              <w:keepLines w:val="0"/>
              <w:widowControl w:val="0"/>
              <w:suppressLineNumbers w:val="0"/>
              <w:spacing w:before="96" w:beforeAutospacing="0" w:after="96"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-9至图4.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-12给出了2022年9月4个潮流测站（L2、L3、L4、L5）的流速计算结果与实测结果比较。流向以北方向为起始，顺时针旋转为正。由图可见，各验证点计算流速和实测资料基本吻合，流向验证较好；由于个别区域的地形数据未更新至最新，这可能导致了个别站点计算结果与实测资料稍有偏差。但总体来看，验证结果符合《海岸与河口潮流泥沙模拟技术规程》(JTS/T231-2-2010)要求，流速过程线的形态基本一致，这表明建立的二维潮流数学模型能较好地模拟工程所在海区水流传播过程和水流运动规律，可用于本工程水动力环境影响预测评价。</w:t>
            </w:r>
          </w:p>
          <w:p w14:paraId="419374C6">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5038725" cy="3513455"/>
                  <wp:effectExtent l="0" t="0" r="0" b="0"/>
                  <wp:docPr id="58" name="图片 5" descr="L2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L2对比"/>
                          <pic:cNvPicPr>
                            <a:picLocks noChangeAspect="1"/>
                          </pic:cNvPicPr>
                        </pic:nvPicPr>
                        <pic:blipFill>
                          <a:blip r:embed="rId120"/>
                          <a:srcRect t="3648" b="3329"/>
                          <a:stretch>
                            <a:fillRect/>
                          </a:stretch>
                        </pic:blipFill>
                        <pic:spPr>
                          <a:xfrm>
                            <a:off x="0" y="0"/>
                            <a:ext cx="5038725" cy="3513455"/>
                          </a:xfrm>
                          <a:prstGeom prst="rect">
                            <a:avLst/>
                          </a:prstGeom>
                          <a:noFill/>
                          <a:ln>
                            <a:noFill/>
                          </a:ln>
                        </pic:spPr>
                      </pic:pic>
                    </a:graphicData>
                  </a:graphic>
                </wp:inline>
              </w:drawing>
            </w:r>
          </w:p>
          <w:p w14:paraId="66FE86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-9</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en-US" w:eastAsia="zh-CN"/>
              </w:rPr>
              <w:t>L2站流速流向对比图</w:t>
            </w:r>
          </w:p>
          <w:p w14:paraId="56931B99">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5038725" cy="3561080"/>
                  <wp:effectExtent l="0" t="0" r="0" b="0"/>
                  <wp:docPr id="62" name="图片 6" descr="L3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descr="L3对比"/>
                          <pic:cNvPicPr>
                            <a:picLocks noChangeAspect="1"/>
                          </pic:cNvPicPr>
                        </pic:nvPicPr>
                        <pic:blipFill>
                          <a:blip r:embed="rId121"/>
                          <a:srcRect t="2959" b="2757"/>
                          <a:stretch>
                            <a:fillRect/>
                          </a:stretch>
                        </pic:blipFill>
                        <pic:spPr>
                          <a:xfrm>
                            <a:off x="0" y="0"/>
                            <a:ext cx="5038725" cy="3561080"/>
                          </a:xfrm>
                          <a:prstGeom prst="rect">
                            <a:avLst/>
                          </a:prstGeom>
                          <a:noFill/>
                          <a:ln>
                            <a:noFill/>
                          </a:ln>
                        </pic:spPr>
                      </pic:pic>
                    </a:graphicData>
                  </a:graphic>
                </wp:inline>
              </w:drawing>
            </w:r>
          </w:p>
          <w:p w14:paraId="7AD09A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9</w:t>
            </w:r>
            <w:r>
              <w:rPr>
                <w:rFonts w:hint="default" w:ascii="Times New Roman" w:hAnsi="Times New Roman" w:cs="Times New Roman"/>
                <w:b/>
                <w:bCs/>
                <w:color w:val="auto"/>
                <w:kern w:val="0"/>
                <w:sz w:val="21"/>
                <w:szCs w:val="21"/>
                <w:lang w:val="en-US" w:eastAsia="zh-CN"/>
              </w:rPr>
              <w:t xml:space="preserve">-10 </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en-US" w:eastAsia="zh-CN"/>
              </w:rPr>
              <w:t>L3站流速流向对比图</w:t>
            </w:r>
          </w:p>
          <w:p w14:paraId="01A25BC1">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5038725" cy="3520440"/>
                  <wp:effectExtent l="0" t="0" r="0" b="0"/>
                  <wp:docPr id="49" name="图片 9" descr="L4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L4对比"/>
                          <pic:cNvPicPr>
                            <a:picLocks noChangeAspect="1"/>
                          </pic:cNvPicPr>
                        </pic:nvPicPr>
                        <pic:blipFill>
                          <a:blip r:embed="rId122"/>
                          <a:srcRect t="3194" b="3598"/>
                          <a:stretch>
                            <a:fillRect/>
                          </a:stretch>
                        </pic:blipFill>
                        <pic:spPr>
                          <a:xfrm>
                            <a:off x="0" y="0"/>
                            <a:ext cx="5038725" cy="3520440"/>
                          </a:xfrm>
                          <a:prstGeom prst="rect">
                            <a:avLst/>
                          </a:prstGeom>
                          <a:noFill/>
                          <a:ln>
                            <a:noFill/>
                          </a:ln>
                        </pic:spPr>
                      </pic:pic>
                    </a:graphicData>
                  </a:graphic>
                </wp:inline>
              </w:drawing>
            </w:r>
          </w:p>
          <w:p w14:paraId="29092A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 xml:space="preserve">-11 </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en-US" w:eastAsia="zh-CN"/>
              </w:rPr>
              <w:t>L4站流速流向对比图</w:t>
            </w:r>
          </w:p>
          <w:p w14:paraId="6B35681D">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5038725" cy="3498850"/>
                  <wp:effectExtent l="0" t="0" r="0" b="0"/>
                  <wp:docPr id="32" name="图片 11" descr="L5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L5对比"/>
                          <pic:cNvPicPr>
                            <a:picLocks noChangeAspect="1"/>
                          </pic:cNvPicPr>
                        </pic:nvPicPr>
                        <pic:blipFill>
                          <a:blip r:embed="rId123"/>
                          <a:srcRect t="3315" b="3952"/>
                          <a:stretch>
                            <a:fillRect/>
                          </a:stretch>
                        </pic:blipFill>
                        <pic:spPr>
                          <a:xfrm>
                            <a:off x="0" y="0"/>
                            <a:ext cx="5038725" cy="3498850"/>
                          </a:xfrm>
                          <a:prstGeom prst="rect">
                            <a:avLst/>
                          </a:prstGeom>
                          <a:noFill/>
                          <a:ln>
                            <a:noFill/>
                          </a:ln>
                        </pic:spPr>
                      </pic:pic>
                    </a:graphicData>
                  </a:graphic>
                </wp:inline>
              </w:drawing>
            </w:r>
          </w:p>
          <w:p w14:paraId="24E70E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-12</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en-US" w:eastAsia="zh-CN"/>
              </w:rPr>
              <w:t xml:space="preserve"> L5站流速流向对比图</w:t>
            </w:r>
          </w:p>
          <w:p w14:paraId="1B32B2C5">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4.5.1.4工程前后流场变化分析</w:t>
            </w:r>
          </w:p>
          <w:p w14:paraId="3481A70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4.5.1.4.1涨潮（涨急时刻）流场变化</w:t>
            </w:r>
          </w:p>
          <w:p w14:paraId="6A169712">
            <w:pPr>
              <w:keepNext w:val="0"/>
              <w:keepLines w:val="0"/>
              <w:widowControl w:val="0"/>
              <w:suppressLineNumbers w:val="0"/>
              <w:spacing w:before="96" w:beforeAutospacing="0" w:after="96"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-13至图4.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-15是工程前后涨潮（涨急时刻）流场分布图和对比图。在防城港的典型涨急流场中，潮流表现出明显的“束流与挤压”特征。受限于复杂岸线边界，涨潮水流在进入该海域时，由于岸线曲折度高、岬角凸出，主流带在狭窄水道或受海堤阻挡的区域被迫发生转折。在涨急时刻，流场中心的主流轴线流速极快，但受防城港特殊的岸线形状影响，主流带两侧极易形成强剪切界面，在该界面处存在巨大的流速梯度。海堤工程的介入，改变了原有涨潮水流进入海湾的自然路径。涨急流场在堤前发生顶托与绕流。由于海堤结构对水流产生了强制性的截断作用，水流在流经堤头时被挤压，流速增加0.01-0.02m/s。堤后遮蔽区海堤工程造成的最显著流速变化区域。水流受海堤遮挡形成动力降低区域，流速较工程大幅降低流速降低0.01-0.03m/s。</w:t>
            </w:r>
          </w:p>
          <w:p w14:paraId="371ECDA8">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4097020" cy="3548380"/>
                  <wp:effectExtent l="0" t="0" r="0" b="0"/>
                  <wp:docPr id="41" name="图片 12" descr="newFrame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newFrame_0115"/>
                          <pic:cNvPicPr>
                            <a:picLocks noChangeAspect="1"/>
                          </pic:cNvPicPr>
                        </pic:nvPicPr>
                        <pic:blipFill>
                          <a:blip r:embed="rId124"/>
                          <a:srcRect l="9295" t="6027" r="12923" b="4051"/>
                          <a:stretch>
                            <a:fillRect/>
                          </a:stretch>
                        </pic:blipFill>
                        <pic:spPr>
                          <a:xfrm>
                            <a:off x="0" y="0"/>
                            <a:ext cx="4097020" cy="3548380"/>
                          </a:xfrm>
                          <a:prstGeom prst="rect">
                            <a:avLst/>
                          </a:prstGeom>
                          <a:noFill/>
                          <a:ln>
                            <a:noFill/>
                          </a:ln>
                        </pic:spPr>
                      </pic:pic>
                    </a:graphicData>
                  </a:graphic>
                </wp:inline>
              </w:drawing>
            </w:r>
          </w:p>
          <w:p w14:paraId="49E806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-13工程前涨急流场</w:t>
            </w:r>
          </w:p>
          <w:p w14:paraId="1B8295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drawing>
                <wp:inline distT="0" distB="0" distL="114300" distR="114300">
                  <wp:extent cx="5267325" cy="3571875"/>
                  <wp:effectExtent l="0" t="0" r="0" b="0"/>
                  <wp:docPr id="63" name="图片 18" descr="newFrame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descr="newFrame_0123"/>
                          <pic:cNvPicPr>
                            <a:picLocks noChangeAspect="1"/>
                          </pic:cNvPicPr>
                        </pic:nvPicPr>
                        <pic:blipFill>
                          <a:blip r:embed="rId125"/>
                          <a:srcRect t="5786" b="3809"/>
                          <a:stretch>
                            <a:fillRect/>
                          </a:stretch>
                        </pic:blipFill>
                        <pic:spPr>
                          <a:xfrm>
                            <a:off x="0" y="0"/>
                            <a:ext cx="5267325" cy="3571875"/>
                          </a:xfrm>
                          <a:prstGeom prst="rect">
                            <a:avLst/>
                          </a:prstGeom>
                          <a:noFill/>
                          <a:ln>
                            <a:noFill/>
                          </a:ln>
                        </pic:spPr>
                      </pic:pic>
                    </a:graphicData>
                  </a:graphic>
                </wp:inline>
              </w:drawing>
            </w:r>
          </w:p>
          <w:p w14:paraId="6736E8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-14 工程后涨急流场</w:t>
            </w:r>
          </w:p>
          <w:p w14:paraId="55FBCAA7">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4843780" cy="3286125"/>
                  <wp:effectExtent l="0" t="0" r="4445" b="0"/>
                  <wp:docPr id="27" name="图片 15" descr="涨急流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涨急流速"/>
                          <pic:cNvPicPr>
                            <a:picLocks noChangeAspect="1"/>
                          </pic:cNvPicPr>
                        </pic:nvPicPr>
                        <pic:blipFill>
                          <a:blip r:embed="rId126"/>
                          <a:srcRect t="5507" b="4021"/>
                          <a:stretch>
                            <a:fillRect/>
                          </a:stretch>
                        </pic:blipFill>
                        <pic:spPr>
                          <a:xfrm>
                            <a:off x="0" y="0"/>
                            <a:ext cx="4843780" cy="3286125"/>
                          </a:xfrm>
                          <a:prstGeom prst="rect">
                            <a:avLst/>
                          </a:prstGeom>
                          <a:noFill/>
                          <a:ln>
                            <a:noFill/>
                          </a:ln>
                        </pic:spPr>
                      </pic:pic>
                    </a:graphicData>
                  </a:graphic>
                </wp:inline>
              </w:drawing>
            </w:r>
          </w:p>
          <w:p w14:paraId="3E0AEC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-15 工程前后涨急流场对比</w:t>
            </w:r>
          </w:p>
          <w:p w14:paraId="3806032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4.5.1.4.1落潮（落急时刻）流场变化</w:t>
            </w:r>
          </w:p>
          <w:p w14:paraId="54E0A20E">
            <w:pPr>
              <w:keepNext w:val="0"/>
              <w:keepLines w:val="0"/>
              <w:widowControl w:val="0"/>
              <w:suppressLineNumbers w:val="0"/>
              <w:spacing w:before="96" w:beforeAutospacing="0" w:after="96"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-16至图4.</w:t>
            </w:r>
            <w:r>
              <w:rPr>
                <w:rFonts w:hint="eastAsia" w:ascii="Times New Roman" w:hAnsi="Times New Roman" w:eastAsia="宋体" w:cs="Times New Roman"/>
                <w:kern w:val="2"/>
                <w:sz w:val="24"/>
                <w:szCs w:val="24"/>
                <w:lang w:val="en-US" w:eastAsia="zh-CN" w:bidi="ar"/>
              </w:rPr>
              <w:t>5</w:t>
            </w:r>
            <w:r>
              <w:rPr>
                <w:rFonts w:hint="default" w:ascii="Times New Roman" w:hAnsi="Times New Roman" w:eastAsia="宋体" w:cs="Times New Roman"/>
                <w:kern w:val="2"/>
                <w:sz w:val="24"/>
                <w:szCs w:val="24"/>
                <w:lang w:val="en-US" w:eastAsia="zh-CN" w:bidi="ar"/>
              </w:rPr>
              <w:t>-18是工程前后落潮（落急时刻）流场分布图和对比图。在潮流动力学中，落急时刻是指落潮过程中流速达到最大的阶段。与涨急流场相比，落急流场往往呈现出不同的空间形态，这主要取决于防城港当地的海岸线几何形状、航道走向及地形水深。在落急时刻，潮流由海湾内部向外海涌出。主流带通常会沿着深槽轴线汇聚并向外海延伸。由于受到海堤的物理阻挡，主流线往往会发生偏转，避开海堤突出的堤身，转向更深的水域，表现出明显的向外排泄特征。水流通过狭窄的堤头区域时，类似于喷嘴效应，流速瞬间达到峰值，形成高速的落潮射流。与涨急不同，在海堤位于落潮路径的下游侧时，堤后会形成巨流速低区域。总体对流速影响小于0.03m/s。</w:t>
            </w:r>
          </w:p>
          <w:p w14:paraId="3D380422">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5006975" cy="3359150"/>
                  <wp:effectExtent l="0" t="0" r="3175" b="3175"/>
                  <wp:docPr id="35" name="图片 19" descr="newFrame_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newFrame_0132"/>
                          <pic:cNvPicPr>
                            <a:picLocks noChangeAspect="1"/>
                          </pic:cNvPicPr>
                        </pic:nvPicPr>
                        <pic:blipFill>
                          <a:blip r:embed="rId127"/>
                          <a:srcRect t="6268" b="4289"/>
                          <a:stretch>
                            <a:fillRect/>
                          </a:stretch>
                        </pic:blipFill>
                        <pic:spPr>
                          <a:xfrm>
                            <a:off x="0" y="0"/>
                            <a:ext cx="5006975" cy="3359150"/>
                          </a:xfrm>
                          <a:prstGeom prst="rect">
                            <a:avLst/>
                          </a:prstGeom>
                          <a:noFill/>
                          <a:ln>
                            <a:noFill/>
                          </a:ln>
                        </pic:spPr>
                      </pic:pic>
                    </a:graphicData>
                  </a:graphic>
                </wp:inline>
              </w:drawing>
            </w:r>
          </w:p>
          <w:p w14:paraId="4A5DCDC6">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-16</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en-US" w:eastAsia="zh-CN"/>
              </w:rPr>
              <w:t>工程前落急流场</w:t>
            </w:r>
            <w:r>
              <w:rPr>
                <w:rFonts w:hint="default" w:ascii="Times New Roman" w:hAnsi="Times New Roman" w:eastAsia="宋体" w:cs="Times New Roman"/>
                <w:b w:val="0"/>
                <w:bCs w:val="0"/>
                <w:kern w:val="0"/>
                <w:sz w:val="24"/>
                <w:szCs w:val="24"/>
                <w:lang w:val="en-US" w:eastAsia="zh-CN" w:bidi="ar"/>
              </w:rPr>
              <w:drawing>
                <wp:inline distT="0" distB="0" distL="114300" distR="114300">
                  <wp:extent cx="5187950" cy="3508375"/>
                  <wp:effectExtent l="0" t="0" r="3175" b="6350"/>
                  <wp:docPr id="38" name="图片 13" descr="newFrame_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newFrame_0132"/>
                          <pic:cNvPicPr>
                            <a:picLocks noChangeAspect="1"/>
                          </pic:cNvPicPr>
                        </pic:nvPicPr>
                        <pic:blipFill>
                          <a:blip r:embed="rId128"/>
                          <a:srcRect t="5786" b="4050"/>
                          <a:stretch>
                            <a:fillRect/>
                          </a:stretch>
                        </pic:blipFill>
                        <pic:spPr>
                          <a:xfrm>
                            <a:off x="0" y="0"/>
                            <a:ext cx="5187950" cy="3508375"/>
                          </a:xfrm>
                          <a:prstGeom prst="rect">
                            <a:avLst/>
                          </a:prstGeom>
                          <a:noFill/>
                          <a:ln>
                            <a:noFill/>
                          </a:ln>
                        </pic:spPr>
                      </pic:pic>
                    </a:graphicData>
                  </a:graphic>
                </wp:inline>
              </w:drawing>
            </w:r>
          </w:p>
          <w:p w14:paraId="79C6F7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-17</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en-US" w:eastAsia="zh-CN"/>
              </w:rPr>
              <w:t>工程后落急流场</w:t>
            </w:r>
          </w:p>
          <w:p w14:paraId="4F97E267">
            <w:pPr>
              <w:keepNext w:val="0"/>
              <w:keepLines w:val="0"/>
              <w:widowControl w:val="0"/>
              <w:suppressLineNumbers w:val="0"/>
              <w:spacing w:before="0" w:beforeAutospacing="0" w:after="120" w:afterLines="50" w:afterAutospacing="0"/>
              <w:ind w:left="0" w:right="0"/>
              <w:jc w:val="center"/>
              <w:rPr>
                <w:rFonts w:hint="default" w:ascii="Times New Roman" w:hAnsi="Times New Roman" w:eastAsia="宋体" w:cs="Times New Roman"/>
                <w:b w:val="0"/>
                <w:bCs w:val="0"/>
                <w:kern w:val="0"/>
                <w:sz w:val="24"/>
                <w:szCs w:val="24"/>
                <w:lang w:val="en-US" w:eastAsia="zh-CN" w:bidi="ar"/>
              </w:rPr>
            </w:pPr>
            <w:r>
              <w:rPr>
                <w:rFonts w:hint="default" w:ascii="Times New Roman" w:hAnsi="Times New Roman" w:eastAsia="宋体" w:cs="Times New Roman"/>
                <w:b w:val="0"/>
                <w:bCs w:val="0"/>
                <w:kern w:val="0"/>
                <w:sz w:val="24"/>
                <w:szCs w:val="24"/>
                <w:lang w:val="en-US" w:eastAsia="zh-CN" w:bidi="ar"/>
              </w:rPr>
              <w:drawing>
                <wp:inline distT="0" distB="0" distL="114300" distR="114300">
                  <wp:extent cx="5262880" cy="3571875"/>
                  <wp:effectExtent l="0" t="0" r="4445" b="0"/>
                  <wp:docPr id="39" name="图片 16" descr="落急流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落急流速"/>
                          <pic:cNvPicPr>
                            <a:picLocks noChangeAspect="1"/>
                          </pic:cNvPicPr>
                        </pic:nvPicPr>
                        <pic:blipFill>
                          <a:blip r:embed="rId129"/>
                          <a:srcRect t="5553" b="3896"/>
                          <a:stretch>
                            <a:fillRect/>
                          </a:stretch>
                        </pic:blipFill>
                        <pic:spPr>
                          <a:xfrm>
                            <a:off x="0" y="0"/>
                            <a:ext cx="5262880" cy="3571875"/>
                          </a:xfrm>
                          <a:prstGeom prst="rect">
                            <a:avLst/>
                          </a:prstGeom>
                          <a:noFill/>
                          <a:ln>
                            <a:noFill/>
                          </a:ln>
                        </pic:spPr>
                      </pic:pic>
                    </a:graphicData>
                  </a:graphic>
                </wp:inline>
              </w:drawing>
            </w:r>
          </w:p>
          <w:p w14:paraId="6E88C9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-18</w:t>
            </w:r>
            <w:r>
              <w:rPr>
                <w:rFonts w:hint="eastAsia"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val="en-US" w:eastAsia="zh-CN"/>
              </w:rPr>
              <w:t>工程前后落急流场对比</w:t>
            </w:r>
          </w:p>
          <w:p w14:paraId="68D0779B">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4.5.1.5水文动力环境影响分析结论</w:t>
            </w:r>
          </w:p>
          <w:p w14:paraId="0F4618D1">
            <w:pPr>
              <w:keepNext w:val="0"/>
              <w:keepLines w:val="0"/>
              <w:widowControl w:val="0"/>
              <w:suppressLineNumbers w:val="0"/>
              <w:spacing w:before="96" w:beforeAutospacing="0" w:after="96"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本工程建设平台属非透水构筑物，占用海域面积较小，建成后整体流场调整主要集中在工程周边小范围海域，对堤头、堤后区域略有影响，但总体流速影响小于0.03m/s，流场基本无变化。本工程的建设对当地水动力环境不会产生显著影响。</w:t>
            </w:r>
          </w:p>
          <w:p w14:paraId="0B1D4F1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4.5.2地形地貌与冲淤环境影响分析</w:t>
            </w:r>
          </w:p>
          <w:p w14:paraId="356C4C4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bookmarkStart w:id="58" w:name="_Toc183188513"/>
            <w:r>
              <w:rPr>
                <w:rFonts w:hint="default" w:ascii="Times New Roman" w:hAnsi="Times New Roman" w:eastAsia="宋体" w:cs="Times New Roman"/>
                <w:b/>
                <w:bCs/>
                <w:color w:val="auto"/>
                <w:sz w:val="24"/>
                <w:szCs w:val="24"/>
                <w:lang w:val="en-US" w:eastAsia="zh-CN"/>
              </w:rPr>
              <w:t>4.5.2.1冲淤模型选取</w:t>
            </w:r>
            <w:bookmarkEnd w:id="58"/>
          </w:p>
          <w:p w14:paraId="5E08BB6F">
            <w:pPr>
              <w:keepNext w:val="0"/>
              <w:keepLines w:val="0"/>
              <w:widowControl w:val="0"/>
              <w:suppressLineNumbers w:val="0"/>
              <w:spacing w:before="96" w:beforeAutospacing="0" w:after="96" w:afterAutospacing="0" w:line="360" w:lineRule="auto"/>
              <w:ind w:left="0" w:right="0" w:firstLine="56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工程建设后，桩基等构筑物改变了局部水流条件和含沙量分布，从而引起海床变化。床面变形方程可计算海床的冲淤量，但泥沙冲淤是个长历时的过程，采用该方法计算工作量大，受资料限制参数取值也较为困难，难以保证计算结果精度，计算误差可能超过风电场桩基本身带来的影响。因此对于工程建设后引起的海床冲淤情况，目前较多采用半经验半理论公式进行估算。</w:t>
            </w:r>
          </w:p>
          <w:p w14:paraId="41B4075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4.5.2.1.1数学模型</w:t>
            </w:r>
          </w:p>
          <w:p w14:paraId="5B42774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根据窦国仁悬沙输沙方程</w:t>
            </w:r>
          </w:p>
          <w:p w14:paraId="3EE10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2"/>
                <w:sz w:val="24"/>
                <w:szCs w:val="24"/>
                <w:lang w:val="en-US" w:eastAsia="zh-CN" w:bidi="ar"/>
              </w:rPr>
              <w:drawing>
                <wp:inline distT="0" distB="0" distL="114300" distR="114300">
                  <wp:extent cx="3055620" cy="399415"/>
                  <wp:effectExtent l="0" t="0" r="0" b="635"/>
                  <wp:docPr id="6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4"/>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055620" cy="399415"/>
                          </a:xfrm>
                          <a:prstGeom prst="rect">
                            <a:avLst/>
                          </a:prstGeom>
                          <a:noFill/>
                          <a:ln>
                            <a:noFill/>
                          </a:ln>
                        </pic:spPr>
                      </pic:pic>
                    </a:graphicData>
                  </a:graphic>
                </wp:inline>
              </w:drawing>
            </w:r>
          </w:p>
          <w:p w14:paraId="0C8984A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其中，</w:t>
            </w:r>
            <w:r>
              <w:rPr>
                <w:rFonts w:hint="default" w:ascii="Times New Roman" w:hAnsi="Times New Roman" w:eastAsia="宋体" w:cs="Times New Roman"/>
                <w:i/>
                <w:iCs w:val="0"/>
                <w:kern w:val="0"/>
                <w:sz w:val="24"/>
                <w:szCs w:val="24"/>
                <w:lang w:val="en-US" w:eastAsia="zh-CN" w:bidi="ar"/>
              </w:rPr>
              <w:t>H</w:t>
            </w:r>
            <w:r>
              <w:rPr>
                <w:rFonts w:hint="default" w:ascii="Times New Roman" w:hAnsi="Times New Roman" w:eastAsia="宋体" w:cs="Times New Roman"/>
                <w:kern w:val="0"/>
                <w:sz w:val="24"/>
                <w:szCs w:val="24"/>
                <w:lang w:val="en-US" w:eastAsia="zh-CN" w:bidi="ar"/>
              </w:rPr>
              <w:t>为水深，m；</w:t>
            </w:r>
            <w:r>
              <w:rPr>
                <w:rFonts w:hint="default" w:ascii="Times New Roman" w:hAnsi="Times New Roman" w:eastAsia="宋体" w:cs="Times New Roman"/>
                <w:i/>
                <w:iCs w:val="0"/>
                <w:kern w:val="0"/>
                <w:sz w:val="24"/>
                <w:szCs w:val="24"/>
                <w:lang w:val="el" w:eastAsia="zh-CN" w:bidi="ar"/>
              </w:rPr>
              <w:t>S</w:t>
            </w:r>
            <w:r>
              <w:rPr>
                <w:rFonts w:hint="default" w:ascii="Times New Roman" w:hAnsi="Times New Roman" w:eastAsia="宋体" w:cs="Times New Roman"/>
                <w:kern w:val="0"/>
                <w:sz w:val="24"/>
                <w:szCs w:val="24"/>
                <w:lang w:val="en-US" w:eastAsia="zh-CN" w:bidi="ar"/>
              </w:rPr>
              <w:t>为含沙量，kg/</w:t>
            </w:r>
            <w:r>
              <w:rPr>
                <w:rFonts w:hint="default" w:ascii="Times New Roman" w:hAnsi="Times New Roman" w:eastAsia="宋体" w:cs="Times New Roman"/>
                <w:kern w:val="2"/>
                <w:position w:val="-6"/>
                <w:sz w:val="24"/>
                <w:szCs w:val="24"/>
                <w:lang w:val="en-US" w:eastAsia="zh-CN" w:bidi="ar"/>
              </w:rPr>
              <w:drawing>
                <wp:inline distT="0" distB="0" distL="114300" distR="114300">
                  <wp:extent cx="228600" cy="209550"/>
                  <wp:effectExtent l="0" t="0" r="0" b="0"/>
                  <wp:docPr id="3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5"/>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2286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r>
              <w:rPr>
                <w:rFonts w:hint="default" w:ascii="Times New Roman" w:hAnsi="Times New Roman" w:eastAsia="宋体" w:cs="Times New Roman"/>
                <w:i/>
                <w:iCs w:val="0"/>
                <w:kern w:val="0"/>
                <w:sz w:val="24"/>
                <w:szCs w:val="24"/>
                <w:lang w:val="el" w:eastAsia="zh-CN" w:bidi="ar"/>
              </w:rPr>
              <w:t>q</w:t>
            </w:r>
            <w:r>
              <w:rPr>
                <w:rFonts w:hint="default" w:ascii="Times New Roman" w:hAnsi="Times New Roman" w:eastAsia="宋体" w:cs="Times New Roman"/>
                <w:kern w:val="0"/>
                <w:sz w:val="24"/>
                <w:szCs w:val="24"/>
                <w:lang w:val="en-US" w:eastAsia="zh-CN" w:bidi="ar"/>
              </w:rPr>
              <w:t>为单宽流量，</w:t>
            </w:r>
            <w:r>
              <w:rPr>
                <w:rFonts w:hint="default" w:ascii="Times New Roman" w:hAnsi="Times New Roman" w:eastAsia="宋体" w:cs="Times New Roman"/>
                <w:kern w:val="2"/>
                <w:position w:val="-6"/>
                <w:sz w:val="24"/>
                <w:szCs w:val="24"/>
                <w:lang w:val="en-US" w:eastAsia="zh-CN" w:bidi="ar"/>
              </w:rPr>
              <w:drawing>
                <wp:inline distT="0" distB="0" distL="114300" distR="114300">
                  <wp:extent cx="228600" cy="209550"/>
                  <wp:effectExtent l="0" t="0" r="0" b="0"/>
                  <wp:docPr id="2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6"/>
                          <pic:cNvPicPr>
                            <a:picLocks noChangeAspect="1"/>
                          </pic:cNvPicPr>
                        </pic:nvPicPr>
                        <pic:blipFill>
                          <a:blip r:embed="rId132">
                            <a:clrChange>
                              <a:clrFrom>
                                <a:srgbClr val="FFFFFF"/>
                              </a:clrFrom>
                              <a:clrTo>
                                <a:srgbClr val="FFFFFF">
                                  <a:alpha val="0"/>
                                </a:srgbClr>
                              </a:clrTo>
                            </a:clrChange>
                          </a:blip>
                          <a:stretch>
                            <a:fillRect/>
                          </a:stretch>
                        </pic:blipFill>
                        <pic:spPr>
                          <a:xfrm>
                            <a:off x="0" y="0"/>
                            <a:ext cx="2286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/s；为泥沙沉降机率；</w:t>
            </w:r>
            <w:r>
              <w:rPr>
                <w:rFonts w:hint="default" w:ascii="Times New Roman" w:hAnsi="Times New Roman" w:eastAsia="宋体" w:cs="Times New Roman"/>
                <w:kern w:val="0"/>
                <w:sz w:val="24"/>
                <w:szCs w:val="24"/>
                <w:lang w:val="el" w:eastAsia="zh-CN" w:bidi="ar"/>
              </w:rPr>
              <w:t>ω</w:t>
            </w:r>
            <w:r>
              <w:rPr>
                <w:rFonts w:hint="default" w:ascii="Times New Roman" w:hAnsi="Times New Roman" w:eastAsia="宋体" w:cs="Times New Roman"/>
                <w:kern w:val="0"/>
                <w:sz w:val="24"/>
                <w:szCs w:val="24"/>
                <w:lang w:val="en-US" w:eastAsia="zh-CN" w:bidi="ar"/>
              </w:rPr>
              <w:t>为悬沙沉降速度，m/s；</w:t>
            </w:r>
            <w:r>
              <w:rPr>
                <w:rFonts w:hint="default" w:ascii="Times New Roman" w:hAnsi="Times New Roman" w:eastAsia="宋体" w:cs="Times New Roman"/>
                <w:kern w:val="2"/>
                <w:position w:val="-6"/>
                <w:sz w:val="24"/>
                <w:szCs w:val="24"/>
                <w:lang w:val="en-US" w:eastAsia="zh-CN" w:bidi="ar"/>
              </w:rPr>
              <w:drawing>
                <wp:inline distT="0" distB="0" distL="114300" distR="114300">
                  <wp:extent cx="171450" cy="209550"/>
                  <wp:effectExtent l="0" t="0" r="0" b="0"/>
                  <wp:docPr id="2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7"/>
                          <pic:cNvPicPr>
                            <a:picLocks noChangeAspect="1"/>
                          </pic:cNvPicPr>
                        </pic:nvPicPr>
                        <pic:blipFill>
                          <a:blip r:embed="rId133">
                            <a:clrChange>
                              <a:clrFrom>
                                <a:srgbClr val="FFFFFF"/>
                              </a:clrFrom>
                              <a:clrTo>
                                <a:srgbClr val="FFFFFF">
                                  <a:alpha val="0"/>
                                </a:srgbClr>
                              </a:clrTo>
                            </a:clrChange>
                          </a:blip>
                          <a:stretch>
                            <a:fillRect/>
                          </a:stretch>
                        </pic:blipFill>
                        <pic:spPr>
                          <a:xfrm>
                            <a:off x="0" y="0"/>
                            <a:ext cx="17145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为挟沙力含沙量，kg/</w:t>
            </w:r>
            <w:r>
              <w:rPr>
                <w:rFonts w:hint="default" w:ascii="Times New Roman" w:hAnsi="Times New Roman" w:eastAsia="宋体" w:cs="Times New Roman"/>
                <w:kern w:val="2"/>
                <w:position w:val="-6"/>
                <w:sz w:val="24"/>
                <w:szCs w:val="24"/>
                <w:lang w:val="en-US" w:eastAsia="zh-CN" w:bidi="ar"/>
              </w:rPr>
              <w:drawing>
                <wp:inline distT="0" distB="0" distL="114300" distR="114300">
                  <wp:extent cx="228600" cy="209550"/>
                  <wp:effectExtent l="0" t="0" r="0" b="0"/>
                  <wp:docPr id="3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8"/>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2286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p>
          <w:p w14:paraId="202C410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对上式在一个</w:t>
            </w:r>
            <w:r>
              <w:rPr>
                <w:rFonts w:hint="default" w:ascii="Times New Roman" w:hAnsi="Times New Roman" w:eastAsia="宋体" w:cs="Times New Roman"/>
                <w:i/>
                <w:iCs w:val="0"/>
                <w:kern w:val="0"/>
                <w:sz w:val="24"/>
                <w:szCs w:val="24"/>
                <w:lang w:val="en-US" w:eastAsia="zh-CN" w:bidi="ar"/>
              </w:rPr>
              <w:t>Τ</w:t>
            </w:r>
            <w:r>
              <w:rPr>
                <w:rFonts w:hint="default" w:ascii="Times New Roman" w:hAnsi="Times New Roman" w:eastAsia="宋体" w:cs="Times New Roman"/>
                <w:kern w:val="0"/>
                <w:sz w:val="24"/>
                <w:szCs w:val="24"/>
                <w:lang w:val="en-US" w:eastAsia="zh-CN" w:bidi="ar"/>
              </w:rPr>
              <w:t>潮周期内积分，并经差分变换后，可得到一个潮周期</w:t>
            </w:r>
            <w:r>
              <w:rPr>
                <w:rFonts w:hint="default" w:ascii="Times New Roman" w:hAnsi="Times New Roman" w:eastAsia="宋体" w:cs="Times New Roman"/>
                <w:i/>
                <w:iCs w:val="0"/>
                <w:kern w:val="0"/>
                <w:sz w:val="24"/>
                <w:szCs w:val="24"/>
                <w:lang w:val="en-US" w:eastAsia="zh-CN" w:bidi="ar"/>
              </w:rPr>
              <w:t>Τ</w:t>
            </w:r>
            <w:r>
              <w:rPr>
                <w:rFonts w:hint="default" w:ascii="Times New Roman" w:hAnsi="Times New Roman" w:eastAsia="宋体" w:cs="Times New Roman"/>
                <w:kern w:val="0"/>
                <w:sz w:val="24"/>
                <w:szCs w:val="24"/>
                <w:lang w:val="en-US" w:eastAsia="zh-CN" w:bidi="ar"/>
              </w:rPr>
              <w:t>内的海床冲淤强度</w:t>
            </w:r>
          </w:p>
          <w:p w14:paraId="7B8D3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2"/>
                <w:sz w:val="24"/>
                <w:szCs w:val="24"/>
                <w:lang w:val="en-US" w:eastAsia="zh-CN" w:bidi="ar"/>
              </w:rPr>
              <w:drawing>
                <wp:inline distT="0" distB="0" distL="114300" distR="114300">
                  <wp:extent cx="2622550" cy="401320"/>
                  <wp:effectExtent l="0" t="0" r="0" b="8255"/>
                  <wp:docPr id="2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9"/>
                          <pic:cNvPicPr>
                            <a:picLocks noChangeAspect="1"/>
                          </pic:cNvPicPr>
                        </pic:nvPicPr>
                        <pic:blipFill>
                          <a:blip r:embed="rId134">
                            <a:clrChange>
                              <a:clrFrom>
                                <a:srgbClr val="FFFFFF"/>
                              </a:clrFrom>
                              <a:clrTo>
                                <a:srgbClr val="FFFFFF">
                                  <a:alpha val="0"/>
                                </a:srgbClr>
                              </a:clrTo>
                            </a:clrChange>
                          </a:blip>
                          <a:stretch>
                            <a:fillRect/>
                          </a:stretch>
                        </pic:blipFill>
                        <pic:spPr>
                          <a:xfrm>
                            <a:off x="0" y="0"/>
                            <a:ext cx="2622550" cy="401320"/>
                          </a:xfrm>
                          <a:prstGeom prst="rect">
                            <a:avLst/>
                          </a:prstGeom>
                          <a:noFill/>
                          <a:ln>
                            <a:noFill/>
                          </a:ln>
                        </pic:spPr>
                      </pic:pic>
                    </a:graphicData>
                  </a:graphic>
                </wp:inline>
              </w:drawing>
            </w:r>
          </w:p>
          <w:p w14:paraId="7518D74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一年中冲淤强度为</w:t>
            </w:r>
          </w:p>
          <w:p w14:paraId="6C4CA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2"/>
                <w:sz w:val="24"/>
                <w:szCs w:val="24"/>
                <w:lang w:val="en-US" w:eastAsia="zh-CN" w:bidi="ar"/>
              </w:rPr>
              <w:drawing>
                <wp:inline distT="0" distB="0" distL="114300" distR="114300">
                  <wp:extent cx="3053080" cy="424815"/>
                  <wp:effectExtent l="0" t="0" r="0" b="3810"/>
                  <wp:docPr id="3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0"/>
                          <pic:cNvPicPr>
                            <a:picLocks noChangeAspect="1"/>
                          </pic:cNvPicPr>
                        </pic:nvPicPr>
                        <pic:blipFill>
                          <a:blip r:embed="rId135">
                            <a:clrChange>
                              <a:clrFrom>
                                <a:srgbClr val="FFFFFF"/>
                              </a:clrFrom>
                              <a:clrTo>
                                <a:srgbClr val="FFFFFF">
                                  <a:alpha val="0"/>
                                </a:srgbClr>
                              </a:clrTo>
                            </a:clrChange>
                          </a:blip>
                          <a:stretch>
                            <a:fillRect/>
                          </a:stretch>
                        </pic:blipFill>
                        <pic:spPr>
                          <a:xfrm>
                            <a:off x="0" y="0"/>
                            <a:ext cx="3053080" cy="424815"/>
                          </a:xfrm>
                          <a:prstGeom prst="rect">
                            <a:avLst/>
                          </a:prstGeom>
                          <a:noFill/>
                          <a:ln>
                            <a:noFill/>
                          </a:ln>
                        </pic:spPr>
                      </pic:pic>
                    </a:graphicData>
                  </a:graphic>
                </wp:inline>
              </w:drawing>
            </w:r>
          </w:p>
          <w:p w14:paraId="26F8B1A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其中，</w:t>
            </w:r>
            <w:r>
              <w:rPr>
                <w:rFonts w:hint="default" w:ascii="Times New Roman" w:hAnsi="Times New Roman" w:eastAsia="宋体" w:cs="Times New Roman"/>
                <w:i/>
                <w:iCs w:val="0"/>
                <w:kern w:val="0"/>
                <w:sz w:val="24"/>
                <w:szCs w:val="24"/>
                <w:lang w:val="en-US" w:eastAsia="zh-CN" w:bidi="ar"/>
              </w:rPr>
              <w:t>Τ</w:t>
            </w:r>
            <w:r>
              <w:rPr>
                <w:rFonts w:hint="default" w:ascii="Times New Roman" w:hAnsi="Times New Roman" w:eastAsia="宋体" w:cs="Times New Roman"/>
                <w:kern w:val="0"/>
                <w:sz w:val="24"/>
                <w:szCs w:val="24"/>
                <w:lang w:val="en-US" w:eastAsia="zh-CN" w:bidi="ar"/>
              </w:rPr>
              <w:t>为潮周期，</w:t>
            </w:r>
            <w:r>
              <w:rPr>
                <w:rFonts w:hint="default" w:ascii="Times New Roman" w:hAnsi="Times New Roman" w:eastAsia="宋体" w:cs="Times New Roman"/>
                <w:i/>
                <w:iCs w:val="0"/>
                <w:kern w:val="0"/>
                <w:sz w:val="24"/>
                <w:szCs w:val="24"/>
                <w:lang w:val="en-US" w:eastAsia="zh-CN" w:bidi="ar"/>
              </w:rPr>
              <w:t>s；n</w:t>
            </w:r>
            <w:r>
              <w:rPr>
                <w:rFonts w:hint="default" w:ascii="Times New Roman" w:hAnsi="Times New Roman" w:eastAsia="宋体" w:cs="Times New Roman"/>
                <w:kern w:val="0"/>
                <w:sz w:val="24"/>
                <w:szCs w:val="24"/>
                <w:lang w:val="en-US" w:eastAsia="zh-CN" w:bidi="ar"/>
              </w:rPr>
              <w:t>为一年中的潮周期数。</w:t>
            </w:r>
          </w:p>
          <w:p w14:paraId="56E2F64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将挟沙力公式</w:t>
            </w:r>
            <w:r>
              <w:rPr>
                <w:rFonts w:hint="default" w:ascii="Times New Roman" w:hAnsi="Times New Roman" w:eastAsia="宋体" w:cs="Times New Roman"/>
                <w:kern w:val="2"/>
                <w:position w:val="-19"/>
                <w:sz w:val="24"/>
                <w:szCs w:val="24"/>
                <w:lang w:val="en-US" w:eastAsia="zh-CN" w:bidi="ar"/>
              </w:rPr>
              <w:drawing>
                <wp:inline distT="0" distB="0" distL="114300" distR="114300">
                  <wp:extent cx="1814830" cy="352425"/>
                  <wp:effectExtent l="0" t="0" r="4445" b="0"/>
                  <wp:docPr id="4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1"/>
                          <pic:cNvPicPr>
                            <a:picLocks noChangeAspect="1"/>
                          </pic:cNvPicPr>
                        </pic:nvPicPr>
                        <pic:blipFill>
                          <a:blip r:embed="rId136">
                            <a:clrChange>
                              <a:clrFrom>
                                <a:srgbClr val="FFFFFF"/>
                              </a:clrFrom>
                              <a:clrTo>
                                <a:srgbClr val="FFFFFF">
                                  <a:alpha val="0"/>
                                </a:srgbClr>
                              </a:clrTo>
                            </a:clrChange>
                          </a:blip>
                          <a:stretch>
                            <a:fillRect/>
                          </a:stretch>
                        </pic:blipFill>
                        <pic:spPr>
                          <a:xfrm>
                            <a:off x="0" y="0"/>
                            <a:ext cx="1814830" cy="352425"/>
                          </a:xfrm>
                          <a:prstGeom prst="rect">
                            <a:avLst/>
                          </a:prstGeom>
                          <a:noFill/>
                          <a:ln>
                            <a:noFill/>
                          </a:ln>
                        </pic:spPr>
                      </pic:pic>
                    </a:graphicData>
                  </a:graphic>
                </wp:inline>
              </w:drawing>
            </w:r>
          </w:p>
          <w:p w14:paraId="45E65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2"/>
                <w:sz w:val="24"/>
                <w:szCs w:val="24"/>
                <w:lang w:val="en-US" w:eastAsia="zh-CN" w:bidi="ar"/>
              </w:rPr>
              <w:drawing>
                <wp:inline distT="0" distB="0" distL="114300" distR="114300">
                  <wp:extent cx="3291840" cy="433070"/>
                  <wp:effectExtent l="0" t="0" r="0" b="5080"/>
                  <wp:docPr id="4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2"/>
                          <pic:cNvPicPr>
                            <a:picLocks noChangeAspect="1"/>
                          </pic:cNvPicPr>
                        </pic:nvPicPr>
                        <pic:blipFill>
                          <a:blip r:embed="rId137">
                            <a:clrChange>
                              <a:clrFrom>
                                <a:srgbClr val="FFFFFF"/>
                              </a:clrFrom>
                              <a:clrTo>
                                <a:srgbClr val="FFFFFF">
                                  <a:alpha val="0"/>
                                </a:srgbClr>
                              </a:clrTo>
                            </a:clrChange>
                          </a:blip>
                          <a:stretch>
                            <a:fillRect/>
                          </a:stretch>
                        </pic:blipFill>
                        <pic:spPr>
                          <a:xfrm>
                            <a:off x="0" y="0"/>
                            <a:ext cx="3291840" cy="433070"/>
                          </a:xfrm>
                          <a:prstGeom prst="rect">
                            <a:avLst/>
                          </a:prstGeom>
                          <a:noFill/>
                          <a:ln>
                            <a:noFill/>
                          </a:ln>
                        </pic:spPr>
                      </pic:pic>
                    </a:graphicData>
                  </a:graphic>
                </wp:inline>
              </w:drawing>
            </w:r>
          </w:p>
          <w:p w14:paraId="5284017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其中，</w:t>
            </w:r>
            <w:r>
              <w:rPr>
                <w:rFonts w:hint="default" w:ascii="Times New Roman" w:hAnsi="Times New Roman" w:eastAsia="宋体" w:cs="Times New Roman"/>
                <w:kern w:val="2"/>
                <w:position w:val="-6"/>
                <w:sz w:val="24"/>
                <w:szCs w:val="24"/>
                <w:lang w:val="en-US" w:eastAsia="zh-CN" w:bidi="ar"/>
              </w:rPr>
              <w:drawing>
                <wp:inline distT="0" distB="0" distL="114300" distR="114300">
                  <wp:extent cx="195580" cy="209550"/>
                  <wp:effectExtent l="0" t="0" r="4445" b="0"/>
                  <wp:docPr id="9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3"/>
                          <pic:cNvPicPr>
                            <a:picLocks noChangeAspect="1"/>
                          </pic:cNvPicPr>
                        </pic:nvPicPr>
                        <pic:blipFill>
                          <a:blip r:embed="rId138">
                            <a:clrChange>
                              <a:clrFrom>
                                <a:srgbClr val="FFFFFF"/>
                              </a:clrFrom>
                              <a:clrTo>
                                <a:srgbClr val="FFFFFF">
                                  <a:alpha val="0"/>
                                </a:srgbClr>
                              </a:clrTo>
                            </a:clrChange>
                          </a:blip>
                          <a:stretch>
                            <a:fillRect/>
                          </a:stretch>
                        </pic:blipFill>
                        <pic:spPr>
                          <a:xfrm>
                            <a:off x="0" y="0"/>
                            <a:ext cx="19558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为工程前水深，m；</w:t>
            </w:r>
            <w:r>
              <w:rPr>
                <w:rFonts w:hint="default" w:ascii="Times New Roman" w:hAnsi="Times New Roman" w:eastAsia="宋体" w:cs="Times New Roman"/>
                <w:kern w:val="2"/>
                <w:position w:val="-6"/>
                <w:sz w:val="24"/>
                <w:szCs w:val="24"/>
                <w:lang w:val="en-US" w:eastAsia="zh-CN" w:bidi="ar"/>
              </w:rPr>
              <w:drawing>
                <wp:inline distT="0" distB="0" distL="114300" distR="114300">
                  <wp:extent cx="200025" cy="209550"/>
                  <wp:effectExtent l="0" t="0" r="0" b="0"/>
                  <wp:docPr id="11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4"/>
                          <pic:cNvPicPr>
                            <a:picLocks noChangeAspect="1"/>
                          </pic:cNvPicPr>
                        </pic:nvPicPr>
                        <pic:blipFill>
                          <a:blip r:embed="rId139">
                            <a:clrChange>
                              <a:clrFrom>
                                <a:srgbClr val="FFFFFF"/>
                              </a:clrFrom>
                              <a:clrTo>
                                <a:srgbClr val="FFFFFF">
                                  <a:alpha val="0"/>
                                </a:srgbClr>
                              </a:clrTo>
                            </a:clrChange>
                          </a:blip>
                          <a:stretch>
                            <a:fillRect/>
                          </a:stretch>
                        </pic:blipFill>
                        <pic:spPr>
                          <a:xfrm>
                            <a:off x="0" y="0"/>
                            <a:ext cx="20002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为工程后水深，m；</w:t>
            </w:r>
            <w:r>
              <w:rPr>
                <w:rFonts w:hint="default" w:ascii="Times New Roman" w:hAnsi="Times New Roman" w:eastAsia="宋体" w:cs="Times New Roman"/>
                <w:kern w:val="2"/>
                <w:position w:val="-6"/>
                <w:sz w:val="24"/>
                <w:szCs w:val="24"/>
                <w:lang w:val="en-US" w:eastAsia="zh-CN" w:bidi="ar"/>
              </w:rPr>
              <w:drawing>
                <wp:inline distT="0" distB="0" distL="114300" distR="114300">
                  <wp:extent cx="171450" cy="209550"/>
                  <wp:effectExtent l="0" t="0" r="0" b="0"/>
                  <wp:docPr id="9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5"/>
                          <pic:cNvPicPr>
                            <a:picLocks noChangeAspect="1"/>
                          </pic:cNvPicPr>
                        </pic:nvPicPr>
                        <pic:blipFill>
                          <a:blip r:embed="rId140">
                            <a:clrChange>
                              <a:clrFrom>
                                <a:srgbClr val="FFFFFF"/>
                              </a:clrFrom>
                              <a:clrTo>
                                <a:srgbClr val="FFFFFF">
                                  <a:alpha val="0"/>
                                </a:srgbClr>
                              </a:clrTo>
                            </a:clrChange>
                          </a:blip>
                          <a:stretch>
                            <a:fillRect/>
                          </a:stretch>
                        </pic:blipFill>
                        <pic:spPr>
                          <a:xfrm>
                            <a:off x="0" y="0"/>
                            <a:ext cx="17145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为工程前流速，m/s；</w:t>
            </w:r>
            <w:r>
              <w:rPr>
                <w:rFonts w:hint="default" w:ascii="Times New Roman" w:hAnsi="Times New Roman" w:eastAsia="宋体" w:cs="Times New Roman"/>
                <w:kern w:val="2"/>
                <w:position w:val="-6"/>
                <w:sz w:val="24"/>
                <w:szCs w:val="24"/>
                <w:lang w:val="en-US" w:eastAsia="zh-CN" w:bidi="ar"/>
              </w:rPr>
              <w:drawing>
                <wp:inline distT="0" distB="0" distL="114300" distR="114300">
                  <wp:extent cx="176530" cy="209550"/>
                  <wp:effectExtent l="0" t="0" r="4445" b="0"/>
                  <wp:docPr id="10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6"/>
                          <pic:cNvPicPr>
                            <a:picLocks noChangeAspect="1"/>
                          </pic:cNvPicPr>
                        </pic:nvPicPr>
                        <pic:blipFill>
                          <a:blip r:embed="rId141">
                            <a:clrChange>
                              <a:clrFrom>
                                <a:srgbClr val="FFFFFF"/>
                              </a:clrFrom>
                              <a:clrTo>
                                <a:srgbClr val="FFFFFF">
                                  <a:alpha val="0"/>
                                </a:srgbClr>
                              </a:clrTo>
                            </a:clrChange>
                          </a:blip>
                          <a:stretch>
                            <a:fillRect/>
                          </a:stretch>
                        </pic:blipFill>
                        <pic:spPr>
                          <a:xfrm>
                            <a:off x="0" y="0"/>
                            <a:ext cx="17653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为工程后流速，m/s。</w:t>
            </w:r>
          </w:p>
          <w:p w14:paraId="0EB8D17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求解得到，经推导可得</w:t>
            </w:r>
            <w:r>
              <w:rPr>
                <w:rFonts w:hint="default" w:ascii="Times New Roman" w:hAnsi="Times New Roman" w:eastAsia="宋体" w:cs="Times New Roman"/>
                <w:kern w:val="2"/>
                <w:position w:val="-6"/>
                <w:sz w:val="24"/>
                <w:szCs w:val="24"/>
                <w:lang w:val="en-US" w:eastAsia="zh-CN" w:bidi="ar"/>
              </w:rPr>
              <w:drawing>
                <wp:inline distT="0" distB="0" distL="114300" distR="114300">
                  <wp:extent cx="243205" cy="209550"/>
                  <wp:effectExtent l="0" t="0" r="4445" b="0"/>
                  <wp:docPr id="11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7"/>
                          <pic:cNvPicPr>
                            <a:picLocks noChangeAspect="1"/>
                          </pic:cNvPicPr>
                        </pic:nvPicPr>
                        <pic:blipFill>
                          <a:blip r:embed="rId142">
                            <a:clrChange>
                              <a:clrFrom>
                                <a:srgbClr val="FFFFFF"/>
                              </a:clrFrom>
                              <a:clrTo>
                                <a:srgbClr val="FFFFFF">
                                  <a:alpha val="0"/>
                                </a:srgbClr>
                              </a:clrTo>
                            </a:clrChange>
                          </a:blip>
                          <a:stretch>
                            <a:fillRect/>
                          </a:stretch>
                        </pic:blipFill>
                        <pic:spPr>
                          <a:xfrm>
                            <a:off x="0" y="0"/>
                            <a:ext cx="24320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p>
          <w:p w14:paraId="73A95762">
            <w:pPr>
              <w:keepNext w:val="0"/>
              <w:keepLines w:val="0"/>
              <w:widowControl w:val="0"/>
              <w:suppressLineNumbers w:val="0"/>
              <w:spacing w:before="0" w:beforeAutospacing="0" w:after="0" w:afterAutospacing="0" w:line="360" w:lineRule="auto"/>
              <w:ind w:left="0" w:right="0"/>
              <w:jc w:val="right"/>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2"/>
                <w:sz w:val="24"/>
                <w:szCs w:val="24"/>
                <w:lang w:val="en-US" w:eastAsia="zh-CN" w:bidi="ar"/>
              </w:rPr>
              <w:drawing>
                <wp:inline distT="0" distB="0" distL="114300" distR="114300">
                  <wp:extent cx="4680585" cy="304165"/>
                  <wp:effectExtent l="0" t="0" r="0" b="635"/>
                  <wp:docPr id="10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8"/>
                          <pic:cNvPicPr>
                            <a:picLocks noChangeAspect="1"/>
                          </pic:cNvPicPr>
                        </pic:nvPicPr>
                        <pic:blipFill>
                          <a:blip r:embed="rId143">
                            <a:clrChange>
                              <a:clrFrom>
                                <a:srgbClr val="FFFFFF"/>
                              </a:clrFrom>
                              <a:clrTo>
                                <a:srgbClr val="FFFFFF">
                                  <a:alpha val="0"/>
                                </a:srgbClr>
                              </a:clrTo>
                            </a:clrChange>
                          </a:blip>
                          <a:stretch>
                            <a:fillRect/>
                          </a:stretch>
                        </pic:blipFill>
                        <pic:spPr>
                          <a:xfrm>
                            <a:off x="0" y="0"/>
                            <a:ext cx="4680585" cy="304165"/>
                          </a:xfrm>
                          <a:prstGeom prst="rect">
                            <a:avLst/>
                          </a:prstGeom>
                          <a:noFill/>
                          <a:ln>
                            <a:noFill/>
                          </a:ln>
                        </pic:spPr>
                      </pic:pic>
                    </a:graphicData>
                  </a:graphic>
                </wp:inline>
              </w:drawing>
            </w:r>
          </w:p>
          <w:p w14:paraId="1A37AFE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其中，</w:t>
            </w:r>
            <w:r>
              <w:rPr>
                <w:rFonts w:hint="default" w:ascii="Times New Roman" w:hAnsi="Times New Roman" w:eastAsia="宋体" w:cs="Times New Roman"/>
                <w:kern w:val="2"/>
                <w:position w:val="-19"/>
                <w:sz w:val="24"/>
                <w:szCs w:val="24"/>
                <w:lang w:val="en-US" w:eastAsia="zh-CN" w:bidi="ar"/>
              </w:rPr>
              <w:drawing>
                <wp:inline distT="0" distB="0" distL="114300" distR="114300">
                  <wp:extent cx="666750" cy="342900"/>
                  <wp:effectExtent l="0" t="0" r="0" b="0"/>
                  <wp:docPr id="8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9"/>
                          <pic:cNvPicPr>
                            <a:picLocks noChangeAspect="1"/>
                          </pic:cNvPicPr>
                        </pic:nvPicPr>
                        <pic:blipFill>
                          <a:blip r:embed="rId144">
                            <a:clrChange>
                              <a:clrFrom>
                                <a:srgbClr val="FFFFFF"/>
                              </a:clrFrom>
                              <a:clrTo>
                                <a:srgbClr val="FFFFFF">
                                  <a:alpha val="0"/>
                                </a:srgbClr>
                              </a:clrTo>
                            </a:clrChange>
                          </a:blip>
                          <a:stretch>
                            <a:fillRect/>
                          </a:stretch>
                        </pic:blipFill>
                        <pic:spPr>
                          <a:xfrm>
                            <a:off x="0" y="0"/>
                            <a:ext cx="666750" cy="34290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2"/>
                <w:position w:val="-19"/>
                <w:sz w:val="24"/>
                <w:szCs w:val="24"/>
                <w:lang w:val="en-US" w:eastAsia="zh-CN" w:bidi="ar"/>
              </w:rPr>
              <w:drawing>
                <wp:inline distT="0" distB="0" distL="114300" distR="114300">
                  <wp:extent cx="495300" cy="309880"/>
                  <wp:effectExtent l="0" t="0" r="0" b="4445"/>
                  <wp:docPr id="9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0"/>
                          <pic:cNvPicPr>
                            <a:picLocks noChangeAspect="1"/>
                          </pic:cNvPicPr>
                        </pic:nvPicPr>
                        <pic:blipFill>
                          <a:blip r:embed="rId145">
                            <a:clrChange>
                              <a:clrFrom>
                                <a:srgbClr val="FFFFFF"/>
                              </a:clrFrom>
                              <a:clrTo>
                                <a:srgbClr val="FFFFFF">
                                  <a:alpha val="0"/>
                                </a:srgbClr>
                              </a:clrTo>
                            </a:clrChange>
                          </a:blip>
                          <a:stretch>
                            <a:fillRect/>
                          </a:stretch>
                        </pic:blipFill>
                        <pic:spPr>
                          <a:xfrm>
                            <a:off x="0" y="0"/>
                            <a:ext cx="495300" cy="30988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2"/>
                <w:position w:val="-6"/>
                <w:sz w:val="24"/>
                <w:szCs w:val="24"/>
                <w:lang w:val="en-US" w:eastAsia="zh-CN" w:bidi="ar"/>
              </w:rPr>
              <w:drawing>
                <wp:inline distT="0" distB="0" distL="114300" distR="114300">
                  <wp:extent cx="180975" cy="209550"/>
                  <wp:effectExtent l="0" t="0" r="0" b="0"/>
                  <wp:docPr id="9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1"/>
                          <pic:cNvPicPr>
                            <a:picLocks noChangeAspect="1"/>
                          </pic:cNvPicPr>
                        </pic:nvPicPr>
                        <pic:blipFill>
                          <a:blip r:embed="rId146">
                            <a:clrChange>
                              <a:clrFrom>
                                <a:srgbClr val="FFFFFF"/>
                              </a:clrFrom>
                              <a:clrTo>
                                <a:srgbClr val="FFFFFF">
                                  <a:alpha val="0"/>
                                </a:srgbClr>
                              </a:clrTo>
                            </a:clrChange>
                          </a:blip>
                          <a:stretch>
                            <a:fillRect/>
                          </a:stretch>
                        </pic:blipFill>
                        <pic:spPr>
                          <a:xfrm>
                            <a:off x="0" y="0"/>
                            <a:ext cx="18097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为计算时间。</w:t>
            </w:r>
          </w:p>
          <w:p w14:paraId="1A85386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水动力模型计算表明，本工程建设引起的局部流场变化主要表现为工程场区附近局部流速的减小和增大，由工程海域水体含沙量、悬沙粒度、底质粒度等分析结果并结合水动力模型得到的流场，可计算本工程建设引起的桩基附近滩面泥沙冲淤强度。</w:t>
            </w:r>
          </w:p>
          <w:p w14:paraId="58BAC98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值得注意的是，通过工程前后平均流速相对比值来计算冲淤量的，在流速较大区域(流速大于泥沙起动流速)是合理的，但在流速较小区域，利用流速相对比值而不考虑绝对流速是一个重大的缺陷。海床冲刷是在泥沙颗粒具有足够的能量克服水下重力和颗粒间粘结力而悬扬时才发生的，当工程前后流速相对比值较大而绝对流速较小时，由于流速小于泥沙颗粒的起动流速，泥沙不足以悬浮，例如在流速较小的一些浅滩区域，公式可能会计算出不合理的结果。为了避免不合理结果的出现，需根据泥沙起动流速对工程后流速增大区域冲刷可能性进行判断。</w:t>
            </w:r>
          </w:p>
          <w:p w14:paraId="08A87CF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窦国仁泥沙起动流速表达式为：</w:t>
            </w:r>
          </w:p>
          <w:p w14:paraId="52A80D86">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2"/>
                <w:sz w:val="24"/>
                <w:szCs w:val="24"/>
                <w:lang w:val="en-US" w:eastAsia="zh-CN" w:bidi="ar"/>
              </w:rPr>
              <w:drawing>
                <wp:inline distT="0" distB="0" distL="114300" distR="114300">
                  <wp:extent cx="3709035" cy="640715"/>
                  <wp:effectExtent l="0" t="0" r="5715" b="6985"/>
                  <wp:docPr id="11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2"/>
                          <pic:cNvPicPr>
                            <a:picLocks noChangeAspect="1"/>
                          </pic:cNvPicPr>
                        </pic:nvPicPr>
                        <pic:blipFill>
                          <a:blip r:embed="rId147">
                            <a:clrChange>
                              <a:clrFrom>
                                <a:srgbClr val="FFFFFF"/>
                              </a:clrFrom>
                              <a:clrTo>
                                <a:srgbClr val="FFFFFF">
                                  <a:alpha val="0"/>
                                </a:srgbClr>
                              </a:clrTo>
                            </a:clrChange>
                          </a:blip>
                          <a:stretch>
                            <a:fillRect/>
                          </a:stretch>
                        </pic:blipFill>
                        <pic:spPr>
                          <a:xfrm>
                            <a:off x="0" y="0"/>
                            <a:ext cx="3709035" cy="640715"/>
                          </a:xfrm>
                          <a:prstGeom prst="rect">
                            <a:avLst/>
                          </a:prstGeom>
                          <a:noFill/>
                          <a:ln>
                            <a:noFill/>
                          </a:ln>
                        </pic:spPr>
                      </pic:pic>
                    </a:graphicData>
                  </a:graphic>
                </wp:inline>
              </w:drawing>
            </w:r>
          </w:p>
          <w:p w14:paraId="212BE4D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其中，</w:t>
            </w:r>
            <w:r>
              <w:rPr>
                <w:rFonts w:hint="default" w:ascii="Times New Roman" w:hAnsi="Times New Roman" w:eastAsia="宋体" w:cs="Times New Roman"/>
                <w:kern w:val="2"/>
                <w:position w:val="-6"/>
                <w:sz w:val="24"/>
                <w:szCs w:val="24"/>
                <w:lang w:val="en-US" w:eastAsia="zh-CN" w:bidi="ar"/>
              </w:rPr>
              <w:drawing>
                <wp:inline distT="0" distB="0" distL="114300" distR="114300">
                  <wp:extent cx="723900" cy="209550"/>
                  <wp:effectExtent l="0" t="0" r="0" b="0"/>
                  <wp:docPr id="9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3"/>
                          <pic:cNvPicPr>
                            <a:picLocks noChangeAspect="1"/>
                          </pic:cNvPicPr>
                        </pic:nvPicPr>
                        <pic:blipFill>
                          <a:blip r:embed="rId148">
                            <a:clrChange>
                              <a:clrFrom>
                                <a:srgbClr val="FFFFFF"/>
                              </a:clrFrom>
                              <a:clrTo>
                                <a:srgbClr val="FFFFFF">
                                  <a:alpha val="0"/>
                                </a:srgbClr>
                              </a:clrTo>
                            </a:clrChange>
                          </a:blip>
                          <a:stretch>
                            <a:fillRect/>
                          </a:stretch>
                        </pic:blipFill>
                        <pic:spPr>
                          <a:xfrm>
                            <a:off x="0" y="0"/>
                            <a:ext cx="7239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表示将动未动，</w:t>
            </w:r>
            <w:r>
              <w:rPr>
                <w:rFonts w:hint="default" w:ascii="Times New Roman" w:hAnsi="Times New Roman" w:eastAsia="宋体" w:cs="Times New Roman"/>
                <w:kern w:val="2"/>
                <w:position w:val="-6"/>
                <w:sz w:val="24"/>
                <w:szCs w:val="24"/>
                <w:lang w:val="en-US" w:eastAsia="zh-CN" w:bidi="ar"/>
              </w:rPr>
              <w:drawing>
                <wp:inline distT="0" distB="0" distL="114300" distR="114300">
                  <wp:extent cx="523875" cy="209550"/>
                  <wp:effectExtent l="0" t="0" r="0" b="0"/>
                  <wp:docPr id="9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4"/>
                          <pic:cNvPicPr>
                            <a:picLocks noChangeAspect="1"/>
                          </pic:cNvPicPr>
                        </pic:nvPicPr>
                        <pic:blipFill>
                          <a:blip r:embed="rId149">
                            <a:clrChange>
                              <a:clrFrom>
                                <a:srgbClr val="FFFFFF"/>
                              </a:clrFrom>
                              <a:clrTo>
                                <a:srgbClr val="FFFFFF">
                                  <a:alpha val="0"/>
                                </a:srgbClr>
                              </a:clrTo>
                            </a:clrChange>
                          </a:blip>
                          <a:stretch>
                            <a:fillRect/>
                          </a:stretch>
                        </pic:blipFill>
                        <pic:spPr>
                          <a:xfrm>
                            <a:off x="0" y="0"/>
                            <a:ext cx="52387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32表示少量动，</w:t>
            </w:r>
            <w:r>
              <w:rPr>
                <w:rFonts w:hint="default" w:ascii="Times New Roman" w:hAnsi="Times New Roman" w:eastAsia="宋体" w:cs="Times New Roman"/>
                <w:kern w:val="2"/>
                <w:position w:val="-6"/>
                <w:sz w:val="24"/>
                <w:szCs w:val="24"/>
                <w:lang w:val="en-US" w:eastAsia="zh-CN" w:bidi="ar"/>
              </w:rPr>
              <w:drawing>
                <wp:inline distT="0" distB="0" distL="114300" distR="114300">
                  <wp:extent cx="723900" cy="209550"/>
                  <wp:effectExtent l="0" t="0" r="0" b="0"/>
                  <wp:docPr id="110"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5"/>
                          <pic:cNvPicPr>
                            <a:picLocks noChangeAspect="1"/>
                          </pic:cNvPicPr>
                        </pic:nvPicPr>
                        <pic:blipFill>
                          <a:blip r:embed="rId150">
                            <a:clrChange>
                              <a:clrFrom>
                                <a:srgbClr val="FFFFFF"/>
                              </a:clrFrom>
                              <a:clrTo>
                                <a:srgbClr val="FFFFFF">
                                  <a:alpha val="0"/>
                                </a:srgbClr>
                              </a:clrTo>
                            </a:clrChange>
                          </a:blip>
                          <a:stretch>
                            <a:fillRect/>
                          </a:stretch>
                        </pic:blipFill>
                        <pic:spPr>
                          <a:xfrm>
                            <a:off x="0" y="0"/>
                            <a:ext cx="7239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表示普遍动，一般取</w:t>
            </w:r>
            <w:r>
              <w:rPr>
                <w:rFonts w:hint="default" w:ascii="Times New Roman" w:hAnsi="Times New Roman" w:eastAsia="宋体" w:cs="Times New Roman"/>
                <w:kern w:val="2"/>
                <w:position w:val="-6"/>
                <w:sz w:val="24"/>
                <w:szCs w:val="24"/>
                <w:lang w:val="en-US" w:eastAsia="zh-CN" w:bidi="ar"/>
              </w:rPr>
              <w:drawing>
                <wp:inline distT="0" distB="0" distL="114300" distR="114300">
                  <wp:extent cx="523875" cy="209550"/>
                  <wp:effectExtent l="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pic:cNvPicPr>
                        </pic:nvPicPr>
                        <pic:blipFill>
                          <a:blip r:embed="rId149">
                            <a:clrChange>
                              <a:clrFrom>
                                <a:srgbClr val="FFFFFF"/>
                              </a:clrFrom>
                              <a:clrTo>
                                <a:srgbClr val="FFFFFF">
                                  <a:alpha val="0"/>
                                </a:srgbClr>
                              </a:clrTo>
                            </a:clrChange>
                          </a:blip>
                          <a:stretch>
                            <a:fillRect/>
                          </a:stretch>
                        </pic:blipFill>
                        <pic:spPr>
                          <a:xfrm>
                            <a:off x="0" y="0"/>
                            <a:ext cx="52387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32；</w:t>
            </w:r>
            <w:r>
              <w:rPr>
                <w:rFonts w:hint="default" w:ascii="Times New Roman" w:hAnsi="Times New Roman" w:eastAsia="宋体" w:cs="Times New Roman"/>
                <w:i/>
                <w:iCs w:val="0"/>
                <w:kern w:val="0"/>
                <w:sz w:val="24"/>
                <w:szCs w:val="24"/>
                <w:lang w:val="en-US" w:eastAsia="zh-CN" w:bidi="ar"/>
              </w:rPr>
              <w:t>H</w:t>
            </w:r>
            <w:r>
              <w:rPr>
                <w:rFonts w:hint="default" w:ascii="Times New Roman" w:hAnsi="Times New Roman" w:eastAsia="宋体" w:cs="Times New Roman"/>
                <w:kern w:val="0"/>
                <w:sz w:val="24"/>
                <w:szCs w:val="24"/>
                <w:lang w:val="en-US" w:eastAsia="zh-CN" w:bidi="ar"/>
              </w:rPr>
              <w:t>为水深，m；</w:t>
            </w:r>
            <w:r>
              <w:rPr>
                <w:rFonts w:hint="default" w:ascii="Times New Roman" w:hAnsi="Times New Roman" w:eastAsia="宋体" w:cs="Times New Roman"/>
                <w:kern w:val="2"/>
                <w:position w:val="-6"/>
                <w:sz w:val="24"/>
                <w:szCs w:val="24"/>
                <w:lang w:val="en-US" w:eastAsia="zh-CN" w:bidi="ar"/>
              </w:rPr>
              <w:drawing>
                <wp:inline distT="0" distB="0" distL="114300" distR="114300">
                  <wp:extent cx="104775" cy="209550"/>
                  <wp:effectExtent l="0" t="0" r="0" b="0"/>
                  <wp:docPr id="7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7"/>
                          <pic:cNvPicPr>
                            <a:picLocks noChangeAspect="1"/>
                          </pic:cNvPicPr>
                        </pic:nvPicPr>
                        <pic:blipFill>
                          <a:blip r:embed="rId151">
                            <a:clrChange>
                              <a:clrFrom>
                                <a:srgbClr val="FFFFFF"/>
                              </a:clrFrom>
                              <a:clrTo>
                                <a:srgbClr val="FFFFFF">
                                  <a:alpha val="0"/>
                                </a:srgbClr>
                              </a:clrTo>
                            </a:clrChange>
                          </a:blip>
                          <a:stretch>
                            <a:fillRect/>
                          </a:stretch>
                        </pic:blipFill>
                        <pic:spPr>
                          <a:xfrm>
                            <a:off x="0" y="0"/>
                            <a:ext cx="10477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为床面糙率高度，当泥沙中值粒径</w:t>
            </w:r>
            <w:r>
              <w:rPr>
                <w:rFonts w:hint="default" w:ascii="Times New Roman" w:hAnsi="Times New Roman" w:eastAsia="宋体" w:cs="Times New Roman"/>
                <w:kern w:val="2"/>
                <w:position w:val="-6"/>
                <w:sz w:val="24"/>
                <w:szCs w:val="24"/>
                <w:lang w:val="en-US" w:eastAsia="zh-CN" w:bidi="ar"/>
              </w:rPr>
              <w:drawing>
                <wp:inline distT="0" distB="0" distL="114300" distR="114300">
                  <wp:extent cx="109855" cy="209550"/>
                  <wp:effectExtent l="0" t="0" r="4445" b="0"/>
                  <wp:docPr id="7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8"/>
                          <pic:cNvPicPr>
                            <a:picLocks noChangeAspect="1"/>
                          </pic:cNvPicPr>
                        </pic:nvPicPr>
                        <pic:blipFill>
                          <a:blip r:embed="rId152">
                            <a:clrChange>
                              <a:clrFrom>
                                <a:srgbClr val="FFFFFF"/>
                              </a:clrFrom>
                              <a:clrTo>
                                <a:srgbClr val="FFFFFF">
                                  <a:alpha val="0"/>
                                </a:srgbClr>
                              </a:clrTo>
                            </a:clrChange>
                          </a:blip>
                          <a:stretch>
                            <a:fillRect/>
                          </a:stretch>
                        </pic:blipFill>
                        <pic:spPr>
                          <a:xfrm>
                            <a:off x="0" y="0"/>
                            <a:ext cx="10985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≤0.5mm时，</w:t>
            </w:r>
            <w:r>
              <w:rPr>
                <w:rFonts w:hint="default" w:ascii="Times New Roman" w:hAnsi="Times New Roman" w:eastAsia="宋体" w:cs="Times New Roman"/>
                <w:kern w:val="2"/>
                <w:position w:val="-6"/>
                <w:sz w:val="24"/>
                <w:szCs w:val="24"/>
                <w:lang w:val="en-US" w:eastAsia="zh-CN" w:bidi="ar"/>
              </w:rPr>
              <w:drawing>
                <wp:inline distT="0" distB="0" distL="114300" distR="114300">
                  <wp:extent cx="104775" cy="2095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51">
                            <a:clrChange>
                              <a:clrFrom>
                                <a:srgbClr val="FFFFFF"/>
                              </a:clrFrom>
                              <a:clrTo>
                                <a:srgbClr val="FFFFFF">
                                  <a:alpha val="0"/>
                                </a:srgbClr>
                              </a:clrTo>
                            </a:clrChange>
                          </a:blip>
                          <a:stretch>
                            <a:fillRect/>
                          </a:stretch>
                        </pic:blipFill>
                        <pic:spPr>
                          <a:xfrm>
                            <a:off x="0" y="0"/>
                            <a:ext cx="10477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=1.0mm。当0.5mm&lt;</w:t>
            </w:r>
            <w:r>
              <w:rPr>
                <w:rFonts w:hint="default" w:ascii="Times New Roman" w:hAnsi="Times New Roman" w:eastAsia="宋体" w:cs="Times New Roman"/>
                <w:i/>
                <w:iCs w:val="0"/>
                <w:kern w:val="0"/>
                <w:sz w:val="24"/>
                <w:szCs w:val="24"/>
                <w:lang w:val="en-US" w:eastAsia="zh-CN" w:bidi="ar"/>
              </w:rPr>
              <w:t>d&lt;</w:t>
            </w:r>
            <w:r>
              <w:rPr>
                <w:rFonts w:hint="default" w:ascii="Times New Roman" w:hAnsi="Times New Roman" w:eastAsia="宋体" w:cs="Times New Roman"/>
                <w:kern w:val="0"/>
                <w:sz w:val="24"/>
                <w:szCs w:val="24"/>
                <w:lang w:val="en-US" w:eastAsia="zh-CN" w:bidi="ar"/>
              </w:rPr>
              <w:t>10mm时，</w:t>
            </w:r>
            <w:r>
              <w:rPr>
                <w:rFonts w:hint="default" w:ascii="Times New Roman" w:hAnsi="Times New Roman" w:eastAsia="宋体" w:cs="Times New Roman"/>
                <w:kern w:val="2"/>
                <w:position w:val="-6"/>
                <w:sz w:val="24"/>
                <w:szCs w:val="24"/>
                <w:lang w:val="en-US" w:eastAsia="zh-CN" w:bidi="ar"/>
              </w:rPr>
              <w:drawing>
                <wp:inline distT="0" distB="0" distL="114300" distR="114300">
                  <wp:extent cx="495300" cy="209550"/>
                  <wp:effectExtent l="0" t="0" r="0" b="0"/>
                  <wp:docPr id="8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0"/>
                          <pic:cNvPicPr>
                            <a:picLocks noChangeAspect="1"/>
                          </pic:cNvPicPr>
                        </pic:nvPicPr>
                        <pic:blipFill>
                          <a:blip r:embed="rId153">
                            <a:clrChange>
                              <a:clrFrom>
                                <a:srgbClr val="FFFFFF"/>
                              </a:clrFrom>
                              <a:clrTo>
                                <a:srgbClr val="FFFFFF">
                                  <a:alpha val="0"/>
                                </a:srgbClr>
                              </a:clrTo>
                            </a:clrChange>
                          </a:blip>
                          <a:stretch>
                            <a:fillRect/>
                          </a:stretch>
                        </pic:blipFill>
                        <pic:spPr>
                          <a:xfrm>
                            <a:off x="0" y="0"/>
                            <a:ext cx="4953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。当</w:t>
            </w:r>
            <w:r>
              <w:rPr>
                <w:rFonts w:hint="default" w:ascii="Times New Roman" w:hAnsi="Times New Roman" w:eastAsia="宋体" w:cs="Times New Roman"/>
                <w:i/>
                <w:iCs w:val="0"/>
                <w:kern w:val="0"/>
                <w:sz w:val="24"/>
                <w:szCs w:val="24"/>
                <w:lang w:val="en-US" w:eastAsia="zh-CN" w:bidi="ar"/>
              </w:rPr>
              <w:t>d</w:t>
            </w:r>
            <w:r>
              <w:rPr>
                <w:rFonts w:hint="default" w:ascii="Times New Roman" w:hAnsi="Times New Roman" w:eastAsia="宋体" w:cs="Times New Roman"/>
                <w:kern w:val="0"/>
                <w:sz w:val="24"/>
                <w:szCs w:val="24"/>
                <w:lang w:val="en-US" w:eastAsia="zh-CN" w:bidi="ar"/>
              </w:rPr>
              <w:t>≥10mm时，</w:t>
            </w:r>
            <w:r>
              <w:rPr>
                <w:rFonts w:hint="default" w:ascii="Times New Roman" w:hAnsi="Times New Roman" w:eastAsia="宋体" w:cs="Times New Roman"/>
                <w:kern w:val="2"/>
                <w:position w:val="-7"/>
                <w:sz w:val="24"/>
                <w:szCs w:val="24"/>
                <w:lang w:val="en-US" w:eastAsia="zh-CN" w:bidi="ar"/>
              </w:rPr>
              <w:drawing>
                <wp:inline distT="0" distB="0" distL="114300" distR="114300">
                  <wp:extent cx="1052830" cy="247650"/>
                  <wp:effectExtent l="0" t="0" r="4445" b="0"/>
                  <wp:docPr id="9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1"/>
                          <pic:cNvPicPr>
                            <a:picLocks noChangeAspect="1"/>
                          </pic:cNvPicPr>
                        </pic:nvPicPr>
                        <pic:blipFill>
                          <a:blip r:embed="rId154">
                            <a:clrChange>
                              <a:clrFrom>
                                <a:srgbClr val="FFFFFF"/>
                              </a:clrFrom>
                              <a:clrTo>
                                <a:srgbClr val="FFFFFF">
                                  <a:alpha val="0"/>
                                </a:srgbClr>
                              </a:clrTo>
                            </a:clrChange>
                          </a:blip>
                          <a:stretch>
                            <a:fillRect/>
                          </a:stretch>
                        </pic:blipFill>
                        <pic:spPr>
                          <a:xfrm>
                            <a:off x="0" y="0"/>
                            <a:ext cx="1052830" cy="2476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，单位要转换为m；当泥沙中值粒径</w:t>
            </w:r>
            <w:r>
              <w:rPr>
                <w:rFonts w:hint="default" w:ascii="Times New Roman" w:hAnsi="Times New Roman" w:eastAsia="宋体" w:cs="Times New Roman"/>
                <w:i/>
                <w:iCs w:val="0"/>
                <w:kern w:val="0"/>
                <w:sz w:val="24"/>
                <w:szCs w:val="24"/>
                <w:lang w:val="en-US" w:eastAsia="zh-CN" w:bidi="ar"/>
              </w:rPr>
              <w:t>d</w:t>
            </w:r>
            <w:r>
              <w:rPr>
                <w:rFonts w:hint="default" w:ascii="Times New Roman" w:hAnsi="Times New Roman" w:eastAsia="宋体" w:cs="Times New Roman"/>
                <w:kern w:val="0"/>
                <w:sz w:val="24"/>
                <w:szCs w:val="24"/>
                <w:lang w:val="en-US" w:eastAsia="zh-CN" w:bidi="ar"/>
              </w:rPr>
              <w:t>≤0.5mm时，</w:t>
            </w:r>
            <w:r>
              <w:rPr>
                <w:rFonts w:hint="default" w:ascii="Times New Roman" w:hAnsi="Times New Roman" w:eastAsia="宋体" w:cs="Times New Roman"/>
                <w:kern w:val="2"/>
                <w:position w:val="-6"/>
                <w:sz w:val="24"/>
                <w:szCs w:val="24"/>
                <w:lang w:val="en-US" w:eastAsia="zh-CN" w:bidi="ar"/>
              </w:rPr>
              <w:drawing>
                <wp:inline distT="0" distB="0" distL="114300" distR="114300">
                  <wp:extent cx="845185" cy="191770"/>
                  <wp:effectExtent l="0" t="0" r="2540" b="0"/>
                  <wp:docPr id="7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2"/>
                          <pic:cNvPicPr>
                            <a:picLocks noChangeAspect="1"/>
                          </pic:cNvPicPr>
                        </pic:nvPicPr>
                        <pic:blipFill>
                          <a:blip r:embed="rId155">
                            <a:clrChange>
                              <a:clrFrom>
                                <a:srgbClr val="FFFFFF"/>
                              </a:clrFrom>
                              <a:clrTo>
                                <a:srgbClr val="FFFFFF">
                                  <a:alpha val="0"/>
                                </a:srgbClr>
                              </a:clrTo>
                            </a:clrChange>
                          </a:blip>
                          <a:stretch>
                            <a:fillRect/>
                          </a:stretch>
                        </pic:blipFill>
                        <pic:spPr>
                          <a:xfrm>
                            <a:off x="0" y="0"/>
                            <a:ext cx="845185" cy="19177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。当0.5mm&lt;</w:t>
            </w:r>
            <w:r>
              <w:rPr>
                <w:rFonts w:hint="default" w:ascii="Times New Roman" w:hAnsi="Times New Roman" w:eastAsia="宋体" w:cs="Times New Roman"/>
                <w:i/>
                <w:iCs w:val="0"/>
                <w:kern w:val="0"/>
                <w:sz w:val="24"/>
                <w:szCs w:val="24"/>
                <w:lang w:val="en-US" w:eastAsia="zh-CN" w:bidi="ar"/>
              </w:rPr>
              <w:t>d</w:t>
            </w:r>
            <w:r>
              <w:rPr>
                <w:rFonts w:hint="default" w:ascii="Times New Roman" w:hAnsi="Times New Roman" w:eastAsia="宋体" w:cs="Times New Roman"/>
                <w:kern w:val="0"/>
                <w:sz w:val="24"/>
                <w:szCs w:val="24"/>
                <w:lang w:val="en-US" w:eastAsia="zh-CN" w:bidi="ar"/>
              </w:rPr>
              <w:t>&lt;10mm时，</w:t>
            </w:r>
            <w:r>
              <w:rPr>
                <w:rFonts w:hint="default" w:ascii="Times New Roman" w:hAnsi="Times New Roman" w:eastAsia="宋体" w:cs="Times New Roman"/>
                <w:kern w:val="2"/>
                <w:position w:val="-6"/>
                <w:sz w:val="24"/>
                <w:szCs w:val="24"/>
                <w:lang w:val="en-US" w:eastAsia="zh-CN" w:bidi="ar"/>
              </w:rPr>
              <w:drawing>
                <wp:inline distT="0" distB="0" distL="114300" distR="114300">
                  <wp:extent cx="542925" cy="209550"/>
                  <wp:effectExtent l="0" t="0" r="0" b="0"/>
                  <wp:docPr id="79"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3"/>
                          <pic:cNvPicPr>
                            <a:picLocks noChangeAspect="1"/>
                          </pic:cNvPicPr>
                        </pic:nvPicPr>
                        <pic:blipFill>
                          <a:blip r:embed="rId156">
                            <a:clrChange>
                              <a:clrFrom>
                                <a:srgbClr val="FFFFFF"/>
                              </a:clrFrom>
                              <a:clrTo>
                                <a:srgbClr val="FFFFFF">
                                  <a:alpha val="0"/>
                                </a:srgbClr>
                              </a:clrTo>
                            </a:clrChange>
                          </a:blip>
                          <a:stretch>
                            <a:fillRect/>
                          </a:stretch>
                        </pic:blipFill>
                        <pic:spPr>
                          <a:xfrm>
                            <a:off x="0" y="0"/>
                            <a:ext cx="54292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。当</w:t>
            </w:r>
            <w:r>
              <w:rPr>
                <w:rFonts w:hint="default" w:ascii="Times New Roman" w:hAnsi="Times New Roman" w:eastAsia="宋体" w:cs="Times New Roman"/>
                <w:i/>
                <w:iCs w:val="0"/>
                <w:kern w:val="0"/>
                <w:sz w:val="24"/>
                <w:szCs w:val="24"/>
                <w:lang w:val="en-US" w:eastAsia="zh-CN" w:bidi="ar"/>
              </w:rPr>
              <w:t>d</w:t>
            </w:r>
            <w:r>
              <w:rPr>
                <w:rFonts w:hint="default" w:ascii="Times New Roman" w:hAnsi="Times New Roman" w:eastAsia="宋体" w:cs="Times New Roman"/>
                <w:kern w:val="0"/>
                <w:sz w:val="24"/>
                <w:szCs w:val="24"/>
                <w:lang w:val="en-US" w:eastAsia="zh-CN" w:bidi="ar"/>
              </w:rPr>
              <w:t>≥10mm时，</w:t>
            </w:r>
            <w:r>
              <w:rPr>
                <w:rFonts w:hint="default" w:ascii="Times New Roman" w:hAnsi="Times New Roman" w:eastAsia="宋体" w:cs="Times New Roman"/>
                <w:kern w:val="2"/>
                <w:position w:val="-6"/>
                <w:sz w:val="24"/>
                <w:szCs w:val="24"/>
                <w:lang w:val="en-US" w:eastAsia="zh-CN" w:bidi="ar"/>
              </w:rPr>
              <w:drawing>
                <wp:inline distT="0" distB="0" distL="114300" distR="114300">
                  <wp:extent cx="848995" cy="200660"/>
                  <wp:effectExtent l="0" t="0" r="8255" b="0"/>
                  <wp:docPr id="10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4"/>
                          <pic:cNvPicPr>
                            <a:picLocks noChangeAspect="1"/>
                          </pic:cNvPicPr>
                        </pic:nvPicPr>
                        <pic:blipFill>
                          <a:blip r:embed="rId157">
                            <a:clrChange>
                              <a:clrFrom>
                                <a:srgbClr val="FFFFFF"/>
                              </a:clrFrom>
                              <a:clrTo>
                                <a:srgbClr val="FFFFFF">
                                  <a:alpha val="0"/>
                                </a:srgbClr>
                              </a:clrTo>
                            </a:clrChange>
                          </a:blip>
                          <a:stretch>
                            <a:fillRect/>
                          </a:stretch>
                        </pic:blipFill>
                        <pic:spPr>
                          <a:xfrm>
                            <a:off x="0" y="0"/>
                            <a:ext cx="848995" cy="20066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，单位要转换为m；</w:t>
            </w:r>
            <w:r>
              <w:rPr>
                <w:rFonts w:hint="default" w:ascii="Times New Roman" w:hAnsi="Times New Roman" w:eastAsia="宋体" w:cs="Times New Roman"/>
                <w:kern w:val="2"/>
                <w:position w:val="-6"/>
                <w:sz w:val="24"/>
                <w:szCs w:val="24"/>
                <w:lang w:val="en-US" w:eastAsia="zh-CN" w:bidi="ar"/>
              </w:rPr>
              <w:drawing>
                <wp:inline distT="0" distB="0" distL="114300" distR="114300">
                  <wp:extent cx="845820" cy="198120"/>
                  <wp:effectExtent l="0" t="0" r="1905" b="1270"/>
                  <wp:docPr id="10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5"/>
                          <pic:cNvPicPr>
                            <a:picLocks noChangeAspect="1"/>
                          </pic:cNvPicPr>
                        </pic:nvPicPr>
                        <pic:blipFill>
                          <a:blip r:embed="rId158">
                            <a:clrChange>
                              <a:clrFrom>
                                <a:srgbClr val="FFFFFF"/>
                              </a:clrFrom>
                              <a:clrTo>
                                <a:srgbClr val="FFFFFF">
                                  <a:alpha val="0"/>
                                </a:srgbClr>
                              </a:clrTo>
                            </a:clrChange>
                          </a:blip>
                          <a:stretch>
                            <a:fillRect/>
                          </a:stretch>
                        </pic:blipFill>
                        <pic:spPr>
                          <a:xfrm>
                            <a:off x="0" y="0"/>
                            <a:ext cx="845820" cy="19812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，单位要转换为m；</w:t>
            </w:r>
            <w:r>
              <w:rPr>
                <w:rFonts w:hint="default" w:ascii="Times New Roman" w:hAnsi="Times New Roman" w:eastAsia="宋体" w:cs="Times New Roman"/>
                <w:kern w:val="2"/>
                <w:position w:val="-6"/>
                <w:sz w:val="24"/>
                <w:szCs w:val="24"/>
                <w:lang w:val="en-US" w:eastAsia="zh-CN" w:bidi="ar"/>
              </w:rPr>
              <w:drawing>
                <wp:inline distT="0" distB="0" distL="114300" distR="114300">
                  <wp:extent cx="167005" cy="209550"/>
                  <wp:effectExtent l="0" t="0" r="4445" b="0"/>
                  <wp:docPr id="8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6"/>
                          <pic:cNvPicPr>
                            <a:picLocks noChangeAspect="1"/>
                          </pic:cNvPicPr>
                        </pic:nvPicPr>
                        <pic:blipFill>
                          <a:blip r:embed="rId159">
                            <a:clrChange>
                              <a:clrFrom>
                                <a:srgbClr val="FFFFFF"/>
                              </a:clrFrom>
                              <a:clrTo>
                                <a:srgbClr val="FFFFFF">
                                  <a:alpha val="0"/>
                                </a:srgbClr>
                              </a:clrTo>
                            </a:clrChange>
                          </a:blip>
                          <a:stretch>
                            <a:fillRect/>
                          </a:stretch>
                        </pic:blipFill>
                        <pic:spPr>
                          <a:xfrm>
                            <a:off x="0" y="0"/>
                            <a:ext cx="16700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为泥沙密度，kg/</w:t>
            </w:r>
            <w:r>
              <w:rPr>
                <w:rFonts w:hint="default" w:ascii="Times New Roman" w:hAnsi="Times New Roman" w:eastAsia="宋体" w:cs="Times New Roman"/>
                <w:kern w:val="2"/>
                <w:position w:val="-6"/>
                <w:sz w:val="24"/>
                <w:szCs w:val="24"/>
                <w:lang w:val="en-US" w:eastAsia="zh-CN" w:bidi="ar"/>
              </w:rPr>
              <w:drawing>
                <wp:inline distT="0" distB="0" distL="114300" distR="114300">
                  <wp:extent cx="228600" cy="209550"/>
                  <wp:effectExtent l="0" t="0" r="0" b="0"/>
                  <wp:docPr id="101"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7"/>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2286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2"/>
                <w:position w:val="-6"/>
                <w:sz w:val="24"/>
                <w:szCs w:val="24"/>
                <w:lang w:val="en-US" w:eastAsia="zh-CN" w:bidi="ar"/>
              </w:rPr>
              <w:drawing>
                <wp:inline distT="0" distB="0" distL="114300" distR="114300">
                  <wp:extent cx="104775" cy="209550"/>
                  <wp:effectExtent l="0" t="0" r="0" b="0"/>
                  <wp:docPr id="82"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8"/>
                          <pic:cNvPicPr>
                            <a:picLocks noChangeAspect="1"/>
                          </pic:cNvPicPr>
                        </pic:nvPicPr>
                        <pic:blipFill>
                          <a:blip r:embed="rId160">
                            <a:clrChange>
                              <a:clrFrom>
                                <a:srgbClr val="FFFFFF"/>
                              </a:clrFrom>
                              <a:clrTo>
                                <a:srgbClr val="FFFFFF">
                                  <a:alpha val="0"/>
                                </a:srgbClr>
                              </a:clrTo>
                            </a:clrChange>
                          </a:blip>
                          <a:stretch>
                            <a:fillRect/>
                          </a:stretch>
                        </pic:blipFill>
                        <pic:spPr>
                          <a:xfrm>
                            <a:off x="0" y="0"/>
                            <a:ext cx="10477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为水密度，kg/</w:t>
            </w:r>
            <w:r>
              <w:rPr>
                <w:rFonts w:hint="default" w:ascii="Times New Roman" w:hAnsi="Times New Roman" w:eastAsia="宋体" w:cs="Times New Roman"/>
                <w:kern w:val="2"/>
                <w:position w:val="-6"/>
                <w:sz w:val="24"/>
                <w:szCs w:val="24"/>
                <w:lang w:val="en-US" w:eastAsia="zh-CN" w:bidi="ar"/>
              </w:rPr>
              <w:drawing>
                <wp:inline distT="0" distB="0" distL="114300" distR="114300">
                  <wp:extent cx="228600" cy="209550"/>
                  <wp:effectExtent l="0" t="0" r="0" b="0"/>
                  <wp:docPr id="102"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9"/>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2286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r>
              <w:rPr>
                <w:rFonts w:hint="default" w:ascii="Times New Roman" w:hAnsi="Times New Roman" w:eastAsia="宋体" w:cs="Times New Roman"/>
                <w:i/>
                <w:iCs w:val="0"/>
                <w:kern w:val="0"/>
                <w:sz w:val="24"/>
                <w:szCs w:val="24"/>
                <w:lang w:val="en-US" w:eastAsia="zh-CN" w:bidi="ar"/>
              </w:rPr>
              <w:t>g</w:t>
            </w:r>
            <w:r>
              <w:rPr>
                <w:rFonts w:hint="default" w:ascii="Times New Roman" w:hAnsi="Times New Roman" w:eastAsia="宋体" w:cs="Times New Roman"/>
                <w:kern w:val="0"/>
                <w:sz w:val="24"/>
                <w:szCs w:val="24"/>
                <w:lang w:val="en-US" w:eastAsia="zh-CN" w:bidi="ar"/>
              </w:rPr>
              <w:t>为重力加速度，m/</w:t>
            </w:r>
            <w:r>
              <w:rPr>
                <w:rFonts w:hint="default" w:ascii="Times New Roman" w:hAnsi="Times New Roman" w:eastAsia="宋体" w:cs="Times New Roman"/>
                <w:kern w:val="2"/>
                <w:position w:val="-6"/>
                <w:sz w:val="24"/>
                <w:szCs w:val="24"/>
                <w:lang w:val="en-US" w:eastAsia="zh-CN" w:bidi="ar"/>
              </w:rPr>
              <w:drawing>
                <wp:inline distT="0" distB="0" distL="114300" distR="114300">
                  <wp:extent cx="161925" cy="209550"/>
                  <wp:effectExtent l="0" t="0" r="0" b="0"/>
                  <wp:docPr id="8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0"/>
                          <pic:cNvPicPr>
                            <a:picLocks noChangeAspect="1"/>
                          </pic:cNvPicPr>
                        </pic:nvPicPr>
                        <pic:blipFill>
                          <a:blip r:embed="rId161">
                            <a:clrChange>
                              <a:clrFrom>
                                <a:srgbClr val="FFFFFF"/>
                              </a:clrFrom>
                              <a:clrTo>
                                <a:srgbClr val="FFFFFF">
                                  <a:alpha val="0"/>
                                </a:srgbClr>
                              </a:clrTo>
                            </a:clrChange>
                          </a:blip>
                          <a:stretch>
                            <a:fillRect/>
                          </a:stretch>
                        </pic:blipFill>
                        <pic:spPr>
                          <a:xfrm>
                            <a:off x="0" y="0"/>
                            <a:ext cx="16192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2"/>
                <w:position w:val="-6"/>
                <w:sz w:val="24"/>
                <w:szCs w:val="24"/>
                <w:lang w:val="en-US" w:eastAsia="zh-CN" w:bidi="ar"/>
              </w:rPr>
              <w:drawing>
                <wp:inline distT="0" distB="0" distL="114300" distR="114300">
                  <wp:extent cx="167005" cy="209550"/>
                  <wp:effectExtent l="0" t="0" r="4445" b="0"/>
                  <wp:docPr id="8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1"/>
                          <pic:cNvPicPr>
                            <a:picLocks noChangeAspect="1"/>
                          </pic:cNvPicPr>
                        </pic:nvPicPr>
                        <pic:blipFill>
                          <a:blip r:embed="rId162">
                            <a:clrChange>
                              <a:clrFrom>
                                <a:srgbClr val="FFFFFF"/>
                              </a:clrFrom>
                              <a:clrTo>
                                <a:srgbClr val="FFFFFF">
                                  <a:alpha val="0"/>
                                </a:srgbClr>
                              </a:clrTo>
                            </a:clrChange>
                          </a:blip>
                          <a:stretch>
                            <a:fillRect/>
                          </a:stretch>
                        </pic:blipFill>
                        <pic:spPr>
                          <a:xfrm>
                            <a:off x="0" y="0"/>
                            <a:ext cx="16700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为泥沙干容重，kg/</w:t>
            </w:r>
            <w:r>
              <w:rPr>
                <w:rFonts w:hint="default" w:ascii="Times New Roman" w:hAnsi="Times New Roman" w:eastAsia="宋体" w:cs="Times New Roman"/>
                <w:kern w:val="2"/>
                <w:position w:val="-6"/>
                <w:sz w:val="24"/>
                <w:szCs w:val="24"/>
                <w:lang w:val="en-US" w:eastAsia="zh-CN" w:bidi="ar"/>
              </w:rPr>
              <w:drawing>
                <wp:inline distT="0" distB="0" distL="114300" distR="114300">
                  <wp:extent cx="228600" cy="209550"/>
                  <wp:effectExtent l="0" t="0" r="0" b="0"/>
                  <wp:docPr id="9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2"/>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2286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2"/>
                <w:position w:val="-6"/>
                <w:sz w:val="24"/>
                <w:szCs w:val="24"/>
                <w:lang w:val="en-US" w:eastAsia="zh-CN" w:bidi="ar"/>
              </w:rPr>
              <w:drawing>
                <wp:inline distT="0" distB="0" distL="114300" distR="114300">
                  <wp:extent cx="228600" cy="209550"/>
                  <wp:effectExtent l="0" t="0" r="0" b="0"/>
                  <wp:docPr id="9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3"/>
                          <pic:cNvPicPr>
                            <a:picLocks noChangeAspect="1"/>
                          </pic:cNvPicPr>
                        </pic:nvPicPr>
                        <pic:blipFill>
                          <a:blip r:embed="rId163">
                            <a:clrChange>
                              <a:clrFrom>
                                <a:srgbClr val="FFFFFF"/>
                              </a:clrFrom>
                              <a:clrTo>
                                <a:srgbClr val="FFFFFF">
                                  <a:alpha val="0"/>
                                </a:srgbClr>
                              </a:clrTo>
                            </a:clrChange>
                          </a:blip>
                          <a:stretch>
                            <a:fillRect/>
                          </a:stretch>
                        </pic:blipFill>
                        <pic:spPr>
                          <a:xfrm>
                            <a:off x="0" y="0"/>
                            <a:ext cx="2286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为泥沙稳定干容重，kg/</w:t>
            </w:r>
            <w:r>
              <w:rPr>
                <w:rFonts w:hint="default" w:ascii="Times New Roman" w:hAnsi="Times New Roman" w:eastAsia="宋体" w:cs="Times New Roman"/>
                <w:kern w:val="2"/>
                <w:position w:val="-6"/>
                <w:sz w:val="24"/>
                <w:szCs w:val="24"/>
                <w:lang w:val="en-US" w:eastAsia="zh-CN" w:bidi="ar"/>
              </w:rPr>
              <w:drawing>
                <wp:inline distT="0" distB="0" distL="114300" distR="114300">
                  <wp:extent cx="228600" cy="209550"/>
                  <wp:effectExtent l="0" t="0" r="0" b="0"/>
                  <wp:docPr id="10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4"/>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2286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2"/>
                <w:position w:val="-6"/>
                <w:sz w:val="24"/>
                <w:szCs w:val="24"/>
                <w:lang w:val="en-US" w:eastAsia="zh-CN" w:bidi="ar"/>
              </w:rPr>
              <w:drawing>
                <wp:inline distT="0" distB="0" distL="114300" distR="114300">
                  <wp:extent cx="157480" cy="209550"/>
                  <wp:effectExtent l="0" t="0" r="4445" b="0"/>
                  <wp:docPr id="12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5"/>
                          <pic:cNvPicPr>
                            <a:picLocks noChangeAspect="1"/>
                          </pic:cNvPicPr>
                        </pic:nvPicPr>
                        <pic:blipFill>
                          <a:blip r:embed="rId164">
                            <a:clrChange>
                              <a:clrFrom>
                                <a:srgbClr val="FFFFFF"/>
                              </a:clrFrom>
                              <a:clrTo>
                                <a:srgbClr val="FFFFFF">
                                  <a:alpha val="0"/>
                                </a:srgbClr>
                              </a:clrTo>
                            </a:clrChange>
                          </a:blip>
                          <a:stretch>
                            <a:fillRect/>
                          </a:stretch>
                        </pic:blipFill>
                        <pic:spPr>
                          <a:xfrm>
                            <a:off x="0" y="0"/>
                            <a:ext cx="15748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为综合粘结力参数，其值与颗粒的物理化学性质有关，对于粘土还与有机质含量及沉积环境等有关，变化范围较大。根据试验资料可知，对于一般泥沙</w:t>
            </w:r>
            <w:r>
              <w:rPr>
                <w:rFonts w:hint="default" w:ascii="Times New Roman" w:hAnsi="Times New Roman" w:eastAsia="宋体" w:cs="Times New Roman"/>
                <w:kern w:val="2"/>
                <w:position w:val="-6"/>
                <w:sz w:val="24"/>
                <w:szCs w:val="24"/>
                <w:lang w:val="en-US" w:eastAsia="zh-CN" w:bidi="ar"/>
              </w:rPr>
              <w:drawing>
                <wp:inline distT="0" distB="0" distL="114300" distR="114300">
                  <wp:extent cx="157480" cy="209550"/>
                  <wp:effectExtent l="0" t="0" r="4445" b="0"/>
                  <wp:docPr id="12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pic:cNvPicPr>
                        </pic:nvPicPr>
                        <pic:blipFill>
                          <a:blip r:embed="rId164">
                            <a:clrChange>
                              <a:clrFrom>
                                <a:srgbClr val="FFFFFF"/>
                              </a:clrFrom>
                              <a:clrTo>
                                <a:srgbClr val="FFFFFF">
                                  <a:alpha val="0"/>
                                </a:srgbClr>
                              </a:clrTo>
                            </a:clrChange>
                          </a:blip>
                          <a:stretch>
                            <a:fillRect/>
                          </a:stretch>
                        </pic:blipFill>
                        <pic:spPr>
                          <a:xfrm>
                            <a:off x="0" y="0"/>
                            <a:ext cx="15748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=1.75</w:t>
            </w:r>
            <w:r>
              <w:rPr>
                <w:rFonts w:hint="default" w:ascii="Times New Roman" w:hAnsi="Times New Roman" w:eastAsia="宋体" w:cs="Times New Roman"/>
                <w:kern w:val="2"/>
                <w:position w:val="-6"/>
                <w:sz w:val="24"/>
                <w:szCs w:val="24"/>
                <w:lang w:val="en-US" w:eastAsia="zh-CN" w:bidi="ar"/>
              </w:rPr>
              <w:drawing>
                <wp:inline distT="0" distB="0" distL="114300" distR="114300">
                  <wp:extent cx="557530" cy="209550"/>
                  <wp:effectExtent l="0" t="0" r="4445" b="0"/>
                  <wp:docPr id="12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7"/>
                          <pic:cNvPicPr>
                            <a:picLocks noChangeAspect="1"/>
                          </pic:cNvPicPr>
                        </pic:nvPicPr>
                        <pic:blipFill>
                          <a:blip r:embed="rId165">
                            <a:clrChange>
                              <a:clrFrom>
                                <a:srgbClr val="FFFFFF"/>
                              </a:clrFrom>
                              <a:clrTo>
                                <a:srgbClr val="FFFFFF">
                                  <a:alpha val="0"/>
                                </a:srgbClr>
                              </a:clrTo>
                            </a:clrChange>
                          </a:blip>
                          <a:stretch>
                            <a:fillRect/>
                          </a:stretch>
                        </pic:blipFill>
                        <pic:spPr>
                          <a:xfrm>
                            <a:off x="0" y="0"/>
                            <a:ext cx="55753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，对于粘土最大可达17.5</w:t>
            </w:r>
            <w:r>
              <w:rPr>
                <w:rFonts w:hint="default" w:ascii="Times New Roman" w:hAnsi="Times New Roman" w:eastAsia="宋体" w:cs="Times New Roman"/>
                <w:kern w:val="2"/>
                <w:position w:val="-6"/>
                <w:sz w:val="24"/>
                <w:szCs w:val="24"/>
                <w:lang w:val="en-US" w:eastAsia="zh-CN" w:bidi="ar"/>
              </w:rPr>
              <w:drawing>
                <wp:inline distT="0" distB="0" distL="114300" distR="114300">
                  <wp:extent cx="557530" cy="209550"/>
                  <wp:effectExtent l="0" t="0" r="4445" b="0"/>
                  <wp:docPr id="130"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8"/>
                          <pic:cNvPicPr>
                            <a:picLocks noChangeAspect="1"/>
                          </pic:cNvPicPr>
                        </pic:nvPicPr>
                        <pic:blipFill>
                          <a:blip r:embed="rId165">
                            <a:clrChange>
                              <a:clrFrom>
                                <a:srgbClr val="FFFFFF"/>
                              </a:clrFrom>
                              <a:clrTo>
                                <a:srgbClr val="FFFFFF">
                                  <a:alpha val="0"/>
                                </a:srgbClr>
                              </a:clrTo>
                            </a:clrChange>
                          </a:blip>
                          <a:stretch>
                            <a:fillRect/>
                          </a:stretch>
                        </pic:blipFill>
                        <pic:spPr>
                          <a:xfrm>
                            <a:off x="0" y="0"/>
                            <a:ext cx="55753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，对于电木粉</w:t>
            </w:r>
            <w:r>
              <w:rPr>
                <w:rFonts w:hint="default" w:ascii="Times New Roman" w:hAnsi="Times New Roman" w:eastAsia="宋体" w:cs="Times New Roman"/>
                <w:kern w:val="2"/>
                <w:position w:val="-6"/>
                <w:sz w:val="24"/>
                <w:szCs w:val="24"/>
                <w:lang w:val="en-US" w:eastAsia="zh-CN" w:bidi="ar"/>
              </w:rPr>
              <w:drawing>
                <wp:inline distT="0" distB="0" distL="114300" distR="114300">
                  <wp:extent cx="557530" cy="209550"/>
                  <wp:effectExtent l="0" t="0" r="4445" b="0"/>
                  <wp:docPr id="12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9"/>
                          <pic:cNvPicPr>
                            <a:picLocks noChangeAspect="1"/>
                          </pic:cNvPicPr>
                        </pic:nvPicPr>
                        <pic:blipFill>
                          <a:blip r:embed="rId165">
                            <a:clrChange>
                              <a:clrFrom>
                                <a:srgbClr val="FFFFFF"/>
                              </a:clrFrom>
                              <a:clrTo>
                                <a:srgbClr val="FFFFFF">
                                  <a:alpha val="0"/>
                                </a:srgbClr>
                              </a:clrTo>
                            </a:clrChange>
                          </a:blip>
                          <a:stretch>
                            <a:fillRect/>
                          </a:stretch>
                        </pic:blipFill>
                        <pic:spPr>
                          <a:xfrm>
                            <a:off x="0" y="0"/>
                            <a:ext cx="55753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，对于塑料沙</w:t>
            </w:r>
            <w:r>
              <w:rPr>
                <w:rFonts w:hint="default" w:ascii="Times New Roman" w:hAnsi="Times New Roman" w:eastAsia="宋体" w:cs="Times New Roman"/>
                <w:kern w:val="2"/>
                <w:position w:val="-6"/>
                <w:sz w:val="24"/>
                <w:szCs w:val="24"/>
                <w:lang w:val="en-US" w:eastAsia="zh-CN" w:bidi="ar"/>
              </w:rPr>
              <w:drawing>
                <wp:inline distT="0" distB="0" distL="114300" distR="114300">
                  <wp:extent cx="157480" cy="209550"/>
                  <wp:effectExtent l="0" t="0" r="4445" b="0"/>
                  <wp:docPr id="11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30"/>
                          <pic:cNvPicPr>
                            <a:picLocks noChangeAspect="1"/>
                          </pic:cNvPicPr>
                        </pic:nvPicPr>
                        <pic:blipFill>
                          <a:blip r:embed="rId164">
                            <a:clrChange>
                              <a:clrFrom>
                                <a:srgbClr val="FFFFFF"/>
                              </a:clrFrom>
                              <a:clrTo>
                                <a:srgbClr val="FFFFFF">
                                  <a:alpha val="0"/>
                                </a:srgbClr>
                              </a:clrTo>
                            </a:clrChange>
                          </a:blip>
                          <a:stretch>
                            <a:fillRect/>
                          </a:stretch>
                        </pic:blipFill>
                        <pic:spPr>
                          <a:xfrm>
                            <a:off x="0" y="0"/>
                            <a:ext cx="15748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=0.1</w:t>
            </w:r>
            <w:r>
              <w:rPr>
                <w:rFonts w:hint="default" w:ascii="Times New Roman" w:hAnsi="Times New Roman" w:eastAsia="宋体" w:cs="Times New Roman"/>
                <w:kern w:val="2"/>
                <w:position w:val="-6"/>
                <w:sz w:val="24"/>
                <w:szCs w:val="24"/>
                <w:lang w:val="en-US" w:eastAsia="zh-CN" w:bidi="ar"/>
              </w:rPr>
              <w:drawing>
                <wp:inline distT="0" distB="0" distL="114300" distR="114300">
                  <wp:extent cx="557530" cy="209550"/>
                  <wp:effectExtent l="0" t="0" r="4445" b="0"/>
                  <wp:docPr id="12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31"/>
                          <pic:cNvPicPr>
                            <a:picLocks noChangeAspect="1"/>
                          </pic:cNvPicPr>
                        </pic:nvPicPr>
                        <pic:blipFill>
                          <a:blip r:embed="rId165">
                            <a:clrChange>
                              <a:clrFrom>
                                <a:srgbClr val="FFFFFF"/>
                              </a:clrFrom>
                              <a:clrTo>
                                <a:srgbClr val="FFFFFF">
                                  <a:alpha val="0"/>
                                </a:srgbClr>
                              </a:clrTo>
                            </a:clrChange>
                          </a:blip>
                          <a:stretch>
                            <a:fillRect/>
                          </a:stretch>
                        </pic:blipFill>
                        <pic:spPr>
                          <a:xfrm>
                            <a:off x="0" y="0"/>
                            <a:ext cx="55753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，单位要转换为</w:t>
            </w:r>
            <w:r>
              <w:rPr>
                <w:rFonts w:hint="default" w:ascii="Times New Roman" w:hAnsi="Times New Roman" w:eastAsia="宋体" w:cs="Times New Roman"/>
                <w:kern w:val="2"/>
                <w:position w:val="-6"/>
                <w:sz w:val="24"/>
                <w:szCs w:val="24"/>
                <w:lang w:val="en-US" w:eastAsia="zh-CN" w:bidi="ar"/>
              </w:rPr>
              <w:drawing>
                <wp:inline distT="0" distB="0" distL="114300" distR="114300">
                  <wp:extent cx="479425" cy="180340"/>
                  <wp:effectExtent l="0" t="0" r="6350" b="635"/>
                  <wp:docPr id="11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2"/>
                          <pic:cNvPicPr>
                            <a:picLocks noChangeAspect="1"/>
                          </pic:cNvPicPr>
                        </pic:nvPicPr>
                        <pic:blipFill>
                          <a:blip r:embed="rId165">
                            <a:clrChange>
                              <a:clrFrom>
                                <a:srgbClr val="FFFFFF"/>
                              </a:clrFrom>
                              <a:clrTo>
                                <a:srgbClr val="FFFFFF">
                                  <a:alpha val="0"/>
                                </a:srgbClr>
                              </a:clrTo>
                            </a:clrChange>
                          </a:blip>
                          <a:stretch>
                            <a:fillRect/>
                          </a:stretch>
                        </pic:blipFill>
                        <pic:spPr>
                          <a:xfrm>
                            <a:off x="0" y="0"/>
                            <a:ext cx="479425" cy="18034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2"/>
                <w:position w:val="-6"/>
                <w:sz w:val="24"/>
                <w:szCs w:val="24"/>
                <w:lang w:val="en-US" w:eastAsia="zh-CN" w:bidi="ar"/>
              </w:rPr>
              <w:drawing>
                <wp:inline distT="0" distB="0" distL="114300" distR="114300">
                  <wp:extent cx="95250" cy="209550"/>
                  <wp:effectExtent l="0" t="0" r="0" b="0"/>
                  <wp:docPr id="12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33"/>
                          <pic:cNvPicPr>
                            <a:picLocks noChangeAspect="1"/>
                          </pic:cNvPicPr>
                        </pic:nvPicPr>
                        <pic:blipFill>
                          <a:blip r:embed="rId166">
                            <a:clrChange>
                              <a:clrFrom>
                                <a:srgbClr val="FFFFFF"/>
                              </a:clrFrom>
                              <a:clrTo>
                                <a:srgbClr val="FFFFFF">
                                  <a:alpha val="0"/>
                                </a:srgbClr>
                              </a:clrTo>
                            </a:clrChange>
                          </a:blip>
                          <a:stretch>
                            <a:fillRect/>
                          </a:stretch>
                        </pic:blipFill>
                        <pic:spPr>
                          <a:xfrm>
                            <a:off x="0" y="0"/>
                            <a:ext cx="9525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为薄膜水厚度参数，等于2.31</w:t>
            </w:r>
            <w:r>
              <w:rPr>
                <w:rFonts w:hint="default" w:ascii="Times New Roman" w:hAnsi="Times New Roman" w:eastAsia="宋体" w:cs="Times New Roman"/>
                <w:kern w:val="2"/>
                <w:position w:val="-6"/>
                <w:sz w:val="24"/>
                <w:szCs w:val="24"/>
                <w:lang w:val="en-US" w:eastAsia="zh-CN" w:bidi="ar"/>
              </w:rPr>
              <w:drawing>
                <wp:inline distT="0" distB="0" distL="114300" distR="114300">
                  <wp:extent cx="468630" cy="186690"/>
                  <wp:effectExtent l="0" t="0" r="7620" b="0"/>
                  <wp:docPr id="13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4"/>
                          <pic:cNvPicPr>
                            <a:picLocks noChangeAspect="1"/>
                          </pic:cNvPicPr>
                        </pic:nvPicPr>
                        <pic:blipFill>
                          <a:blip r:embed="rId167">
                            <a:clrChange>
                              <a:clrFrom>
                                <a:srgbClr val="FFFFFF"/>
                              </a:clrFrom>
                              <a:clrTo>
                                <a:srgbClr val="FFFFFF">
                                  <a:alpha val="0"/>
                                </a:srgbClr>
                              </a:clrTo>
                            </a:clrChange>
                          </a:blip>
                          <a:stretch>
                            <a:fillRect/>
                          </a:stretch>
                        </pic:blipFill>
                        <pic:spPr>
                          <a:xfrm>
                            <a:off x="0" y="0"/>
                            <a:ext cx="468630" cy="18669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cm(相当于770个水分子厚度)，单位要转换为m。</w:t>
            </w:r>
          </w:p>
          <w:p w14:paraId="052DD4F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在选择一般泥沙粒径下，对起动流速模型及区域的起动流速情况作了简要分析。窦国仁模型考虑了泥沙的粘性，相对非粘性泥沙模型具有更好的优势。同样根据工程周边底质特点，设定统一经验性参数（并不一定完全适合工程范围），作为诊断起动流速的基本背景场。</w:t>
            </w:r>
            <w:r>
              <w:rPr>
                <w:rFonts w:hint="default" w:ascii="Times New Roman" w:hAnsi="Times New Roman" w:eastAsia="宋体" w:cs="Times New Roman"/>
                <w:color w:val="000000"/>
                <w:kern w:val="0"/>
                <w:sz w:val="24"/>
                <w:szCs w:val="24"/>
                <w:lang w:val="en-US" w:eastAsia="zh-CN" w:bidi="ar"/>
              </w:rPr>
              <w:t>工程区域起动流速主要分布在0.2~0.4m/s。</w:t>
            </w:r>
          </w:p>
          <w:p w14:paraId="1A8517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drawing>
                <wp:inline distT="0" distB="0" distL="114300" distR="114300">
                  <wp:extent cx="4386580" cy="2505075"/>
                  <wp:effectExtent l="0" t="0" r="0" b="0"/>
                  <wp:docPr id="12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1"/>
                          <pic:cNvPicPr>
                            <a:picLocks noChangeAspect="1"/>
                          </pic:cNvPicPr>
                        </pic:nvPicPr>
                        <pic:blipFill>
                          <a:blip r:embed="rId168"/>
                          <a:srcRect l="5067" t="3651" r="4359"/>
                          <a:stretch>
                            <a:fillRect/>
                          </a:stretch>
                        </pic:blipFill>
                        <pic:spPr>
                          <a:xfrm>
                            <a:off x="0" y="0"/>
                            <a:ext cx="4386580" cy="2505075"/>
                          </a:xfrm>
                          <a:prstGeom prst="rect">
                            <a:avLst/>
                          </a:prstGeom>
                          <a:noFill/>
                          <a:ln>
                            <a:noFill/>
                          </a:ln>
                        </pic:spPr>
                      </pic:pic>
                    </a:graphicData>
                  </a:graphic>
                </wp:inline>
              </w:drawing>
            </w:r>
          </w:p>
          <w:p w14:paraId="26451B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-19 起动流速模型的比较</w:t>
            </w:r>
          </w:p>
          <w:p w14:paraId="58719BCB">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4.5.2.1.2参数选择</w:t>
            </w:r>
          </w:p>
          <w:p w14:paraId="29879FC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根据《港口与航道水文规范》(JTS 145-2015)，分散体的中值粒径小于等于0.03mm时，絮凝沉降速度</w:t>
            </w:r>
            <w:r>
              <w:rPr>
                <w:rFonts w:hint="default" w:ascii="Times New Roman" w:hAnsi="Times New Roman" w:eastAsia="宋体" w:cs="Times New Roman"/>
                <w:kern w:val="2"/>
                <w:position w:val="-6"/>
                <w:sz w:val="24"/>
                <w:szCs w:val="24"/>
                <w:lang w:val="en-US" w:eastAsia="zh-CN" w:bidi="ar"/>
              </w:rPr>
              <w:drawing>
                <wp:inline distT="0" distB="0" distL="114300" distR="114300">
                  <wp:extent cx="133350" cy="209550"/>
                  <wp:effectExtent l="0" t="0" r="0" b="0"/>
                  <wp:docPr id="11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6"/>
                          <pic:cNvPicPr>
                            <a:picLocks noChangeAspect="1"/>
                          </pic:cNvPicPr>
                        </pic:nvPicPr>
                        <pic:blipFill>
                          <a:blip r:embed="rId169">
                            <a:clrChange>
                              <a:clrFrom>
                                <a:srgbClr val="FFFFFF"/>
                              </a:clrFrom>
                              <a:clrTo>
                                <a:srgbClr val="FFFFFF">
                                  <a:alpha val="0"/>
                                </a:srgbClr>
                              </a:clrTo>
                            </a:clrChange>
                          </a:blip>
                          <a:stretch>
                            <a:fillRect/>
                          </a:stretch>
                        </pic:blipFill>
                        <pic:spPr>
                          <a:xfrm>
                            <a:off x="0" y="0"/>
                            <a:ext cx="13335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取0.04~0.05cm/s，分散体的中值粒径大于0.03mm时，可按有关的泥沙沉降速度公式计算。工程海域悬沙颗粒中值粒径较小，小于0.03mm，悬沙以絮凝沉降为主，絮凝沉降速度</w:t>
            </w:r>
            <w:r>
              <w:rPr>
                <w:rFonts w:hint="default" w:ascii="Times New Roman" w:hAnsi="Times New Roman" w:eastAsia="宋体" w:cs="Times New Roman"/>
                <w:kern w:val="2"/>
                <w:position w:val="-6"/>
                <w:sz w:val="24"/>
                <w:szCs w:val="24"/>
                <w:lang w:val="en-US" w:eastAsia="zh-CN" w:bidi="ar"/>
              </w:rPr>
              <w:drawing>
                <wp:inline distT="0" distB="0" distL="114300" distR="114300">
                  <wp:extent cx="133350" cy="209550"/>
                  <wp:effectExtent l="0" t="0" r="0" b="0"/>
                  <wp:docPr id="11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37"/>
                          <pic:cNvPicPr>
                            <a:picLocks noChangeAspect="1"/>
                          </pic:cNvPicPr>
                        </pic:nvPicPr>
                        <pic:blipFill>
                          <a:blip r:embed="rId169">
                            <a:clrChange>
                              <a:clrFrom>
                                <a:srgbClr val="FFFFFF"/>
                              </a:clrFrom>
                              <a:clrTo>
                                <a:srgbClr val="FFFFFF">
                                  <a:alpha val="0"/>
                                </a:srgbClr>
                              </a:clrTo>
                            </a:clrChange>
                          </a:blip>
                          <a:stretch>
                            <a:fillRect/>
                          </a:stretch>
                        </pic:blipFill>
                        <pic:spPr>
                          <a:xfrm>
                            <a:off x="0" y="0"/>
                            <a:ext cx="13335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可取为0.045cm/s。</w:t>
            </w:r>
          </w:p>
          <w:p w14:paraId="3FEC58D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工程前后流速取全潮平均流速；泥沙沉降机率</w:t>
            </w:r>
            <w:r>
              <w:rPr>
                <w:rFonts w:hint="default" w:ascii="Times New Roman" w:hAnsi="Times New Roman" w:eastAsia="宋体" w:cs="Times New Roman"/>
                <w:kern w:val="2"/>
                <w:position w:val="-6"/>
                <w:sz w:val="24"/>
                <w:szCs w:val="24"/>
                <w:lang w:val="en-US" w:eastAsia="zh-CN" w:bidi="ar"/>
              </w:rPr>
              <w:drawing>
                <wp:inline distT="0" distB="0" distL="114300" distR="114300">
                  <wp:extent cx="114300" cy="209550"/>
                  <wp:effectExtent l="0" t="0" r="0" b="0"/>
                  <wp:docPr id="121"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8"/>
                          <pic:cNvPicPr>
                            <a:picLocks noChangeAspect="1"/>
                          </pic:cNvPicPr>
                        </pic:nvPicPr>
                        <pic:blipFill>
                          <a:blip r:embed="rId170">
                            <a:clrChange>
                              <a:clrFrom>
                                <a:srgbClr val="FFFFFF"/>
                              </a:clrFrom>
                              <a:clrTo>
                                <a:srgbClr val="FFFFFF">
                                  <a:alpha val="0"/>
                                </a:srgbClr>
                              </a:clrTo>
                            </a:clrChange>
                          </a:blip>
                          <a:stretch>
                            <a:fillRect/>
                          </a:stretch>
                        </pic:blipFill>
                        <pic:spPr>
                          <a:xfrm>
                            <a:off x="0" y="0"/>
                            <a:ext cx="114300"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取0.5；悬浮泥沙平均中值粒径取0.00675mm，悬浮泥沙干容重</w:t>
            </w:r>
            <w:r>
              <w:rPr>
                <w:rFonts w:hint="default" w:ascii="Times New Roman" w:hAnsi="Times New Roman" w:eastAsia="宋体" w:cs="Times New Roman"/>
                <w:kern w:val="2"/>
                <w:position w:val="-6"/>
                <w:sz w:val="24"/>
                <w:szCs w:val="24"/>
                <w:lang w:val="en-US" w:eastAsia="zh-CN" w:bidi="ar"/>
              </w:rPr>
              <w:drawing>
                <wp:inline distT="0" distB="0" distL="114300" distR="114300">
                  <wp:extent cx="167005" cy="209550"/>
                  <wp:effectExtent l="0" t="0" r="4445" b="0"/>
                  <wp:docPr id="131"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9"/>
                          <pic:cNvPicPr>
                            <a:picLocks noChangeAspect="1"/>
                          </pic:cNvPicPr>
                        </pic:nvPicPr>
                        <pic:blipFill>
                          <a:blip r:embed="rId162">
                            <a:clrChange>
                              <a:clrFrom>
                                <a:srgbClr val="FFFFFF"/>
                              </a:clrFrom>
                              <a:clrTo>
                                <a:srgbClr val="FFFFFF">
                                  <a:alpha val="0"/>
                                </a:srgbClr>
                              </a:clrTo>
                            </a:clrChange>
                          </a:blip>
                          <a:stretch>
                            <a:fillRect/>
                          </a:stretch>
                        </pic:blipFill>
                        <pic:spPr>
                          <a:xfrm>
                            <a:off x="0" y="0"/>
                            <a:ext cx="167005" cy="209550"/>
                          </a:xfrm>
                          <a:prstGeom prst="rect">
                            <a:avLst/>
                          </a:prstGeom>
                          <a:noFill/>
                          <a:ln>
                            <a:noFill/>
                          </a:ln>
                        </pic:spPr>
                      </pic:pic>
                    </a:graphicData>
                  </a:graphic>
                </wp:inline>
              </w:drawing>
            </w:r>
            <w:r>
              <w:rPr>
                <w:rFonts w:hint="default" w:ascii="Times New Roman" w:hAnsi="Times New Roman" w:eastAsia="宋体" w:cs="Times New Roman"/>
                <w:kern w:val="0"/>
                <w:sz w:val="24"/>
                <w:szCs w:val="24"/>
                <w:lang w:val="en-US" w:eastAsia="zh-CN" w:bidi="ar"/>
              </w:rPr>
              <w:t>取1093kg/</w:t>
            </w:r>
            <w:r>
              <w:rPr>
                <w:rFonts w:hint="eastAsia" w:ascii="Times New Roman" w:hAnsi="Times New Roman" w:eastAsia="宋体" w:cs="Times New Roman"/>
                <w:kern w:val="0"/>
                <w:sz w:val="24"/>
                <w:szCs w:val="24"/>
                <w:lang w:val="en-US" w:eastAsia="zh-CN" w:bidi="ar"/>
              </w:rPr>
              <w:t>m</w:t>
            </w:r>
            <w:r>
              <w:rPr>
                <w:rFonts w:hint="eastAsia" w:ascii="Times New Roman" w:hAnsi="Times New Roman" w:eastAsia="宋体" w:cs="Times New Roman"/>
                <w:kern w:val="0"/>
                <w:sz w:val="24"/>
                <w:szCs w:val="24"/>
                <w:vertAlign w:val="superscript"/>
                <w:lang w:val="en-US" w:eastAsia="zh-CN" w:bidi="ar"/>
              </w:rPr>
              <w:t>3</w:t>
            </w:r>
            <w:r>
              <w:rPr>
                <w:rFonts w:hint="default" w:ascii="Times New Roman" w:hAnsi="Times New Roman" w:eastAsia="宋体" w:cs="Times New Roman"/>
                <w:kern w:val="0"/>
                <w:sz w:val="24"/>
                <w:szCs w:val="24"/>
                <w:lang w:val="en-US" w:eastAsia="zh-CN" w:bidi="ar"/>
              </w:rPr>
              <w:t>。</w:t>
            </w:r>
          </w:p>
          <w:p w14:paraId="4E26B69B">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4.5.2.3冲淤预测结果分析</w:t>
            </w:r>
          </w:p>
          <w:p w14:paraId="4EAC420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根据数值模拟结果和冲淤半经验半理论模型，给出了工程区及附近冲淤结果。由于防城港地区特殊的海岸动力环境，海堤的布置直接改变了原本的纳潮空间与水流流态。当海堤突入海中时，堤前与堤侧会形成明显的绕流与回流区，流速分布的剧烈梯度导致泥沙输移规律发生根本性偏移：在遮蔽效应强烈的背流侧，流速大幅降低，水体挟沙能力衰减，导致悬浮泥沙快速沉降，形成显著的淤积中心；而在紧邻堤头的迎流面，由于水流受阻被迫绕行，流速瞬时增大，产生强烈的冲刷应力，可能对海堤的基础结构稳定性构成潜在威胁。总体来说，在堤前产生泥沙冲淤，冲淤速度不超过0.04m/a。总体呈现冲淤动态平衡。此外，从海区的泥沙来源来看，防城港湾的泥沙淤积由潮流对底沙的冲淤、波浪对底沙的输送淤积悬沙引起的回淤构成，汛期河流来沙也是该海域泥沙的一大来源。防城港湾海域含沙量小，淤积泥沙要来自于周边浅滩泥沙的局部搬运，本项目港池回旋水域在疏浚工程初期由于施工引起周边浅滩的局部边坡不稳定，可能造成初期回淤大于预测值，但随着项目建成，周边浅滩的供沙能力会逐步下降，工程区的年维护量将逐渐减少。由此可见，工程区海域的泥沙回淤量不大，除建设初期在本项目疏浚区及邻近区域有一定的淤积和冲刷外，港湾的其它区域保持冲淤基本平衡。</w:t>
            </w:r>
          </w:p>
          <w:p w14:paraId="7A88B9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drawing>
                <wp:inline distT="0" distB="0" distL="114300" distR="114300">
                  <wp:extent cx="5262880" cy="3585210"/>
                  <wp:effectExtent l="0" t="0" r="0" b="0"/>
                  <wp:docPr id="125" name="图片 17" descr="泥沙冲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7" descr="泥沙冲淤"/>
                          <pic:cNvPicPr>
                            <a:picLocks noChangeAspect="1"/>
                          </pic:cNvPicPr>
                        </pic:nvPicPr>
                        <pic:blipFill>
                          <a:blip r:embed="rId171"/>
                          <a:srcRect t="5105" b="3977"/>
                          <a:stretch>
                            <a:fillRect/>
                          </a:stretch>
                        </pic:blipFill>
                        <pic:spPr>
                          <a:xfrm>
                            <a:off x="0" y="0"/>
                            <a:ext cx="5262880" cy="3585210"/>
                          </a:xfrm>
                          <a:prstGeom prst="rect">
                            <a:avLst/>
                          </a:prstGeom>
                          <a:noFill/>
                          <a:ln>
                            <a:noFill/>
                          </a:ln>
                        </pic:spPr>
                      </pic:pic>
                    </a:graphicData>
                  </a:graphic>
                </wp:inline>
              </w:drawing>
            </w:r>
          </w:p>
          <w:p w14:paraId="33A6F6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图4.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-20 项目实施后工程区附近底床冲淤变化（m/a）</w:t>
            </w:r>
          </w:p>
          <w:p w14:paraId="01E1844C">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4.5.2.3地形地貌与冲淤环境影响分析结论</w:t>
            </w:r>
          </w:p>
          <w:p w14:paraId="104D90E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bidi="ar"/>
              </w:rPr>
              <w:t>本工程建设平台属非透水构筑物，占用海域面积较小，建成后轻微改变了原有纳潮空间与水流流态。在紧邻堤头的迎流面，由于水流受阻被迫绕行，导致流速瞬时增大，产生强烈的冲刷应力，在堤前产生泥沙冲淤，但冲淤速度不超过0.04m/a。对区域整体冲淤环境影响有限。</w:t>
            </w:r>
          </w:p>
          <w:p w14:paraId="04C642E6">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5.3</w:t>
            </w:r>
            <w:r>
              <w:rPr>
                <w:rFonts w:hint="default" w:ascii="Times New Roman" w:hAnsi="Times New Roman" w:eastAsia="宋体" w:cs="Times New Roman"/>
                <w:b/>
                <w:bCs/>
                <w:color w:val="auto"/>
                <w:sz w:val="24"/>
                <w:szCs w:val="24"/>
                <w:lang w:val="en-US" w:eastAsia="zh-CN"/>
              </w:rPr>
              <w:t>项目对海洋生物的影响</w:t>
            </w:r>
          </w:p>
          <w:p w14:paraId="49D2F330">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4.5.3.1</w:t>
            </w:r>
            <w:r>
              <w:rPr>
                <w:rFonts w:hint="default" w:ascii="Times New Roman" w:hAnsi="Times New Roman" w:eastAsia="宋体" w:cs="Times New Roman"/>
                <w:b/>
                <w:bCs/>
                <w:color w:val="auto"/>
                <w:sz w:val="24"/>
                <w:szCs w:val="24"/>
                <w:lang w:val="en-US" w:eastAsia="zh-CN"/>
              </w:rPr>
              <w:t>对浮游生物的影响</w:t>
            </w:r>
          </w:p>
          <w:p w14:paraId="7E9FCC6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工程所在区域在低潮位时全部裸露，项目选择在低潮位时进行施工，</w:t>
            </w:r>
            <w:r>
              <w:rPr>
                <w:rFonts w:hint="eastAsia" w:cs="Times New Roman"/>
                <w:kern w:val="0"/>
                <w:sz w:val="24"/>
                <w:szCs w:val="24"/>
                <w:lang w:val="en-US" w:eastAsia="zh-CN" w:bidi="ar"/>
              </w:rPr>
              <w:t>产生的悬浮泥沙极少，悬浮泥沙会</w:t>
            </w:r>
            <w:r>
              <w:rPr>
                <w:rFonts w:hint="default" w:ascii="Times New Roman" w:hAnsi="Times New Roman" w:eastAsia="宋体" w:cs="Times New Roman"/>
                <w:kern w:val="0"/>
                <w:sz w:val="24"/>
                <w:szCs w:val="24"/>
                <w:lang w:val="en-US" w:eastAsia="zh-CN" w:bidi="ar"/>
              </w:rPr>
              <w:t>污染工程区附近海域的水质环境，使水体浑浊，也将对浮游生物产生影响。</w:t>
            </w:r>
          </w:p>
          <w:p w14:paraId="3A58B85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从水生生态角度来看，施工水域内的局部海水悬浮物增加，水体透明度下降，从而使溶解氧降低，对水生生物产生诸多的负面影响。最直接的影响是削弱了水体的真光层厚度，对浮游植物的光合作用产生不利影响，进而妨碍浮游植物的细胞分裂和生长，降低单位水体内浮游植物数量，导致局部海域内初级生产力水平降低，使浮游植物生物量降低。从而使浮游植物所在食物链的水生生物相应地减少。可见，水体中悬浮物质含量的增加，对整个水生生态食物链的影响是多环节的。本项目施工期较短，</w:t>
            </w:r>
            <w:r>
              <w:rPr>
                <w:rFonts w:hint="eastAsia" w:cs="Times New Roman"/>
                <w:kern w:val="0"/>
                <w:sz w:val="24"/>
                <w:szCs w:val="24"/>
                <w:lang w:val="en-US" w:eastAsia="zh-CN" w:bidi="ar"/>
              </w:rPr>
              <w:t>基本不产生悬浮泥沙，且</w:t>
            </w:r>
            <w:r>
              <w:rPr>
                <w:rFonts w:hint="default" w:ascii="Times New Roman" w:hAnsi="Times New Roman" w:eastAsia="宋体" w:cs="Times New Roman"/>
                <w:kern w:val="0"/>
                <w:sz w:val="24"/>
                <w:szCs w:val="24"/>
                <w:lang w:val="en-US" w:eastAsia="zh-CN" w:bidi="ar"/>
              </w:rPr>
              <w:t>施工结束后区域海水的悬浮物可快速的恢复到原有水平，项目对浮游生物的影响不大。</w:t>
            </w:r>
            <w:r>
              <w:rPr>
                <w:rFonts w:hint="eastAsia" w:cs="Times New Roman"/>
                <w:kern w:val="0"/>
                <w:sz w:val="24"/>
                <w:szCs w:val="24"/>
                <w:lang w:val="en-US" w:eastAsia="zh-CN" w:bidi="ar"/>
              </w:rPr>
              <w:t>建设单位</w:t>
            </w:r>
            <w:r>
              <w:rPr>
                <w:rFonts w:hint="default" w:ascii="Times New Roman" w:hAnsi="Times New Roman" w:eastAsia="宋体" w:cs="Times New Roman"/>
                <w:kern w:val="0"/>
                <w:sz w:val="24"/>
                <w:szCs w:val="24"/>
                <w:lang w:val="en-US" w:eastAsia="zh-CN" w:bidi="ar"/>
              </w:rPr>
              <w:t>在项目实施阶段</w:t>
            </w:r>
            <w:r>
              <w:rPr>
                <w:rFonts w:hint="eastAsia" w:cs="Times New Roman"/>
                <w:kern w:val="0"/>
                <w:sz w:val="24"/>
                <w:szCs w:val="24"/>
                <w:lang w:val="en-US" w:eastAsia="zh-CN" w:bidi="ar"/>
              </w:rPr>
              <w:t>应</w:t>
            </w:r>
            <w:r>
              <w:rPr>
                <w:rFonts w:hint="default" w:ascii="Times New Roman" w:hAnsi="Times New Roman" w:eastAsia="宋体" w:cs="Times New Roman"/>
                <w:kern w:val="0"/>
                <w:sz w:val="24"/>
                <w:szCs w:val="24"/>
                <w:lang w:val="en-US" w:eastAsia="zh-CN" w:bidi="ar"/>
              </w:rPr>
              <w:t>严格按照施工要求进行，杜绝悬沙扩散的影响。</w:t>
            </w:r>
          </w:p>
          <w:p w14:paraId="1CECD01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4.5.</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对</w:t>
            </w:r>
            <w:r>
              <w:rPr>
                <w:rFonts w:hint="eastAsia" w:cs="Times New Roman"/>
                <w:b/>
                <w:bCs/>
                <w:color w:val="auto"/>
                <w:sz w:val="24"/>
                <w:szCs w:val="24"/>
                <w:lang w:val="en-US" w:eastAsia="zh-CN"/>
              </w:rPr>
              <w:t>底栖生物的</w:t>
            </w:r>
            <w:r>
              <w:rPr>
                <w:rFonts w:hint="default" w:ascii="Times New Roman" w:hAnsi="Times New Roman" w:eastAsia="宋体" w:cs="Times New Roman"/>
                <w:b/>
                <w:bCs/>
                <w:color w:val="auto"/>
                <w:sz w:val="24"/>
                <w:szCs w:val="24"/>
                <w:lang w:val="en-US" w:eastAsia="zh-CN"/>
              </w:rPr>
              <w:t>影响分析</w:t>
            </w:r>
          </w:p>
          <w:p w14:paraId="4A58578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根据本项目平面布置图，</w:t>
            </w:r>
            <w:r>
              <w:rPr>
                <w:rFonts w:hint="eastAsia" w:cs="Times New Roman"/>
                <w:kern w:val="0"/>
                <w:sz w:val="24"/>
                <w:szCs w:val="24"/>
                <w:lang w:val="en-US" w:eastAsia="zh-CN" w:bidi="ar"/>
              </w:rPr>
              <w:t>项目建设会</w:t>
            </w:r>
            <w:r>
              <w:rPr>
                <w:rFonts w:hint="default" w:ascii="Times New Roman" w:hAnsi="Times New Roman" w:eastAsia="宋体" w:cs="Times New Roman"/>
                <w:kern w:val="0"/>
                <w:sz w:val="24"/>
                <w:szCs w:val="24"/>
                <w:lang w:val="en-US" w:eastAsia="zh-CN" w:bidi="ar"/>
              </w:rPr>
              <w:t>占用</w:t>
            </w:r>
            <w:r>
              <w:rPr>
                <w:rFonts w:hint="eastAsia" w:cs="Times New Roman"/>
                <w:kern w:val="0"/>
                <w:sz w:val="24"/>
                <w:szCs w:val="24"/>
                <w:lang w:val="en-US" w:eastAsia="zh-CN" w:bidi="ar"/>
              </w:rPr>
              <w:t>水域</w:t>
            </w:r>
            <w:r>
              <w:rPr>
                <w:rFonts w:hint="default" w:ascii="Times New Roman" w:hAnsi="Times New Roman" w:eastAsia="宋体" w:cs="Times New Roman"/>
                <w:kern w:val="0"/>
                <w:sz w:val="24"/>
                <w:szCs w:val="24"/>
                <w:lang w:val="en-US" w:eastAsia="zh-CN" w:bidi="ar"/>
              </w:rPr>
              <w:t>，减少</w:t>
            </w:r>
            <w:r>
              <w:rPr>
                <w:rFonts w:hint="eastAsia" w:cs="Times New Roman"/>
                <w:kern w:val="0"/>
                <w:sz w:val="24"/>
                <w:szCs w:val="24"/>
                <w:lang w:val="en-US" w:eastAsia="zh-CN" w:bidi="ar"/>
              </w:rPr>
              <w:t>底栖生物</w:t>
            </w:r>
            <w:r>
              <w:rPr>
                <w:rFonts w:hint="default" w:ascii="Times New Roman" w:hAnsi="Times New Roman" w:eastAsia="宋体" w:cs="Times New Roman"/>
                <w:kern w:val="0"/>
                <w:sz w:val="24"/>
                <w:szCs w:val="24"/>
                <w:lang w:val="en-US" w:eastAsia="zh-CN" w:bidi="ar"/>
              </w:rPr>
              <w:t>的栖息地。项目总占用</w:t>
            </w:r>
            <w:r>
              <w:rPr>
                <w:rFonts w:hint="eastAsia" w:cs="Times New Roman"/>
                <w:kern w:val="0"/>
                <w:sz w:val="24"/>
                <w:szCs w:val="24"/>
                <w:lang w:val="en-US" w:eastAsia="zh-CN" w:bidi="ar"/>
              </w:rPr>
              <w:t>海域</w:t>
            </w:r>
            <w:r>
              <w:rPr>
                <w:rFonts w:hint="default" w:ascii="Times New Roman" w:hAnsi="Times New Roman" w:eastAsia="宋体" w:cs="Times New Roman"/>
                <w:kern w:val="0"/>
                <w:sz w:val="24"/>
                <w:szCs w:val="24"/>
                <w:lang w:val="en-US" w:eastAsia="zh-CN" w:bidi="ar"/>
              </w:rPr>
              <w:t>面积较小，施工过程也不产生污染物和悬浮物激增等严重影响生物栖息地的情况。项目所在海域内均为广泛分布的海洋生物常见种，无特有种，施工过程中损失的底栖生物经过一段时间后即可恢复至原有水平。</w:t>
            </w:r>
            <w:r>
              <w:rPr>
                <w:rFonts w:hint="eastAsia" w:cs="Times New Roman"/>
                <w:kern w:val="0"/>
                <w:sz w:val="24"/>
                <w:szCs w:val="24"/>
                <w:lang w:val="en-US" w:eastAsia="zh-CN" w:bidi="ar"/>
              </w:rPr>
              <w:t>建设单位</w:t>
            </w:r>
            <w:r>
              <w:rPr>
                <w:rFonts w:hint="default" w:ascii="Times New Roman" w:hAnsi="Times New Roman" w:eastAsia="宋体" w:cs="Times New Roman"/>
                <w:kern w:val="0"/>
                <w:sz w:val="24"/>
                <w:szCs w:val="24"/>
                <w:lang w:val="en-US" w:eastAsia="zh-CN" w:bidi="ar"/>
              </w:rPr>
              <w:t>在项目实施阶段</w:t>
            </w:r>
            <w:r>
              <w:rPr>
                <w:rFonts w:hint="eastAsia" w:cs="Times New Roman"/>
                <w:kern w:val="0"/>
                <w:sz w:val="24"/>
                <w:szCs w:val="24"/>
                <w:lang w:val="en-US" w:eastAsia="zh-CN" w:bidi="ar"/>
              </w:rPr>
              <w:t>应</w:t>
            </w:r>
            <w:r>
              <w:rPr>
                <w:rFonts w:hint="default" w:ascii="Times New Roman" w:hAnsi="Times New Roman" w:eastAsia="宋体" w:cs="Times New Roman"/>
                <w:kern w:val="0"/>
                <w:sz w:val="24"/>
                <w:szCs w:val="24"/>
                <w:lang w:val="en-US" w:eastAsia="zh-CN" w:bidi="ar"/>
              </w:rPr>
              <w:t>严格按照施工要求进行，杜绝悬沙扩散的影响。因此，项目用海对当地</w:t>
            </w:r>
            <w:r>
              <w:rPr>
                <w:rFonts w:hint="eastAsia" w:cs="Times New Roman"/>
                <w:kern w:val="0"/>
                <w:sz w:val="24"/>
                <w:szCs w:val="24"/>
                <w:lang w:val="en-US" w:eastAsia="zh-CN" w:bidi="ar"/>
              </w:rPr>
              <w:t>底栖</w:t>
            </w:r>
            <w:r>
              <w:rPr>
                <w:rFonts w:hint="default" w:ascii="Times New Roman" w:hAnsi="Times New Roman" w:eastAsia="宋体" w:cs="Times New Roman"/>
                <w:kern w:val="0"/>
                <w:sz w:val="24"/>
                <w:szCs w:val="24"/>
                <w:lang w:val="en-US" w:eastAsia="zh-CN" w:bidi="ar"/>
              </w:rPr>
              <w:t>生物影响不大。</w:t>
            </w:r>
          </w:p>
          <w:p w14:paraId="2A343C18">
            <w:pPr>
              <w:keepNext w:val="0"/>
              <w:keepLines w:val="0"/>
              <w:suppressLineNumbers w:val="0"/>
              <w:adjustRightInd w:val="0"/>
              <w:snapToGrid w:val="0"/>
              <w:spacing w:before="0" w:beforeAutospacing="0" w:after="0" w:afterAutospacing="0" w:line="360" w:lineRule="auto"/>
              <w:ind w:left="0" w:right="0" w:firstLine="482" w:firstLineChars="200"/>
              <w:rPr>
                <w:rFonts w:hint="default" w:cs="Times New Roman"/>
                <w:b/>
                <w:bCs/>
                <w:color w:val="auto"/>
                <w:sz w:val="24"/>
                <w:szCs w:val="24"/>
                <w:lang w:val="en-US" w:eastAsia="zh-CN"/>
              </w:rPr>
            </w:pPr>
            <w:r>
              <w:rPr>
                <w:rFonts w:hint="eastAsia" w:cs="Times New Roman"/>
                <w:b/>
                <w:bCs/>
                <w:color w:val="auto"/>
                <w:sz w:val="24"/>
                <w:szCs w:val="24"/>
                <w:lang w:val="en-US" w:eastAsia="zh-CN"/>
              </w:rPr>
              <w:t>4.5.3.3</w:t>
            </w:r>
            <w:r>
              <w:rPr>
                <w:rFonts w:hint="default" w:cs="Times New Roman"/>
                <w:b/>
                <w:bCs/>
                <w:color w:val="auto"/>
                <w:sz w:val="24"/>
                <w:szCs w:val="24"/>
                <w:lang w:val="en-US" w:eastAsia="zh-CN"/>
              </w:rPr>
              <w:t>对游泳生物影响分析</w:t>
            </w:r>
          </w:p>
          <w:p w14:paraId="339D6C6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游泳生物一般栖息在水体中上层，一部分在底层活动，一般很少在浅滩海表活动。游泳动物具有趋避性，在</w:t>
            </w:r>
            <w:r>
              <w:rPr>
                <w:rFonts w:hint="eastAsia" w:cs="Times New Roman"/>
                <w:kern w:val="0"/>
                <w:sz w:val="24"/>
                <w:szCs w:val="24"/>
                <w:lang w:val="en-US" w:eastAsia="zh-CN" w:bidi="ar"/>
              </w:rPr>
              <w:t>施工过程中</w:t>
            </w:r>
            <w:r>
              <w:rPr>
                <w:rFonts w:hint="default" w:ascii="Times New Roman" w:hAnsi="Times New Roman" w:eastAsia="宋体" w:cs="Times New Roman"/>
                <w:kern w:val="0"/>
                <w:sz w:val="24"/>
                <w:szCs w:val="24"/>
                <w:lang w:val="en-US" w:eastAsia="zh-CN" w:bidi="ar"/>
              </w:rPr>
              <w:t>游泳动物会迅速躲避四散开来，而且本项目施工过程无炸礁等严重危害海洋生物的方式。因此，项目施工</w:t>
            </w:r>
            <w:r>
              <w:rPr>
                <w:rFonts w:hint="eastAsia" w:cs="Times New Roman"/>
                <w:kern w:val="0"/>
                <w:sz w:val="24"/>
                <w:szCs w:val="24"/>
                <w:lang w:val="en-US" w:eastAsia="zh-CN" w:bidi="ar"/>
              </w:rPr>
              <w:t>不会</w:t>
            </w:r>
            <w:r>
              <w:rPr>
                <w:rFonts w:hint="default" w:ascii="Times New Roman" w:hAnsi="Times New Roman" w:eastAsia="宋体" w:cs="Times New Roman"/>
                <w:kern w:val="0"/>
                <w:sz w:val="24"/>
                <w:szCs w:val="24"/>
                <w:lang w:val="en-US" w:eastAsia="zh-CN" w:bidi="ar"/>
              </w:rPr>
              <w:t>对当地游泳动物产生明显影响</w:t>
            </w:r>
          </w:p>
          <w:p w14:paraId="1A82CE6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生态损失量估算</w:t>
            </w:r>
          </w:p>
          <w:p w14:paraId="243732C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按照农业部颁布的《建设项目对海洋生物资源影响评价技术规程》（SC/T 9110-2007），根据2024年3月对周边海域开展的现状调查资料，对工程建设造成的生物损失进行估算。工程海域生物资源数量如表4.</w:t>
            </w:r>
            <w:r>
              <w:rPr>
                <w:rFonts w:hint="eastAsia" w:ascii="Times New Roman" w:hAnsi="Times New Roman" w:cs="Times New Roman"/>
                <w:kern w:val="0"/>
                <w:sz w:val="24"/>
                <w:szCs w:val="24"/>
                <w:lang w:val="en-US" w:eastAsia="zh-CN" w:bidi="ar"/>
              </w:rPr>
              <w:t>5</w:t>
            </w:r>
            <w:r>
              <w:rPr>
                <w:rFonts w:hint="default" w:ascii="Times New Roman" w:hAnsi="Times New Roman" w:eastAsia="宋体" w:cs="Times New Roman"/>
                <w:kern w:val="0"/>
                <w:sz w:val="24"/>
                <w:szCs w:val="24"/>
                <w:lang w:val="en-US" w:eastAsia="zh-CN" w:bidi="ar"/>
              </w:rPr>
              <w:t>-1所示。</w:t>
            </w:r>
          </w:p>
          <w:p w14:paraId="114050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bookmarkStart w:id="59" w:name="_Ref198996340"/>
            <w:r>
              <w:rPr>
                <w:rFonts w:hint="default" w:ascii="Times New Roman" w:hAnsi="Times New Roman" w:cs="Times New Roman"/>
                <w:b/>
                <w:bCs/>
                <w:color w:val="auto"/>
                <w:kern w:val="0"/>
                <w:sz w:val="21"/>
                <w:szCs w:val="21"/>
                <w:lang w:val="en-US" w:eastAsia="zh-CN"/>
              </w:rPr>
              <w:t xml:space="preserve">表 </w:t>
            </w:r>
            <w:bookmarkEnd w:id="59"/>
            <w:r>
              <w:rPr>
                <w:rFonts w:hint="default" w:ascii="Times New Roman" w:hAnsi="Times New Roman" w:cs="Times New Roman"/>
                <w:b/>
                <w:bCs/>
                <w:color w:val="auto"/>
                <w:kern w:val="0"/>
                <w:sz w:val="21"/>
                <w:szCs w:val="21"/>
                <w:lang w:val="en-US" w:eastAsia="zh-CN"/>
              </w:rPr>
              <w:t>4.</w:t>
            </w: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lang w:val="en-US" w:eastAsia="zh-CN"/>
              </w:rPr>
              <w:t>-1  项目海域资源密度概况</w:t>
            </w:r>
          </w:p>
          <w:tbl>
            <w:tblPr>
              <w:tblStyle w:val="28"/>
              <w:tblW w:w="36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442"/>
              <w:gridCol w:w="2091"/>
              <w:gridCol w:w="1269"/>
            </w:tblGrid>
            <w:tr w14:paraId="3E2F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24174308">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种类</w:t>
                  </w:r>
                </w:p>
              </w:tc>
              <w:tc>
                <w:tcPr>
                  <w:tcW w:w="1202" w:type="pct"/>
                  <w:noWrap w:val="0"/>
                  <w:vAlign w:val="center"/>
                </w:tcPr>
                <w:p w14:paraId="13D31B88">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调查时间</w:t>
                  </w:r>
                </w:p>
              </w:tc>
              <w:tc>
                <w:tcPr>
                  <w:tcW w:w="2801" w:type="pct"/>
                  <w:gridSpan w:val="2"/>
                  <w:noWrap w:val="0"/>
                  <w:vAlign w:val="center"/>
                </w:tcPr>
                <w:p w14:paraId="384125BB">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密度或生物量</w:t>
                  </w:r>
                </w:p>
              </w:tc>
            </w:tr>
            <w:tr w14:paraId="3889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95" w:type="pct"/>
                  <w:noWrap w:val="0"/>
                  <w:vAlign w:val="center"/>
                </w:tcPr>
                <w:p w14:paraId="0197D78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浮游植物</w:t>
                  </w:r>
                </w:p>
              </w:tc>
              <w:tc>
                <w:tcPr>
                  <w:tcW w:w="1202" w:type="pct"/>
                  <w:vMerge w:val="restart"/>
                  <w:noWrap w:val="0"/>
                  <w:vAlign w:val="center"/>
                </w:tcPr>
                <w:p w14:paraId="15024E3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2024年3月</w:t>
                  </w:r>
                </w:p>
              </w:tc>
              <w:tc>
                <w:tcPr>
                  <w:tcW w:w="1743" w:type="pct"/>
                  <w:noWrap w:val="0"/>
                  <w:vAlign w:val="center"/>
                </w:tcPr>
                <w:p w14:paraId="1D37FF1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密度（×10</w:t>
                  </w:r>
                  <w:r>
                    <w:rPr>
                      <w:rFonts w:hint="default" w:ascii="Times New Roman" w:hAnsi="Times New Roman" w:eastAsia="宋体" w:cs="Times New Roman"/>
                      <w:sz w:val="21"/>
                      <w:szCs w:val="21"/>
                      <w:vertAlign w:val="superscript"/>
                    </w:rPr>
                    <w:t>4</w:t>
                  </w:r>
                  <w:r>
                    <w:rPr>
                      <w:rFonts w:hint="default" w:ascii="Times New Roman" w:hAnsi="Times New Roman" w:eastAsia="宋体" w:cs="Times New Roman"/>
                      <w:sz w:val="21"/>
                      <w:szCs w:val="21"/>
                    </w:rPr>
                    <w:t>cells/m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58" w:type="pct"/>
                  <w:noWrap w:val="0"/>
                  <w:vAlign w:val="center"/>
                </w:tcPr>
                <w:p w14:paraId="25FD8ADC">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45.03</w:t>
                  </w:r>
                </w:p>
              </w:tc>
            </w:tr>
            <w:tr w14:paraId="7CA1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23EBB8E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浮游动物</w:t>
                  </w:r>
                </w:p>
              </w:tc>
              <w:tc>
                <w:tcPr>
                  <w:tcW w:w="1202" w:type="pct"/>
                  <w:vMerge w:val="continue"/>
                  <w:noWrap w:val="0"/>
                  <w:vAlign w:val="top"/>
                </w:tcPr>
                <w:p w14:paraId="3270E6B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1743" w:type="pct"/>
                  <w:noWrap w:val="0"/>
                  <w:vAlign w:val="center"/>
                </w:tcPr>
                <w:p w14:paraId="7759F9D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密度(mg/m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58" w:type="pct"/>
                  <w:noWrap w:val="0"/>
                  <w:vAlign w:val="center"/>
                </w:tcPr>
                <w:p w14:paraId="2CFE405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47.894</w:t>
                  </w:r>
                </w:p>
              </w:tc>
            </w:tr>
            <w:tr w14:paraId="0A52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607338E1">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底栖生物</w:t>
                  </w:r>
                </w:p>
              </w:tc>
              <w:tc>
                <w:tcPr>
                  <w:tcW w:w="1202" w:type="pct"/>
                  <w:vMerge w:val="continue"/>
                  <w:noWrap w:val="0"/>
                  <w:vAlign w:val="top"/>
                </w:tcPr>
                <w:p w14:paraId="652B1DF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1743" w:type="pct"/>
                  <w:noWrap w:val="0"/>
                  <w:vAlign w:val="center"/>
                </w:tcPr>
                <w:p w14:paraId="31EF4061">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生物量(g/m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1058" w:type="pct"/>
                  <w:noWrap w:val="0"/>
                  <w:vAlign w:val="center"/>
                </w:tcPr>
                <w:p w14:paraId="17570741">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55.51</w:t>
                  </w:r>
                </w:p>
              </w:tc>
            </w:tr>
            <w:tr w14:paraId="1356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23843D3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潮间带生物</w:t>
                  </w:r>
                </w:p>
              </w:tc>
              <w:tc>
                <w:tcPr>
                  <w:tcW w:w="1202" w:type="pct"/>
                  <w:vMerge w:val="continue"/>
                  <w:noWrap w:val="0"/>
                  <w:vAlign w:val="top"/>
                </w:tcPr>
                <w:p w14:paraId="64F3A9A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1743" w:type="pct"/>
                  <w:noWrap w:val="0"/>
                  <w:vAlign w:val="center"/>
                </w:tcPr>
                <w:p w14:paraId="3EC888A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生物量(g/m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1058" w:type="pct"/>
                  <w:noWrap w:val="0"/>
                  <w:vAlign w:val="center"/>
                </w:tcPr>
                <w:p w14:paraId="300812E5">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128.213</w:t>
                  </w:r>
                </w:p>
              </w:tc>
            </w:tr>
            <w:tr w14:paraId="7880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112671A8">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鱼卵</w:t>
                  </w:r>
                </w:p>
              </w:tc>
              <w:tc>
                <w:tcPr>
                  <w:tcW w:w="1202" w:type="pct"/>
                  <w:vMerge w:val="continue"/>
                  <w:noWrap w:val="0"/>
                  <w:vAlign w:val="top"/>
                </w:tcPr>
                <w:p w14:paraId="056A398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1743" w:type="pct"/>
                  <w:noWrap w:val="0"/>
                  <w:vAlign w:val="center"/>
                </w:tcPr>
                <w:p w14:paraId="3BED3FB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密度（粒/m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58" w:type="pct"/>
                  <w:noWrap w:val="0"/>
                  <w:vAlign w:val="center"/>
                </w:tcPr>
                <w:p w14:paraId="6B2D79C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10.76</w:t>
                  </w:r>
                </w:p>
              </w:tc>
            </w:tr>
            <w:tr w14:paraId="1254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0E9F490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仔稚鱼</w:t>
                  </w:r>
                </w:p>
              </w:tc>
              <w:tc>
                <w:tcPr>
                  <w:tcW w:w="1202" w:type="pct"/>
                  <w:vMerge w:val="continue"/>
                  <w:noWrap w:val="0"/>
                  <w:vAlign w:val="top"/>
                </w:tcPr>
                <w:p w14:paraId="5D4E4E59">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1743" w:type="pct"/>
                  <w:noWrap w:val="0"/>
                  <w:vAlign w:val="center"/>
                </w:tcPr>
                <w:p w14:paraId="6303EB8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密度（尾/m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58" w:type="pct"/>
                  <w:noWrap w:val="0"/>
                  <w:vAlign w:val="center"/>
                </w:tcPr>
                <w:p w14:paraId="4820E62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0.85</w:t>
                  </w:r>
                </w:p>
              </w:tc>
            </w:tr>
            <w:tr w14:paraId="73FE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6F27455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游泳动物</w:t>
                  </w:r>
                </w:p>
              </w:tc>
              <w:tc>
                <w:tcPr>
                  <w:tcW w:w="1202" w:type="pct"/>
                  <w:vMerge w:val="continue"/>
                  <w:noWrap w:val="0"/>
                  <w:vAlign w:val="top"/>
                </w:tcPr>
                <w:p w14:paraId="101CEE15">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1743" w:type="pct"/>
                  <w:noWrap w:val="0"/>
                  <w:vAlign w:val="center"/>
                </w:tcPr>
                <w:p w14:paraId="0239F19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密度（kg/km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1058" w:type="pct"/>
                  <w:noWrap w:val="0"/>
                  <w:vAlign w:val="center"/>
                </w:tcPr>
                <w:p w14:paraId="3AE4A3B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693.59</w:t>
                  </w:r>
                </w:p>
              </w:tc>
            </w:tr>
          </w:tbl>
          <w:p w14:paraId="6CA0154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default"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rPr>
              <w:t>）生物损失量评估方法</w:t>
            </w:r>
          </w:p>
          <w:p w14:paraId="548BF6D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占用水域造成的生物资源损失</w:t>
            </w:r>
          </w:p>
          <w:p w14:paraId="1FB7E14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工程建设需要，占用渔业水域，使</w:t>
            </w:r>
            <w:r>
              <w:rPr>
                <w:rFonts w:hint="default" w:ascii="Times New Roman" w:hAnsi="Times New Roman" w:eastAsia="宋体" w:cs="Times New Roman"/>
                <w:bCs/>
                <w:sz w:val="24"/>
                <w:szCs w:val="24"/>
              </w:rPr>
              <w:t>渔业水域功能</w:t>
            </w:r>
            <w:r>
              <w:rPr>
                <w:rFonts w:hint="default" w:ascii="Times New Roman" w:hAnsi="Times New Roman" w:eastAsia="宋体" w:cs="Times New Roman"/>
                <w:sz w:val="24"/>
                <w:szCs w:val="24"/>
              </w:rPr>
              <w:t>被破坏或</w:t>
            </w:r>
            <w:r>
              <w:rPr>
                <w:rFonts w:hint="default" w:ascii="Times New Roman" w:hAnsi="Times New Roman" w:eastAsia="宋体" w:cs="Times New Roman"/>
                <w:bCs/>
                <w:sz w:val="24"/>
                <w:szCs w:val="24"/>
              </w:rPr>
              <w:t>海洋生物资源</w:t>
            </w:r>
            <w:r>
              <w:rPr>
                <w:rFonts w:hint="default" w:ascii="Times New Roman" w:hAnsi="Times New Roman" w:eastAsia="宋体" w:cs="Times New Roman"/>
                <w:sz w:val="24"/>
                <w:szCs w:val="24"/>
              </w:rPr>
              <w:t>栖息地丧失。各种类生物资源损害量评估按</w:t>
            </w:r>
            <w:r>
              <w:rPr>
                <w:rFonts w:hint="eastAsia" w:ascii="Times New Roman" w:hAnsi="Times New Roman" w:eastAsia="宋体" w:cs="Times New Roman"/>
                <w:sz w:val="24"/>
                <w:szCs w:val="24"/>
                <w:lang w:val="en-US" w:eastAsia="zh-CN"/>
              </w:rPr>
              <w:t>下</w:t>
            </w:r>
            <w:r>
              <w:rPr>
                <w:rFonts w:hint="default" w:ascii="Times New Roman" w:hAnsi="Times New Roman" w:eastAsia="宋体" w:cs="Times New Roman"/>
                <w:sz w:val="24"/>
                <w:szCs w:val="24"/>
              </w:rPr>
              <w:t>式计算：</w:t>
            </w:r>
          </w:p>
          <w:p w14:paraId="7E8E8AFB">
            <w:pPr>
              <w:pStyle w:val="54"/>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m:oMathPara>
              <m:oMath>
                <m:sSub>
                  <m:sSubPr>
                    <m:ctrlPr>
                      <w:rPr>
                        <w:rFonts w:hint="default" w:ascii="Cambria Math" w:hAnsi="Cambria Math" w:eastAsia="宋体" w:cs="Times New Roman"/>
                        <w:i/>
                        <w:sz w:val="24"/>
                        <w:szCs w:val="24"/>
                      </w:rPr>
                    </m:ctrlPr>
                  </m:sSubPr>
                  <m:e>
                    <m:r>
                      <m:rPr>
                        <m:nor/>
                      </m:rPr>
                      <w:rPr>
                        <w:rFonts w:hint="default" w:ascii="Times New Roman" w:hAnsi="Times New Roman" w:eastAsia="宋体" w:cs="Times New Roman"/>
                        <w:i/>
                        <w:sz w:val="24"/>
                        <w:szCs w:val="24"/>
                      </w:rPr>
                      <m:t>W</m:t>
                    </m:r>
                    <m:ctrlPr>
                      <w:rPr>
                        <w:rFonts w:hint="default" w:ascii="Cambria Math" w:hAnsi="Cambria Math" w:eastAsia="宋体" w:cs="Times New Roman"/>
                        <w:sz w:val="24"/>
                        <w:szCs w:val="24"/>
                      </w:rPr>
                    </m:ctrlPr>
                  </m:e>
                  <m:sub>
                    <m:r>
                      <m:rPr>
                        <m:nor/>
                      </m:rPr>
                      <w:rPr>
                        <w:rFonts w:hint="default" w:ascii="Times New Roman" w:hAnsi="Times New Roman" w:eastAsia="宋体" w:cs="Times New Roman"/>
                        <w:i/>
                        <w:sz w:val="24"/>
                        <w:szCs w:val="24"/>
                      </w:rPr>
                      <m:t>i</m:t>
                    </m:r>
                    <m:ctrlPr>
                      <w:rPr>
                        <w:rFonts w:hint="default" w:ascii="Cambria Math" w:hAnsi="Cambria Math" w:eastAsia="宋体" w:cs="Times New Roman"/>
                        <w:sz w:val="24"/>
                        <w:szCs w:val="24"/>
                      </w:rPr>
                    </m:ctrlPr>
                  </m:sub>
                </m:sSub>
                <m:r>
                  <m:rPr>
                    <m:nor/>
                    <m:sty m:val="p"/>
                  </m:rPr>
                  <w:rPr>
                    <w:rFonts w:hint="default" w:ascii="Times New Roman" w:hAnsi="Times New Roman" w:eastAsia="宋体" w:cs="Times New Roman"/>
                    <w:b w:val="0"/>
                    <w:i w:val="0"/>
                    <w:sz w:val="24"/>
                    <w:szCs w:val="24"/>
                  </w:rPr>
                  <m:t>=</m:t>
                </m:r>
                <m:sSub>
                  <m:sSubPr>
                    <m:ctrlPr>
                      <w:rPr>
                        <w:rFonts w:hint="default" w:ascii="Cambria Math" w:hAnsi="Cambria Math" w:eastAsia="宋体" w:cs="Times New Roman"/>
                        <w:i/>
                        <w:sz w:val="24"/>
                        <w:szCs w:val="24"/>
                      </w:rPr>
                    </m:ctrlPr>
                  </m:sSubPr>
                  <m:e>
                    <m:r>
                      <m:rPr>
                        <m:nor/>
                      </m:rPr>
                      <w:rPr>
                        <w:rFonts w:hint="default" w:ascii="Times New Roman" w:hAnsi="Times New Roman" w:eastAsia="宋体" w:cs="Times New Roman"/>
                        <w:i/>
                        <w:sz w:val="24"/>
                        <w:szCs w:val="24"/>
                      </w:rPr>
                      <m:t>D</m:t>
                    </m:r>
                    <m:ctrlPr>
                      <w:rPr>
                        <w:rFonts w:hint="default" w:ascii="Cambria Math" w:hAnsi="Cambria Math" w:eastAsia="宋体" w:cs="Times New Roman"/>
                        <w:sz w:val="24"/>
                        <w:szCs w:val="24"/>
                      </w:rPr>
                    </m:ctrlPr>
                  </m:e>
                  <m:sub>
                    <m:r>
                      <m:rPr>
                        <m:nor/>
                      </m:rPr>
                      <w:rPr>
                        <w:rFonts w:hint="default" w:ascii="Times New Roman" w:hAnsi="Times New Roman" w:eastAsia="宋体" w:cs="Times New Roman"/>
                        <w:i/>
                        <w:sz w:val="24"/>
                        <w:szCs w:val="24"/>
                      </w:rPr>
                      <m:t>i</m:t>
                    </m:r>
                    <m:ctrlPr>
                      <w:rPr>
                        <w:rFonts w:hint="default" w:ascii="Cambria Math" w:hAnsi="Cambria Math" w:eastAsia="宋体" w:cs="Times New Roman"/>
                        <w:sz w:val="24"/>
                        <w:szCs w:val="24"/>
                      </w:rPr>
                    </m:ctrlPr>
                  </m:sub>
                </m:sSub>
                <m:r>
                  <m:rPr>
                    <m:nor/>
                    <m:sty m:val="p"/>
                  </m:rPr>
                  <w:rPr>
                    <w:rFonts w:hint="default" w:ascii="Times New Roman" w:hAnsi="Times New Roman" w:eastAsia="宋体" w:cs="Times New Roman"/>
                    <w:b w:val="0"/>
                    <w:i w:val="0"/>
                    <w:sz w:val="24"/>
                    <w:szCs w:val="24"/>
                  </w:rPr>
                  <m:t>×</m:t>
                </m:r>
                <m:sSub>
                  <m:sSubPr>
                    <m:ctrlPr>
                      <w:rPr>
                        <w:rFonts w:hint="default" w:ascii="Cambria Math" w:hAnsi="Cambria Math" w:eastAsia="宋体" w:cs="Times New Roman"/>
                        <w:i/>
                        <w:sz w:val="24"/>
                        <w:szCs w:val="24"/>
                      </w:rPr>
                    </m:ctrlPr>
                  </m:sSubPr>
                  <m:e>
                    <m:r>
                      <m:rPr>
                        <m:nor/>
                      </m:rPr>
                      <w:rPr>
                        <w:rFonts w:hint="default" w:ascii="Times New Roman" w:hAnsi="Times New Roman" w:eastAsia="宋体" w:cs="Times New Roman"/>
                        <w:i/>
                        <w:sz w:val="24"/>
                        <w:szCs w:val="24"/>
                      </w:rPr>
                      <m:t>S</m:t>
                    </m:r>
                    <m:ctrlPr>
                      <w:rPr>
                        <w:rFonts w:hint="default" w:ascii="Cambria Math" w:hAnsi="Cambria Math" w:eastAsia="宋体" w:cs="Times New Roman"/>
                        <w:sz w:val="24"/>
                        <w:szCs w:val="24"/>
                      </w:rPr>
                    </m:ctrlPr>
                  </m:e>
                  <m:sub>
                    <m:r>
                      <m:rPr>
                        <m:nor/>
                      </m:rPr>
                      <w:rPr>
                        <w:rFonts w:hint="default" w:ascii="Times New Roman" w:hAnsi="Times New Roman" w:eastAsia="宋体" w:cs="Times New Roman"/>
                        <w:i/>
                        <w:sz w:val="24"/>
                        <w:szCs w:val="24"/>
                      </w:rPr>
                      <m:t>i</m:t>
                    </m:r>
                    <m:ctrlPr>
                      <w:rPr>
                        <w:rFonts w:hint="default" w:ascii="Cambria Math" w:hAnsi="Cambria Math" w:eastAsia="宋体" w:cs="Times New Roman"/>
                        <w:sz w:val="24"/>
                        <w:szCs w:val="24"/>
                      </w:rPr>
                    </m:ctrlPr>
                  </m:sub>
                </m:sSub>
              </m:oMath>
            </m:oMathPara>
          </w:p>
          <w:p w14:paraId="2702639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w:t>
            </w:r>
          </w:p>
          <w:p w14:paraId="436483D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i/>
                <w:sz w:val="24"/>
                <w:szCs w:val="24"/>
              </w:rPr>
              <w:t>W</w:t>
            </w:r>
            <w:r>
              <w:rPr>
                <w:rFonts w:hint="default" w:ascii="Times New Roman" w:hAnsi="Times New Roman" w:eastAsia="宋体" w:cs="Times New Roman"/>
                <w:i/>
                <w:sz w:val="24"/>
                <w:szCs w:val="24"/>
                <w:vertAlign w:val="subscript"/>
              </w:rPr>
              <w:t>i</w:t>
            </w:r>
            <w:r>
              <w:rPr>
                <w:rFonts w:hint="default" w:ascii="Times New Roman" w:hAnsi="Times New Roman" w:eastAsia="宋体" w:cs="Times New Roman"/>
                <w:i/>
                <w:sz w:val="24"/>
                <w:szCs w:val="24"/>
              </w:rPr>
              <w:t>－－</w:t>
            </w:r>
            <w:r>
              <w:rPr>
                <w:rFonts w:hint="default" w:ascii="Times New Roman" w:hAnsi="Times New Roman" w:eastAsia="宋体" w:cs="Times New Roman"/>
                <w:sz w:val="24"/>
                <w:szCs w:val="24"/>
              </w:rPr>
              <w:t>第</w:t>
            </w:r>
            <w:r>
              <w:rPr>
                <w:rFonts w:hint="default" w:ascii="Times New Roman" w:hAnsi="Times New Roman" w:eastAsia="宋体" w:cs="Times New Roman"/>
                <w:i/>
                <w:sz w:val="24"/>
                <w:szCs w:val="24"/>
              </w:rPr>
              <w:t>i</w:t>
            </w:r>
            <w:r>
              <w:rPr>
                <w:rFonts w:hint="default" w:ascii="Times New Roman" w:hAnsi="Times New Roman" w:eastAsia="宋体" w:cs="Times New Roman"/>
                <w:sz w:val="24"/>
                <w:szCs w:val="24"/>
              </w:rPr>
              <w:t>种类生物资源受损量，单位为尾、个、千克（kg）；</w:t>
            </w:r>
          </w:p>
          <w:p w14:paraId="491763D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i/>
                <w:sz w:val="24"/>
                <w:szCs w:val="24"/>
              </w:rPr>
              <w:t>D</w:t>
            </w:r>
            <w:r>
              <w:rPr>
                <w:rFonts w:hint="default" w:ascii="Times New Roman" w:hAnsi="Times New Roman" w:eastAsia="宋体" w:cs="Times New Roman"/>
                <w:i/>
                <w:sz w:val="24"/>
                <w:szCs w:val="24"/>
                <w:vertAlign w:val="subscript"/>
              </w:rPr>
              <w:t>i</w:t>
            </w:r>
            <w:r>
              <w:rPr>
                <w:rFonts w:hint="default" w:ascii="Times New Roman" w:hAnsi="Times New Roman" w:eastAsia="宋体" w:cs="Times New Roman"/>
                <w:i/>
                <w:sz w:val="24"/>
                <w:szCs w:val="24"/>
              </w:rPr>
              <w:t>－－</w:t>
            </w:r>
            <w:r>
              <w:rPr>
                <w:rFonts w:hint="default" w:ascii="Times New Roman" w:hAnsi="Times New Roman" w:eastAsia="宋体" w:cs="Times New Roman"/>
                <w:sz w:val="24"/>
                <w:szCs w:val="24"/>
              </w:rPr>
              <w:t>评估区域内第</w:t>
            </w:r>
            <w:r>
              <w:rPr>
                <w:rFonts w:hint="default" w:ascii="Times New Roman" w:hAnsi="Times New Roman" w:eastAsia="宋体" w:cs="Times New Roman"/>
                <w:i/>
                <w:sz w:val="24"/>
                <w:szCs w:val="24"/>
              </w:rPr>
              <w:t>i</w:t>
            </w:r>
            <w:r>
              <w:rPr>
                <w:rFonts w:hint="default" w:ascii="Times New Roman" w:hAnsi="Times New Roman" w:eastAsia="宋体" w:cs="Times New Roman"/>
                <w:sz w:val="24"/>
                <w:szCs w:val="24"/>
              </w:rPr>
              <w:t>种类生物资源密度，单位为尾（个）每平方千米[尾（个）/km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]、尾（个）每立方千米[尾（个）/km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]、千克每平方千米（kg/km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7123056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－－第i种类生物占用的渔业水域面积或体积，单位为平方千米（km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）或立方千米（km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14:paraId="6DBF762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2</w:t>
            </w:r>
            <w:r>
              <w:rPr>
                <w:rFonts w:hint="default" w:ascii="Times New Roman" w:hAnsi="Times New Roman" w:eastAsia="宋体" w:cs="Times New Roman"/>
                <w:sz w:val="24"/>
                <w:szCs w:val="24"/>
              </w:rPr>
              <w:t>）生物损失量计算结果</w:t>
            </w:r>
          </w:p>
          <w:p w14:paraId="57A6DFD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val="en-US" w:eastAsia="zh-CN"/>
              </w:rPr>
              <w:t>建设</w:t>
            </w:r>
            <w:r>
              <w:rPr>
                <w:rFonts w:hint="default" w:ascii="Times New Roman" w:hAnsi="Times New Roman" w:eastAsia="宋体" w:cs="Times New Roman"/>
                <w:sz w:val="24"/>
                <w:szCs w:val="24"/>
              </w:rPr>
              <w:t>需占用部分海域，对海洋生物资源在成一定的损失，占用海域的面积按实际面积估算，</w:t>
            </w:r>
            <w:r>
              <w:rPr>
                <w:rFonts w:hint="default" w:ascii="Times New Roman" w:hAnsi="Times New Roman" w:eastAsia="宋体" w:cs="Times New Roman"/>
                <w:sz w:val="24"/>
                <w:szCs w:val="24"/>
                <w:lang w:val="en-US" w:eastAsia="zh-CN"/>
              </w:rPr>
              <w:t>工程</w:t>
            </w:r>
            <w:r>
              <w:rPr>
                <w:rFonts w:hint="default" w:ascii="Times New Roman" w:hAnsi="Times New Roman" w:eastAsia="宋体" w:cs="Times New Roman"/>
                <w:sz w:val="24"/>
                <w:szCs w:val="24"/>
              </w:rPr>
              <w:t>所在海域水深按平均</w:t>
            </w: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m进行计算。</w:t>
            </w:r>
          </w:p>
          <w:p w14:paraId="2611D52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项目建设</w:t>
            </w:r>
            <w:r>
              <w:rPr>
                <w:rFonts w:hint="default" w:ascii="Times New Roman" w:hAnsi="Times New Roman" w:eastAsia="宋体" w:cs="Times New Roman"/>
                <w:sz w:val="24"/>
                <w:szCs w:val="24"/>
              </w:rPr>
              <w:t>对工程海域的占用是永久性的，海域属性改变，其海洋资源也随之丧失</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占用海域面积为23</w:t>
            </w:r>
            <w:r>
              <w:rPr>
                <w:rFonts w:hint="eastAsia" w:cs="Times New Roman"/>
                <w:sz w:val="24"/>
                <w:szCs w:val="24"/>
                <w:lang w:val="en-US" w:eastAsia="zh-CN"/>
              </w:rPr>
              <w:t>10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。根据《建设项目对海洋生物资源影响评价技术规程》（SC/T9110-2007）（以下简称“规程”）中的计算方法，对生物资源损失量进行估算。</w:t>
            </w:r>
          </w:p>
          <w:p w14:paraId="6A54F7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表</w:t>
            </w:r>
            <w:r>
              <w:rPr>
                <w:rFonts w:hint="eastAsia" w:ascii="Times New Roman" w:hAnsi="Times New Roman" w:cs="Times New Roman"/>
                <w:b/>
                <w:bCs/>
                <w:color w:val="auto"/>
                <w:kern w:val="0"/>
                <w:sz w:val="21"/>
                <w:szCs w:val="21"/>
                <w:lang w:val="en-US" w:eastAsia="zh-CN"/>
              </w:rPr>
              <w:t>4.5-2</w:t>
            </w:r>
            <w:r>
              <w:rPr>
                <w:rFonts w:hint="default" w:ascii="Times New Roman" w:hAnsi="Times New Roman" w:cs="Times New Roman"/>
                <w:b/>
                <w:bCs/>
                <w:color w:val="auto"/>
                <w:kern w:val="0"/>
                <w:sz w:val="21"/>
                <w:szCs w:val="21"/>
                <w:lang w:val="en-US" w:eastAsia="zh-CN"/>
              </w:rPr>
              <w:t xml:space="preserve">  项目占用海域造成生态损失表</w:t>
            </w:r>
          </w:p>
          <w:tbl>
            <w:tblPr>
              <w:tblStyle w:val="28"/>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070"/>
              <w:gridCol w:w="1613"/>
              <w:gridCol w:w="698"/>
              <w:gridCol w:w="835"/>
              <w:gridCol w:w="711"/>
              <w:gridCol w:w="906"/>
              <w:gridCol w:w="2305"/>
              <w:gridCol w:w="893"/>
            </w:tblGrid>
            <w:tr w14:paraId="27F9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14:paraId="4A73CAB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偿补类型</w:t>
                  </w:r>
                </w:p>
              </w:tc>
              <w:tc>
                <w:tcPr>
                  <w:tcW w:w="1070" w:type="dxa"/>
                  <w:noWrap w:val="0"/>
                  <w:vAlign w:val="center"/>
                </w:tcPr>
                <w:p w14:paraId="379411B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生物类型</w:t>
                  </w:r>
                </w:p>
              </w:tc>
              <w:tc>
                <w:tcPr>
                  <w:tcW w:w="2311" w:type="dxa"/>
                  <w:gridSpan w:val="2"/>
                  <w:noWrap w:val="0"/>
                  <w:vAlign w:val="center"/>
                </w:tcPr>
                <w:p w14:paraId="68DECDE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平均生物量</w:t>
                  </w:r>
                </w:p>
              </w:tc>
              <w:tc>
                <w:tcPr>
                  <w:tcW w:w="835" w:type="dxa"/>
                  <w:noWrap w:val="0"/>
                  <w:vAlign w:val="center"/>
                </w:tcPr>
                <w:p w14:paraId="1D36185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补偿面积（m</w:t>
                  </w:r>
                  <w:r>
                    <w:rPr>
                      <w:rFonts w:hint="default" w:ascii="Times New Roman" w:hAnsi="Times New Roman" w:eastAsia="宋体" w:cs="Times New Roman"/>
                      <w:sz w:val="20"/>
                      <w:szCs w:val="20"/>
                      <w:vertAlign w:val="superscript"/>
                    </w:rPr>
                    <w:t>2</w:t>
                  </w:r>
                  <w:r>
                    <w:rPr>
                      <w:rFonts w:hint="default" w:ascii="Times New Roman" w:hAnsi="Times New Roman" w:eastAsia="宋体" w:cs="Times New Roman"/>
                      <w:sz w:val="20"/>
                      <w:szCs w:val="20"/>
                    </w:rPr>
                    <w:t>）</w:t>
                  </w:r>
                </w:p>
              </w:tc>
              <w:tc>
                <w:tcPr>
                  <w:tcW w:w="711" w:type="dxa"/>
                  <w:noWrap w:val="0"/>
                  <w:vAlign w:val="center"/>
                </w:tcPr>
                <w:p w14:paraId="7350DA4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水深</w:t>
                  </w:r>
                  <w:r>
                    <w:rPr>
                      <w:rFonts w:hint="default" w:ascii="Times New Roman" w:hAnsi="Times New Roman" w:eastAsia="宋体" w:cs="Times New Roman"/>
                      <w:sz w:val="20"/>
                      <w:szCs w:val="20"/>
                    </w:rPr>
                    <w:t>（m）</w:t>
                  </w:r>
                </w:p>
              </w:tc>
              <w:tc>
                <w:tcPr>
                  <w:tcW w:w="906" w:type="dxa"/>
                  <w:noWrap w:val="0"/>
                  <w:vAlign w:val="center"/>
                </w:tcPr>
                <w:p w14:paraId="35F9A43D">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损失率（%）</w:t>
                  </w:r>
                </w:p>
              </w:tc>
              <w:tc>
                <w:tcPr>
                  <w:tcW w:w="2305" w:type="dxa"/>
                  <w:shd w:val="clear" w:color="auto" w:fill="auto"/>
                  <w:noWrap w:val="0"/>
                  <w:vAlign w:val="center"/>
                </w:tcPr>
                <w:p w14:paraId="78AC1FB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生物损失量</w:t>
                  </w:r>
                </w:p>
              </w:tc>
              <w:tc>
                <w:tcPr>
                  <w:tcW w:w="893" w:type="dxa"/>
                  <w:noWrap w:val="0"/>
                  <w:vAlign w:val="center"/>
                </w:tcPr>
                <w:p w14:paraId="62D3F63B">
                  <w:pPr>
                    <w:pStyle w:val="54"/>
                    <w:keepNext w:val="0"/>
                    <w:keepLines w:val="0"/>
                    <w:suppressLineNumbers w:val="0"/>
                    <w:spacing w:before="0" w:beforeAutospacing="0" w:after="0" w:afterAutospacing="0"/>
                    <w:ind w:left="0" w:right="0"/>
                    <w:jc w:val="both"/>
                    <w:rPr>
                      <w:rFonts w:hint="default" w:ascii="Times New Roman" w:hAnsi="Times New Roman" w:eastAsia="宋体" w:cs="Times New Roman"/>
                      <w:sz w:val="21"/>
                      <w:szCs w:val="21"/>
                    </w:rPr>
                  </w:pPr>
                </w:p>
              </w:tc>
            </w:tr>
            <w:tr w14:paraId="1CBA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restart"/>
                  <w:noWrap w:val="0"/>
                  <w:vAlign w:val="center"/>
                </w:tcPr>
                <w:p w14:paraId="5F3B855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占用海域影响</w:t>
                  </w:r>
                </w:p>
              </w:tc>
              <w:tc>
                <w:tcPr>
                  <w:tcW w:w="1070" w:type="dxa"/>
                  <w:noWrap w:val="0"/>
                  <w:vAlign w:val="center"/>
                </w:tcPr>
                <w:p w14:paraId="258CECE1">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浮游植物</w:t>
                  </w:r>
                </w:p>
              </w:tc>
              <w:tc>
                <w:tcPr>
                  <w:tcW w:w="1613" w:type="dxa"/>
                  <w:noWrap w:val="0"/>
                  <w:vAlign w:val="center"/>
                </w:tcPr>
                <w:p w14:paraId="2CD45099">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eastAsia" w:ascii="Times New Roman" w:hAnsi="Times New Roman" w:eastAsia="宋体" w:cs="Times New Roman"/>
                      <w:sz w:val="20"/>
                      <w:szCs w:val="20"/>
                      <w:lang w:val="en-US" w:eastAsia="zh-CN"/>
                    </w:rPr>
                    <w:t>密度</w:t>
                  </w:r>
                  <w:r>
                    <w:rPr>
                      <w:rFonts w:hint="default" w:ascii="Times New Roman" w:hAnsi="Times New Roman" w:eastAsia="宋体" w:cs="Times New Roman"/>
                      <w:sz w:val="20"/>
                      <w:szCs w:val="20"/>
                    </w:rPr>
                    <w:t>（×10</w:t>
                  </w:r>
                  <w:r>
                    <w:rPr>
                      <w:rFonts w:hint="default" w:ascii="Times New Roman" w:hAnsi="Times New Roman" w:eastAsia="宋体" w:cs="Times New Roman"/>
                      <w:sz w:val="20"/>
                      <w:szCs w:val="20"/>
                      <w:vertAlign w:val="superscript"/>
                    </w:rPr>
                    <w:t>4</w:t>
                  </w:r>
                  <w:r>
                    <w:rPr>
                      <w:rFonts w:hint="default" w:ascii="Times New Roman" w:hAnsi="Times New Roman" w:eastAsia="宋体" w:cs="Times New Roman"/>
                      <w:sz w:val="20"/>
                      <w:szCs w:val="20"/>
                    </w:rPr>
                    <w:t>cells/m</w:t>
                  </w:r>
                  <w:r>
                    <w:rPr>
                      <w:rFonts w:hint="default" w:ascii="Times New Roman" w:hAnsi="Times New Roman" w:eastAsia="宋体" w:cs="Times New Roman"/>
                      <w:sz w:val="20"/>
                      <w:szCs w:val="20"/>
                      <w:vertAlign w:val="superscript"/>
                    </w:rPr>
                    <w:t>3</w:t>
                  </w:r>
                  <w:r>
                    <w:rPr>
                      <w:rFonts w:hint="default" w:ascii="Times New Roman" w:hAnsi="Times New Roman" w:eastAsia="宋体" w:cs="Times New Roman"/>
                      <w:sz w:val="20"/>
                      <w:szCs w:val="20"/>
                    </w:rPr>
                    <w:t>）</w:t>
                  </w:r>
                </w:p>
              </w:tc>
              <w:tc>
                <w:tcPr>
                  <w:tcW w:w="698" w:type="dxa"/>
                  <w:noWrap w:val="0"/>
                  <w:vAlign w:val="center"/>
                </w:tcPr>
                <w:p w14:paraId="58BB1E59">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45.03</w:t>
                  </w:r>
                </w:p>
              </w:tc>
              <w:tc>
                <w:tcPr>
                  <w:tcW w:w="835" w:type="dxa"/>
                  <w:vMerge w:val="restart"/>
                  <w:noWrap w:val="0"/>
                  <w:vAlign w:val="center"/>
                </w:tcPr>
                <w:p w14:paraId="52350ED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2308</w:t>
                  </w:r>
                </w:p>
                <w:p w14:paraId="72395ED1">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711" w:type="dxa"/>
                  <w:noWrap w:val="0"/>
                  <w:vAlign w:val="center"/>
                </w:tcPr>
                <w:p w14:paraId="4BD170F5">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1.5</w:t>
                  </w:r>
                </w:p>
              </w:tc>
              <w:tc>
                <w:tcPr>
                  <w:tcW w:w="906" w:type="dxa"/>
                  <w:noWrap w:val="0"/>
                  <w:vAlign w:val="center"/>
                </w:tcPr>
                <w:p w14:paraId="429CEF9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100</w:t>
                  </w:r>
                </w:p>
              </w:tc>
              <w:tc>
                <w:tcPr>
                  <w:tcW w:w="2305" w:type="dxa"/>
                  <w:shd w:val="clear" w:color="auto" w:fill="auto"/>
                  <w:noWrap w:val="0"/>
                  <w:vAlign w:val="center"/>
                </w:tcPr>
                <w:p w14:paraId="4375F641">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1.56</w:t>
                  </w:r>
                  <w:r>
                    <w:rPr>
                      <w:rFonts w:hint="default" w:ascii="Times New Roman" w:hAnsi="Times New Roman" w:eastAsia="宋体" w:cs="Times New Roman"/>
                      <w:sz w:val="20"/>
                      <w:szCs w:val="20"/>
                    </w:rPr>
                    <w:t>×10</w:t>
                  </w:r>
                  <w:r>
                    <w:rPr>
                      <w:rFonts w:hint="default" w:ascii="Times New Roman" w:hAnsi="Times New Roman" w:eastAsia="宋体" w:cs="Times New Roman"/>
                      <w:sz w:val="20"/>
                      <w:szCs w:val="20"/>
                      <w:vertAlign w:val="superscript"/>
                    </w:rPr>
                    <w:t>9</w:t>
                  </w:r>
                  <w:r>
                    <w:rPr>
                      <w:rFonts w:hint="default" w:ascii="Times New Roman" w:hAnsi="Times New Roman" w:eastAsia="宋体" w:cs="Times New Roman"/>
                      <w:sz w:val="20"/>
                      <w:szCs w:val="20"/>
                    </w:rPr>
                    <w:t>cells</w:t>
                  </w:r>
                </w:p>
              </w:tc>
              <w:tc>
                <w:tcPr>
                  <w:tcW w:w="893" w:type="dxa"/>
                  <w:noWrap w:val="0"/>
                  <w:vAlign w:val="center"/>
                </w:tcPr>
                <w:p w14:paraId="40FD9AD5">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5480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noWrap w:val="0"/>
                  <w:vAlign w:val="center"/>
                </w:tcPr>
                <w:p w14:paraId="23747C6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070" w:type="dxa"/>
                  <w:noWrap w:val="0"/>
                  <w:vAlign w:val="center"/>
                </w:tcPr>
                <w:p w14:paraId="0D945E12">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浮游动物</w:t>
                  </w:r>
                </w:p>
              </w:tc>
              <w:tc>
                <w:tcPr>
                  <w:tcW w:w="1613" w:type="dxa"/>
                  <w:noWrap w:val="0"/>
                  <w:vAlign w:val="center"/>
                </w:tcPr>
                <w:p w14:paraId="2DBD1678">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密度(mg/m</w:t>
                  </w:r>
                  <w:r>
                    <w:rPr>
                      <w:rFonts w:hint="default" w:ascii="Times New Roman" w:hAnsi="Times New Roman" w:eastAsia="宋体" w:cs="Times New Roman"/>
                      <w:sz w:val="20"/>
                      <w:szCs w:val="20"/>
                      <w:vertAlign w:val="superscript"/>
                    </w:rPr>
                    <w:t>3</w:t>
                  </w:r>
                  <w:r>
                    <w:rPr>
                      <w:rFonts w:hint="default" w:ascii="Times New Roman" w:hAnsi="Times New Roman" w:eastAsia="宋体" w:cs="Times New Roman"/>
                      <w:sz w:val="20"/>
                      <w:szCs w:val="20"/>
                    </w:rPr>
                    <w:t>)</w:t>
                  </w:r>
                </w:p>
              </w:tc>
              <w:tc>
                <w:tcPr>
                  <w:tcW w:w="698" w:type="dxa"/>
                  <w:noWrap w:val="0"/>
                  <w:vAlign w:val="center"/>
                </w:tcPr>
                <w:p w14:paraId="2E7E4EDC">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47.894</w:t>
                  </w:r>
                </w:p>
              </w:tc>
              <w:tc>
                <w:tcPr>
                  <w:tcW w:w="835" w:type="dxa"/>
                  <w:vMerge w:val="continue"/>
                  <w:noWrap w:val="0"/>
                  <w:vAlign w:val="center"/>
                </w:tcPr>
                <w:p w14:paraId="679458D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711" w:type="dxa"/>
                  <w:noWrap w:val="0"/>
                  <w:vAlign w:val="center"/>
                </w:tcPr>
                <w:p w14:paraId="2A8EC75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1.5</w:t>
                  </w:r>
                </w:p>
              </w:tc>
              <w:tc>
                <w:tcPr>
                  <w:tcW w:w="906" w:type="dxa"/>
                  <w:noWrap w:val="0"/>
                  <w:vAlign w:val="center"/>
                </w:tcPr>
                <w:p w14:paraId="24B98A5D">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100</w:t>
                  </w:r>
                </w:p>
              </w:tc>
              <w:tc>
                <w:tcPr>
                  <w:tcW w:w="2305" w:type="dxa"/>
                  <w:shd w:val="clear" w:color="auto" w:fill="auto"/>
                  <w:noWrap w:val="0"/>
                  <w:vAlign w:val="center"/>
                </w:tcPr>
                <w:p w14:paraId="4F1A5D99">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0.17kg</w:t>
                  </w:r>
                </w:p>
              </w:tc>
              <w:tc>
                <w:tcPr>
                  <w:tcW w:w="893" w:type="dxa"/>
                  <w:noWrap w:val="0"/>
                  <w:vAlign w:val="center"/>
                </w:tcPr>
                <w:p w14:paraId="43E4837C">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p>
              </w:tc>
            </w:tr>
            <w:tr w14:paraId="4DF9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noWrap w:val="0"/>
                  <w:vAlign w:val="center"/>
                </w:tcPr>
                <w:p w14:paraId="74D6243C">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070" w:type="dxa"/>
                  <w:noWrap w:val="0"/>
                  <w:vAlign w:val="center"/>
                </w:tcPr>
                <w:p w14:paraId="0237F775">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底栖生物</w:t>
                  </w:r>
                </w:p>
              </w:tc>
              <w:tc>
                <w:tcPr>
                  <w:tcW w:w="1613" w:type="dxa"/>
                  <w:noWrap w:val="0"/>
                  <w:vAlign w:val="center"/>
                </w:tcPr>
                <w:p w14:paraId="6EBF950F">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生物量(g/m</w:t>
                  </w:r>
                  <w:r>
                    <w:rPr>
                      <w:rFonts w:hint="default" w:ascii="Times New Roman" w:hAnsi="Times New Roman" w:eastAsia="宋体" w:cs="Times New Roman"/>
                      <w:sz w:val="20"/>
                      <w:szCs w:val="20"/>
                      <w:vertAlign w:val="superscript"/>
                    </w:rPr>
                    <w:t>2</w:t>
                  </w:r>
                  <w:r>
                    <w:rPr>
                      <w:rFonts w:hint="default" w:ascii="Times New Roman" w:hAnsi="Times New Roman" w:eastAsia="宋体" w:cs="Times New Roman"/>
                      <w:sz w:val="20"/>
                      <w:szCs w:val="20"/>
                    </w:rPr>
                    <w:t>)</w:t>
                  </w:r>
                </w:p>
              </w:tc>
              <w:tc>
                <w:tcPr>
                  <w:tcW w:w="698" w:type="dxa"/>
                  <w:noWrap w:val="0"/>
                  <w:vAlign w:val="center"/>
                </w:tcPr>
                <w:p w14:paraId="3C619390">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55.51</w:t>
                  </w:r>
                </w:p>
              </w:tc>
              <w:tc>
                <w:tcPr>
                  <w:tcW w:w="835" w:type="dxa"/>
                  <w:vMerge w:val="continue"/>
                  <w:noWrap w:val="0"/>
                  <w:vAlign w:val="center"/>
                </w:tcPr>
                <w:p w14:paraId="68469529">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711" w:type="dxa"/>
                  <w:noWrap w:val="0"/>
                  <w:vAlign w:val="center"/>
                </w:tcPr>
                <w:p w14:paraId="5A01F51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val="en-US" w:eastAsia="zh-CN"/>
                    </w:rPr>
                    <w:t>-</w:t>
                  </w:r>
                </w:p>
              </w:tc>
              <w:tc>
                <w:tcPr>
                  <w:tcW w:w="906" w:type="dxa"/>
                  <w:noWrap w:val="0"/>
                  <w:vAlign w:val="center"/>
                </w:tcPr>
                <w:p w14:paraId="42C61FA1">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100</w:t>
                  </w:r>
                </w:p>
              </w:tc>
              <w:tc>
                <w:tcPr>
                  <w:tcW w:w="2305" w:type="dxa"/>
                  <w:shd w:val="clear" w:color="auto" w:fill="auto"/>
                  <w:noWrap w:val="0"/>
                  <w:vAlign w:val="center"/>
                </w:tcPr>
                <w:p w14:paraId="5321247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128.12kg</w:t>
                  </w:r>
                </w:p>
              </w:tc>
              <w:tc>
                <w:tcPr>
                  <w:tcW w:w="893" w:type="dxa"/>
                  <w:noWrap w:val="0"/>
                  <w:vAlign w:val="center"/>
                </w:tcPr>
                <w:p w14:paraId="6E44261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5F67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noWrap w:val="0"/>
                  <w:vAlign w:val="center"/>
                </w:tcPr>
                <w:p w14:paraId="4DD8351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070" w:type="dxa"/>
                  <w:noWrap w:val="0"/>
                  <w:vAlign w:val="center"/>
                </w:tcPr>
                <w:p w14:paraId="358558D1">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潮间带生物</w:t>
                  </w:r>
                </w:p>
              </w:tc>
              <w:tc>
                <w:tcPr>
                  <w:tcW w:w="1613" w:type="dxa"/>
                  <w:noWrap w:val="0"/>
                  <w:vAlign w:val="center"/>
                </w:tcPr>
                <w:p w14:paraId="5D4EB6F3">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生物量(g/m</w:t>
                  </w:r>
                  <w:r>
                    <w:rPr>
                      <w:rFonts w:hint="default" w:ascii="Times New Roman" w:hAnsi="Times New Roman" w:eastAsia="宋体" w:cs="Times New Roman"/>
                      <w:sz w:val="20"/>
                      <w:szCs w:val="20"/>
                      <w:vertAlign w:val="superscript"/>
                    </w:rPr>
                    <w:t>2</w:t>
                  </w:r>
                  <w:r>
                    <w:rPr>
                      <w:rFonts w:hint="default" w:ascii="Times New Roman" w:hAnsi="Times New Roman" w:eastAsia="宋体" w:cs="Times New Roman"/>
                      <w:sz w:val="20"/>
                      <w:szCs w:val="20"/>
                    </w:rPr>
                    <w:t>)</w:t>
                  </w:r>
                </w:p>
              </w:tc>
              <w:tc>
                <w:tcPr>
                  <w:tcW w:w="698" w:type="dxa"/>
                  <w:noWrap w:val="0"/>
                  <w:vAlign w:val="center"/>
                </w:tcPr>
                <w:p w14:paraId="384E8F2F">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128.213</w:t>
                  </w:r>
                </w:p>
              </w:tc>
              <w:tc>
                <w:tcPr>
                  <w:tcW w:w="835" w:type="dxa"/>
                  <w:vMerge w:val="continue"/>
                  <w:noWrap w:val="0"/>
                  <w:vAlign w:val="center"/>
                </w:tcPr>
                <w:p w14:paraId="0FEDDFD8">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711" w:type="dxa"/>
                  <w:noWrap w:val="0"/>
                  <w:vAlign w:val="center"/>
                </w:tcPr>
                <w:p w14:paraId="18A00AB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val="en-US" w:eastAsia="zh-CN"/>
                    </w:rPr>
                    <w:t>-</w:t>
                  </w:r>
                </w:p>
              </w:tc>
              <w:tc>
                <w:tcPr>
                  <w:tcW w:w="906" w:type="dxa"/>
                  <w:noWrap w:val="0"/>
                  <w:vAlign w:val="center"/>
                </w:tcPr>
                <w:p w14:paraId="4F52DC2B">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100</w:t>
                  </w:r>
                </w:p>
              </w:tc>
              <w:tc>
                <w:tcPr>
                  <w:tcW w:w="2305" w:type="dxa"/>
                  <w:shd w:val="clear" w:color="auto" w:fill="auto"/>
                  <w:noWrap w:val="0"/>
                  <w:vAlign w:val="center"/>
                </w:tcPr>
                <w:p w14:paraId="56459DD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295.92</w:t>
                  </w:r>
                  <w:r>
                    <w:rPr>
                      <w:rFonts w:hint="default" w:ascii="Times New Roman" w:hAnsi="Times New Roman" w:eastAsia="宋体" w:cs="Times New Roman"/>
                      <w:sz w:val="20"/>
                      <w:szCs w:val="20"/>
                    </w:rPr>
                    <w:t>kg</w:t>
                  </w:r>
                </w:p>
              </w:tc>
              <w:tc>
                <w:tcPr>
                  <w:tcW w:w="893" w:type="dxa"/>
                  <w:noWrap w:val="0"/>
                  <w:vAlign w:val="center"/>
                </w:tcPr>
                <w:p w14:paraId="27D5351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78C5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noWrap w:val="0"/>
                  <w:vAlign w:val="center"/>
                </w:tcPr>
                <w:p w14:paraId="06AD440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070" w:type="dxa"/>
                  <w:noWrap w:val="0"/>
                  <w:vAlign w:val="center"/>
                </w:tcPr>
                <w:p w14:paraId="4A0A56F2">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鱼卵</w:t>
                  </w:r>
                </w:p>
              </w:tc>
              <w:tc>
                <w:tcPr>
                  <w:tcW w:w="1613" w:type="dxa"/>
                  <w:noWrap w:val="0"/>
                  <w:vAlign w:val="center"/>
                </w:tcPr>
                <w:p w14:paraId="52424A73">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密度（粒/m</w:t>
                  </w:r>
                  <w:r>
                    <w:rPr>
                      <w:rFonts w:hint="default" w:ascii="Times New Roman" w:hAnsi="Times New Roman" w:eastAsia="宋体" w:cs="Times New Roman"/>
                      <w:sz w:val="20"/>
                      <w:szCs w:val="20"/>
                      <w:vertAlign w:val="superscript"/>
                    </w:rPr>
                    <w:t>3</w:t>
                  </w:r>
                  <w:r>
                    <w:rPr>
                      <w:rFonts w:hint="default" w:ascii="Times New Roman" w:hAnsi="Times New Roman" w:eastAsia="宋体" w:cs="Times New Roman"/>
                      <w:sz w:val="20"/>
                      <w:szCs w:val="20"/>
                    </w:rPr>
                    <w:t>）</w:t>
                  </w:r>
                </w:p>
              </w:tc>
              <w:tc>
                <w:tcPr>
                  <w:tcW w:w="698" w:type="dxa"/>
                  <w:noWrap w:val="0"/>
                  <w:vAlign w:val="center"/>
                </w:tcPr>
                <w:p w14:paraId="1A55D3F7">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10.76</w:t>
                  </w:r>
                </w:p>
              </w:tc>
              <w:tc>
                <w:tcPr>
                  <w:tcW w:w="835" w:type="dxa"/>
                  <w:vMerge w:val="continue"/>
                  <w:noWrap w:val="0"/>
                  <w:vAlign w:val="center"/>
                </w:tcPr>
                <w:p w14:paraId="5854BD9C">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711" w:type="dxa"/>
                  <w:noWrap w:val="0"/>
                  <w:vAlign w:val="center"/>
                </w:tcPr>
                <w:p w14:paraId="5FED30A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1.5</w:t>
                  </w:r>
                </w:p>
              </w:tc>
              <w:tc>
                <w:tcPr>
                  <w:tcW w:w="906" w:type="dxa"/>
                  <w:noWrap w:val="0"/>
                  <w:vAlign w:val="center"/>
                </w:tcPr>
                <w:p w14:paraId="6452301B">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100</w:t>
                  </w:r>
                </w:p>
              </w:tc>
              <w:tc>
                <w:tcPr>
                  <w:tcW w:w="2305" w:type="dxa"/>
                  <w:shd w:val="clear" w:color="auto" w:fill="auto"/>
                  <w:noWrap w:val="0"/>
                  <w:vAlign w:val="center"/>
                </w:tcPr>
                <w:p w14:paraId="4CBBE52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3.73</w:t>
                  </w:r>
                  <w:r>
                    <w:rPr>
                      <w:rFonts w:hint="default" w:ascii="Times New Roman" w:hAnsi="Times New Roman" w:eastAsia="宋体" w:cs="Times New Roman"/>
                      <w:sz w:val="20"/>
                      <w:szCs w:val="20"/>
                    </w:rPr>
                    <w:t>×10</w:t>
                  </w:r>
                  <w:r>
                    <w:rPr>
                      <w:rFonts w:hint="default" w:ascii="Times New Roman" w:hAnsi="Times New Roman" w:eastAsia="宋体" w:cs="Times New Roman"/>
                      <w:sz w:val="20"/>
                      <w:szCs w:val="20"/>
                      <w:vertAlign w:val="superscript"/>
                      <w:lang w:val="en-US" w:eastAsia="zh-CN"/>
                    </w:rPr>
                    <w:t>4</w:t>
                  </w:r>
                  <w:r>
                    <w:rPr>
                      <w:rFonts w:hint="default" w:ascii="Times New Roman" w:hAnsi="Times New Roman" w:eastAsia="宋体" w:cs="Times New Roman"/>
                      <w:sz w:val="20"/>
                      <w:szCs w:val="20"/>
                      <w:lang w:val="en-US" w:eastAsia="zh-CN"/>
                    </w:rPr>
                    <w:t>粒</w:t>
                  </w:r>
                </w:p>
              </w:tc>
              <w:tc>
                <w:tcPr>
                  <w:tcW w:w="893" w:type="dxa"/>
                  <w:noWrap w:val="0"/>
                  <w:vAlign w:val="center"/>
                </w:tcPr>
                <w:p w14:paraId="2CD6658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0208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noWrap w:val="0"/>
                  <w:vAlign w:val="center"/>
                </w:tcPr>
                <w:p w14:paraId="4D266FC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070" w:type="dxa"/>
                  <w:noWrap w:val="0"/>
                  <w:vAlign w:val="center"/>
                </w:tcPr>
                <w:p w14:paraId="53822DD3">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仔稚鱼</w:t>
                  </w:r>
                </w:p>
              </w:tc>
              <w:tc>
                <w:tcPr>
                  <w:tcW w:w="1613" w:type="dxa"/>
                  <w:noWrap w:val="0"/>
                  <w:vAlign w:val="center"/>
                </w:tcPr>
                <w:p w14:paraId="7848EDF3">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密度（尾/m</w:t>
                  </w:r>
                  <w:r>
                    <w:rPr>
                      <w:rFonts w:hint="default" w:ascii="Times New Roman" w:hAnsi="Times New Roman" w:eastAsia="宋体" w:cs="Times New Roman"/>
                      <w:sz w:val="20"/>
                      <w:szCs w:val="20"/>
                      <w:vertAlign w:val="superscript"/>
                    </w:rPr>
                    <w:t>3</w:t>
                  </w:r>
                  <w:r>
                    <w:rPr>
                      <w:rFonts w:hint="default" w:ascii="Times New Roman" w:hAnsi="Times New Roman" w:eastAsia="宋体" w:cs="Times New Roman"/>
                      <w:sz w:val="20"/>
                      <w:szCs w:val="20"/>
                    </w:rPr>
                    <w:t>）</w:t>
                  </w:r>
                </w:p>
              </w:tc>
              <w:tc>
                <w:tcPr>
                  <w:tcW w:w="698" w:type="dxa"/>
                  <w:noWrap w:val="0"/>
                  <w:vAlign w:val="center"/>
                </w:tcPr>
                <w:p w14:paraId="0E3376FC">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0.85</w:t>
                  </w:r>
                </w:p>
              </w:tc>
              <w:tc>
                <w:tcPr>
                  <w:tcW w:w="835" w:type="dxa"/>
                  <w:vMerge w:val="continue"/>
                  <w:noWrap w:val="0"/>
                  <w:vAlign w:val="center"/>
                </w:tcPr>
                <w:p w14:paraId="1C2BCB3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711" w:type="dxa"/>
                  <w:noWrap w:val="0"/>
                  <w:vAlign w:val="center"/>
                </w:tcPr>
                <w:p w14:paraId="7DEE4B5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1.5</w:t>
                  </w:r>
                </w:p>
              </w:tc>
              <w:tc>
                <w:tcPr>
                  <w:tcW w:w="906" w:type="dxa"/>
                  <w:noWrap w:val="0"/>
                  <w:vAlign w:val="center"/>
                </w:tcPr>
                <w:p w14:paraId="7DDA83F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100</w:t>
                  </w:r>
                </w:p>
              </w:tc>
              <w:tc>
                <w:tcPr>
                  <w:tcW w:w="2305" w:type="dxa"/>
                  <w:shd w:val="clear" w:color="auto" w:fill="auto"/>
                  <w:noWrap w:val="0"/>
                  <w:vAlign w:val="center"/>
                </w:tcPr>
                <w:p w14:paraId="7FE2E2B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2940</w:t>
                  </w:r>
                  <w:r>
                    <w:rPr>
                      <w:rFonts w:hint="default" w:ascii="Times New Roman" w:hAnsi="Times New Roman" w:eastAsia="宋体" w:cs="Times New Roman"/>
                      <w:sz w:val="20"/>
                      <w:szCs w:val="20"/>
                    </w:rPr>
                    <w:t>尾</w:t>
                  </w:r>
                </w:p>
              </w:tc>
              <w:tc>
                <w:tcPr>
                  <w:tcW w:w="893" w:type="dxa"/>
                  <w:noWrap w:val="0"/>
                  <w:vAlign w:val="center"/>
                </w:tcPr>
                <w:p w14:paraId="44E7A58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686F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noWrap w:val="0"/>
                  <w:vAlign w:val="center"/>
                </w:tcPr>
                <w:p w14:paraId="0545078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070" w:type="dxa"/>
                  <w:noWrap w:val="0"/>
                  <w:vAlign w:val="center"/>
                </w:tcPr>
                <w:p w14:paraId="4926EE6D">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游泳动物</w:t>
                  </w:r>
                </w:p>
              </w:tc>
              <w:tc>
                <w:tcPr>
                  <w:tcW w:w="1613" w:type="dxa"/>
                  <w:noWrap w:val="0"/>
                  <w:vAlign w:val="center"/>
                </w:tcPr>
                <w:p w14:paraId="771B92A4">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密度（kg/km</w:t>
                  </w:r>
                  <w:r>
                    <w:rPr>
                      <w:rFonts w:hint="default" w:ascii="Times New Roman" w:hAnsi="Times New Roman" w:eastAsia="宋体" w:cs="Times New Roman"/>
                      <w:sz w:val="20"/>
                      <w:szCs w:val="20"/>
                      <w:vertAlign w:val="superscript"/>
                    </w:rPr>
                    <w:t>2</w:t>
                  </w:r>
                  <w:r>
                    <w:rPr>
                      <w:rFonts w:hint="default" w:ascii="Times New Roman" w:hAnsi="Times New Roman" w:eastAsia="宋体" w:cs="Times New Roman"/>
                      <w:sz w:val="20"/>
                      <w:szCs w:val="20"/>
                    </w:rPr>
                    <w:t>）</w:t>
                  </w:r>
                </w:p>
              </w:tc>
              <w:tc>
                <w:tcPr>
                  <w:tcW w:w="698" w:type="dxa"/>
                  <w:noWrap w:val="0"/>
                  <w:vAlign w:val="center"/>
                </w:tcPr>
                <w:p w14:paraId="40A2E2A9">
                  <w:pPr>
                    <w:pStyle w:val="5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693.59</w:t>
                  </w:r>
                </w:p>
              </w:tc>
              <w:tc>
                <w:tcPr>
                  <w:tcW w:w="835" w:type="dxa"/>
                  <w:vMerge w:val="continue"/>
                  <w:noWrap w:val="0"/>
                  <w:vAlign w:val="center"/>
                </w:tcPr>
                <w:p w14:paraId="6406634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711" w:type="dxa"/>
                  <w:noWrap w:val="0"/>
                  <w:vAlign w:val="center"/>
                </w:tcPr>
                <w:p w14:paraId="3286B9C9">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w:t>
                  </w:r>
                </w:p>
              </w:tc>
              <w:tc>
                <w:tcPr>
                  <w:tcW w:w="906" w:type="dxa"/>
                  <w:noWrap w:val="0"/>
                  <w:vAlign w:val="center"/>
                </w:tcPr>
                <w:p w14:paraId="0984DC0D">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100</w:t>
                  </w:r>
                </w:p>
              </w:tc>
              <w:tc>
                <w:tcPr>
                  <w:tcW w:w="2305" w:type="dxa"/>
                  <w:shd w:val="clear" w:color="auto" w:fill="auto"/>
                  <w:noWrap w:val="0"/>
                  <w:vAlign w:val="center"/>
                </w:tcPr>
                <w:p w14:paraId="213AFC6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1.6</w:t>
                  </w:r>
                  <w:r>
                    <w:rPr>
                      <w:rFonts w:hint="default" w:ascii="Times New Roman" w:hAnsi="Times New Roman" w:eastAsia="宋体" w:cs="Times New Roman"/>
                      <w:sz w:val="20"/>
                      <w:szCs w:val="20"/>
                    </w:rPr>
                    <w:t>kg</w:t>
                  </w:r>
                </w:p>
              </w:tc>
              <w:tc>
                <w:tcPr>
                  <w:tcW w:w="893" w:type="dxa"/>
                  <w:noWrap w:val="0"/>
                  <w:vAlign w:val="center"/>
                </w:tcPr>
                <w:p w14:paraId="1596F09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p>
              </w:tc>
            </w:tr>
          </w:tbl>
          <w:p w14:paraId="5980C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综上，本项目引起的浮游植物总损失量</w:t>
            </w:r>
            <w:r>
              <w:rPr>
                <w:rFonts w:hint="default" w:ascii="Times New Roman" w:hAnsi="Times New Roman" w:eastAsia="宋体" w:cs="Times New Roman"/>
                <w:sz w:val="24"/>
                <w:szCs w:val="24"/>
                <w:lang w:val="en-US" w:eastAsia="zh-CN"/>
              </w:rPr>
              <w:t>1.56</w:t>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vertAlign w:val="superscript"/>
              </w:rPr>
              <w:t>9</w:t>
            </w:r>
            <w:r>
              <w:rPr>
                <w:rFonts w:hint="default" w:ascii="Times New Roman" w:hAnsi="Times New Roman" w:eastAsia="宋体" w:cs="Times New Roman"/>
                <w:sz w:val="24"/>
                <w:szCs w:val="24"/>
              </w:rPr>
              <w:t>cells，浮游动物损失量</w:t>
            </w:r>
            <w:r>
              <w:rPr>
                <w:rFonts w:hint="default" w:ascii="Times New Roman" w:hAnsi="Times New Roman" w:eastAsia="宋体" w:cs="Times New Roman"/>
                <w:sz w:val="24"/>
                <w:szCs w:val="24"/>
                <w:lang w:val="en-US" w:eastAsia="zh-CN"/>
              </w:rPr>
              <w:t>0.17kg</w:t>
            </w:r>
            <w:r>
              <w:rPr>
                <w:rFonts w:hint="default" w:ascii="Times New Roman" w:hAnsi="Times New Roman" w:eastAsia="宋体" w:cs="Times New Roman"/>
                <w:sz w:val="24"/>
                <w:szCs w:val="24"/>
              </w:rPr>
              <w:t>，底栖生物损失量为</w:t>
            </w:r>
            <w:r>
              <w:rPr>
                <w:rFonts w:hint="default" w:ascii="Times New Roman" w:hAnsi="Times New Roman" w:eastAsia="宋体" w:cs="Times New Roman"/>
                <w:sz w:val="24"/>
                <w:szCs w:val="24"/>
                <w:lang w:val="en-US" w:eastAsia="zh-CN"/>
              </w:rPr>
              <w:t>128.12</w:t>
            </w:r>
            <w:r>
              <w:rPr>
                <w:rFonts w:hint="default" w:ascii="Times New Roman" w:hAnsi="Times New Roman" w:eastAsia="宋体" w:cs="Times New Roman"/>
                <w:sz w:val="24"/>
                <w:szCs w:val="24"/>
              </w:rPr>
              <w:t>kg，</w:t>
            </w:r>
            <w:r>
              <w:rPr>
                <w:rFonts w:hint="default" w:ascii="Times New Roman" w:hAnsi="Times New Roman" w:eastAsia="宋体" w:cs="Times New Roman"/>
                <w:sz w:val="24"/>
                <w:szCs w:val="24"/>
                <w:lang w:val="en-US" w:eastAsia="zh-CN"/>
              </w:rPr>
              <w:t>潮间带生物损失量为295.92kg，</w:t>
            </w:r>
            <w:r>
              <w:rPr>
                <w:rFonts w:hint="default" w:ascii="Times New Roman" w:hAnsi="Times New Roman" w:eastAsia="宋体" w:cs="Times New Roman"/>
                <w:sz w:val="24"/>
                <w:szCs w:val="24"/>
              </w:rPr>
              <w:t>鱼卵损失量为</w:t>
            </w:r>
            <w:r>
              <w:rPr>
                <w:rFonts w:hint="default" w:ascii="Times New Roman" w:hAnsi="Times New Roman" w:eastAsia="宋体" w:cs="Times New Roman"/>
                <w:sz w:val="24"/>
                <w:szCs w:val="24"/>
                <w:lang w:val="en-US" w:eastAsia="zh-CN"/>
              </w:rPr>
              <w:t>3.73</w:t>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vertAlign w:val="superscript"/>
                <w:lang w:val="en-US" w:eastAsia="zh-CN"/>
              </w:rPr>
              <w:t>4</w:t>
            </w:r>
            <w:r>
              <w:rPr>
                <w:rFonts w:hint="default" w:ascii="Times New Roman" w:hAnsi="Times New Roman" w:eastAsia="宋体" w:cs="Times New Roman"/>
                <w:sz w:val="24"/>
                <w:szCs w:val="24"/>
              </w:rPr>
              <w:t>粒，仔稚鱼损失量为</w:t>
            </w:r>
            <w:r>
              <w:rPr>
                <w:rFonts w:hint="default" w:ascii="Times New Roman" w:hAnsi="Times New Roman" w:eastAsia="宋体" w:cs="Times New Roman"/>
                <w:sz w:val="24"/>
                <w:szCs w:val="24"/>
                <w:lang w:val="en-US" w:eastAsia="zh-CN"/>
              </w:rPr>
              <w:t>2940</w:t>
            </w:r>
            <w:r>
              <w:rPr>
                <w:rFonts w:hint="default" w:ascii="Times New Roman" w:hAnsi="Times New Roman" w:eastAsia="宋体" w:cs="Times New Roman"/>
                <w:sz w:val="24"/>
                <w:szCs w:val="24"/>
              </w:rPr>
              <w:t>尾，游泳动物损失量为</w:t>
            </w:r>
            <w:r>
              <w:rPr>
                <w:rFonts w:hint="default"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kg。</w:t>
            </w:r>
          </w:p>
          <w:p w14:paraId="7BEE7B2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4.5.3.</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生物资源损失金额</w:t>
            </w:r>
          </w:p>
          <w:p w14:paraId="20DD6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本项目造成的各类海洋生物资源损失量中，由于浮游生物价值量较低，不计算其经济损失。</w:t>
            </w:r>
          </w:p>
          <w:p w14:paraId="602A76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（1）计算方法</w:t>
            </w:r>
          </w:p>
          <w:p w14:paraId="33ED0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1）鱼卵、仔稚鱼和幼体经济价值的计算</w:t>
            </w:r>
          </w:p>
          <w:p w14:paraId="452B6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鱼卵、仔稚鱼的经济价值应折算成鱼苗进行计算。鱼卵、仔稚鱼经济价值按下式计算：</w:t>
            </w:r>
          </w:p>
          <w:p w14:paraId="696AEB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967740" cy="159385"/>
                  <wp:effectExtent l="0" t="0" r="0" b="0"/>
                  <wp:docPr id="15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3"/>
                          <pic:cNvPicPr>
                            <a:picLocks noChangeAspect="1"/>
                          </pic:cNvPicPr>
                        </pic:nvPicPr>
                        <pic:blipFill>
                          <a:blip r:embed="rId172"/>
                          <a:stretch>
                            <a:fillRect/>
                          </a:stretch>
                        </pic:blipFill>
                        <pic:spPr>
                          <a:xfrm>
                            <a:off x="0" y="0"/>
                            <a:ext cx="967740" cy="159385"/>
                          </a:xfrm>
                          <a:prstGeom prst="rect">
                            <a:avLst/>
                          </a:prstGeom>
                          <a:noFill/>
                          <a:ln>
                            <a:noFill/>
                          </a:ln>
                        </pic:spPr>
                      </pic:pic>
                    </a:graphicData>
                  </a:graphic>
                </wp:inline>
              </w:drawing>
            </w:r>
          </w:p>
          <w:p w14:paraId="1010B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式中：M</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鱼卵和仔稚鱼经济损失金额；W</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鱼卵和仔稚鱼损失量；P</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鱼卵和仔稚鱼折算为鱼苗的换算比例，鱼卵生长到商品鱼苗按1％成活率计算，仔稚鱼生长到商品鱼苗按5％成活率计算。E</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鱼苗的商品价格，</w:t>
            </w: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广西</w:t>
            </w:r>
            <w:r>
              <w:rPr>
                <w:rFonts w:hint="default" w:ascii="Times New Roman" w:hAnsi="Times New Roman" w:eastAsia="宋体" w:cs="Times New Roman"/>
                <w:color w:val="auto"/>
                <w:sz w:val="24"/>
                <w:szCs w:val="24"/>
              </w:rPr>
              <w:t>地区近多年来主要鱼类苗种平均价格，商品鱼苗的平均价格按</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元/尾计。</w:t>
            </w:r>
          </w:p>
          <w:p w14:paraId="04108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2）成体和底栖生物的经济价值计算：</w:t>
            </w:r>
          </w:p>
          <w:p w14:paraId="29A0B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755015" cy="159385"/>
                  <wp:effectExtent l="0" t="0" r="0" b="0"/>
                  <wp:docPr id="15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4"/>
                          <pic:cNvPicPr>
                            <a:picLocks noChangeAspect="1"/>
                          </pic:cNvPicPr>
                        </pic:nvPicPr>
                        <pic:blipFill>
                          <a:blip r:embed="rId173"/>
                          <a:stretch>
                            <a:fillRect/>
                          </a:stretch>
                        </pic:blipFill>
                        <pic:spPr>
                          <a:xfrm>
                            <a:off x="0" y="0"/>
                            <a:ext cx="755015" cy="159385"/>
                          </a:xfrm>
                          <a:prstGeom prst="rect">
                            <a:avLst/>
                          </a:prstGeom>
                          <a:noFill/>
                          <a:ln>
                            <a:noFill/>
                          </a:ln>
                        </pic:spPr>
                      </pic:pic>
                    </a:graphicData>
                  </a:graphic>
                </wp:inline>
              </w:drawing>
            </w:r>
          </w:p>
          <w:p w14:paraId="03F3C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式中：M ——第i种类生物成体生物资源的经济损失额；W —第i种类生物成体生物资源损失的资源量；E—生物资源的商品价格。</w:t>
            </w: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广西</w:t>
            </w:r>
            <w:r>
              <w:rPr>
                <w:rFonts w:hint="default" w:ascii="Times New Roman" w:hAnsi="Times New Roman" w:eastAsia="宋体" w:cs="Times New Roman"/>
                <w:color w:val="auto"/>
                <w:sz w:val="24"/>
                <w:szCs w:val="24"/>
              </w:rPr>
              <w:t>地区海水产品最小成体市场平均价格行情和</w:t>
            </w:r>
            <w:r>
              <w:rPr>
                <w:rFonts w:hint="default" w:ascii="Times New Roman" w:hAnsi="Times New Roman" w:eastAsia="宋体" w:cs="Times New Roman"/>
                <w:color w:val="auto"/>
                <w:sz w:val="24"/>
                <w:szCs w:val="24"/>
                <w:lang w:val="en-US" w:eastAsia="zh-CN"/>
              </w:rPr>
              <w:t>广西</w:t>
            </w:r>
            <w:r>
              <w:rPr>
                <w:rFonts w:hint="default" w:ascii="Times New Roman" w:hAnsi="Times New Roman" w:eastAsia="宋体" w:cs="Times New Roman"/>
                <w:color w:val="auto"/>
                <w:sz w:val="24"/>
                <w:szCs w:val="24"/>
              </w:rPr>
              <w:t>地区渔业统计年报汇编中海洋捕捞产值与产量均值的比值计算，以及经咨询物价部门、市场调研，确定游泳动物和底栖生物按1.</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万元/t计。</w:t>
            </w:r>
          </w:p>
          <w:p w14:paraId="3904A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（2）海洋生物资源补偿年限</w:t>
            </w:r>
          </w:p>
          <w:p w14:paraId="1C59D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华人民共和国水产行业标准《建设项目对海洋生物资源影响评价技术规程》的规定：（1）“占用渔业水域的生物资源损害补偿，占用年限20年以上的，按不低于20年补偿”；（2）“一次性生物资源的损害补偿为一次性损害额的3倍”；（3）“持续性生物资源损害，实际影响年限低于3年的，按3年补偿；实际年限3～20年的，按实际影响年限补偿”；影响持续时间20年以上的，补偿时间不应低于20年。</w:t>
            </w:r>
          </w:p>
          <w:p w14:paraId="082B0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（3）渔业资源损害经济价值</w:t>
            </w:r>
          </w:p>
          <w:p w14:paraId="434AB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工程建设造成的生物资源损害补偿金额约为</w:t>
            </w:r>
            <w:r>
              <w:rPr>
                <w:rFonts w:hint="default" w:ascii="Times New Roman" w:hAnsi="Times New Roman" w:eastAsia="宋体" w:cs="Times New Roman"/>
                <w:color w:val="auto"/>
                <w:sz w:val="24"/>
                <w:szCs w:val="24"/>
                <w:lang w:val="en-US" w:eastAsia="zh-CN"/>
              </w:rPr>
              <w:t>16.89万元</w:t>
            </w:r>
            <w:r>
              <w:rPr>
                <w:rFonts w:hint="default" w:ascii="Times New Roman" w:hAnsi="Times New Roman" w:eastAsia="宋体" w:cs="Times New Roman"/>
                <w:color w:val="auto"/>
                <w:sz w:val="24"/>
                <w:szCs w:val="24"/>
              </w:rPr>
              <w:t>，补偿计算见</w:t>
            </w:r>
            <w:r>
              <w:rPr>
                <w:rFonts w:hint="eastAsia" w:ascii="Times New Roman" w:hAnsi="Times New Roman" w:eastAsia="宋体" w:cs="Times New Roman"/>
                <w:color w:val="auto"/>
                <w:sz w:val="24"/>
                <w:szCs w:val="24"/>
                <w:lang w:val="en-US" w:eastAsia="zh-CN"/>
              </w:rPr>
              <w:t>表4.5-3</w:t>
            </w:r>
            <w:r>
              <w:rPr>
                <w:rFonts w:hint="default" w:ascii="Times New Roman" w:hAnsi="Times New Roman" w:eastAsia="宋体" w:cs="Times New Roman"/>
                <w:color w:val="auto"/>
                <w:sz w:val="24"/>
                <w:szCs w:val="24"/>
              </w:rPr>
              <w:t>。建设单位作为生态补偿的责任主体，应采取补偿措施，缓解和减轻工程对所在海域生态环境的不利影响</w:t>
            </w:r>
            <w:r>
              <w:rPr>
                <w:rFonts w:hint="default" w:ascii="Times New Roman" w:hAnsi="Times New Roman" w:eastAsia="宋体" w:cs="Times New Roman"/>
                <w:color w:val="auto"/>
                <w:kern w:val="0"/>
                <w:sz w:val="24"/>
                <w:szCs w:val="24"/>
              </w:rPr>
              <w:t>，对建设造成生物生态的损失，其补偿措施应与当地渔业部门协商确定</w:t>
            </w:r>
            <w:r>
              <w:rPr>
                <w:rFonts w:hint="default" w:ascii="Times New Roman" w:hAnsi="Times New Roman" w:eastAsia="宋体" w:cs="Times New Roman"/>
                <w:color w:val="auto"/>
                <w:sz w:val="24"/>
                <w:szCs w:val="24"/>
              </w:rPr>
              <w:t>。</w:t>
            </w:r>
          </w:p>
          <w:p w14:paraId="3AF42E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 xml:space="preserve">4.5-3 </w:t>
            </w:r>
            <w:r>
              <w:rPr>
                <w:rFonts w:hint="default" w:ascii="Times New Roman" w:hAnsi="Times New Roman" w:cs="Times New Roman"/>
                <w:b/>
                <w:bCs/>
                <w:color w:val="auto"/>
                <w:kern w:val="0"/>
                <w:sz w:val="21"/>
                <w:szCs w:val="21"/>
                <w:lang w:val="en-US" w:eastAsia="zh-CN"/>
              </w:rPr>
              <w:t>工程海洋生物资源损害价值量估算</w:t>
            </w:r>
          </w:p>
          <w:tbl>
            <w:tblPr>
              <w:tblStyle w:val="28"/>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236"/>
              <w:gridCol w:w="1097"/>
              <w:gridCol w:w="684"/>
              <w:gridCol w:w="763"/>
              <w:gridCol w:w="1637"/>
              <w:gridCol w:w="753"/>
              <w:gridCol w:w="1048"/>
            </w:tblGrid>
            <w:tr w14:paraId="69F7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3" w:type="pct"/>
                  <w:noWrap w:val="0"/>
                  <w:vAlign w:val="center"/>
                </w:tcPr>
                <w:p w14:paraId="6D4A49A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补偿类型</w:t>
                  </w:r>
                </w:p>
              </w:tc>
              <w:tc>
                <w:tcPr>
                  <w:tcW w:w="771" w:type="pct"/>
                  <w:noWrap w:val="0"/>
                  <w:vAlign w:val="center"/>
                </w:tcPr>
                <w:p w14:paraId="5690EFA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生物类型</w:t>
                  </w:r>
                </w:p>
              </w:tc>
              <w:tc>
                <w:tcPr>
                  <w:tcW w:w="684" w:type="pct"/>
                  <w:noWrap w:val="0"/>
                  <w:vAlign w:val="center"/>
                </w:tcPr>
                <w:p w14:paraId="15E29AD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损失量值</w:t>
                  </w:r>
                </w:p>
                <w:p w14:paraId="51243455">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427" w:type="pct"/>
                  <w:noWrap w:val="0"/>
                  <w:vAlign w:val="center"/>
                </w:tcPr>
                <w:p w14:paraId="2E00229B">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476" w:type="pct"/>
                  <w:noWrap w:val="0"/>
                  <w:vAlign w:val="center"/>
                </w:tcPr>
                <w:p w14:paraId="7B8DFDD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成活率</w:t>
                  </w:r>
                </w:p>
              </w:tc>
              <w:tc>
                <w:tcPr>
                  <w:tcW w:w="1022" w:type="pct"/>
                  <w:noWrap w:val="0"/>
                  <w:vAlign w:val="center"/>
                </w:tcPr>
                <w:p w14:paraId="54A7674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价格</w:t>
                  </w:r>
                </w:p>
                <w:p w14:paraId="754001C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（元/尾，元/kg）</w:t>
                  </w:r>
                </w:p>
              </w:tc>
              <w:tc>
                <w:tcPr>
                  <w:tcW w:w="470" w:type="pct"/>
                  <w:noWrap w:val="0"/>
                  <w:vAlign w:val="center"/>
                </w:tcPr>
                <w:p w14:paraId="308D9F4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补偿倍数</w:t>
                  </w:r>
                </w:p>
              </w:tc>
              <w:tc>
                <w:tcPr>
                  <w:tcW w:w="654" w:type="pct"/>
                  <w:noWrap w:val="0"/>
                  <w:vAlign w:val="center"/>
                </w:tcPr>
                <w:p w14:paraId="2E220CB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补偿金</w:t>
                  </w:r>
                </w:p>
                <w:p w14:paraId="7FABC99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万</w:t>
                  </w:r>
                  <w:r>
                    <w:rPr>
                      <w:rFonts w:hint="default" w:ascii="Times New Roman" w:hAnsi="Times New Roman" w:eastAsia="宋体" w:cs="Times New Roman"/>
                      <w:sz w:val="21"/>
                      <w:szCs w:val="21"/>
                    </w:rPr>
                    <w:t>元）</w:t>
                  </w:r>
                </w:p>
              </w:tc>
            </w:tr>
            <w:tr w14:paraId="2142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3" w:type="pct"/>
                  <w:vMerge w:val="restart"/>
                  <w:noWrap w:val="0"/>
                  <w:vAlign w:val="center"/>
                </w:tcPr>
                <w:p w14:paraId="7C111289">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工程占用</w:t>
                  </w:r>
                </w:p>
              </w:tc>
              <w:tc>
                <w:tcPr>
                  <w:tcW w:w="771" w:type="pct"/>
                  <w:noWrap w:val="0"/>
                  <w:vAlign w:val="center"/>
                </w:tcPr>
                <w:p w14:paraId="5CB2B14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浮游动物</w:t>
                  </w:r>
                </w:p>
              </w:tc>
              <w:tc>
                <w:tcPr>
                  <w:tcW w:w="684" w:type="pct"/>
                  <w:noWrap w:val="0"/>
                  <w:vAlign w:val="center"/>
                </w:tcPr>
                <w:p w14:paraId="1BA47978">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0.17</w:t>
                  </w:r>
                </w:p>
              </w:tc>
              <w:tc>
                <w:tcPr>
                  <w:tcW w:w="427" w:type="pct"/>
                  <w:noWrap w:val="0"/>
                  <w:vAlign w:val="center"/>
                </w:tcPr>
                <w:p w14:paraId="644EA7FC">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kg</w:t>
                  </w:r>
                </w:p>
              </w:tc>
              <w:tc>
                <w:tcPr>
                  <w:tcW w:w="476" w:type="pct"/>
                  <w:noWrap w:val="0"/>
                  <w:vAlign w:val="center"/>
                </w:tcPr>
                <w:p w14:paraId="3DFAC4A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022" w:type="pct"/>
                  <w:noWrap w:val="0"/>
                  <w:vAlign w:val="center"/>
                </w:tcPr>
                <w:p w14:paraId="2C027AC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470" w:type="pct"/>
                  <w:noWrap w:val="0"/>
                  <w:vAlign w:val="top"/>
                </w:tcPr>
                <w:p w14:paraId="670A2D5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54" w:type="pct"/>
                  <w:noWrap w:val="0"/>
                  <w:vAlign w:val="center"/>
                </w:tcPr>
                <w:p w14:paraId="1234AD6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r>
            <w:tr w14:paraId="7CCA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3" w:type="pct"/>
                  <w:vMerge w:val="continue"/>
                  <w:noWrap w:val="0"/>
                  <w:vAlign w:val="center"/>
                </w:tcPr>
                <w:p w14:paraId="72C26D1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71" w:type="pct"/>
                  <w:noWrap w:val="0"/>
                  <w:vAlign w:val="center"/>
                </w:tcPr>
                <w:p w14:paraId="46523528">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底栖动物</w:t>
                  </w:r>
                </w:p>
              </w:tc>
              <w:tc>
                <w:tcPr>
                  <w:tcW w:w="684" w:type="pct"/>
                  <w:noWrap w:val="0"/>
                  <w:vAlign w:val="center"/>
                </w:tcPr>
                <w:p w14:paraId="7A1BACDD">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128.12</w:t>
                  </w:r>
                </w:p>
              </w:tc>
              <w:tc>
                <w:tcPr>
                  <w:tcW w:w="427" w:type="pct"/>
                  <w:noWrap w:val="0"/>
                  <w:vAlign w:val="center"/>
                </w:tcPr>
                <w:p w14:paraId="7B48E0E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kg</w:t>
                  </w:r>
                </w:p>
              </w:tc>
              <w:tc>
                <w:tcPr>
                  <w:tcW w:w="476" w:type="pct"/>
                  <w:noWrap w:val="0"/>
                  <w:vAlign w:val="center"/>
                </w:tcPr>
                <w:p w14:paraId="3872347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022" w:type="pct"/>
                  <w:noWrap w:val="0"/>
                  <w:vAlign w:val="center"/>
                </w:tcPr>
                <w:p w14:paraId="517D20D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470" w:type="pct"/>
                  <w:noWrap w:val="0"/>
                  <w:vAlign w:val="top"/>
                </w:tcPr>
                <w:p w14:paraId="7E91CF3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54" w:type="pct"/>
                  <w:noWrap w:val="0"/>
                  <w:vAlign w:val="center"/>
                </w:tcPr>
                <w:p w14:paraId="4CF4AA0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4.61</w:t>
                  </w:r>
                </w:p>
              </w:tc>
            </w:tr>
            <w:tr w14:paraId="0B52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3" w:type="pct"/>
                  <w:vMerge w:val="continue"/>
                  <w:noWrap w:val="0"/>
                  <w:vAlign w:val="center"/>
                </w:tcPr>
                <w:p w14:paraId="6E9B1461">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71" w:type="pct"/>
                  <w:noWrap w:val="0"/>
                  <w:vAlign w:val="center"/>
                </w:tcPr>
                <w:p w14:paraId="17F0C0D5">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潮间带生物</w:t>
                  </w:r>
                </w:p>
              </w:tc>
              <w:tc>
                <w:tcPr>
                  <w:tcW w:w="684" w:type="pct"/>
                  <w:noWrap w:val="0"/>
                  <w:vAlign w:val="center"/>
                </w:tcPr>
                <w:p w14:paraId="31293D1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295.92</w:t>
                  </w:r>
                </w:p>
              </w:tc>
              <w:tc>
                <w:tcPr>
                  <w:tcW w:w="427" w:type="pct"/>
                  <w:noWrap w:val="0"/>
                  <w:vAlign w:val="center"/>
                </w:tcPr>
                <w:p w14:paraId="3B3D3F1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kg</w:t>
                  </w:r>
                </w:p>
              </w:tc>
              <w:tc>
                <w:tcPr>
                  <w:tcW w:w="476" w:type="pct"/>
                  <w:noWrap w:val="0"/>
                  <w:vAlign w:val="center"/>
                </w:tcPr>
                <w:p w14:paraId="590DD1C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022" w:type="pct"/>
                  <w:noWrap w:val="0"/>
                  <w:vAlign w:val="center"/>
                </w:tcPr>
                <w:p w14:paraId="33AAEB7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470" w:type="pct"/>
                  <w:noWrap w:val="0"/>
                  <w:vAlign w:val="top"/>
                </w:tcPr>
                <w:p w14:paraId="15A7332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54" w:type="pct"/>
                  <w:noWrap w:val="0"/>
                  <w:vAlign w:val="center"/>
                </w:tcPr>
                <w:p w14:paraId="7A9B8C0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10.65</w:t>
                  </w:r>
                </w:p>
              </w:tc>
            </w:tr>
            <w:tr w14:paraId="5ECA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3" w:type="pct"/>
                  <w:vMerge w:val="continue"/>
                  <w:noWrap w:val="0"/>
                  <w:vAlign w:val="center"/>
                </w:tcPr>
                <w:p w14:paraId="717C3601">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71" w:type="pct"/>
                  <w:noWrap w:val="0"/>
                  <w:vAlign w:val="center"/>
                </w:tcPr>
                <w:p w14:paraId="31C5C2F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鱼卵</w:t>
                  </w:r>
                </w:p>
              </w:tc>
              <w:tc>
                <w:tcPr>
                  <w:tcW w:w="684" w:type="pct"/>
                  <w:noWrap w:val="0"/>
                  <w:vAlign w:val="center"/>
                </w:tcPr>
                <w:p w14:paraId="3FE200DA">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37251</w:t>
                  </w:r>
                </w:p>
              </w:tc>
              <w:tc>
                <w:tcPr>
                  <w:tcW w:w="427" w:type="pct"/>
                  <w:noWrap w:val="0"/>
                  <w:vAlign w:val="center"/>
                </w:tcPr>
                <w:p w14:paraId="7ED6E69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粒</w:t>
                  </w:r>
                </w:p>
              </w:tc>
              <w:tc>
                <w:tcPr>
                  <w:tcW w:w="476" w:type="pct"/>
                  <w:noWrap w:val="0"/>
                  <w:vAlign w:val="center"/>
                </w:tcPr>
                <w:p w14:paraId="7C16D99D">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22" w:type="pct"/>
                  <w:noWrap w:val="0"/>
                  <w:vAlign w:val="center"/>
                </w:tcPr>
                <w:p w14:paraId="0F20159C">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470" w:type="pct"/>
                  <w:noWrap w:val="0"/>
                  <w:vAlign w:val="top"/>
                </w:tcPr>
                <w:p w14:paraId="7C27D48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54" w:type="pct"/>
                  <w:noWrap w:val="0"/>
                  <w:vAlign w:val="center"/>
                </w:tcPr>
                <w:p w14:paraId="5AB9F5B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w:t>
                  </w:r>
                </w:p>
              </w:tc>
            </w:tr>
            <w:tr w14:paraId="6E4B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3" w:type="pct"/>
                  <w:vMerge w:val="continue"/>
                  <w:noWrap w:val="0"/>
                  <w:vAlign w:val="center"/>
                </w:tcPr>
                <w:p w14:paraId="74F0672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71" w:type="pct"/>
                  <w:noWrap w:val="0"/>
                  <w:vAlign w:val="center"/>
                </w:tcPr>
                <w:p w14:paraId="51303C5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仔稚鱼</w:t>
                  </w:r>
                </w:p>
              </w:tc>
              <w:tc>
                <w:tcPr>
                  <w:tcW w:w="684" w:type="pct"/>
                  <w:noWrap w:val="0"/>
                  <w:vAlign w:val="center"/>
                </w:tcPr>
                <w:p w14:paraId="3FA4DCBB">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2943</w:t>
                  </w:r>
                </w:p>
              </w:tc>
              <w:tc>
                <w:tcPr>
                  <w:tcW w:w="427" w:type="pct"/>
                  <w:noWrap w:val="0"/>
                  <w:vAlign w:val="center"/>
                </w:tcPr>
                <w:p w14:paraId="1A9FBF25">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尾</w:t>
                  </w:r>
                </w:p>
              </w:tc>
              <w:tc>
                <w:tcPr>
                  <w:tcW w:w="476" w:type="pct"/>
                  <w:noWrap w:val="0"/>
                  <w:vAlign w:val="center"/>
                </w:tcPr>
                <w:p w14:paraId="2E6D211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022" w:type="pct"/>
                  <w:noWrap w:val="0"/>
                  <w:vAlign w:val="center"/>
                </w:tcPr>
                <w:p w14:paraId="1994D03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470" w:type="pct"/>
                  <w:noWrap w:val="0"/>
                  <w:vAlign w:val="top"/>
                </w:tcPr>
                <w:p w14:paraId="1950B05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54" w:type="pct"/>
                  <w:noWrap w:val="0"/>
                  <w:vAlign w:val="center"/>
                </w:tcPr>
                <w:p w14:paraId="3B0928E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0.44</w:t>
                  </w:r>
                </w:p>
              </w:tc>
            </w:tr>
            <w:tr w14:paraId="7AEC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3" w:type="pct"/>
                  <w:vMerge w:val="continue"/>
                  <w:noWrap w:val="0"/>
                  <w:vAlign w:val="center"/>
                </w:tcPr>
                <w:p w14:paraId="010BF09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71" w:type="pct"/>
                  <w:noWrap w:val="0"/>
                  <w:vAlign w:val="center"/>
                </w:tcPr>
                <w:p w14:paraId="0A1A4655">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游泳生物</w:t>
                  </w:r>
                </w:p>
              </w:tc>
              <w:tc>
                <w:tcPr>
                  <w:tcW w:w="684" w:type="pct"/>
                  <w:noWrap w:val="0"/>
                  <w:vAlign w:val="center"/>
                </w:tcPr>
                <w:p w14:paraId="14868D5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1.60</w:t>
                  </w:r>
                </w:p>
              </w:tc>
              <w:tc>
                <w:tcPr>
                  <w:tcW w:w="427" w:type="pct"/>
                  <w:noWrap w:val="0"/>
                  <w:vAlign w:val="center"/>
                </w:tcPr>
                <w:p w14:paraId="0CB0FCE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kg</w:t>
                  </w:r>
                </w:p>
              </w:tc>
              <w:tc>
                <w:tcPr>
                  <w:tcW w:w="476" w:type="pct"/>
                  <w:noWrap w:val="0"/>
                  <w:vAlign w:val="center"/>
                </w:tcPr>
                <w:p w14:paraId="2FDF9DF5">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w:t>
                  </w:r>
                </w:p>
              </w:tc>
              <w:tc>
                <w:tcPr>
                  <w:tcW w:w="1022" w:type="pct"/>
                  <w:noWrap w:val="0"/>
                  <w:vAlign w:val="center"/>
                </w:tcPr>
                <w:p w14:paraId="7694807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470" w:type="pct"/>
                  <w:noWrap w:val="0"/>
                  <w:vAlign w:val="top"/>
                </w:tcPr>
                <w:p w14:paraId="5831256D">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54" w:type="pct"/>
                  <w:noWrap w:val="0"/>
                  <w:vAlign w:val="center"/>
                </w:tcPr>
                <w:p w14:paraId="282C617D">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14:paraId="518A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4" w:type="pct"/>
                  <w:gridSpan w:val="2"/>
                  <w:noWrap w:val="0"/>
                  <w:vAlign w:val="center"/>
                </w:tcPr>
                <w:p w14:paraId="299ADE98">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3735" w:type="pct"/>
                  <w:gridSpan w:val="6"/>
                  <w:noWrap w:val="0"/>
                  <w:vAlign w:val="center"/>
                </w:tcPr>
                <w:p w14:paraId="122D147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16.89</w:t>
                  </w:r>
                </w:p>
              </w:tc>
            </w:tr>
          </w:tbl>
          <w:p w14:paraId="30804D0F">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4.6项目用海资源影响分析</w:t>
            </w:r>
          </w:p>
          <w:p w14:paraId="342BA2CF">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4.6.1对海洋空间资源的影响</w:t>
            </w:r>
            <w:r>
              <w:rPr>
                <w:rFonts w:hint="eastAsia"/>
                <w:b/>
                <w:bCs/>
                <w:color w:val="auto"/>
                <w:sz w:val="24"/>
                <w:lang w:val="en-US" w:eastAsia="zh-CN"/>
              </w:rPr>
              <w:tab/>
            </w:r>
          </w:p>
          <w:p w14:paraId="3E411B3E">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val="0"/>
                <w:color w:val="auto"/>
                <w:sz w:val="24"/>
                <w:lang w:val="en-US" w:eastAsia="zh-CN"/>
              </w:rPr>
            </w:pPr>
            <w:r>
              <w:rPr>
                <w:rFonts w:hint="eastAsia"/>
                <w:b w:val="0"/>
                <w:bCs w:val="0"/>
                <w:color w:val="auto"/>
                <w:sz w:val="24"/>
                <w:lang w:val="en-US" w:eastAsia="zh-CN"/>
              </w:rPr>
              <w:t>从海图上看，本项目位于海岸线和0m等深线之间，全部位于海涂内，占用人工岸线300m，不占用自然岸线和岛礁。项目为生态修复项目，主要对受损岸线进行修复、不破坏岸线、不造成岸线的减少。项目建设对冲淤环境的影响较小，同时项目南北两侧均为人工岸线，工程建设不会对岸线资源造成明显影响。</w:t>
            </w:r>
          </w:p>
          <w:p w14:paraId="4C15B5B6">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4.6.2对滩涂的影响</w:t>
            </w:r>
          </w:p>
          <w:p w14:paraId="6D256572">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val="0"/>
                <w:color w:val="auto"/>
                <w:sz w:val="24"/>
                <w:lang w:val="en-US" w:eastAsia="zh-CN"/>
              </w:rPr>
            </w:pPr>
            <w:r>
              <w:rPr>
                <w:rFonts w:hint="eastAsia"/>
                <w:b w:val="0"/>
                <w:bCs w:val="0"/>
                <w:color w:val="auto"/>
                <w:sz w:val="24"/>
                <w:lang w:val="en-US" w:eastAsia="zh-CN"/>
              </w:rPr>
              <w:t>从空间上看，本项目位于防城港市近岸海域，在榕木江湾顶，属于渔业用海区，不占用海洋生态红线区和海洋生态控制区。本项目属于非透水构筑物，占用水体和海床和底土空间，项目区域内失去滩涂自然属性。但项目高程较高，大部分时间均裸露着，低潮位时露滩，项目施工期间利用低潮露滩时施工及修建海堤，施工对周边区域滩涂资源的影响较小。</w:t>
            </w:r>
          </w:p>
          <w:p w14:paraId="2B8F2FD2">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4.6.3对周边海岛资源的影响</w:t>
            </w:r>
          </w:p>
          <w:p w14:paraId="48BBFD9E">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val="0"/>
                <w:color w:val="auto"/>
                <w:sz w:val="24"/>
                <w:lang w:val="en-US" w:eastAsia="zh-CN"/>
              </w:rPr>
            </w:pPr>
            <w:r>
              <w:rPr>
                <w:rFonts w:hint="eastAsia"/>
                <w:b w:val="0"/>
                <w:bCs w:val="0"/>
                <w:color w:val="auto"/>
                <w:sz w:val="24"/>
                <w:lang w:val="en-US" w:eastAsia="zh-CN"/>
              </w:rPr>
              <w:t>根据工程平面布置，本项目周边的海岛仅有山猪山岛。该岛位于本项目码头东北侧约350m处，为无居民海岛，属于生态保护类海岛。根据数模计算结果，本项目建设不会对山猪山岛产生影响，可以保障其生态功能。</w:t>
            </w:r>
          </w:p>
          <w:p w14:paraId="5CA8AE3B">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4.6.4对港口资源的影响</w:t>
            </w:r>
          </w:p>
          <w:p w14:paraId="2508260D">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0" w:firstLineChars="200"/>
              <w:rPr>
                <w:rFonts w:hint="eastAsia"/>
                <w:b w:val="0"/>
                <w:bCs w:val="0"/>
                <w:color w:val="auto"/>
                <w:sz w:val="24"/>
                <w:lang w:val="en-US" w:eastAsia="zh-CN"/>
              </w:rPr>
            </w:pPr>
            <w:r>
              <w:rPr>
                <w:rFonts w:hint="eastAsia"/>
                <w:b w:val="0"/>
                <w:bCs w:val="0"/>
                <w:color w:val="auto"/>
                <w:sz w:val="24"/>
                <w:lang w:val="en-US" w:eastAsia="zh-CN"/>
              </w:rPr>
              <w:t>项目靠近榕木江湾口附近，航道分布较少，根据数模分析结果，项目实施后对周边水域的影响均发生在工程近区，海床冲淤变化也主要发生在工程附近水域，以淤积为主。项目建设后，基本不会对航道造成不良影响。</w:t>
            </w:r>
          </w:p>
          <w:p w14:paraId="665AA5B5">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C00000"/>
                <w:sz w:val="24"/>
                <w:lang w:val="en-US" w:eastAsia="zh-CN"/>
              </w:rPr>
            </w:pPr>
            <w:r>
              <w:rPr>
                <w:rFonts w:hint="eastAsia"/>
                <w:b/>
                <w:bCs/>
                <w:color w:val="auto"/>
                <w:sz w:val="24"/>
                <w:lang w:val="en-US" w:eastAsia="zh-CN"/>
              </w:rPr>
              <w:t>4.7对陆域生态环境影响分析</w:t>
            </w:r>
          </w:p>
          <w:p w14:paraId="49CB9BF8">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color w:val="C00000"/>
                <w:sz w:val="24"/>
                <w:lang w:val="en-US" w:eastAsia="zh-CN"/>
              </w:rPr>
            </w:pPr>
            <w:r>
              <w:rPr>
                <w:rFonts w:hint="eastAsia" w:ascii="Times New Roman" w:hAnsi="Times New Roman" w:cs="Times New Roman"/>
                <w:bCs/>
                <w:color w:val="auto"/>
                <w:sz w:val="24"/>
                <w:lang w:val="en-US" w:eastAsia="zh-CN"/>
              </w:rPr>
              <w:t>本项目为生态修复项目，在现有砌石海堤基础外增加片石抛填护坡，起加固海堤防护，减小海水侵蚀作用，运营期不产生污染。项目实施后可恢复沿海滩涂环境，对生态系统有有利影响。</w:t>
            </w:r>
          </w:p>
          <w:p w14:paraId="6FABA2E6">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4.8对周边敏感目标的影响分析</w:t>
            </w:r>
          </w:p>
          <w:p w14:paraId="4F234F8A">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4.8.1对养殖区的影响分析</w:t>
            </w:r>
          </w:p>
          <w:p w14:paraId="130BE362">
            <w:pPr>
              <w:keepNext w:val="0"/>
              <w:keepLines w:val="0"/>
              <w:suppressLineNumbers w:val="0"/>
              <w:adjustRightInd w:val="0"/>
              <w:snapToGrid w:val="0"/>
              <w:spacing w:before="0" w:beforeAutospacing="0" w:after="0" w:afterAutospacing="0" w:line="360" w:lineRule="auto"/>
              <w:ind w:left="0" w:right="0" w:firstLine="480" w:firstLineChars="200"/>
              <w:rPr>
                <w:rFonts w:hint="default"/>
                <w:b w:val="0"/>
                <w:bCs w:val="0"/>
                <w:color w:val="auto"/>
                <w:sz w:val="24"/>
                <w:lang w:val="en-US" w:eastAsia="zh-CN"/>
              </w:rPr>
            </w:pPr>
            <w:r>
              <w:rPr>
                <w:rFonts w:hint="eastAsia"/>
                <w:b w:val="0"/>
                <w:bCs w:val="0"/>
                <w:color w:val="auto"/>
                <w:sz w:val="24"/>
                <w:lang w:val="en-US" w:eastAsia="zh-CN"/>
              </w:rPr>
              <w:t>本项目不占用养殖区，距离最近的养殖区约30m。项目在现有砌石海堤基础外增加片石抛填护坡，施工区域为潮间带滩涂，高程较高，每天低潮干滩时间为13小时，施工选择在低潮位时进行，此时工程所在区域全部裸露，采用大型反铲式挖掘机抛填片石，施工时间短，基本不产生悬浮泥沙</w:t>
            </w:r>
            <w:r>
              <w:rPr>
                <w:rFonts w:hint="default"/>
                <w:b w:val="0"/>
                <w:bCs w:val="0"/>
                <w:color w:val="auto"/>
                <w:sz w:val="24"/>
                <w:lang w:val="en-US" w:eastAsia="zh-CN"/>
              </w:rPr>
              <w:t>，不会对30m处养殖产生影响。在项目实施阶段严格按照施工要求进行，杜绝悬沙扩散的影响。</w:t>
            </w:r>
            <w:r>
              <w:rPr>
                <w:rFonts w:hint="eastAsia"/>
                <w:b w:val="0"/>
                <w:bCs w:val="0"/>
                <w:color w:val="auto"/>
                <w:sz w:val="24"/>
                <w:lang w:val="en-US" w:eastAsia="zh-CN"/>
              </w:rPr>
              <w:t>根据4.5章节分析，项目建成后整体流场和冲淤环境调整主要集中在工程周边小范围海域，对堤头、堤后区域略有影响，周边流场和冲淤环境基本无变化，项目建设不会对附近养殖区的流场和冲淤环境产生影响</w:t>
            </w:r>
            <w:r>
              <w:rPr>
                <w:rFonts w:hint="default"/>
                <w:b w:val="0"/>
                <w:bCs w:val="0"/>
                <w:color w:val="auto"/>
                <w:sz w:val="24"/>
                <w:lang w:val="en-US" w:eastAsia="zh-CN"/>
              </w:rPr>
              <w:t>。</w:t>
            </w:r>
          </w:p>
          <w:p w14:paraId="0765DB3F">
            <w:pPr>
              <w:keepNext w:val="0"/>
              <w:keepLines w:val="0"/>
              <w:suppressLineNumbers w:val="0"/>
              <w:adjustRightInd w:val="0"/>
              <w:snapToGrid w:val="0"/>
              <w:spacing w:before="0" w:beforeAutospacing="0" w:after="0" w:afterAutospacing="0" w:line="360" w:lineRule="auto"/>
              <w:ind w:left="0" w:right="0" w:firstLine="482" w:firstLineChars="200"/>
              <w:rPr>
                <w:rFonts w:hint="eastAsia" w:eastAsia="宋体"/>
                <w:b/>
                <w:bCs/>
                <w:color w:val="auto"/>
                <w:sz w:val="24"/>
                <w:lang w:val="en-US" w:eastAsia="zh-CN"/>
              </w:rPr>
            </w:pPr>
            <w:r>
              <w:rPr>
                <w:rFonts w:hint="eastAsia"/>
                <w:b/>
                <w:bCs/>
                <w:color w:val="auto"/>
                <w:sz w:val="24"/>
                <w:lang w:val="en-US" w:eastAsia="zh-CN"/>
              </w:rPr>
              <w:t>4.8.2</w:t>
            </w:r>
            <w:r>
              <w:rPr>
                <w:rFonts w:hint="eastAsia"/>
                <w:b/>
                <w:bCs/>
                <w:color w:val="auto"/>
                <w:sz w:val="24"/>
              </w:rPr>
              <w:t>对</w:t>
            </w:r>
            <w:r>
              <w:rPr>
                <w:rFonts w:hint="eastAsia"/>
                <w:b/>
                <w:bCs/>
                <w:color w:val="auto"/>
                <w:sz w:val="24"/>
                <w:lang w:val="en-US" w:eastAsia="zh-CN"/>
              </w:rPr>
              <w:t>生态红线区</w:t>
            </w:r>
            <w:r>
              <w:rPr>
                <w:rFonts w:hint="eastAsia"/>
                <w:b/>
                <w:bCs/>
                <w:color w:val="auto"/>
                <w:sz w:val="24"/>
              </w:rPr>
              <w:t>的影响</w:t>
            </w:r>
            <w:r>
              <w:rPr>
                <w:rFonts w:hint="eastAsia"/>
                <w:b/>
                <w:bCs/>
                <w:color w:val="auto"/>
                <w:sz w:val="24"/>
                <w:lang w:val="en-US" w:eastAsia="zh-CN"/>
              </w:rPr>
              <w:t>分析</w:t>
            </w:r>
          </w:p>
          <w:p w14:paraId="4191A41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sz w:val="24"/>
                <w:szCs w:val="24"/>
              </w:rPr>
              <w:t>根据本项目与国土空间规划中“生态保护红线”矢量层叠置可知：项目不占用红线区，周边分布红线区主要</w:t>
            </w:r>
            <w:r>
              <w:rPr>
                <w:rFonts w:hint="eastAsia"/>
                <w:color w:val="auto"/>
                <w:sz w:val="24"/>
                <w:szCs w:val="24"/>
                <w:lang w:val="en-US" w:eastAsia="zh-CN"/>
              </w:rPr>
              <w:t>为东湾生态保护区。</w:t>
            </w:r>
            <w:r>
              <w:rPr>
                <w:rFonts w:hint="eastAsia"/>
                <w:color w:val="auto"/>
                <w:kern w:val="0"/>
                <w:sz w:val="24"/>
                <w:lang w:val="en-US" w:eastAsia="zh-CN"/>
              </w:rPr>
              <w:t>项目北侧距离周边的红线区最近距离约150m，南侧距离红线区最近距离约480m，东侧距离红线区最近距离约530m。</w:t>
            </w:r>
          </w:p>
          <w:p w14:paraId="46821DE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eastAsia"/>
                <w:color w:val="auto"/>
                <w:kern w:val="0"/>
                <w:sz w:val="24"/>
                <w:lang w:val="en-US" w:eastAsia="zh-CN"/>
              </w:rPr>
              <w:t>本项目不占用红树林，主要施工内容为抛填片石，施工时选择低潮时作业，施工时间短，基本不产生悬浮泥沙，且</w:t>
            </w:r>
            <w:r>
              <w:rPr>
                <w:rFonts w:hint="default"/>
                <w:color w:val="auto"/>
                <w:kern w:val="0"/>
                <w:sz w:val="24"/>
                <w:lang w:val="en-US" w:eastAsia="zh-CN"/>
              </w:rPr>
              <w:t>施工结束后悬浮泥沙浓度会迅速恢复至本底水平，</w:t>
            </w:r>
            <w:r>
              <w:rPr>
                <w:rFonts w:hint="eastAsia"/>
                <w:color w:val="auto"/>
                <w:kern w:val="0"/>
                <w:sz w:val="24"/>
                <w:lang w:val="en-US" w:eastAsia="zh-CN"/>
              </w:rPr>
              <w:t>对海水水质影响较小。项目建设与生态红线管控要求不冲突。施工期</w:t>
            </w:r>
            <w:r>
              <w:rPr>
                <w:rFonts w:hint="default"/>
                <w:color w:val="auto"/>
                <w:kern w:val="0"/>
                <w:sz w:val="24"/>
                <w:lang w:val="en-US" w:eastAsia="zh-CN"/>
              </w:rPr>
              <w:t>污水、固废等均有合理处置措施，不直接排放，</w:t>
            </w:r>
            <w:r>
              <w:rPr>
                <w:rFonts w:hint="eastAsia"/>
                <w:color w:val="auto"/>
                <w:kern w:val="0"/>
                <w:sz w:val="24"/>
                <w:lang w:val="en-US" w:eastAsia="zh-CN"/>
              </w:rPr>
              <w:t>项目施工期运营期不会对附近红树林造成破坏</w:t>
            </w:r>
            <w:r>
              <w:rPr>
                <w:rFonts w:hint="default"/>
                <w:color w:val="auto"/>
                <w:kern w:val="0"/>
                <w:sz w:val="24"/>
                <w:lang w:val="en-US" w:eastAsia="zh-CN"/>
              </w:rPr>
              <w:t>。</w:t>
            </w:r>
          </w:p>
          <w:p w14:paraId="2663300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eastAsia="zh-CN"/>
              </w:rPr>
            </w:pPr>
            <w:r>
              <w:rPr>
                <w:rFonts w:hint="eastAsia"/>
                <w:b w:val="0"/>
                <w:bCs w:val="0"/>
                <w:color w:val="auto"/>
                <w:sz w:val="24"/>
                <w:lang w:val="en-US" w:eastAsia="zh-CN"/>
              </w:rPr>
              <w:t>据4.5章节分析，项目建成后整体流场和冲淤环境调整主要集中在工程周边小范围海域，对堤头、堤后区域略有影响，周边流场和冲淤环境基本无变化，项目建设不会对生态红线区的流场和冲淤环境产生影响。</w:t>
            </w:r>
          </w:p>
          <w:p w14:paraId="3A8547FE">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auto"/>
                <w:sz w:val="24"/>
                <w:lang w:val="en-US" w:eastAsia="zh-CN"/>
              </w:rPr>
            </w:pPr>
            <w:r>
              <w:rPr>
                <w:rFonts w:hint="eastAsia"/>
                <w:color w:val="auto"/>
                <w:kern w:val="0"/>
                <w:sz w:val="24"/>
                <w:lang w:val="en-US" w:eastAsia="zh-CN"/>
              </w:rPr>
              <w:t>项目</w:t>
            </w:r>
            <w:r>
              <w:rPr>
                <w:rFonts w:hint="eastAsia"/>
                <w:bCs/>
                <w:color w:val="auto"/>
                <w:sz w:val="24"/>
              </w:rPr>
              <w:t>在原有护岸基础上进行修复，为海岸防护工程，对海域自然属性改变很小，不会破坏滩涂及浅海水域生态，反而有利于周边滩涂及浅海水域生态的保护。防城港市林业局</w:t>
            </w:r>
            <w:r>
              <w:rPr>
                <w:rFonts w:hint="eastAsia"/>
                <w:bCs/>
                <w:color w:val="auto"/>
                <w:sz w:val="24"/>
                <w:lang w:val="en-US" w:eastAsia="zh-CN"/>
              </w:rPr>
              <w:t>已出具《</w:t>
            </w:r>
            <w:r>
              <w:rPr>
                <w:rFonts w:hint="eastAsia"/>
                <w:bCs/>
                <w:color w:val="auto"/>
                <w:sz w:val="24"/>
              </w:rPr>
              <w:t>关于反馈盛隆四轧沿边海岸线修复堆坡工程用海选址意见的函</w:t>
            </w:r>
            <w:r>
              <w:rPr>
                <w:rFonts w:hint="eastAsia"/>
                <w:bCs/>
                <w:color w:val="auto"/>
                <w:sz w:val="24"/>
                <w:lang w:eastAsia="zh-CN"/>
              </w:rPr>
              <w:t>》，</w:t>
            </w:r>
            <w:r>
              <w:rPr>
                <w:rFonts w:hint="eastAsia"/>
                <w:bCs/>
                <w:color w:val="auto"/>
                <w:sz w:val="24"/>
                <w:lang w:val="en-US" w:eastAsia="zh-CN"/>
              </w:rPr>
              <w:t>同意项目建设（附件5）。</w:t>
            </w:r>
          </w:p>
          <w:p w14:paraId="08BCFCE4">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rPr>
              <w:t>因此，项目建设对</w:t>
            </w:r>
            <w:r>
              <w:rPr>
                <w:rFonts w:hint="eastAsia"/>
                <w:bCs/>
                <w:color w:val="auto"/>
                <w:sz w:val="24"/>
                <w:lang w:val="en-US" w:eastAsia="zh-CN"/>
              </w:rPr>
              <w:t>不会对周边的生态红线区和红树林资源造成影响</w:t>
            </w:r>
            <w:r>
              <w:rPr>
                <w:rFonts w:hint="eastAsia"/>
                <w:bCs/>
                <w:color w:val="auto"/>
                <w:sz w:val="24"/>
              </w:rPr>
              <w:t>。</w:t>
            </w:r>
          </w:p>
          <w:p w14:paraId="125FC5E6">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lang w:val="en-US" w:eastAsia="zh-CN"/>
              </w:rPr>
            </w:pPr>
            <w:r>
              <w:rPr>
                <w:rFonts w:hint="eastAsia"/>
                <w:b/>
                <w:bCs/>
                <w:color w:val="auto"/>
                <w:sz w:val="24"/>
                <w:lang w:val="en-US" w:eastAsia="zh-CN"/>
              </w:rPr>
              <w:t>4.9环境风险影响分析</w:t>
            </w:r>
          </w:p>
          <w:p w14:paraId="02E45D6D">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rPr>
              <w:t>（1）风险源调查</w:t>
            </w:r>
          </w:p>
          <w:p w14:paraId="6967AEC6">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rPr>
              <w:t>本项目环境风险主要是施工机械溢油导致的。</w:t>
            </w:r>
          </w:p>
          <w:p w14:paraId="4DAD44BA">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rPr>
              <w:t>项目挖掘机油箱按400L计，共2辆挖掘机，运输车辆的邮箱按140L计算，</w:t>
            </w:r>
            <w:r>
              <w:rPr>
                <w:rFonts w:hint="eastAsia"/>
                <w:bCs/>
                <w:color w:val="auto"/>
                <w:sz w:val="24"/>
                <w:lang w:val="en-US" w:eastAsia="zh-CN"/>
              </w:rPr>
              <w:t>按2辆同时出现考虑</w:t>
            </w:r>
            <w:r>
              <w:rPr>
                <w:rFonts w:hint="eastAsia"/>
                <w:bCs/>
                <w:color w:val="auto"/>
                <w:sz w:val="24"/>
              </w:rPr>
              <w:t>，根据《环境影响评价技术导则 海洋生态环境》（HJ1409-2025）及《建设项目环境风险评价技术导则》（HJ169-2018），本项目危险物质判定及Q值见下表。</w:t>
            </w:r>
          </w:p>
          <w:p w14:paraId="08E63A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表4.9-1 项目</w:t>
            </w:r>
            <w:r>
              <w:rPr>
                <w:rFonts w:hint="default" w:ascii="Times New Roman" w:hAnsi="Times New Roman" w:cs="Times New Roman"/>
                <w:b/>
                <w:bCs/>
                <w:color w:val="auto"/>
                <w:kern w:val="0"/>
                <w:sz w:val="21"/>
                <w:szCs w:val="21"/>
                <w:lang w:val="en-US" w:eastAsia="zh-CN"/>
              </w:rPr>
              <w:t>危险物质判定及</w:t>
            </w:r>
            <w:r>
              <w:rPr>
                <w:rFonts w:hint="eastAsia" w:ascii="Times New Roman" w:hAnsi="Times New Roman" w:cs="Times New Roman"/>
                <w:b/>
                <w:bCs/>
                <w:color w:val="auto"/>
                <w:kern w:val="0"/>
                <w:sz w:val="21"/>
                <w:szCs w:val="21"/>
                <w:lang w:val="en-US" w:eastAsia="zh-CN"/>
              </w:rPr>
              <w:t>Q值</w:t>
            </w:r>
          </w:p>
          <w:tbl>
            <w:tblPr>
              <w:tblStyle w:val="29"/>
              <w:tblW w:w="7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1"/>
              <w:gridCol w:w="1276"/>
              <w:gridCol w:w="1134"/>
              <w:gridCol w:w="1134"/>
              <w:gridCol w:w="904"/>
              <w:gridCol w:w="1109"/>
              <w:gridCol w:w="802"/>
              <w:gridCol w:w="802"/>
            </w:tblGrid>
            <w:tr w14:paraId="0853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1" w:type="dxa"/>
                  <w:vAlign w:val="center"/>
                </w:tcPr>
                <w:p w14:paraId="0F7DC740">
                  <w:pPr>
                    <w:keepNext w:val="0"/>
                    <w:keepLines w:val="0"/>
                    <w:suppressLineNumbers w:val="0"/>
                    <w:adjustRightInd w:val="0"/>
                    <w:snapToGrid w:val="0"/>
                    <w:spacing w:before="0" w:beforeAutospacing="0" w:after="0" w:afterAutospacing="0"/>
                    <w:ind w:left="0" w:right="0"/>
                    <w:jc w:val="center"/>
                    <w:rPr>
                      <w:rFonts w:hint="eastAsia"/>
                      <w:b/>
                      <w:bCs/>
                      <w:color w:val="auto"/>
                      <w:szCs w:val="21"/>
                    </w:rPr>
                  </w:pPr>
                  <w:r>
                    <w:rPr>
                      <w:rFonts w:hint="eastAsia"/>
                      <w:b/>
                      <w:bCs/>
                      <w:color w:val="auto"/>
                      <w:szCs w:val="21"/>
                    </w:rPr>
                    <w:t>序号</w:t>
                  </w:r>
                </w:p>
              </w:tc>
              <w:tc>
                <w:tcPr>
                  <w:tcW w:w="1276" w:type="dxa"/>
                  <w:vAlign w:val="center"/>
                </w:tcPr>
                <w:p w14:paraId="072AF3C7">
                  <w:pPr>
                    <w:keepNext w:val="0"/>
                    <w:keepLines w:val="0"/>
                    <w:suppressLineNumbers w:val="0"/>
                    <w:adjustRightInd w:val="0"/>
                    <w:snapToGrid w:val="0"/>
                    <w:spacing w:before="0" w:beforeAutospacing="0" w:after="0" w:afterAutospacing="0"/>
                    <w:ind w:left="0" w:right="0"/>
                    <w:jc w:val="center"/>
                    <w:rPr>
                      <w:rFonts w:hint="eastAsia"/>
                      <w:b/>
                      <w:bCs/>
                      <w:color w:val="auto"/>
                      <w:szCs w:val="21"/>
                    </w:rPr>
                  </w:pPr>
                  <w:r>
                    <w:rPr>
                      <w:rFonts w:hint="eastAsia"/>
                      <w:b/>
                      <w:bCs/>
                      <w:color w:val="auto"/>
                      <w:szCs w:val="21"/>
                    </w:rPr>
                    <w:t>类型</w:t>
                  </w:r>
                </w:p>
              </w:tc>
              <w:tc>
                <w:tcPr>
                  <w:tcW w:w="1134" w:type="dxa"/>
                  <w:vAlign w:val="center"/>
                </w:tcPr>
                <w:p w14:paraId="09EDAC6C">
                  <w:pPr>
                    <w:keepNext w:val="0"/>
                    <w:keepLines w:val="0"/>
                    <w:suppressLineNumbers w:val="0"/>
                    <w:adjustRightInd w:val="0"/>
                    <w:snapToGrid w:val="0"/>
                    <w:spacing w:before="0" w:beforeAutospacing="0" w:after="0" w:afterAutospacing="0"/>
                    <w:ind w:left="0" w:right="0"/>
                    <w:jc w:val="center"/>
                    <w:rPr>
                      <w:rFonts w:hint="eastAsia"/>
                      <w:b/>
                      <w:bCs/>
                      <w:color w:val="auto"/>
                      <w:szCs w:val="21"/>
                    </w:rPr>
                  </w:pPr>
                  <w:r>
                    <w:rPr>
                      <w:rFonts w:hint="eastAsia"/>
                      <w:b/>
                      <w:bCs/>
                      <w:color w:val="auto"/>
                      <w:szCs w:val="21"/>
                    </w:rPr>
                    <w:t>危险品名称</w:t>
                  </w:r>
                </w:p>
              </w:tc>
              <w:tc>
                <w:tcPr>
                  <w:tcW w:w="1134" w:type="dxa"/>
                  <w:vAlign w:val="center"/>
                </w:tcPr>
                <w:p w14:paraId="48A79B27">
                  <w:pPr>
                    <w:keepNext w:val="0"/>
                    <w:keepLines w:val="0"/>
                    <w:suppressLineNumbers w:val="0"/>
                    <w:adjustRightInd w:val="0"/>
                    <w:snapToGrid w:val="0"/>
                    <w:spacing w:before="0" w:beforeAutospacing="0" w:after="0" w:afterAutospacing="0"/>
                    <w:ind w:left="0" w:right="0"/>
                    <w:jc w:val="center"/>
                    <w:rPr>
                      <w:rFonts w:hint="eastAsia"/>
                      <w:b/>
                      <w:bCs/>
                      <w:color w:val="auto"/>
                      <w:szCs w:val="21"/>
                    </w:rPr>
                  </w:pPr>
                  <w:r>
                    <w:rPr>
                      <w:rFonts w:hint="eastAsia"/>
                      <w:b/>
                      <w:bCs/>
                      <w:color w:val="auto"/>
                      <w:szCs w:val="21"/>
                    </w:rPr>
                    <w:t>最大储存量（L）</w:t>
                  </w:r>
                </w:p>
              </w:tc>
              <w:tc>
                <w:tcPr>
                  <w:tcW w:w="904" w:type="dxa"/>
                  <w:vAlign w:val="center"/>
                </w:tcPr>
                <w:p w14:paraId="135A7380">
                  <w:pPr>
                    <w:keepNext w:val="0"/>
                    <w:keepLines w:val="0"/>
                    <w:suppressLineNumbers w:val="0"/>
                    <w:adjustRightInd w:val="0"/>
                    <w:snapToGrid w:val="0"/>
                    <w:spacing w:before="0" w:beforeAutospacing="0" w:after="0" w:afterAutospacing="0"/>
                    <w:ind w:left="0" w:right="0"/>
                    <w:jc w:val="center"/>
                    <w:rPr>
                      <w:rFonts w:hint="eastAsia"/>
                      <w:b/>
                      <w:bCs/>
                      <w:color w:val="auto"/>
                      <w:szCs w:val="21"/>
                    </w:rPr>
                  </w:pPr>
                  <w:r>
                    <w:rPr>
                      <w:rFonts w:hint="eastAsia"/>
                      <w:b/>
                      <w:bCs/>
                      <w:color w:val="auto"/>
                      <w:szCs w:val="21"/>
                    </w:rPr>
                    <w:t>密度（kg/m</w:t>
                  </w:r>
                  <w:r>
                    <w:rPr>
                      <w:rFonts w:hint="eastAsia"/>
                      <w:b/>
                      <w:bCs/>
                      <w:color w:val="auto"/>
                      <w:szCs w:val="21"/>
                      <w:vertAlign w:val="superscript"/>
                    </w:rPr>
                    <w:t>3</w:t>
                  </w:r>
                  <w:r>
                    <w:rPr>
                      <w:rFonts w:hint="eastAsia"/>
                      <w:b/>
                      <w:bCs/>
                      <w:color w:val="auto"/>
                      <w:szCs w:val="21"/>
                    </w:rPr>
                    <w:t>）</w:t>
                  </w:r>
                </w:p>
              </w:tc>
              <w:tc>
                <w:tcPr>
                  <w:tcW w:w="1109" w:type="dxa"/>
                  <w:vAlign w:val="center"/>
                </w:tcPr>
                <w:p w14:paraId="56FC20EA">
                  <w:pPr>
                    <w:keepNext w:val="0"/>
                    <w:keepLines w:val="0"/>
                    <w:suppressLineNumbers w:val="0"/>
                    <w:adjustRightInd w:val="0"/>
                    <w:snapToGrid w:val="0"/>
                    <w:spacing w:before="0" w:beforeAutospacing="0" w:after="0" w:afterAutospacing="0"/>
                    <w:ind w:left="0" w:right="0"/>
                    <w:jc w:val="center"/>
                    <w:rPr>
                      <w:rFonts w:hint="eastAsia"/>
                      <w:b/>
                      <w:bCs/>
                      <w:color w:val="auto"/>
                      <w:szCs w:val="21"/>
                    </w:rPr>
                  </w:pPr>
                  <w:r>
                    <w:rPr>
                      <w:rFonts w:hint="eastAsia"/>
                      <w:b/>
                      <w:bCs/>
                      <w:color w:val="auto"/>
                      <w:szCs w:val="21"/>
                    </w:rPr>
                    <w:t>最大储存量（t）</w:t>
                  </w:r>
                </w:p>
              </w:tc>
              <w:tc>
                <w:tcPr>
                  <w:tcW w:w="802" w:type="dxa"/>
                  <w:vAlign w:val="center"/>
                </w:tcPr>
                <w:p w14:paraId="3F7FE2D1">
                  <w:pPr>
                    <w:keepNext w:val="0"/>
                    <w:keepLines w:val="0"/>
                    <w:suppressLineNumbers w:val="0"/>
                    <w:adjustRightInd w:val="0"/>
                    <w:snapToGrid w:val="0"/>
                    <w:spacing w:before="0" w:beforeAutospacing="0" w:after="0" w:afterAutospacing="0"/>
                    <w:ind w:left="0" w:right="0"/>
                    <w:jc w:val="center"/>
                    <w:rPr>
                      <w:rFonts w:hint="eastAsia"/>
                      <w:b/>
                      <w:bCs/>
                      <w:color w:val="auto"/>
                      <w:szCs w:val="21"/>
                    </w:rPr>
                  </w:pPr>
                  <w:r>
                    <w:rPr>
                      <w:rFonts w:hint="eastAsia"/>
                      <w:b/>
                      <w:bCs/>
                      <w:color w:val="auto"/>
                      <w:szCs w:val="21"/>
                    </w:rPr>
                    <w:t>临界量（t）</w:t>
                  </w:r>
                </w:p>
              </w:tc>
              <w:tc>
                <w:tcPr>
                  <w:tcW w:w="802" w:type="dxa"/>
                  <w:vAlign w:val="center"/>
                </w:tcPr>
                <w:p w14:paraId="689B768D">
                  <w:pPr>
                    <w:keepNext w:val="0"/>
                    <w:keepLines w:val="0"/>
                    <w:suppressLineNumbers w:val="0"/>
                    <w:adjustRightInd w:val="0"/>
                    <w:snapToGrid w:val="0"/>
                    <w:spacing w:before="0" w:beforeAutospacing="0" w:after="0" w:afterAutospacing="0"/>
                    <w:ind w:left="0" w:right="0"/>
                    <w:jc w:val="center"/>
                    <w:rPr>
                      <w:rFonts w:hint="default" w:eastAsia="宋体"/>
                      <w:b/>
                      <w:bCs/>
                      <w:color w:val="auto"/>
                      <w:szCs w:val="21"/>
                      <w:lang w:val="en-US" w:eastAsia="zh-CN"/>
                    </w:rPr>
                  </w:pPr>
                  <w:r>
                    <w:rPr>
                      <w:rFonts w:hint="eastAsia"/>
                      <w:b/>
                      <w:bCs/>
                      <w:color w:val="auto"/>
                      <w:szCs w:val="21"/>
                      <w:lang w:val="en-US" w:eastAsia="zh-CN"/>
                    </w:rPr>
                    <w:t>Q值</w:t>
                  </w:r>
                </w:p>
              </w:tc>
            </w:tr>
            <w:tr w14:paraId="3D62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1" w:type="dxa"/>
                  <w:vAlign w:val="center"/>
                </w:tcPr>
                <w:p w14:paraId="67744A9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76" w:type="dxa"/>
                  <w:vAlign w:val="center"/>
                </w:tcPr>
                <w:p w14:paraId="776EBD47">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挖掘机2辆</w:t>
                  </w:r>
                </w:p>
              </w:tc>
              <w:tc>
                <w:tcPr>
                  <w:tcW w:w="1134" w:type="dxa"/>
                  <w:vAlign w:val="center"/>
                </w:tcPr>
                <w:p w14:paraId="29C37D2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柴油</w:t>
                  </w:r>
                </w:p>
              </w:tc>
              <w:tc>
                <w:tcPr>
                  <w:tcW w:w="1134" w:type="dxa"/>
                  <w:vAlign w:val="center"/>
                </w:tcPr>
                <w:p w14:paraId="12DA2183">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800</w:t>
                  </w:r>
                </w:p>
              </w:tc>
              <w:tc>
                <w:tcPr>
                  <w:tcW w:w="904" w:type="dxa"/>
                  <w:vAlign w:val="center"/>
                </w:tcPr>
                <w:p w14:paraId="1DFECFA2">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850</w:t>
                  </w:r>
                </w:p>
              </w:tc>
              <w:tc>
                <w:tcPr>
                  <w:tcW w:w="1109" w:type="dxa"/>
                  <w:vAlign w:val="center"/>
                </w:tcPr>
                <w:p w14:paraId="05488629">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0.68</w:t>
                  </w:r>
                </w:p>
              </w:tc>
              <w:tc>
                <w:tcPr>
                  <w:tcW w:w="802" w:type="dxa"/>
                  <w:vAlign w:val="center"/>
                </w:tcPr>
                <w:p w14:paraId="68B4070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802" w:type="dxa"/>
                  <w:vAlign w:val="center"/>
                </w:tcPr>
                <w:p w14:paraId="21F3BEA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0.0068</w:t>
                  </w:r>
                </w:p>
              </w:tc>
            </w:tr>
            <w:tr w14:paraId="3392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1" w:type="dxa"/>
                  <w:vAlign w:val="center"/>
                </w:tcPr>
                <w:p w14:paraId="6681AC49">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276" w:type="dxa"/>
                  <w:vAlign w:val="center"/>
                </w:tcPr>
                <w:p w14:paraId="15E2BC2E">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运输</w:t>
                  </w:r>
                  <w:r>
                    <w:rPr>
                      <w:rFonts w:hint="default" w:ascii="Times New Roman" w:hAnsi="Times New Roman" w:eastAsia="宋体" w:cs="Times New Roman"/>
                      <w:sz w:val="21"/>
                      <w:szCs w:val="21"/>
                      <w:lang w:val="en-US" w:eastAsia="zh-CN"/>
                    </w:rPr>
                    <w:t>车辆</w:t>
                  </w:r>
                  <w:r>
                    <w:rPr>
                      <w:rFonts w:hint="eastAsia" w:ascii="Times New Roman" w:hAnsi="Times New Roman" w:eastAsia="宋体" w:cs="Times New Roman"/>
                      <w:sz w:val="21"/>
                      <w:szCs w:val="21"/>
                      <w:lang w:val="en-US" w:eastAsia="zh-CN"/>
                    </w:rPr>
                    <w:t>2辆</w:t>
                  </w:r>
                </w:p>
              </w:tc>
              <w:tc>
                <w:tcPr>
                  <w:tcW w:w="1134" w:type="dxa"/>
                  <w:vAlign w:val="center"/>
                </w:tcPr>
                <w:p w14:paraId="25508B2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汽油</w:t>
                  </w:r>
                </w:p>
              </w:tc>
              <w:tc>
                <w:tcPr>
                  <w:tcW w:w="1134" w:type="dxa"/>
                  <w:vAlign w:val="center"/>
                </w:tcPr>
                <w:p w14:paraId="5287C8BB">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280</w:t>
                  </w:r>
                </w:p>
              </w:tc>
              <w:tc>
                <w:tcPr>
                  <w:tcW w:w="904" w:type="dxa"/>
                  <w:vAlign w:val="center"/>
                </w:tcPr>
                <w:p w14:paraId="0447504F">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760</w:t>
                  </w:r>
                </w:p>
              </w:tc>
              <w:tc>
                <w:tcPr>
                  <w:tcW w:w="1109" w:type="dxa"/>
                  <w:vAlign w:val="center"/>
                </w:tcPr>
                <w:p w14:paraId="58E983D0">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0.2128</w:t>
                  </w:r>
                </w:p>
              </w:tc>
              <w:tc>
                <w:tcPr>
                  <w:tcW w:w="802" w:type="dxa"/>
                  <w:vAlign w:val="center"/>
                </w:tcPr>
                <w:p w14:paraId="07B69546">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802" w:type="dxa"/>
                  <w:vAlign w:val="center"/>
                </w:tcPr>
                <w:p w14:paraId="69FD3649">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0.00213</w:t>
                  </w:r>
                </w:p>
              </w:tc>
            </w:tr>
            <w:tr w14:paraId="2302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0" w:type="dxa"/>
                  <w:gridSpan w:val="7"/>
                  <w:vAlign w:val="center"/>
                </w:tcPr>
                <w:p w14:paraId="5F730A9C">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合计</w:t>
                  </w:r>
                </w:p>
              </w:tc>
              <w:tc>
                <w:tcPr>
                  <w:tcW w:w="802" w:type="dxa"/>
                  <w:vAlign w:val="center"/>
                </w:tcPr>
                <w:p w14:paraId="7669A5D4">
                  <w:pPr>
                    <w:pStyle w:val="54"/>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0.00893</w:t>
                  </w:r>
                </w:p>
              </w:tc>
            </w:tr>
          </w:tbl>
          <w:p w14:paraId="0189A3CF">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rPr>
              <w:t>（2）环境风险分析</w:t>
            </w:r>
          </w:p>
          <w:p w14:paraId="06A7373A">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rPr>
              <w:t>由于本项目在低潮期施工海域全部裸露时进行施工，因此，项目无水下施工过程，当施工机械发生溢油事故后，油类会直接进入裸露的岸滩，影响滩涂中的生物。如泄漏至岸滩的油类不及时处理，当涨潮时，油类会以油膜的形式在海面漂浮，在水流、湍流及风的作用下向四周扩散，扩大面积，污染海面，同时会随着涨潮流上溯，然后随落潮流回退，部分油污附着在沙滩上，严重污染沙滩环境。</w:t>
            </w:r>
          </w:p>
          <w:p w14:paraId="1057D7D3">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rPr>
              <w:t>（3）环境风险防范措施</w:t>
            </w:r>
          </w:p>
          <w:p w14:paraId="1C5736B4">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rPr>
              <w:t>①对各类动力设施加强管理，定期保养与维修，严禁出现“跑、冒、滴、漏”现象。</w:t>
            </w:r>
          </w:p>
          <w:p w14:paraId="192EAADE">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rPr>
              <w:t>②施工期间，各类施工机械保证足够的安全距离，防止施工过程中发生碰撞造成设备溢油。</w:t>
            </w:r>
          </w:p>
          <w:p w14:paraId="1CD0A606">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ascii="宋体" w:hAnsi="宋体" w:cs="宋体"/>
                <w:bCs/>
                <w:color w:val="auto"/>
                <w:sz w:val="24"/>
                <w:lang w:eastAsia="ja-JP"/>
              </w:rPr>
              <w:t>③</w:t>
            </w:r>
            <w:r>
              <w:rPr>
                <w:rFonts w:hint="eastAsia"/>
                <w:bCs/>
                <w:color w:val="auto"/>
                <w:sz w:val="24"/>
                <w:lang w:eastAsia="ja-JP"/>
              </w:rPr>
              <w:t>施工团队配备</w:t>
            </w:r>
            <w:r>
              <w:rPr>
                <w:rFonts w:hint="eastAsia"/>
                <w:bCs/>
                <w:color w:val="auto"/>
                <w:sz w:val="24"/>
              </w:rPr>
              <w:t>漏油事故的应急物资，如铲、应急收集桶、吸油毡等。当发生溢油事故后，立即切断泄漏源，并对溢油区域的泥砂进行收集，防止油品污染扩散。由于项目在低潮期施工区岸滩裸露时施工，涨潮时不进行施工，不会发生涨潮时溢油的事故。因此，当施工时发生溢油后立即进行收集处理，不会在涨潮期发生油品扩散，扩大污染面积、污染海滩及海水水质的情况。</w:t>
            </w:r>
          </w:p>
          <w:p w14:paraId="03840FC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MS Mincho" w:cs="宋体"/>
                <w:bCs/>
                <w:color w:val="auto"/>
                <w:sz w:val="24"/>
                <w:lang w:eastAsia="ja-JP"/>
              </w:rPr>
            </w:pPr>
            <w:r>
              <w:rPr>
                <w:rFonts w:hint="eastAsia" w:ascii="宋体" w:hAnsi="宋体" w:cs="宋体"/>
                <w:bCs/>
                <w:color w:val="auto"/>
                <w:sz w:val="24"/>
                <w:lang w:eastAsia="ja-JP"/>
              </w:rPr>
              <w:t>④</w:t>
            </w:r>
            <w:r>
              <w:rPr>
                <w:rFonts w:hint="eastAsia"/>
                <w:bCs/>
                <w:color w:val="auto"/>
                <w:sz w:val="24"/>
              </w:rPr>
              <w:t>加油人员需熟练了解相应的操作规范，待设备停稳后开始加油操作，并由另一人员时刻注意油箱读数，防止加油过程油满溢出。</w:t>
            </w:r>
          </w:p>
          <w:p w14:paraId="1D6A508F">
            <w:pPr>
              <w:keepNext w:val="0"/>
              <w:keepLines w:val="0"/>
              <w:suppressLineNumbers w:val="0"/>
              <w:adjustRightInd w:val="0"/>
              <w:snapToGrid w:val="0"/>
              <w:spacing w:before="0" w:beforeAutospacing="0" w:after="0" w:afterAutospacing="0" w:line="360" w:lineRule="auto"/>
              <w:ind w:left="0" w:right="0" w:firstLine="480" w:firstLineChars="200"/>
              <w:rPr>
                <w:rFonts w:hint="default"/>
                <w:lang w:val="en-US" w:eastAsia="zh-CN"/>
              </w:rPr>
            </w:pPr>
            <w:r>
              <w:rPr>
                <w:rFonts w:hint="eastAsia"/>
                <w:bCs/>
                <w:color w:val="auto"/>
                <w:sz w:val="24"/>
              </w:rPr>
              <w:t>⑤制定详尽的分区管理制度，指定负责人，严格执行安全运营管理制度；制定碰撞、溢油、溺水等风险事故应急预案，定期开展演练。</w:t>
            </w:r>
          </w:p>
        </w:tc>
      </w:tr>
      <w:tr w14:paraId="65425E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1143" w:type="dxa"/>
            <w:tcMar>
              <w:left w:w="28" w:type="dxa"/>
              <w:right w:w="28" w:type="dxa"/>
            </w:tcMar>
            <w:vAlign w:val="center"/>
          </w:tcPr>
          <w:p w14:paraId="240F49EB">
            <w:pPr>
              <w:pStyle w:val="21"/>
              <w:keepNext w:val="0"/>
              <w:keepLines w:val="0"/>
              <w:suppressLineNumbers w:val="0"/>
              <w:adjustRightInd w:val="0"/>
              <w:snapToGrid w:val="0"/>
              <w:spacing w:before="0" w:beforeAutospacing="0" w:after="0" w:afterAutospacing="0"/>
              <w:ind w:left="0" w:right="0"/>
              <w:jc w:val="center"/>
              <w:rPr>
                <w:rFonts w:hint="eastAsia" w:ascii="Times New Roman" w:hAnsi="Times New Roman"/>
                <w:bCs/>
                <w:color w:val="C00000"/>
                <w:kern w:val="2"/>
                <w:sz w:val="21"/>
                <w:szCs w:val="21"/>
              </w:rPr>
            </w:pPr>
            <w:r>
              <w:rPr>
                <w:rFonts w:hint="eastAsia" w:ascii="Times New Roman" w:hAnsi="Times New Roman"/>
                <w:bCs/>
                <w:color w:val="auto"/>
                <w:spacing w:val="10"/>
                <w:kern w:val="2"/>
                <w:szCs w:val="21"/>
              </w:rPr>
              <w:t>运营期生态环境影响分析</w:t>
            </w:r>
          </w:p>
        </w:tc>
        <w:tc>
          <w:tcPr>
            <w:tcW w:w="8486" w:type="dxa"/>
            <w:vAlign w:val="center"/>
          </w:tcPr>
          <w:p w14:paraId="117C3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bCs/>
                <w:color w:val="C00000"/>
                <w:sz w:val="24"/>
              </w:rPr>
            </w:pPr>
            <w:r>
              <w:rPr>
                <w:rFonts w:hint="eastAsia"/>
                <w:sz w:val="24"/>
                <w:szCs w:val="24"/>
              </w:rPr>
              <w:t>本项目为生态修复项目，无任何生产经营设施，不产污，不涉及污染物排放，不会对生态环境产生影响。</w:t>
            </w:r>
          </w:p>
        </w:tc>
      </w:tr>
      <w:tr w14:paraId="555DAF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7" w:hRule="atLeast"/>
          <w:jc w:val="center"/>
        </w:trPr>
        <w:tc>
          <w:tcPr>
            <w:tcW w:w="1143" w:type="dxa"/>
            <w:vAlign w:val="center"/>
          </w:tcPr>
          <w:p w14:paraId="3E1D1FFC">
            <w:pPr>
              <w:pStyle w:val="21"/>
              <w:keepNext w:val="0"/>
              <w:keepLines w:val="0"/>
              <w:suppressLineNumbers w:val="0"/>
              <w:adjustRightInd w:val="0"/>
              <w:snapToGrid w:val="0"/>
              <w:spacing w:before="0" w:beforeAutospacing="0" w:after="0" w:afterAutospacing="0"/>
              <w:ind w:left="0" w:right="0"/>
              <w:jc w:val="center"/>
              <w:rPr>
                <w:rFonts w:hint="eastAsia" w:ascii="Times New Roman" w:hAnsi="Times New Roman"/>
                <w:bCs/>
                <w:color w:val="C00000"/>
                <w:kern w:val="2"/>
                <w:sz w:val="21"/>
                <w:szCs w:val="21"/>
              </w:rPr>
            </w:pPr>
            <w:r>
              <w:rPr>
                <w:rFonts w:hint="eastAsia" w:ascii="Times New Roman" w:hAnsi="Times New Roman"/>
                <w:bCs/>
                <w:color w:val="auto"/>
                <w:kern w:val="2"/>
                <w:szCs w:val="21"/>
              </w:rPr>
              <w:t>选址选线环境合理性分析</w:t>
            </w:r>
          </w:p>
        </w:tc>
        <w:tc>
          <w:tcPr>
            <w:tcW w:w="8486" w:type="dxa"/>
          </w:tcPr>
          <w:p w14:paraId="1E53653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本项目拟建设地点位于广西盛隆</w:t>
            </w:r>
            <w:r>
              <w:rPr>
                <w:rFonts w:hint="eastAsia"/>
                <w:color w:val="auto"/>
                <w:kern w:val="0"/>
                <w:sz w:val="24"/>
                <w:lang w:val="en-US" w:eastAsia="zh-CN"/>
              </w:rPr>
              <w:t>冶金</w:t>
            </w:r>
            <w:r>
              <w:rPr>
                <w:rFonts w:hint="eastAsia"/>
                <w:color w:val="auto"/>
                <w:kern w:val="0"/>
                <w:sz w:val="24"/>
              </w:rPr>
              <w:t>有限公司厂区四轧东海岸现有海堤外侧。该区域地处港口区纵深，是港口功能拓展与产业布局的重要区域，加固修复此段海堤对于保障后方国土安全、服务港口及临港产业发展具有基础性、战略性意义。</w:t>
            </w:r>
          </w:p>
          <w:p w14:paraId="710269E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项目区对外交通网络发达，陆路交通极为便利。项目紧邻城市主干道，可快速连接东湾大道、小龙门滨海公路等区域交通动脉，进而通达钦防高速、防城港火车站及全市路网，确保施工期间人员、设备与物资的高效集散。水路方面，防城港拥有完善的港口航运体系，大型施工设备或特殊构件可通过海运直达；区域内河网亦可作为辅助运输通道。社会经济支撑条件优越，防城港市及港口区建材市场成熟，项目所需的水泥、钢材、商品混凝土等主要建筑材料均可在本地市场充足采购。砂石骨料等可就近从符合环保要求的合法料场获取，部分特殊石材可通过便捷的港口物流从沿海或内陆市场调入。</w:t>
            </w:r>
          </w:p>
          <w:p w14:paraId="7BED436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项目所在区域地形地貌条件简单，基岩分布稳定。勘察范围内未发现滑坡、崩塌、泥石流、土洞及活动性断裂等严重影响场地稳定性的不良地质构造，岸线形态稳定，不存在临空陡坎面等隐患。区域地质构造稳定，适宜开展堤防类工程建设。工程场地覆盖层以软弱土层为主，该特性有利于片石抛填等施工工序的进行。其下伏基岩埋藏较浅，岩面较为平缓，承载力高、稳定性好，可作为防浪结构的优良基础持力层，能有效保障海堤结构的长期抗滑、抗倾覆稳定。</w:t>
            </w:r>
          </w:p>
          <w:p w14:paraId="7738162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项目用海类型为非透水构筑物，项目位于规划的企沙港区渔业用海区内水域，根据选址周边区域环境和生态现状调查结果，项目区域的生态环境较好。施工期间，抛石等作业产生的悬浮泥沙，将在一定范围内导致水体透明度暂时降低，对浮游生物、部分底栖生物及游泳生物的幼体发育造成短期可逆影响。鉴于该海域水文交换条件较好，悬浮物扩散范围有限，且鱼类等游泳能力较强的生物可主动避让，因此不会对渔业资源种群造成长期损害。施工结束后，伴随悬浮泥沙的沉降，水生生态环境将较快自然恢复。因此，项目建设对周边海域内生态资源的影响较小，对周边海洋生态功能不会产生明显影响。项目选址此处与周边生态环境相适宜。</w:t>
            </w:r>
          </w:p>
          <w:p w14:paraId="507EB6B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本项目用海对附近海域开发活动的影响主要发生在施工期。由于抛石等作业产生的悬浮泥沙入海，可能会对周边用海活动产生影响。本工程建设平台属非透水构筑物，占用海域面积较小，建成后轻微改变了原有纳潮空间与水流流态。在紧邻堤头的迎流面，由于水流受阻被迫绕行，导致流速瞬时增大，产生强烈的冲刷应力，在堤前产生泥沙冲淤，但冲淤速度不超过0.04m/a。对区域整体冲淤环境影响有限。另外，本项目港池回旋水域在疏浚工程初期由于施工引起周边浅滩的局部边坡不稳定，可能造成初期回淤大于预测值，但随着项目建成，周边浅滩的供沙能力会逐步下降，工程区的年维护量将逐渐减少。工程区海域的泥沙回淤量不大，除建设初期在本项目疏浚区及邻近区域有一定的淤积和冲刷外，港湾的其它区域保持冲淤基本平衡。无大面积淤积或失稳可能，不会引起相邻岸滩侵蚀、岸线变形、航道淤积等连锁不利影响。</w:t>
            </w:r>
          </w:p>
          <w:p w14:paraId="539856E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项目施工期产生的废水、废气、噪声、固废排放会对周边环境产生</w:t>
            </w:r>
            <w:r>
              <w:rPr>
                <w:rFonts w:hint="eastAsia"/>
                <w:color w:val="auto"/>
                <w:kern w:val="0"/>
                <w:sz w:val="24"/>
                <w:lang w:val="en-US" w:eastAsia="zh-CN"/>
              </w:rPr>
              <w:t>一定</w:t>
            </w:r>
            <w:r>
              <w:rPr>
                <w:rFonts w:hint="eastAsia"/>
                <w:color w:val="auto"/>
                <w:kern w:val="0"/>
                <w:sz w:val="24"/>
              </w:rPr>
              <w:t>影响，通过加强管理及采取相应的环境保护措施可以有效地消除或减缓项目建设带来的不利影响。因此，从环境制约因素、环境影响程度等方面分析，本项目的选址是合理的。</w:t>
            </w:r>
          </w:p>
          <w:p w14:paraId="164AF9C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C00000"/>
                <w:kern w:val="0"/>
                <w:sz w:val="24"/>
              </w:rPr>
            </w:pPr>
            <w:r>
              <w:rPr>
                <w:rFonts w:hint="eastAsia"/>
                <w:color w:val="auto"/>
                <w:kern w:val="0"/>
                <w:sz w:val="24"/>
              </w:rPr>
              <w:t>综上</w:t>
            </w:r>
            <w:r>
              <w:rPr>
                <w:rFonts w:hint="eastAsia"/>
                <w:color w:val="auto"/>
                <w:kern w:val="0"/>
                <w:sz w:val="24"/>
                <w:lang w:val="en-US" w:eastAsia="zh-CN"/>
              </w:rPr>
              <w:t>所述</w:t>
            </w:r>
            <w:r>
              <w:rPr>
                <w:rFonts w:hint="eastAsia"/>
                <w:color w:val="auto"/>
                <w:kern w:val="0"/>
                <w:sz w:val="24"/>
              </w:rPr>
              <w:t>，项目建设所在区域的区位条件和社会条件适宜，与区域规划相协调，选址安全，因此，项目选址合理。</w:t>
            </w:r>
          </w:p>
        </w:tc>
      </w:tr>
    </w:tbl>
    <w:p w14:paraId="062B10EC">
      <w:pPr>
        <w:pStyle w:val="21"/>
        <w:jc w:val="center"/>
        <w:outlineLvl w:val="0"/>
        <w:rPr>
          <w:rFonts w:ascii="Times New Roman" w:hAnsi="Times New Roman"/>
          <w:b/>
          <w:snapToGrid w:val="0"/>
          <w:color w:val="auto"/>
          <w:sz w:val="30"/>
          <w:szCs w:val="30"/>
        </w:rPr>
      </w:pPr>
      <w:r>
        <w:rPr>
          <w:rFonts w:ascii="Times New Roman" w:hAnsi="Times New Roman"/>
          <w:snapToGrid w:val="0"/>
          <w:color w:val="C00000"/>
          <w:sz w:val="30"/>
          <w:szCs w:val="30"/>
        </w:rPr>
        <w:br w:type="page"/>
      </w:r>
      <w:bookmarkStart w:id="60" w:name="_Toc103157935"/>
      <w:r>
        <w:rPr>
          <w:rFonts w:ascii="Times New Roman" w:hAnsi="Times New Roman"/>
          <w:b/>
          <w:snapToGrid w:val="0"/>
          <w:color w:val="auto"/>
          <w:sz w:val="30"/>
          <w:szCs w:val="30"/>
        </w:rPr>
        <w:t>五、主要生态环境保护措施</w:t>
      </w:r>
      <w:bookmarkEnd w:id="60"/>
    </w:p>
    <w:tbl>
      <w:tblPr>
        <w:tblStyle w:val="28"/>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8211"/>
      </w:tblGrid>
      <w:tr w14:paraId="12C90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99" w:type="dxa"/>
            <w:tcMar>
              <w:left w:w="28" w:type="dxa"/>
              <w:right w:w="28" w:type="dxa"/>
            </w:tcMar>
            <w:vAlign w:val="center"/>
          </w:tcPr>
          <w:p w14:paraId="3D34D080">
            <w:pPr>
              <w:keepNext w:val="0"/>
              <w:keepLines w:val="0"/>
              <w:suppressLineNumbers w:val="0"/>
              <w:adjustRightInd w:val="0"/>
              <w:snapToGrid w:val="0"/>
              <w:spacing w:before="0" w:beforeAutospacing="0" w:after="0" w:afterAutospacing="0"/>
              <w:ind w:left="0" w:right="0"/>
              <w:jc w:val="center"/>
              <w:rPr>
                <w:rFonts w:hint="eastAsia"/>
                <w:bCs/>
                <w:color w:val="C00000"/>
                <w:szCs w:val="21"/>
              </w:rPr>
            </w:pPr>
            <w:r>
              <w:rPr>
                <w:rFonts w:hint="eastAsia"/>
                <w:bCs/>
                <w:color w:val="auto"/>
                <w:spacing w:val="10"/>
                <w:sz w:val="24"/>
                <w:szCs w:val="21"/>
              </w:rPr>
              <w:t>施工期生态环境保护措施</w:t>
            </w:r>
          </w:p>
        </w:tc>
        <w:tc>
          <w:tcPr>
            <w:tcW w:w="8211" w:type="dxa"/>
          </w:tcPr>
          <w:p w14:paraId="7096C5A5">
            <w:pPr>
              <w:keepNext w:val="0"/>
              <w:keepLines w:val="0"/>
              <w:suppressLineNumbers w:val="0"/>
              <w:adjustRightInd w:val="0"/>
              <w:snapToGrid w:val="0"/>
              <w:spacing w:before="0" w:beforeAutospacing="0" w:after="0" w:afterAutospacing="0" w:line="360" w:lineRule="auto"/>
              <w:ind w:left="0" w:right="0" w:firstLine="522" w:firstLineChars="200"/>
              <w:rPr>
                <w:rFonts w:hint="eastAsia"/>
                <w:b/>
                <w:bCs/>
                <w:color w:val="auto"/>
                <w:spacing w:val="10"/>
                <w:sz w:val="24"/>
                <w:lang w:val="en-US" w:eastAsia="zh-CN"/>
              </w:rPr>
            </w:pPr>
            <w:r>
              <w:rPr>
                <w:rFonts w:hint="eastAsia"/>
                <w:b/>
                <w:bCs/>
                <w:color w:val="auto"/>
                <w:spacing w:val="10"/>
                <w:sz w:val="24"/>
                <w:lang w:val="en-US" w:eastAsia="zh-CN"/>
              </w:rPr>
              <w:t>5.1水环境保护措施</w:t>
            </w:r>
          </w:p>
          <w:p w14:paraId="4765E3B8">
            <w:pPr>
              <w:keepNext w:val="0"/>
              <w:keepLines w:val="0"/>
              <w:suppressLineNumbers w:val="0"/>
              <w:adjustRightInd w:val="0"/>
              <w:snapToGrid w:val="0"/>
              <w:spacing w:before="0" w:beforeAutospacing="0" w:after="0" w:afterAutospacing="0" w:line="360" w:lineRule="auto"/>
              <w:ind w:left="0" w:right="0" w:firstLine="522" w:firstLineChars="200"/>
              <w:rPr>
                <w:rFonts w:hint="eastAsia"/>
                <w:b/>
                <w:bCs/>
                <w:color w:val="auto"/>
                <w:spacing w:val="10"/>
                <w:sz w:val="24"/>
                <w:lang w:val="en-US" w:eastAsia="zh-CN"/>
              </w:rPr>
            </w:pPr>
            <w:r>
              <w:rPr>
                <w:rFonts w:hint="eastAsia"/>
                <w:b/>
                <w:bCs/>
                <w:color w:val="auto"/>
                <w:spacing w:val="10"/>
                <w:sz w:val="24"/>
                <w:lang w:val="en-US" w:eastAsia="zh-CN"/>
              </w:rPr>
              <w:t>5.1.1生活污水防治措施</w:t>
            </w:r>
          </w:p>
          <w:p w14:paraId="4054B3D8">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①项目施工生活区依托广西盛隆</w:t>
            </w:r>
            <w:r>
              <w:rPr>
                <w:rFonts w:hint="eastAsia"/>
                <w:color w:val="auto"/>
                <w:kern w:val="0"/>
                <w:sz w:val="24"/>
                <w:lang w:val="en-US" w:eastAsia="zh-CN"/>
              </w:rPr>
              <w:t>冶金</w:t>
            </w:r>
            <w:r>
              <w:rPr>
                <w:rFonts w:hint="eastAsia"/>
                <w:b w:val="0"/>
                <w:bCs w:val="0"/>
                <w:color w:val="auto"/>
                <w:spacing w:val="10"/>
                <w:sz w:val="24"/>
                <w:lang w:val="en-US" w:eastAsia="zh-CN"/>
              </w:rPr>
              <w:t>有限公司厂区，生活污水均采取集中处理的方式，施工单位应加强教育管理，不允许随意排放。</w:t>
            </w:r>
          </w:p>
          <w:p w14:paraId="2B69FE69">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②禁止直接向周边水体排放生活污水及其他废水。</w:t>
            </w:r>
            <w:r>
              <w:rPr>
                <w:rFonts w:hint="eastAsia"/>
                <w:b w:val="0"/>
                <w:bCs w:val="0"/>
                <w:color w:val="auto"/>
                <w:sz w:val="24"/>
                <w:lang w:val="en-US" w:eastAsia="zh-CN"/>
              </w:rPr>
              <w:t>生活污水依托现有的污水收集设施进行收集，然后送污水处理厂处理。</w:t>
            </w:r>
            <w:r>
              <w:rPr>
                <w:rFonts w:hint="eastAsia"/>
                <w:b w:val="0"/>
                <w:bCs w:val="0"/>
                <w:color w:val="auto"/>
                <w:spacing w:val="10"/>
                <w:sz w:val="24"/>
                <w:lang w:val="en-US" w:eastAsia="zh-CN"/>
              </w:rPr>
              <w:t>项目施工期生活污水均得到妥善处理，对区域环境影响较小，治理措施可行。</w:t>
            </w:r>
          </w:p>
          <w:p w14:paraId="4488FCA5">
            <w:pPr>
              <w:keepNext w:val="0"/>
              <w:keepLines w:val="0"/>
              <w:suppressLineNumbers w:val="0"/>
              <w:adjustRightInd w:val="0"/>
              <w:snapToGrid w:val="0"/>
              <w:spacing w:before="0" w:beforeAutospacing="0" w:after="0" w:afterAutospacing="0" w:line="360" w:lineRule="auto"/>
              <w:ind w:left="0" w:right="0" w:firstLine="522" w:firstLineChars="200"/>
              <w:rPr>
                <w:rFonts w:hint="eastAsia"/>
                <w:b/>
                <w:bCs/>
                <w:color w:val="auto"/>
                <w:spacing w:val="10"/>
                <w:sz w:val="24"/>
                <w:lang w:val="en-US" w:eastAsia="zh-CN"/>
              </w:rPr>
            </w:pPr>
            <w:r>
              <w:rPr>
                <w:rFonts w:hint="eastAsia"/>
                <w:b/>
                <w:bCs/>
                <w:color w:val="auto"/>
                <w:spacing w:val="10"/>
                <w:sz w:val="24"/>
                <w:lang w:val="en-US" w:eastAsia="zh-CN"/>
              </w:rPr>
              <w:t>5.1.2施工废水防治措施</w:t>
            </w:r>
          </w:p>
          <w:p w14:paraId="329BBD5C">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①加强施工期器械管理，施工器械及车辆由统一专员管理，做好运输、清洗、维修台账；</w:t>
            </w:r>
          </w:p>
          <w:p w14:paraId="032AD1D5">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②定期对设备进行维护，减少油污跑冒滴漏产生。</w:t>
            </w:r>
          </w:p>
          <w:p w14:paraId="10D64BF6">
            <w:pPr>
              <w:keepNext w:val="0"/>
              <w:keepLines w:val="0"/>
              <w:suppressLineNumbers w:val="0"/>
              <w:adjustRightInd w:val="0"/>
              <w:snapToGrid w:val="0"/>
              <w:spacing w:before="0" w:beforeAutospacing="0" w:after="0" w:afterAutospacing="0" w:line="360" w:lineRule="auto"/>
              <w:ind w:left="0" w:right="0" w:firstLine="522" w:firstLineChars="200"/>
              <w:rPr>
                <w:rFonts w:hint="eastAsia"/>
                <w:b/>
                <w:bCs/>
                <w:color w:val="auto"/>
                <w:spacing w:val="10"/>
                <w:sz w:val="24"/>
                <w:lang w:val="en-US" w:eastAsia="zh-CN"/>
              </w:rPr>
            </w:pPr>
            <w:r>
              <w:rPr>
                <w:rFonts w:hint="eastAsia"/>
                <w:b/>
                <w:bCs/>
                <w:color w:val="auto"/>
                <w:spacing w:val="10"/>
                <w:sz w:val="24"/>
                <w:lang w:val="en-US" w:eastAsia="zh-CN"/>
              </w:rPr>
              <w:t>5.1.3悬浮泥沙防治措施</w:t>
            </w:r>
          </w:p>
          <w:p w14:paraId="7F57A12E">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①项目采用低潮期施工的方式，施工单位需制定详细的施工计划，并根据潮汐表实时调整施工时间，合理安排施工机械数量，最大可能地减少悬浮泥沙产生的影响。</w:t>
            </w:r>
          </w:p>
          <w:p w14:paraId="2725FD68">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②施工单位在制定施工计划、进度安排时，应充分考虑到附近海域的环境保护问题，合理安排施工进度、数量及位置，以降低地表径流携带的泥沙量和扬尘发生量。</w:t>
            </w:r>
          </w:p>
          <w:p w14:paraId="68436F2E">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③尽量缩短施工工期，减少施工过程对海水水质的影响时间。</w:t>
            </w:r>
          </w:p>
          <w:p w14:paraId="64C35965">
            <w:pPr>
              <w:keepNext w:val="0"/>
              <w:keepLines w:val="0"/>
              <w:suppressLineNumbers w:val="0"/>
              <w:adjustRightInd w:val="0"/>
              <w:snapToGrid w:val="0"/>
              <w:spacing w:before="0" w:beforeAutospacing="0" w:after="0" w:afterAutospacing="0" w:line="360" w:lineRule="auto"/>
              <w:ind w:left="0" w:right="0" w:firstLine="522" w:firstLineChars="200"/>
              <w:rPr>
                <w:rFonts w:hint="eastAsia"/>
                <w:b/>
                <w:bCs/>
                <w:color w:val="auto"/>
                <w:spacing w:val="10"/>
                <w:sz w:val="24"/>
                <w:lang w:val="en-US" w:eastAsia="zh-CN"/>
              </w:rPr>
            </w:pPr>
            <w:r>
              <w:rPr>
                <w:rFonts w:hint="eastAsia"/>
                <w:b/>
                <w:bCs/>
                <w:color w:val="auto"/>
                <w:spacing w:val="10"/>
                <w:sz w:val="24"/>
                <w:lang w:val="en-US" w:eastAsia="zh-CN"/>
              </w:rPr>
              <w:t>5.2大气环境保护措施</w:t>
            </w:r>
          </w:p>
          <w:p w14:paraId="00613A6B">
            <w:pPr>
              <w:keepNext w:val="0"/>
              <w:keepLines w:val="0"/>
              <w:suppressLineNumbers w:val="0"/>
              <w:adjustRightInd w:val="0"/>
              <w:snapToGrid w:val="0"/>
              <w:spacing w:before="0" w:beforeAutospacing="0" w:after="0" w:afterAutospacing="0" w:line="360" w:lineRule="auto"/>
              <w:ind w:left="0" w:right="0" w:firstLine="522" w:firstLineChars="200"/>
              <w:rPr>
                <w:rFonts w:hint="eastAsia"/>
                <w:b/>
                <w:bCs/>
                <w:color w:val="auto"/>
                <w:spacing w:val="10"/>
                <w:sz w:val="24"/>
                <w:lang w:val="en-US" w:eastAsia="zh-CN"/>
              </w:rPr>
            </w:pPr>
            <w:r>
              <w:rPr>
                <w:rFonts w:hint="eastAsia"/>
                <w:b/>
                <w:bCs/>
                <w:color w:val="auto"/>
                <w:spacing w:val="10"/>
                <w:sz w:val="24"/>
                <w:lang w:val="en-US" w:eastAsia="zh-CN"/>
              </w:rPr>
              <w:t>5.2.1降低施工扬尘的环境保护措施</w:t>
            </w:r>
          </w:p>
          <w:p w14:paraId="57F8C80F">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①采取分段施工，分段抛填、分段恢复，减少裸露地面面积和土方堆置；施工工地周围设置连续、密闭的围挡。施工现场场地适当进行硬化处理，场地的厚度和强度应满足施工和行车需要。现场场地和道路平坦通畅，以减少运输车辆颠簸洒漏物料。未能做到硬化的部分施工场地要定期压实地面和洒水、清扫，减少扬尘污染。</w:t>
            </w:r>
          </w:p>
          <w:p w14:paraId="7EE5BC77">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②进出工地的物料、渣土、垃圾运输车辆，应当采用密闭车斗。确无密闭车斗的，装载高度最高点不得超过车辆槽帮上沿40cm，两侧边缘应当低于槽帮上缘10cm。车斗应用苫布覆盖，苫布边缘至少要遮住槽帮上沿以下15cm。</w:t>
            </w:r>
          </w:p>
          <w:p w14:paraId="2BC32A70">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③运输车辆必须经由“过水路段”冲洗干净后方能离场上路行驶。在施工车辆驶离施工现场前，应当对车辆的车轮和槽帮进行冲洗清扫。</w:t>
            </w:r>
          </w:p>
          <w:p w14:paraId="387DA58C">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④制定严格的洒水降尘制度(定时、定点、定人)，施工队需配备洒水车，并配备专人清扫场地和施工道路。</w:t>
            </w:r>
          </w:p>
          <w:p w14:paraId="52994C2E">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⑤易飞扬的细颗粒散体材料、渣土等，应安排在临时仓库内存放或严密遮盖，运输时防止洒漏、飞扬，卸运尽量在仓库内进行并洒水湿润。</w:t>
            </w:r>
          </w:p>
          <w:p w14:paraId="3679B4F5">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⑥建设项目监理单位应当将扬尘污染防治纳入工程监理细则，对发现的扬尘污染行为，应当要求施工单位立即改正，并及时报告建设单位及有关行政主管部门。</w:t>
            </w:r>
          </w:p>
          <w:p w14:paraId="3447503A">
            <w:pPr>
              <w:keepNext w:val="0"/>
              <w:keepLines w:val="0"/>
              <w:suppressLineNumbers w:val="0"/>
              <w:adjustRightInd w:val="0"/>
              <w:snapToGrid w:val="0"/>
              <w:spacing w:before="0" w:beforeAutospacing="0" w:after="0" w:afterAutospacing="0" w:line="360" w:lineRule="auto"/>
              <w:ind w:left="0" w:right="0" w:firstLine="522" w:firstLineChars="200"/>
              <w:rPr>
                <w:rFonts w:hint="eastAsia"/>
                <w:b/>
                <w:bCs/>
                <w:color w:val="auto"/>
                <w:spacing w:val="10"/>
                <w:sz w:val="24"/>
                <w:lang w:val="en-US" w:eastAsia="zh-CN"/>
              </w:rPr>
            </w:pPr>
            <w:r>
              <w:rPr>
                <w:rFonts w:hint="eastAsia"/>
                <w:b/>
                <w:bCs/>
                <w:color w:val="auto"/>
                <w:spacing w:val="10"/>
                <w:sz w:val="24"/>
                <w:lang w:val="en-US" w:eastAsia="zh-CN"/>
              </w:rPr>
              <w:t>5.2.2降低机械废气产生的环境保护措施</w:t>
            </w:r>
          </w:p>
          <w:p w14:paraId="21113CE2">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①禁止使用尾气污染物超标排放机动车。</w:t>
            </w:r>
          </w:p>
          <w:p w14:paraId="633C5F6A">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②施工车辆采用清洁柴油或汽油。</w:t>
            </w:r>
          </w:p>
          <w:p w14:paraId="3A9636B1">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③加强机动车的检测与维修，使在用车经常保持在良好的状态，以减少尾气污染物的排放。</w:t>
            </w:r>
          </w:p>
          <w:p w14:paraId="17169A66">
            <w:pPr>
              <w:keepNext w:val="0"/>
              <w:keepLines w:val="0"/>
              <w:suppressLineNumbers w:val="0"/>
              <w:adjustRightInd w:val="0"/>
              <w:snapToGrid w:val="0"/>
              <w:spacing w:before="0" w:beforeAutospacing="0" w:after="0" w:afterAutospacing="0" w:line="360" w:lineRule="auto"/>
              <w:ind w:left="0" w:right="0" w:firstLine="522" w:firstLineChars="200"/>
              <w:rPr>
                <w:rFonts w:hint="eastAsia"/>
                <w:b/>
                <w:bCs/>
                <w:color w:val="auto"/>
                <w:spacing w:val="10"/>
                <w:sz w:val="24"/>
                <w:lang w:val="en-US" w:eastAsia="zh-CN"/>
              </w:rPr>
            </w:pPr>
            <w:r>
              <w:rPr>
                <w:rFonts w:hint="eastAsia"/>
                <w:b/>
                <w:bCs/>
                <w:color w:val="auto"/>
                <w:spacing w:val="10"/>
                <w:sz w:val="24"/>
                <w:lang w:val="en-US" w:eastAsia="zh-CN"/>
              </w:rPr>
              <w:t>5.3声环境保护措施</w:t>
            </w:r>
          </w:p>
          <w:p w14:paraId="7B4ECA9B">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①项目开工前15日建设单位应向地方环境保护行政主管部门申报该工程名称、施工场所和期限、可能产生的环境噪声值以及所采取的环境噪声污染防治措施情况。</w:t>
            </w:r>
          </w:p>
          <w:p w14:paraId="588228EC">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②选择符合声环境标准的低噪声设备，加强施工车辆和施工机械设备的日常维修保养。对高噪声设备加设简单围障降噪。</w:t>
            </w:r>
          </w:p>
          <w:p w14:paraId="55DBA0BF">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③加强施工机械的交通疏导工作，减少鸣笛，降低交通噪声。运输车辆经过有居民区的路段，应合理安排运输时间，减速慢行、禁止鸣笛，减轻物料运输交通噪声对环境敏感点的影响。</w:t>
            </w:r>
          </w:p>
          <w:p w14:paraId="3A399FAA">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④合理安排施工作业的时间，每天22点至次日晨6点禁止施工（因工艺需要须连续施工的除外）。在夜间超标施工必须向主管生态环境部门提出申请，获准后方可在指定日期内进行。</w:t>
            </w:r>
          </w:p>
          <w:p w14:paraId="06D1C5AF">
            <w:pPr>
              <w:keepNext w:val="0"/>
              <w:keepLines w:val="0"/>
              <w:suppressLineNumbers w:val="0"/>
              <w:adjustRightInd w:val="0"/>
              <w:snapToGrid w:val="0"/>
              <w:spacing w:before="0" w:beforeAutospacing="0" w:after="0" w:afterAutospacing="0" w:line="360" w:lineRule="auto"/>
              <w:ind w:left="0" w:right="0" w:firstLine="522" w:firstLineChars="200"/>
              <w:rPr>
                <w:rFonts w:hint="eastAsia"/>
                <w:b/>
                <w:bCs/>
                <w:color w:val="auto"/>
                <w:spacing w:val="10"/>
                <w:sz w:val="24"/>
                <w:lang w:val="en-US" w:eastAsia="zh-CN"/>
              </w:rPr>
            </w:pPr>
            <w:r>
              <w:rPr>
                <w:rFonts w:hint="eastAsia"/>
                <w:b/>
                <w:bCs/>
                <w:color w:val="auto"/>
                <w:spacing w:val="10"/>
                <w:sz w:val="24"/>
                <w:lang w:val="en-US" w:eastAsia="zh-CN"/>
              </w:rPr>
              <w:t>5.4固体废弃物防治措施</w:t>
            </w:r>
          </w:p>
          <w:p w14:paraId="3CDDB64E">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本项目施工期间产生的固体废弃物主要为施工人员的生活垃圾和清滩垃圾等。</w:t>
            </w:r>
          </w:p>
          <w:p w14:paraId="5C2B65BE">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①施工中禁止任意向海洋抛弃各类固体废弃物，施工中产生的固体废弃物由施工单位负责及时清理处置。施工结束时，需做好施工现场的清理和固体废弃物的处理处置工作，对有利用价值的施工废弃材料也应由施工单位负责及时清理处置。</w:t>
            </w:r>
          </w:p>
          <w:p w14:paraId="1EAD14A1">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②施工人员的生活垃圾经集中分类收集后，委托当地环卫部门统一及时处理。</w:t>
            </w:r>
          </w:p>
          <w:p w14:paraId="1F83E8CA">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③现有岸滩清理进行分类处理，对可回收利用的部分，积极进行综合利用，对无法回用的部分集中收集清运。</w:t>
            </w:r>
          </w:p>
          <w:p w14:paraId="039D11F8">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val="0"/>
                <w:color w:val="auto"/>
                <w:spacing w:val="10"/>
                <w:sz w:val="24"/>
                <w:lang w:val="en-US" w:eastAsia="zh-CN"/>
              </w:rPr>
            </w:pPr>
            <w:r>
              <w:rPr>
                <w:rFonts w:hint="eastAsia"/>
                <w:b w:val="0"/>
                <w:bCs w:val="0"/>
                <w:color w:val="auto"/>
                <w:spacing w:val="10"/>
                <w:sz w:val="24"/>
                <w:lang w:val="en-US" w:eastAsia="zh-CN"/>
              </w:rPr>
              <w:t>④在固体废弃物清运过程中施工单位应注意保护周围环境，规范运输，防止洒落，减少在运输过程中造成的二次污染。</w:t>
            </w:r>
          </w:p>
          <w:p w14:paraId="7679BA2D">
            <w:pPr>
              <w:keepNext w:val="0"/>
              <w:keepLines w:val="0"/>
              <w:suppressLineNumbers w:val="0"/>
              <w:adjustRightInd w:val="0"/>
              <w:snapToGrid w:val="0"/>
              <w:spacing w:before="0" w:beforeAutospacing="0" w:after="0" w:afterAutospacing="0" w:line="360" w:lineRule="auto"/>
              <w:ind w:left="0" w:right="0" w:firstLine="522" w:firstLineChars="200"/>
              <w:rPr>
                <w:rFonts w:hint="default"/>
                <w:b/>
                <w:bCs/>
                <w:color w:val="auto"/>
                <w:spacing w:val="10"/>
                <w:sz w:val="24"/>
                <w:lang w:val="en-US" w:eastAsia="zh-CN"/>
              </w:rPr>
            </w:pPr>
            <w:r>
              <w:rPr>
                <w:rFonts w:hint="eastAsia"/>
                <w:b/>
                <w:bCs/>
                <w:color w:val="auto"/>
                <w:spacing w:val="10"/>
                <w:sz w:val="24"/>
                <w:lang w:val="en-US" w:eastAsia="zh-CN"/>
              </w:rPr>
              <w:t>5.5生态保护对策措施</w:t>
            </w:r>
          </w:p>
          <w:p w14:paraId="09CA38A9">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①施工期，片石抛填会产生一定的施工悬沙，项目采用低潮期施工的方式，施工单位需制定详细的施工计划，并根据潮汐表实时调整施工时间，减少施工悬沙的影响范围和影响程度。</w:t>
            </w:r>
          </w:p>
          <w:p w14:paraId="09E9F85F">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②合理选择施工期，尽量避开鱼类的主要洄游、产卵季节；避开鱼类繁殖生长旺盛的季节，从而减少施工对渔业资源影响。</w:t>
            </w:r>
          </w:p>
          <w:p w14:paraId="4B77014C">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③合理划定施工范围，尽量减少占用过多的施工区域，减少施工扰动范围；</w:t>
            </w:r>
          </w:p>
          <w:p w14:paraId="18F815F4">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④科学合理安排施工工序和进度，尽量缩短作业时间，以减轻施工噪声、振动等扰动可能带来的生态环境影响。</w:t>
            </w:r>
          </w:p>
          <w:p w14:paraId="3B1E7E68">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⑤施工车辆应服从现场调度的统一指挥，按要求进行行驶和避让，避免发生交通事故，避免发生碰撞溢油风险。</w:t>
            </w:r>
          </w:p>
          <w:p w14:paraId="426BD2D3">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⑦加强施工人员的环保管理，严禁向海域内倾倒生活污水、丢弃垃圾，对生活污水和垃圾妥善收集处置，避免对海洋生态环境造成影响。</w:t>
            </w:r>
          </w:p>
          <w:p w14:paraId="196E2FE7">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⑧施工过程将材料堆放在妥善区域，防止落入海域，对海洋环境造成影响。</w:t>
            </w:r>
          </w:p>
          <w:p w14:paraId="6CC306CD">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⑨选择气象水文条件好的条件施工，避免浪、潮流和湍流冲击影响，避开大风浪季节施工，作好恶劣天气条件下的防护准备，6级以上大风应停止作业。</w:t>
            </w:r>
          </w:p>
          <w:p w14:paraId="627D7A25">
            <w:pPr>
              <w:keepNext w:val="0"/>
              <w:keepLines w:val="0"/>
              <w:suppressLineNumbers w:val="0"/>
              <w:adjustRightInd w:val="0"/>
              <w:snapToGrid w:val="0"/>
              <w:spacing w:before="0" w:beforeAutospacing="0" w:after="0" w:afterAutospacing="0" w:line="360" w:lineRule="auto"/>
              <w:ind w:left="0" w:right="0" w:firstLine="520" w:firstLineChars="200"/>
              <w:rPr>
                <w:rFonts w:hint="eastAsia" w:ascii="Times New Roman" w:hAnsi="Times New Roman" w:cs="Times New Roman"/>
                <w:b w:val="0"/>
                <w:bCs w:val="0"/>
                <w:color w:val="auto"/>
                <w:spacing w:val="10"/>
                <w:sz w:val="24"/>
                <w:lang w:val="en-US" w:eastAsia="zh-CN"/>
              </w:rPr>
            </w:pPr>
            <w:r>
              <w:rPr>
                <w:rFonts w:hint="eastAsia" w:ascii="Times New Roman" w:hAnsi="Times New Roman" w:cs="Times New Roman"/>
                <w:b w:val="0"/>
                <w:bCs w:val="0"/>
                <w:color w:val="auto"/>
                <w:spacing w:val="10"/>
                <w:sz w:val="24"/>
                <w:lang w:val="en-US" w:eastAsia="zh-CN"/>
              </w:rPr>
              <w:t>⑩加强与当地气象预报部门的联系，在恶劣天气条件下应提前做好施工安全防护工作。</w:t>
            </w:r>
          </w:p>
          <w:p w14:paraId="58ECE2E3">
            <w:pPr>
              <w:keepNext w:val="0"/>
              <w:keepLines w:val="0"/>
              <w:suppressLineNumbers w:val="0"/>
              <w:adjustRightInd w:val="0"/>
              <w:snapToGrid w:val="0"/>
              <w:spacing w:before="0" w:beforeAutospacing="0" w:after="0" w:afterAutospacing="0" w:line="360" w:lineRule="auto"/>
              <w:ind w:left="0" w:right="0" w:firstLine="520" w:firstLineChars="200"/>
              <w:rPr>
                <w:rFonts w:hint="eastAsia"/>
                <w:bCs/>
                <w:color w:val="C00000"/>
                <w:spacing w:val="10"/>
                <w:sz w:val="24"/>
              </w:rPr>
            </w:pPr>
            <w:r>
              <w:rPr>
                <w:rFonts w:hint="eastAsia" w:ascii="Times New Roman" w:hAnsi="Times New Roman" w:cs="Times New Roman"/>
                <w:b w:val="0"/>
                <w:bCs w:val="0"/>
                <w:color w:val="auto"/>
                <w:spacing w:val="10"/>
                <w:sz w:val="24"/>
                <w:lang w:val="en-US" w:eastAsia="zh-CN"/>
              </w:rPr>
              <w:t>通过落实以上生态保护对策措施，项目实施对海洋资源和生态环境均影响很小。</w:t>
            </w:r>
          </w:p>
        </w:tc>
      </w:tr>
      <w:tr w14:paraId="15049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99" w:type="dxa"/>
            <w:tcMar>
              <w:left w:w="28" w:type="dxa"/>
              <w:right w:w="28" w:type="dxa"/>
            </w:tcMar>
            <w:vAlign w:val="center"/>
          </w:tcPr>
          <w:p w14:paraId="465472B1">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r>
              <w:rPr>
                <w:rFonts w:hint="eastAsia"/>
                <w:bCs/>
                <w:color w:val="auto"/>
                <w:spacing w:val="10"/>
                <w:sz w:val="24"/>
                <w:szCs w:val="21"/>
              </w:rPr>
              <w:t>运营期生态环境保护措施</w:t>
            </w:r>
          </w:p>
        </w:tc>
        <w:tc>
          <w:tcPr>
            <w:tcW w:w="8211" w:type="dxa"/>
            <w:vAlign w:val="center"/>
          </w:tcPr>
          <w:p w14:paraId="3F009944">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bCs/>
                <w:color w:val="auto"/>
                <w:spacing w:val="10"/>
                <w:sz w:val="24"/>
              </w:rPr>
            </w:pPr>
            <w:r>
              <w:rPr>
                <w:rFonts w:hint="eastAsia"/>
                <w:sz w:val="24"/>
                <w:szCs w:val="24"/>
              </w:rPr>
              <w:t>本项目属于生态修复项目，施工结束即终止，项目无营运期。</w:t>
            </w:r>
          </w:p>
        </w:tc>
      </w:tr>
      <w:tr w14:paraId="44389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14:paraId="6BD6FB45">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r>
              <w:rPr>
                <w:rFonts w:hint="eastAsia"/>
                <w:bCs/>
                <w:color w:val="auto"/>
                <w:sz w:val="24"/>
                <w:szCs w:val="21"/>
              </w:rPr>
              <w:t>其他</w:t>
            </w:r>
          </w:p>
        </w:tc>
        <w:tc>
          <w:tcPr>
            <w:tcW w:w="8211" w:type="dxa"/>
            <w:vAlign w:val="center"/>
          </w:tcPr>
          <w:p w14:paraId="11BE1501">
            <w:pPr>
              <w:keepNext w:val="0"/>
              <w:keepLines w:val="0"/>
              <w:suppressLineNumbers w:val="0"/>
              <w:adjustRightInd w:val="0"/>
              <w:snapToGrid w:val="0"/>
              <w:spacing w:before="0" w:beforeAutospacing="0" w:after="0" w:afterAutospacing="0" w:line="360" w:lineRule="auto"/>
              <w:ind w:left="0" w:right="0" w:firstLine="520" w:firstLineChars="200"/>
              <w:jc w:val="center"/>
              <w:rPr>
                <w:rFonts w:hint="eastAsia"/>
                <w:color w:val="auto"/>
                <w:sz w:val="24"/>
              </w:rPr>
            </w:pPr>
            <w:r>
              <w:rPr>
                <w:rFonts w:hint="eastAsia"/>
                <w:bCs/>
                <w:color w:val="auto"/>
                <w:spacing w:val="10"/>
                <w:sz w:val="24"/>
              </w:rPr>
              <w:t>无。</w:t>
            </w:r>
          </w:p>
        </w:tc>
      </w:tr>
      <w:tr w14:paraId="48CDC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5" w:hRule="atLeast"/>
          <w:jc w:val="center"/>
        </w:trPr>
        <w:tc>
          <w:tcPr>
            <w:tcW w:w="999" w:type="dxa"/>
            <w:vAlign w:val="center"/>
          </w:tcPr>
          <w:p w14:paraId="49A18FAD">
            <w:pPr>
              <w:keepNext w:val="0"/>
              <w:keepLines w:val="0"/>
              <w:suppressLineNumbers w:val="0"/>
              <w:adjustRightInd w:val="0"/>
              <w:snapToGrid w:val="0"/>
              <w:spacing w:before="0" w:beforeAutospacing="0" w:after="0" w:afterAutospacing="0"/>
              <w:ind w:left="0" w:right="0"/>
              <w:jc w:val="center"/>
              <w:rPr>
                <w:rFonts w:hint="eastAsia"/>
                <w:bCs/>
                <w:color w:val="C00000"/>
                <w:spacing w:val="10"/>
                <w:szCs w:val="21"/>
              </w:rPr>
            </w:pPr>
            <w:r>
              <w:rPr>
                <w:rFonts w:hint="eastAsia"/>
                <w:bCs/>
                <w:color w:val="auto"/>
                <w:sz w:val="24"/>
                <w:szCs w:val="21"/>
              </w:rPr>
              <w:t>环保投资</w:t>
            </w:r>
          </w:p>
        </w:tc>
        <w:tc>
          <w:tcPr>
            <w:tcW w:w="8211" w:type="dxa"/>
          </w:tcPr>
          <w:p w14:paraId="5611C766">
            <w:pPr>
              <w:keepNext w:val="0"/>
              <w:keepLines w:val="0"/>
              <w:suppressLineNumbers w:val="0"/>
              <w:adjustRightInd w:val="0"/>
              <w:snapToGrid w:val="0"/>
              <w:spacing w:before="0" w:beforeAutospacing="0" w:after="0" w:afterAutospacing="0" w:line="360" w:lineRule="auto"/>
              <w:ind w:left="0" w:right="0" w:firstLine="520" w:firstLineChars="200"/>
              <w:rPr>
                <w:rFonts w:hint="eastAsia"/>
                <w:bCs/>
                <w:color w:val="auto"/>
                <w:spacing w:val="10"/>
                <w:sz w:val="24"/>
              </w:rPr>
            </w:pPr>
            <w:r>
              <w:rPr>
                <w:rFonts w:hint="eastAsia"/>
                <w:bCs/>
                <w:color w:val="auto"/>
                <w:spacing w:val="10"/>
                <w:sz w:val="24"/>
              </w:rPr>
              <w:t>本工程总投资约</w:t>
            </w:r>
            <w:r>
              <w:rPr>
                <w:rFonts w:hint="eastAsia"/>
                <w:bCs/>
                <w:color w:val="auto"/>
                <w:spacing w:val="10"/>
                <w:sz w:val="24"/>
                <w:lang w:val="en-US" w:eastAsia="zh-CN"/>
              </w:rPr>
              <w:t>200</w:t>
            </w:r>
            <w:r>
              <w:rPr>
                <w:rFonts w:hint="eastAsia"/>
                <w:bCs/>
                <w:color w:val="auto"/>
                <w:spacing w:val="10"/>
                <w:sz w:val="24"/>
              </w:rPr>
              <w:t>万元，预计环保投资约</w:t>
            </w:r>
            <w:r>
              <w:rPr>
                <w:rFonts w:hint="eastAsia"/>
                <w:bCs/>
                <w:color w:val="auto"/>
                <w:spacing w:val="10"/>
                <w:sz w:val="24"/>
                <w:lang w:val="en-US" w:eastAsia="zh-CN"/>
              </w:rPr>
              <w:t>20.89</w:t>
            </w:r>
            <w:r>
              <w:rPr>
                <w:rFonts w:hint="eastAsia"/>
                <w:bCs/>
                <w:color w:val="auto"/>
                <w:spacing w:val="10"/>
                <w:sz w:val="24"/>
              </w:rPr>
              <w:t>万元，占工程总投资的</w:t>
            </w:r>
            <w:r>
              <w:rPr>
                <w:rFonts w:hint="eastAsia"/>
                <w:bCs/>
                <w:color w:val="auto"/>
                <w:spacing w:val="10"/>
                <w:sz w:val="24"/>
                <w:lang w:val="en-US" w:eastAsia="zh-CN"/>
              </w:rPr>
              <w:t>10.4</w:t>
            </w:r>
            <w:r>
              <w:rPr>
                <w:rFonts w:hint="eastAsia"/>
                <w:bCs/>
                <w:color w:val="auto"/>
                <w:spacing w:val="10"/>
                <w:sz w:val="24"/>
              </w:rPr>
              <w:t>%。</w:t>
            </w:r>
          </w:p>
          <w:p w14:paraId="031B6E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kern w:val="0"/>
                <w:sz w:val="21"/>
                <w:szCs w:val="21"/>
                <w:lang w:val="zh-CN" w:eastAsia="zh-CN"/>
              </w:rPr>
            </w:pPr>
            <w:r>
              <w:rPr>
                <w:rFonts w:hint="eastAsia" w:ascii="Times New Roman" w:hAnsi="Times New Roman" w:cs="Times New Roman"/>
                <w:b/>
                <w:bCs/>
                <w:color w:val="auto"/>
                <w:kern w:val="0"/>
                <w:sz w:val="21"/>
                <w:szCs w:val="21"/>
                <w:lang w:val="zh-CN" w:eastAsia="zh-CN"/>
              </w:rPr>
              <w:t>表</w:t>
            </w:r>
            <w:r>
              <w:rPr>
                <w:rFonts w:hint="eastAsia" w:ascii="Times New Roman" w:hAnsi="Times New Roman" w:cs="Times New Roman"/>
                <w:b/>
                <w:bCs/>
                <w:color w:val="auto"/>
                <w:kern w:val="0"/>
                <w:sz w:val="21"/>
                <w:szCs w:val="21"/>
                <w:lang w:val="en-US" w:eastAsia="zh-CN"/>
              </w:rPr>
              <w:t xml:space="preserve">5.1-1 </w:t>
            </w:r>
            <w:r>
              <w:rPr>
                <w:rFonts w:hint="eastAsia" w:ascii="Times New Roman" w:hAnsi="Times New Roman" w:cs="Times New Roman"/>
                <w:b/>
                <w:bCs/>
                <w:color w:val="auto"/>
                <w:kern w:val="0"/>
                <w:sz w:val="21"/>
                <w:szCs w:val="21"/>
                <w:lang w:val="zh-CN" w:eastAsia="zh-CN"/>
              </w:rPr>
              <w:t>项目主要环保投资明细表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205"/>
              <w:gridCol w:w="4100"/>
              <w:gridCol w:w="1974"/>
            </w:tblGrid>
            <w:tr w14:paraId="6D23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06" w:type="dxa"/>
                  <w:vAlign w:val="center"/>
                </w:tcPr>
                <w:p w14:paraId="4E7BFA0D">
                  <w:pPr>
                    <w:keepNext w:val="0"/>
                    <w:keepLines w:val="0"/>
                    <w:suppressLineNumbers w:val="0"/>
                    <w:adjustRightInd w:val="0"/>
                    <w:snapToGrid w:val="0"/>
                    <w:spacing w:before="0" w:beforeAutospacing="0" w:after="0" w:afterAutospacing="0"/>
                    <w:ind w:left="0" w:right="0"/>
                    <w:jc w:val="center"/>
                    <w:rPr>
                      <w:rFonts w:hint="eastAsia"/>
                      <w:b/>
                      <w:bCs/>
                      <w:color w:val="auto"/>
                      <w:spacing w:val="10"/>
                      <w:szCs w:val="21"/>
                    </w:rPr>
                  </w:pPr>
                  <w:r>
                    <w:rPr>
                      <w:rFonts w:hint="eastAsia"/>
                      <w:b/>
                      <w:bCs/>
                      <w:color w:val="auto"/>
                      <w:spacing w:val="10"/>
                      <w:szCs w:val="21"/>
                    </w:rPr>
                    <w:t>阶段</w:t>
                  </w:r>
                </w:p>
              </w:tc>
              <w:tc>
                <w:tcPr>
                  <w:tcW w:w="1205" w:type="dxa"/>
                  <w:vAlign w:val="center"/>
                </w:tcPr>
                <w:p w14:paraId="0534B126">
                  <w:pPr>
                    <w:keepNext w:val="0"/>
                    <w:keepLines w:val="0"/>
                    <w:suppressLineNumbers w:val="0"/>
                    <w:adjustRightInd w:val="0"/>
                    <w:snapToGrid w:val="0"/>
                    <w:spacing w:before="0" w:beforeAutospacing="0" w:after="0" w:afterAutospacing="0"/>
                    <w:ind w:left="0" w:right="0"/>
                    <w:jc w:val="center"/>
                    <w:rPr>
                      <w:rFonts w:hint="eastAsia"/>
                      <w:b/>
                      <w:bCs/>
                      <w:color w:val="auto"/>
                      <w:spacing w:val="10"/>
                      <w:szCs w:val="21"/>
                    </w:rPr>
                  </w:pPr>
                  <w:r>
                    <w:rPr>
                      <w:rFonts w:hint="eastAsia"/>
                      <w:b/>
                      <w:bCs/>
                      <w:color w:val="auto"/>
                      <w:spacing w:val="10"/>
                      <w:szCs w:val="21"/>
                    </w:rPr>
                    <w:t>内容</w:t>
                  </w:r>
                </w:p>
              </w:tc>
              <w:tc>
                <w:tcPr>
                  <w:tcW w:w="4100" w:type="dxa"/>
                  <w:vAlign w:val="center"/>
                </w:tcPr>
                <w:p w14:paraId="517CC2EA">
                  <w:pPr>
                    <w:keepNext w:val="0"/>
                    <w:keepLines w:val="0"/>
                    <w:suppressLineNumbers w:val="0"/>
                    <w:adjustRightInd w:val="0"/>
                    <w:snapToGrid w:val="0"/>
                    <w:spacing w:before="0" w:beforeAutospacing="0" w:after="0" w:afterAutospacing="0"/>
                    <w:ind w:left="0" w:right="0"/>
                    <w:jc w:val="center"/>
                    <w:rPr>
                      <w:rFonts w:hint="eastAsia"/>
                      <w:b/>
                      <w:bCs/>
                      <w:color w:val="auto"/>
                      <w:spacing w:val="10"/>
                      <w:szCs w:val="21"/>
                    </w:rPr>
                  </w:pPr>
                  <w:r>
                    <w:rPr>
                      <w:rFonts w:hint="eastAsia"/>
                      <w:b/>
                      <w:bCs/>
                      <w:color w:val="auto"/>
                      <w:spacing w:val="10"/>
                      <w:szCs w:val="21"/>
                    </w:rPr>
                    <w:t>环保设施</w:t>
                  </w:r>
                </w:p>
              </w:tc>
              <w:tc>
                <w:tcPr>
                  <w:tcW w:w="1974" w:type="dxa"/>
                  <w:vAlign w:val="center"/>
                </w:tcPr>
                <w:p w14:paraId="3A4E691E">
                  <w:pPr>
                    <w:keepNext w:val="0"/>
                    <w:keepLines w:val="0"/>
                    <w:suppressLineNumbers w:val="0"/>
                    <w:adjustRightInd w:val="0"/>
                    <w:snapToGrid w:val="0"/>
                    <w:spacing w:before="0" w:beforeAutospacing="0" w:after="0" w:afterAutospacing="0"/>
                    <w:ind w:left="0" w:right="0"/>
                    <w:jc w:val="center"/>
                    <w:rPr>
                      <w:rFonts w:hint="eastAsia" w:eastAsia="宋体"/>
                      <w:b/>
                      <w:bCs/>
                      <w:color w:val="auto"/>
                      <w:spacing w:val="10"/>
                      <w:szCs w:val="21"/>
                      <w:lang w:eastAsia="zh-CN"/>
                    </w:rPr>
                  </w:pPr>
                  <w:r>
                    <w:rPr>
                      <w:rFonts w:hint="eastAsia"/>
                      <w:b/>
                      <w:bCs/>
                      <w:color w:val="auto"/>
                      <w:spacing w:val="10"/>
                      <w:szCs w:val="21"/>
                    </w:rPr>
                    <w:t>投资金额</w:t>
                  </w:r>
                  <w:r>
                    <w:rPr>
                      <w:rFonts w:hint="eastAsia"/>
                      <w:b/>
                      <w:bCs/>
                      <w:color w:val="auto"/>
                      <w:spacing w:val="10"/>
                      <w:szCs w:val="21"/>
                      <w:lang w:eastAsia="zh-CN"/>
                    </w:rPr>
                    <w:t>（</w:t>
                  </w:r>
                  <w:r>
                    <w:rPr>
                      <w:rFonts w:hint="eastAsia"/>
                      <w:b/>
                      <w:bCs/>
                      <w:color w:val="auto"/>
                      <w:spacing w:val="10"/>
                      <w:szCs w:val="21"/>
                      <w:lang w:val="en-US" w:eastAsia="zh-CN"/>
                    </w:rPr>
                    <w:t>万元</w:t>
                  </w:r>
                  <w:r>
                    <w:rPr>
                      <w:rFonts w:hint="eastAsia"/>
                      <w:b/>
                      <w:bCs/>
                      <w:color w:val="auto"/>
                      <w:spacing w:val="10"/>
                      <w:szCs w:val="21"/>
                      <w:lang w:eastAsia="zh-CN"/>
                    </w:rPr>
                    <w:t>）</w:t>
                  </w:r>
                </w:p>
              </w:tc>
            </w:tr>
            <w:tr w14:paraId="4AEF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restart"/>
                  <w:vAlign w:val="center"/>
                </w:tcPr>
                <w:p w14:paraId="44BC9990">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p>
              </w:tc>
              <w:tc>
                <w:tcPr>
                  <w:tcW w:w="1205" w:type="dxa"/>
                  <w:vAlign w:val="center"/>
                </w:tcPr>
                <w:p w14:paraId="125BF930">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r>
                    <w:rPr>
                      <w:rFonts w:hint="eastAsia"/>
                      <w:bCs/>
                      <w:color w:val="auto"/>
                      <w:spacing w:val="10"/>
                      <w:szCs w:val="21"/>
                    </w:rPr>
                    <w:t>废气</w:t>
                  </w:r>
                </w:p>
              </w:tc>
              <w:tc>
                <w:tcPr>
                  <w:tcW w:w="4100" w:type="dxa"/>
                  <w:vAlign w:val="center"/>
                </w:tcPr>
                <w:p w14:paraId="6D73720A">
                  <w:pPr>
                    <w:keepNext w:val="0"/>
                    <w:keepLines w:val="0"/>
                    <w:suppressLineNumbers w:val="0"/>
                    <w:adjustRightInd w:val="0"/>
                    <w:snapToGrid w:val="0"/>
                    <w:spacing w:before="0" w:beforeAutospacing="0" w:after="0" w:afterAutospacing="0"/>
                    <w:ind w:left="0" w:right="0"/>
                    <w:jc w:val="center"/>
                    <w:rPr>
                      <w:rFonts w:hint="default" w:eastAsia="宋体"/>
                      <w:bCs/>
                      <w:color w:val="auto"/>
                      <w:spacing w:val="10"/>
                      <w:szCs w:val="21"/>
                      <w:lang w:val="en-US" w:eastAsia="zh-CN"/>
                    </w:rPr>
                  </w:pPr>
                  <w:r>
                    <w:rPr>
                      <w:rFonts w:hint="eastAsia"/>
                      <w:bCs/>
                      <w:color w:val="auto"/>
                      <w:spacing w:val="10"/>
                      <w:szCs w:val="21"/>
                      <w:lang w:val="en-US" w:eastAsia="zh-CN"/>
                    </w:rPr>
                    <w:t>运输车防尘</w:t>
                  </w:r>
                </w:p>
              </w:tc>
              <w:tc>
                <w:tcPr>
                  <w:tcW w:w="1974" w:type="dxa"/>
                  <w:vAlign w:val="center"/>
                </w:tcPr>
                <w:p w14:paraId="00EACE0A">
                  <w:pPr>
                    <w:keepNext w:val="0"/>
                    <w:keepLines w:val="0"/>
                    <w:suppressLineNumbers w:val="0"/>
                    <w:adjustRightInd w:val="0"/>
                    <w:snapToGrid w:val="0"/>
                    <w:spacing w:before="0" w:beforeAutospacing="0" w:after="0" w:afterAutospacing="0"/>
                    <w:ind w:left="0" w:right="0"/>
                    <w:jc w:val="center"/>
                    <w:rPr>
                      <w:rFonts w:hint="default" w:eastAsia="宋体"/>
                      <w:bCs/>
                      <w:color w:val="auto"/>
                      <w:spacing w:val="10"/>
                      <w:szCs w:val="21"/>
                      <w:lang w:val="en-US" w:eastAsia="zh-CN"/>
                    </w:rPr>
                  </w:pPr>
                  <w:r>
                    <w:rPr>
                      <w:rFonts w:hint="eastAsia"/>
                      <w:bCs/>
                      <w:color w:val="auto"/>
                      <w:spacing w:val="10"/>
                      <w:szCs w:val="21"/>
                      <w:lang w:val="en-US" w:eastAsia="zh-CN"/>
                    </w:rPr>
                    <w:t>0.5</w:t>
                  </w:r>
                </w:p>
              </w:tc>
            </w:tr>
            <w:tr w14:paraId="3E79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continue"/>
                  <w:vAlign w:val="center"/>
                </w:tcPr>
                <w:p w14:paraId="5187AE76">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p>
              </w:tc>
              <w:tc>
                <w:tcPr>
                  <w:tcW w:w="1205" w:type="dxa"/>
                  <w:vAlign w:val="center"/>
                </w:tcPr>
                <w:p w14:paraId="5D3CCD04">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r>
                    <w:rPr>
                      <w:rFonts w:hint="eastAsia"/>
                      <w:bCs/>
                      <w:color w:val="auto"/>
                      <w:spacing w:val="10"/>
                      <w:szCs w:val="21"/>
                    </w:rPr>
                    <w:t>固体废物</w:t>
                  </w:r>
                </w:p>
              </w:tc>
              <w:tc>
                <w:tcPr>
                  <w:tcW w:w="4100" w:type="dxa"/>
                  <w:vAlign w:val="center"/>
                </w:tcPr>
                <w:p w14:paraId="0091FEBB">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r>
                    <w:rPr>
                      <w:rFonts w:hint="eastAsia"/>
                      <w:color w:val="auto"/>
                    </w:rPr>
                    <w:t>生活垃圾、块石清理费用</w:t>
                  </w:r>
                </w:p>
              </w:tc>
              <w:tc>
                <w:tcPr>
                  <w:tcW w:w="1974" w:type="dxa"/>
                  <w:vAlign w:val="center"/>
                </w:tcPr>
                <w:p w14:paraId="7BE5EB1A">
                  <w:pPr>
                    <w:keepNext w:val="0"/>
                    <w:keepLines w:val="0"/>
                    <w:suppressLineNumbers w:val="0"/>
                    <w:adjustRightInd w:val="0"/>
                    <w:snapToGrid w:val="0"/>
                    <w:spacing w:before="0" w:beforeAutospacing="0" w:after="0" w:afterAutospacing="0"/>
                    <w:ind w:left="0" w:right="0"/>
                    <w:jc w:val="center"/>
                    <w:rPr>
                      <w:rFonts w:hint="default" w:eastAsia="宋体"/>
                      <w:bCs/>
                      <w:color w:val="auto"/>
                      <w:spacing w:val="10"/>
                      <w:szCs w:val="21"/>
                      <w:lang w:val="en-US" w:eastAsia="zh-CN"/>
                    </w:rPr>
                  </w:pPr>
                  <w:r>
                    <w:rPr>
                      <w:rFonts w:hint="eastAsia"/>
                      <w:bCs/>
                      <w:color w:val="auto"/>
                      <w:spacing w:val="10"/>
                      <w:szCs w:val="21"/>
                      <w:lang w:val="en-US" w:eastAsia="zh-CN"/>
                    </w:rPr>
                    <w:t>2.5</w:t>
                  </w:r>
                </w:p>
              </w:tc>
            </w:tr>
            <w:tr w14:paraId="3AC6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continue"/>
                  <w:vAlign w:val="center"/>
                </w:tcPr>
                <w:p w14:paraId="4AC78E8F">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p>
              </w:tc>
              <w:tc>
                <w:tcPr>
                  <w:tcW w:w="1205" w:type="dxa"/>
                  <w:vAlign w:val="center"/>
                </w:tcPr>
                <w:p w14:paraId="64B4E5A7">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r>
                    <w:rPr>
                      <w:rFonts w:hint="eastAsia"/>
                      <w:bCs/>
                      <w:color w:val="auto"/>
                      <w:spacing w:val="10"/>
                      <w:szCs w:val="21"/>
                    </w:rPr>
                    <w:t>噪声</w:t>
                  </w:r>
                </w:p>
              </w:tc>
              <w:tc>
                <w:tcPr>
                  <w:tcW w:w="4100" w:type="dxa"/>
                  <w:vAlign w:val="center"/>
                </w:tcPr>
                <w:p w14:paraId="0ADB327B">
                  <w:pPr>
                    <w:keepNext w:val="0"/>
                    <w:keepLines w:val="0"/>
                    <w:suppressLineNumbers w:val="0"/>
                    <w:adjustRightInd w:val="0"/>
                    <w:snapToGrid w:val="0"/>
                    <w:spacing w:before="0" w:beforeAutospacing="0" w:after="0" w:afterAutospacing="0"/>
                    <w:ind w:left="0" w:right="0"/>
                    <w:jc w:val="center"/>
                    <w:rPr>
                      <w:rFonts w:hint="eastAsia" w:eastAsia="宋体"/>
                      <w:bCs/>
                      <w:color w:val="auto"/>
                      <w:spacing w:val="10"/>
                      <w:szCs w:val="21"/>
                      <w:lang w:eastAsia="zh-CN"/>
                    </w:rPr>
                  </w:pPr>
                  <w:r>
                    <w:rPr>
                      <w:rFonts w:hint="eastAsia"/>
                      <w:bCs/>
                      <w:color w:val="auto"/>
                      <w:spacing w:val="10"/>
                      <w:szCs w:val="21"/>
                      <w:lang w:val="en-US" w:eastAsia="zh-CN"/>
                    </w:rPr>
                    <w:t>施工围挡</w:t>
                  </w:r>
                </w:p>
              </w:tc>
              <w:tc>
                <w:tcPr>
                  <w:tcW w:w="1974" w:type="dxa"/>
                  <w:vAlign w:val="center"/>
                </w:tcPr>
                <w:p w14:paraId="162C40FF">
                  <w:pPr>
                    <w:keepNext w:val="0"/>
                    <w:keepLines w:val="0"/>
                    <w:suppressLineNumbers w:val="0"/>
                    <w:adjustRightInd w:val="0"/>
                    <w:snapToGrid w:val="0"/>
                    <w:spacing w:before="0" w:beforeAutospacing="0" w:after="0" w:afterAutospacing="0"/>
                    <w:ind w:left="0" w:right="0"/>
                    <w:jc w:val="center"/>
                    <w:rPr>
                      <w:rFonts w:hint="eastAsia" w:eastAsia="宋体"/>
                      <w:bCs/>
                      <w:color w:val="auto"/>
                      <w:spacing w:val="10"/>
                      <w:szCs w:val="21"/>
                      <w:lang w:eastAsia="zh-CN"/>
                    </w:rPr>
                  </w:pPr>
                  <w:r>
                    <w:rPr>
                      <w:rFonts w:hint="eastAsia"/>
                      <w:bCs/>
                      <w:color w:val="auto"/>
                      <w:spacing w:val="10"/>
                      <w:szCs w:val="21"/>
                      <w:lang w:val="en-US" w:eastAsia="zh-CN"/>
                    </w:rPr>
                    <w:t>1</w:t>
                  </w:r>
                </w:p>
              </w:tc>
            </w:tr>
            <w:tr w14:paraId="6E40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continue"/>
                  <w:vAlign w:val="center"/>
                </w:tcPr>
                <w:p w14:paraId="6371FC5B">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p>
              </w:tc>
              <w:tc>
                <w:tcPr>
                  <w:tcW w:w="1205" w:type="dxa"/>
                  <w:vAlign w:val="center"/>
                </w:tcPr>
                <w:p w14:paraId="26EB1231">
                  <w:pPr>
                    <w:keepNext w:val="0"/>
                    <w:keepLines w:val="0"/>
                    <w:suppressLineNumbers w:val="0"/>
                    <w:adjustRightInd w:val="0"/>
                    <w:snapToGrid w:val="0"/>
                    <w:spacing w:before="0" w:beforeAutospacing="0" w:after="0" w:afterAutospacing="0"/>
                    <w:ind w:left="0" w:right="0"/>
                    <w:jc w:val="center"/>
                    <w:rPr>
                      <w:rFonts w:hint="eastAsia" w:eastAsia="宋体"/>
                      <w:bCs/>
                      <w:color w:val="auto"/>
                      <w:spacing w:val="10"/>
                      <w:szCs w:val="21"/>
                      <w:lang w:eastAsia="zh-CN"/>
                    </w:rPr>
                  </w:pPr>
                  <w:r>
                    <w:rPr>
                      <w:rFonts w:hint="eastAsia"/>
                      <w:bCs/>
                      <w:color w:val="auto"/>
                      <w:spacing w:val="10"/>
                      <w:szCs w:val="21"/>
                      <w:lang w:val="en-US" w:eastAsia="zh-CN"/>
                    </w:rPr>
                    <w:t>海洋生态</w:t>
                  </w:r>
                </w:p>
              </w:tc>
              <w:tc>
                <w:tcPr>
                  <w:tcW w:w="4100" w:type="dxa"/>
                  <w:vAlign w:val="center"/>
                </w:tcPr>
                <w:p w14:paraId="2325A131">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r>
                    <w:rPr>
                      <w:rFonts w:hint="eastAsia"/>
                      <w:color w:val="auto"/>
                    </w:rPr>
                    <w:t>生态补偿费用</w:t>
                  </w:r>
                </w:p>
              </w:tc>
              <w:tc>
                <w:tcPr>
                  <w:tcW w:w="1974" w:type="dxa"/>
                  <w:vAlign w:val="center"/>
                </w:tcPr>
                <w:p w14:paraId="75A5A1E6">
                  <w:pPr>
                    <w:keepNext w:val="0"/>
                    <w:keepLines w:val="0"/>
                    <w:suppressLineNumbers w:val="0"/>
                    <w:adjustRightInd w:val="0"/>
                    <w:snapToGrid w:val="0"/>
                    <w:spacing w:before="0" w:beforeAutospacing="0" w:after="0" w:afterAutospacing="0"/>
                    <w:ind w:left="0" w:right="0"/>
                    <w:jc w:val="center"/>
                    <w:rPr>
                      <w:rFonts w:hint="default" w:eastAsia="宋体"/>
                      <w:bCs/>
                      <w:color w:val="auto"/>
                      <w:spacing w:val="10"/>
                      <w:szCs w:val="21"/>
                      <w:lang w:val="en-US" w:eastAsia="zh-CN"/>
                    </w:rPr>
                  </w:pPr>
                  <w:r>
                    <w:rPr>
                      <w:rFonts w:hint="eastAsia"/>
                      <w:bCs/>
                      <w:color w:val="auto"/>
                      <w:spacing w:val="10"/>
                      <w:szCs w:val="21"/>
                      <w:lang w:val="en-US" w:eastAsia="zh-CN"/>
                    </w:rPr>
                    <w:t>16.89</w:t>
                  </w:r>
                </w:p>
              </w:tc>
            </w:tr>
            <w:tr w14:paraId="1205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1" w:type="dxa"/>
                  <w:gridSpan w:val="3"/>
                  <w:vAlign w:val="center"/>
                </w:tcPr>
                <w:p w14:paraId="32F55BBB">
                  <w:pPr>
                    <w:keepNext w:val="0"/>
                    <w:keepLines w:val="0"/>
                    <w:suppressLineNumbers w:val="0"/>
                    <w:adjustRightInd w:val="0"/>
                    <w:snapToGrid w:val="0"/>
                    <w:spacing w:before="0" w:beforeAutospacing="0" w:after="0" w:afterAutospacing="0"/>
                    <w:ind w:left="0" w:right="0"/>
                    <w:jc w:val="center"/>
                    <w:rPr>
                      <w:rFonts w:hint="eastAsia"/>
                      <w:bCs/>
                      <w:color w:val="auto"/>
                      <w:spacing w:val="10"/>
                      <w:szCs w:val="21"/>
                    </w:rPr>
                  </w:pPr>
                  <w:r>
                    <w:rPr>
                      <w:rFonts w:hint="eastAsia"/>
                      <w:bCs/>
                      <w:color w:val="auto"/>
                      <w:spacing w:val="10"/>
                      <w:szCs w:val="21"/>
                    </w:rPr>
                    <w:t>合计</w:t>
                  </w:r>
                </w:p>
              </w:tc>
              <w:tc>
                <w:tcPr>
                  <w:tcW w:w="1974" w:type="dxa"/>
                  <w:vAlign w:val="center"/>
                </w:tcPr>
                <w:p w14:paraId="09CCD4A0">
                  <w:pPr>
                    <w:keepNext w:val="0"/>
                    <w:keepLines w:val="0"/>
                    <w:suppressLineNumbers w:val="0"/>
                    <w:adjustRightInd w:val="0"/>
                    <w:snapToGrid w:val="0"/>
                    <w:spacing w:before="0" w:beforeAutospacing="0" w:after="0" w:afterAutospacing="0"/>
                    <w:ind w:left="0" w:right="0"/>
                    <w:jc w:val="center"/>
                    <w:rPr>
                      <w:rFonts w:hint="default" w:eastAsia="宋体"/>
                      <w:bCs/>
                      <w:color w:val="auto"/>
                      <w:spacing w:val="10"/>
                      <w:szCs w:val="21"/>
                      <w:lang w:val="en-US" w:eastAsia="zh-CN"/>
                    </w:rPr>
                  </w:pPr>
                  <w:r>
                    <w:rPr>
                      <w:rFonts w:hint="eastAsia"/>
                      <w:bCs/>
                      <w:color w:val="auto"/>
                      <w:spacing w:val="10"/>
                      <w:szCs w:val="21"/>
                      <w:lang w:val="en-US" w:eastAsia="zh-CN"/>
                    </w:rPr>
                    <w:t>20.89</w:t>
                  </w:r>
                </w:p>
              </w:tc>
            </w:tr>
          </w:tbl>
          <w:p w14:paraId="1D93C3DE">
            <w:pPr>
              <w:keepNext w:val="0"/>
              <w:keepLines w:val="0"/>
              <w:suppressLineNumbers w:val="0"/>
              <w:adjustRightInd w:val="0"/>
              <w:snapToGrid w:val="0"/>
              <w:spacing w:before="0" w:beforeAutospacing="0" w:after="0" w:afterAutospacing="0"/>
              <w:ind w:left="0" w:right="0"/>
              <w:rPr>
                <w:rFonts w:hint="eastAsia"/>
                <w:bCs/>
                <w:color w:val="C00000"/>
                <w:spacing w:val="10"/>
                <w:sz w:val="24"/>
              </w:rPr>
            </w:pPr>
          </w:p>
        </w:tc>
      </w:tr>
    </w:tbl>
    <w:p w14:paraId="1A19F59A">
      <w:pPr>
        <w:rPr>
          <w:color w:val="C00000"/>
        </w:rPr>
        <w:sectPr>
          <w:pgSz w:w="11907" w:h="16840"/>
          <w:pgMar w:top="1304" w:right="1304" w:bottom="1304" w:left="1304" w:header="851" w:footer="851" w:gutter="0"/>
          <w:pgBorders>
            <w:top w:val="none" w:sz="0" w:space="0"/>
            <w:left w:val="none" w:sz="0" w:space="0"/>
            <w:bottom w:val="none" w:sz="0" w:space="0"/>
            <w:right w:val="none" w:sz="0" w:space="0"/>
          </w:pgBorders>
          <w:cols w:space="720" w:num="1"/>
          <w:docGrid w:linePitch="312" w:charSpace="0"/>
        </w:sectPr>
      </w:pPr>
    </w:p>
    <w:p w14:paraId="70EFD77B">
      <w:pPr>
        <w:pStyle w:val="21"/>
        <w:jc w:val="center"/>
        <w:outlineLvl w:val="0"/>
        <w:rPr>
          <w:rFonts w:ascii="Times New Roman" w:hAnsi="Times New Roman"/>
          <w:b/>
          <w:snapToGrid w:val="0"/>
          <w:color w:val="auto"/>
          <w:sz w:val="30"/>
          <w:szCs w:val="30"/>
        </w:rPr>
      </w:pPr>
      <w:bookmarkStart w:id="61" w:name="_Toc103157936"/>
      <w:r>
        <w:rPr>
          <w:rFonts w:ascii="Times New Roman" w:hAnsi="Times New Roman"/>
          <w:b/>
          <w:snapToGrid w:val="0"/>
          <w:color w:val="auto"/>
          <w:sz w:val="30"/>
          <w:szCs w:val="30"/>
        </w:rPr>
        <w:t>六、生态环境保护措施监督检查清单</w:t>
      </w:r>
      <w:bookmarkEnd w:id="61"/>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463"/>
        <w:gridCol w:w="1598"/>
        <w:gridCol w:w="1387"/>
        <w:gridCol w:w="1387"/>
      </w:tblGrid>
      <w:tr w14:paraId="601D1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3" w:type="pct"/>
            <w:vMerge w:val="restart"/>
            <w:tcBorders>
              <w:tl2br w:val="single" w:color="auto" w:sz="4" w:space="0"/>
            </w:tcBorders>
          </w:tcPr>
          <w:p w14:paraId="3C2A6EEA">
            <w:pPr>
              <w:pStyle w:val="21"/>
              <w:keepNext w:val="0"/>
              <w:keepLines w:val="0"/>
              <w:suppressLineNumbers w:val="0"/>
              <w:adjustRightInd w:val="0"/>
              <w:snapToGrid w:val="0"/>
              <w:spacing w:before="0" w:beforeAutospacing="0" w:after="0" w:afterAutospacing="0"/>
              <w:ind w:left="0" w:right="0"/>
              <w:jc w:val="right"/>
              <w:rPr>
                <w:rFonts w:hint="eastAsia" w:ascii="Times New Roman" w:hAnsi="Times New Roman"/>
                <w:color w:val="auto"/>
                <w:kern w:val="2"/>
                <w:sz w:val="21"/>
                <w:szCs w:val="21"/>
              </w:rPr>
            </w:pPr>
            <w:r>
              <w:rPr>
                <w:rFonts w:hint="eastAsia" w:ascii="Times New Roman" w:hAnsi="Times New Roman"/>
                <w:color w:val="auto"/>
                <w:kern w:val="2"/>
                <w:sz w:val="21"/>
                <w:szCs w:val="21"/>
              </w:rPr>
              <w:t>内容</w:t>
            </w:r>
          </w:p>
          <w:p w14:paraId="42EDC9C5">
            <w:pPr>
              <w:pStyle w:val="21"/>
              <w:keepNext w:val="0"/>
              <w:keepLines w:val="0"/>
              <w:suppressLineNumbers w:val="0"/>
              <w:adjustRightInd w:val="0"/>
              <w:snapToGrid w:val="0"/>
              <w:spacing w:before="0" w:beforeAutospacing="0" w:after="0" w:afterAutospacing="0"/>
              <w:ind w:left="0" w:right="0"/>
              <w:jc w:val="right"/>
              <w:rPr>
                <w:rFonts w:hint="eastAsia" w:ascii="Times New Roman" w:hAnsi="Times New Roman"/>
                <w:color w:val="auto"/>
                <w:kern w:val="2"/>
                <w:sz w:val="21"/>
                <w:szCs w:val="21"/>
              </w:rPr>
            </w:pPr>
          </w:p>
          <w:p w14:paraId="37625E56">
            <w:pPr>
              <w:pStyle w:val="21"/>
              <w:keepNext w:val="0"/>
              <w:keepLines w:val="0"/>
              <w:suppressLineNumbers w:val="0"/>
              <w:adjustRightInd w:val="0"/>
              <w:snapToGrid w:val="0"/>
              <w:spacing w:before="0" w:beforeAutospacing="0" w:after="0" w:afterAutospacing="0"/>
              <w:ind w:left="0" w:right="0"/>
              <w:jc w:val="both"/>
              <w:rPr>
                <w:rFonts w:hint="eastAsia" w:ascii="Times New Roman" w:hAnsi="Times New Roman"/>
                <w:color w:val="auto"/>
                <w:kern w:val="2"/>
                <w:sz w:val="21"/>
                <w:szCs w:val="21"/>
              </w:rPr>
            </w:pPr>
            <w:r>
              <w:rPr>
                <w:rFonts w:hint="eastAsia" w:ascii="Times New Roman" w:hAnsi="Times New Roman"/>
                <w:color w:val="auto"/>
                <w:kern w:val="2"/>
                <w:sz w:val="21"/>
                <w:szCs w:val="21"/>
              </w:rPr>
              <w:t xml:space="preserve">要素        </w:t>
            </w:r>
          </w:p>
        </w:tc>
        <w:tc>
          <w:tcPr>
            <w:tcW w:w="2969" w:type="pct"/>
            <w:gridSpan w:val="2"/>
            <w:vAlign w:val="center"/>
          </w:tcPr>
          <w:p w14:paraId="53C9E5ED">
            <w:pPr>
              <w:pStyle w:val="21"/>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kern w:val="2"/>
                <w:sz w:val="21"/>
                <w:szCs w:val="21"/>
              </w:rPr>
            </w:pPr>
            <w:r>
              <w:rPr>
                <w:rFonts w:hint="eastAsia" w:ascii="Times New Roman" w:hAnsi="Times New Roman"/>
                <w:color w:val="auto"/>
                <w:kern w:val="2"/>
                <w:sz w:val="21"/>
                <w:szCs w:val="21"/>
              </w:rPr>
              <w:t>施工期</w:t>
            </w:r>
          </w:p>
        </w:tc>
        <w:tc>
          <w:tcPr>
            <w:tcW w:w="1627" w:type="pct"/>
            <w:gridSpan w:val="2"/>
            <w:vAlign w:val="center"/>
          </w:tcPr>
          <w:p w14:paraId="0386A964">
            <w:pPr>
              <w:pStyle w:val="21"/>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kern w:val="2"/>
                <w:sz w:val="21"/>
                <w:szCs w:val="21"/>
              </w:rPr>
            </w:pPr>
            <w:r>
              <w:rPr>
                <w:rFonts w:hint="eastAsia" w:ascii="Times New Roman" w:hAnsi="Times New Roman"/>
                <w:color w:val="auto"/>
                <w:kern w:val="2"/>
                <w:sz w:val="21"/>
                <w:szCs w:val="21"/>
              </w:rPr>
              <w:t>运营期</w:t>
            </w:r>
          </w:p>
        </w:tc>
      </w:tr>
      <w:tr w14:paraId="12B36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03" w:type="pct"/>
            <w:vMerge w:val="continue"/>
          </w:tcPr>
          <w:p w14:paraId="5629FAB7">
            <w:pPr>
              <w:pStyle w:val="21"/>
              <w:keepNext w:val="0"/>
              <w:keepLines w:val="0"/>
              <w:suppressLineNumbers w:val="0"/>
              <w:adjustRightInd w:val="0"/>
              <w:snapToGrid w:val="0"/>
              <w:spacing w:before="0" w:beforeAutospacing="0" w:after="0" w:afterAutospacing="0"/>
              <w:ind w:left="0" w:right="0" w:firstLine="840"/>
              <w:jc w:val="center"/>
              <w:rPr>
                <w:rFonts w:hint="eastAsia" w:ascii="Times New Roman" w:hAnsi="Times New Roman"/>
                <w:color w:val="auto"/>
                <w:kern w:val="2"/>
                <w:sz w:val="21"/>
                <w:szCs w:val="21"/>
              </w:rPr>
            </w:pPr>
          </w:p>
        </w:tc>
        <w:tc>
          <w:tcPr>
            <w:tcW w:w="2031" w:type="pct"/>
            <w:vAlign w:val="center"/>
          </w:tcPr>
          <w:p w14:paraId="23841DDE">
            <w:pPr>
              <w:pStyle w:val="21"/>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kern w:val="2"/>
                <w:sz w:val="21"/>
                <w:szCs w:val="21"/>
              </w:rPr>
            </w:pPr>
            <w:r>
              <w:rPr>
                <w:rFonts w:hint="eastAsia" w:ascii="Times New Roman" w:hAnsi="Times New Roman"/>
                <w:color w:val="auto"/>
                <w:kern w:val="2"/>
                <w:sz w:val="21"/>
                <w:szCs w:val="21"/>
              </w:rPr>
              <w:t>环境保护措施</w:t>
            </w:r>
          </w:p>
        </w:tc>
        <w:tc>
          <w:tcPr>
            <w:tcW w:w="937" w:type="pct"/>
            <w:vAlign w:val="center"/>
          </w:tcPr>
          <w:p w14:paraId="1E7A89E5">
            <w:pPr>
              <w:pStyle w:val="21"/>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kern w:val="2"/>
                <w:sz w:val="21"/>
                <w:szCs w:val="21"/>
              </w:rPr>
            </w:pPr>
            <w:r>
              <w:rPr>
                <w:rFonts w:hint="eastAsia" w:ascii="Times New Roman" w:hAnsi="Times New Roman"/>
                <w:color w:val="auto"/>
                <w:kern w:val="2"/>
                <w:sz w:val="21"/>
                <w:szCs w:val="21"/>
              </w:rPr>
              <w:t>验收要求</w:t>
            </w:r>
          </w:p>
        </w:tc>
        <w:tc>
          <w:tcPr>
            <w:tcW w:w="813" w:type="pct"/>
            <w:vAlign w:val="center"/>
          </w:tcPr>
          <w:p w14:paraId="5E08CB2A">
            <w:pPr>
              <w:pStyle w:val="21"/>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kern w:val="2"/>
                <w:sz w:val="21"/>
                <w:szCs w:val="21"/>
              </w:rPr>
            </w:pPr>
            <w:r>
              <w:rPr>
                <w:rFonts w:hint="eastAsia" w:ascii="Times New Roman" w:hAnsi="Times New Roman"/>
                <w:color w:val="auto"/>
                <w:kern w:val="2"/>
                <w:sz w:val="21"/>
                <w:szCs w:val="21"/>
              </w:rPr>
              <w:t>环境保护措施</w:t>
            </w:r>
          </w:p>
        </w:tc>
        <w:tc>
          <w:tcPr>
            <w:tcW w:w="813" w:type="pct"/>
            <w:vAlign w:val="center"/>
          </w:tcPr>
          <w:p w14:paraId="1266F436">
            <w:pPr>
              <w:pStyle w:val="21"/>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auto"/>
                <w:kern w:val="2"/>
                <w:sz w:val="21"/>
                <w:szCs w:val="21"/>
              </w:rPr>
            </w:pPr>
            <w:r>
              <w:rPr>
                <w:rFonts w:hint="eastAsia" w:ascii="Times New Roman" w:hAnsi="Times New Roman"/>
                <w:color w:val="auto"/>
                <w:kern w:val="2"/>
                <w:sz w:val="21"/>
                <w:szCs w:val="21"/>
              </w:rPr>
              <w:t>验收要求</w:t>
            </w:r>
          </w:p>
        </w:tc>
      </w:tr>
      <w:tr w14:paraId="346ED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07CE0800">
            <w:pPr>
              <w:keepNext w:val="0"/>
              <w:keepLines w:val="0"/>
              <w:suppressLineNumbers w:val="0"/>
              <w:adjustRightInd w:val="0"/>
              <w:snapToGrid w:val="0"/>
              <w:spacing w:before="0" w:beforeAutospacing="0" w:after="0" w:afterAutospacing="0"/>
              <w:ind w:left="0" w:right="0"/>
              <w:jc w:val="center"/>
              <w:rPr>
                <w:rFonts w:hint="eastAsia"/>
                <w:color w:val="C00000"/>
                <w:szCs w:val="21"/>
              </w:rPr>
            </w:pPr>
            <w:r>
              <w:rPr>
                <w:rFonts w:hint="eastAsia"/>
                <w:color w:val="auto"/>
                <w:szCs w:val="21"/>
              </w:rPr>
              <w:t>陆生生态</w:t>
            </w:r>
          </w:p>
        </w:tc>
        <w:tc>
          <w:tcPr>
            <w:tcW w:w="2031" w:type="pct"/>
            <w:vAlign w:val="center"/>
          </w:tcPr>
          <w:p w14:paraId="061593B0">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施工车辆、人员活动等不得越过施工作业带；加强施工车辆运输期间管理，对物料运输进行遮盖等措施，尽量减少施工车辆运输带来的不良影响。</w:t>
            </w:r>
          </w:p>
        </w:tc>
        <w:tc>
          <w:tcPr>
            <w:tcW w:w="937" w:type="pct"/>
            <w:vAlign w:val="center"/>
          </w:tcPr>
          <w:p w14:paraId="04CF7672">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按照要求施工并做好施工记录。</w:t>
            </w:r>
          </w:p>
        </w:tc>
        <w:tc>
          <w:tcPr>
            <w:tcW w:w="813" w:type="pct"/>
            <w:vAlign w:val="center"/>
          </w:tcPr>
          <w:p w14:paraId="25FFAD09">
            <w:pPr>
              <w:keepNext w:val="0"/>
              <w:keepLines w:val="0"/>
              <w:suppressLineNumbers w:val="0"/>
              <w:spacing w:before="0" w:beforeAutospacing="0" w:after="0" w:afterAutospacing="0" w:line="240" w:lineRule="auto"/>
              <w:ind w:left="0" w:right="0" w:firstLine="0" w:firstLineChars="0"/>
              <w:jc w:val="center"/>
              <w:rPr>
                <w:rFonts w:hint="eastAsia"/>
                <w:color w:val="auto"/>
                <w:szCs w:val="21"/>
              </w:rPr>
            </w:pPr>
            <w:r>
              <w:rPr>
                <w:rFonts w:hint="eastAsia" w:ascii="宋体" w:hAnsi="宋体" w:cs="宋体"/>
                <w:color w:val="auto"/>
                <w:sz w:val="18"/>
                <w:szCs w:val="18"/>
              </w:rPr>
              <w:t>/</w:t>
            </w:r>
          </w:p>
        </w:tc>
        <w:tc>
          <w:tcPr>
            <w:tcW w:w="813" w:type="pct"/>
            <w:vAlign w:val="center"/>
          </w:tcPr>
          <w:p w14:paraId="5C9DFFE5">
            <w:pPr>
              <w:keepNext w:val="0"/>
              <w:keepLines w:val="0"/>
              <w:suppressLineNumbers w:val="0"/>
              <w:spacing w:before="0" w:beforeAutospacing="0" w:after="0" w:afterAutospacing="0" w:line="240" w:lineRule="auto"/>
              <w:ind w:left="0" w:right="0" w:firstLine="0" w:firstLineChars="0"/>
              <w:jc w:val="center"/>
              <w:rPr>
                <w:rFonts w:hint="eastAsia"/>
                <w:color w:val="auto"/>
                <w:szCs w:val="21"/>
              </w:rPr>
            </w:pPr>
            <w:r>
              <w:rPr>
                <w:rFonts w:hint="eastAsia" w:ascii="宋体" w:hAnsi="宋体" w:cs="宋体"/>
                <w:color w:val="auto"/>
                <w:sz w:val="18"/>
                <w:szCs w:val="18"/>
              </w:rPr>
              <w:t>/</w:t>
            </w:r>
          </w:p>
        </w:tc>
      </w:tr>
      <w:tr w14:paraId="3118E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1AEB4EAF">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水生生态</w:t>
            </w:r>
          </w:p>
        </w:tc>
        <w:tc>
          <w:tcPr>
            <w:tcW w:w="2031" w:type="pct"/>
            <w:vAlign w:val="center"/>
          </w:tcPr>
          <w:p w14:paraId="50364718">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①制定详细施工计划，减少悬浮泥沙污染；</w:t>
            </w:r>
          </w:p>
          <w:p w14:paraId="6A7D212D">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③严格用海范围，不得超范围施工，减小施工活动对海洋生物的影响；</w:t>
            </w:r>
          </w:p>
          <w:p w14:paraId="3FA36865">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③</w:t>
            </w:r>
            <w:r>
              <w:rPr>
                <w:rFonts w:hint="eastAsia" w:ascii="Times New Roman" w:hAnsi="Times New Roman" w:cs="Times New Roman"/>
                <w:color w:val="auto"/>
                <w:szCs w:val="21"/>
              </w:rPr>
              <w:t>不在雨天、台风等不利条件下进行施工；</w:t>
            </w:r>
          </w:p>
          <w:p w14:paraId="462F88A9">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④对施工现场产生的污废水和固体废物集中收集处理，严禁向海倾倒。</w:t>
            </w:r>
          </w:p>
        </w:tc>
        <w:tc>
          <w:tcPr>
            <w:tcW w:w="937" w:type="pct"/>
            <w:shd w:val="clear" w:color="auto" w:fill="auto"/>
            <w:vAlign w:val="center"/>
          </w:tcPr>
          <w:p w14:paraId="1E3DB0FD">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rPr>
              <w:t>按照要求施工并做好施工记录。</w:t>
            </w:r>
          </w:p>
        </w:tc>
        <w:tc>
          <w:tcPr>
            <w:tcW w:w="813" w:type="pct"/>
            <w:vAlign w:val="center"/>
          </w:tcPr>
          <w:p w14:paraId="1DE32A52">
            <w:pPr>
              <w:keepNext w:val="0"/>
              <w:keepLines w:val="0"/>
              <w:suppressLineNumbers w:val="0"/>
              <w:spacing w:before="0" w:beforeAutospacing="0" w:after="0" w:afterAutospacing="0" w:line="240" w:lineRule="auto"/>
              <w:ind w:left="0" w:right="0" w:firstLine="0" w:firstLineChars="0"/>
              <w:jc w:val="center"/>
              <w:rPr>
                <w:rFonts w:hint="eastAsia"/>
                <w:color w:val="C00000"/>
                <w:szCs w:val="21"/>
              </w:rPr>
            </w:pPr>
            <w:r>
              <w:rPr>
                <w:rFonts w:hint="eastAsia" w:ascii="宋体" w:hAnsi="宋体" w:cs="宋体"/>
                <w:color w:val="auto"/>
                <w:sz w:val="18"/>
                <w:szCs w:val="18"/>
              </w:rPr>
              <w:t>/</w:t>
            </w:r>
          </w:p>
        </w:tc>
        <w:tc>
          <w:tcPr>
            <w:tcW w:w="813" w:type="pct"/>
            <w:vAlign w:val="center"/>
          </w:tcPr>
          <w:p w14:paraId="2EDB60AF">
            <w:pPr>
              <w:keepNext w:val="0"/>
              <w:keepLines w:val="0"/>
              <w:suppressLineNumbers w:val="0"/>
              <w:spacing w:before="0" w:beforeAutospacing="0" w:after="0" w:afterAutospacing="0" w:line="240" w:lineRule="auto"/>
              <w:ind w:left="0" w:right="0" w:firstLine="0" w:firstLineChars="0"/>
              <w:jc w:val="center"/>
              <w:rPr>
                <w:rFonts w:hint="eastAsia"/>
                <w:color w:val="C00000"/>
                <w:szCs w:val="21"/>
              </w:rPr>
            </w:pPr>
            <w:r>
              <w:rPr>
                <w:rFonts w:hint="eastAsia" w:ascii="宋体" w:hAnsi="宋体" w:cs="宋体"/>
                <w:color w:val="auto"/>
                <w:sz w:val="18"/>
                <w:szCs w:val="18"/>
              </w:rPr>
              <w:t>/</w:t>
            </w:r>
          </w:p>
        </w:tc>
      </w:tr>
      <w:tr w14:paraId="25C19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2416E881">
            <w:pPr>
              <w:keepNext w:val="0"/>
              <w:keepLines w:val="0"/>
              <w:suppressLineNumbers w:val="0"/>
              <w:adjustRightInd w:val="0"/>
              <w:snapToGrid w:val="0"/>
              <w:spacing w:before="0" w:beforeAutospacing="0" w:after="0" w:afterAutospacing="0"/>
              <w:ind w:left="0" w:right="0"/>
              <w:jc w:val="center"/>
              <w:rPr>
                <w:rFonts w:hint="eastAsia"/>
                <w:color w:val="C00000"/>
                <w:sz w:val="21"/>
                <w:szCs w:val="21"/>
              </w:rPr>
            </w:pPr>
            <w:r>
              <w:rPr>
                <w:rFonts w:hint="eastAsia"/>
                <w:color w:val="auto"/>
                <w:sz w:val="21"/>
                <w:szCs w:val="21"/>
              </w:rPr>
              <w:t>地表水环境</w:t>
            </w:r>
          </w:p>
        </w:tc>
        <w:tc>
          <w:tcPr>
            <w:tcW w:w="2031" w:type="pct"/>
            <w:vAlign w:val="center"/>
          </w:tcPr>
          <w:p w14:paraId="1DE2525D">
            <w:pPr>
              <w:keepNext w:val="0"/>
              <w:keepLines w:val="0"/>
              <w:suppressLineNumbers w:val="0"/>
              <w:adjustRightInd w:val="0"/>
              <w:snapToGrid w:val="0"/>
              <w:spacing w:before="0" w:beforeAutospacing="0" w:after="0" w:afterAutospacing="0"/>
              <w:ind w:left="0" w:right="0"/>
              <w:rPr>
                <w:rFonts w:hint="eastAsia"/>
                <w:bCs/>
                <w:color w:val="C00000"/>
                <w:sz w:val="21"/>
                <w:szCs w:val="21"/>
              </w:rPr>
            </w:pPr>
            <w:r>
              <w:rPr>
                <w:rFonts w:hint="eastAsia"/>
                <w:sz w:val="21"/>
                <w:szCs w:val="21"/>
              </w:rPr>
              <w:t>施工过程中</w:t>
            </w:r>
            <w:r>
              <w:rPr>
                <w:rFonts w:hint="eastAsia"/>
                <w:sz w:val="21"/>
                <w:szCs w:val="21"/>
                <w:lang w:val="en-US" w:eastAsia="zh-CN"/>
              </w:rPr>
              <w:t>利用厂区</w:t>
            </w:r>
            <w:r>
              <w:rPr>
                <w:rFonts w:hint="eastAsia"/>
                <w:sz w:val="21"/>
                <w:szCs w:val="21"/>
              </w:rPr>
              <w:t>作为施工人员生活区，生活污水依托现有的污水收集设施进行收集，然后送污水处理厂处理。</w:t>
            </w:r>
          </w:p>
        </w:tc>
        <w:tc>
          <w:tcPr>
            <w:tcW w:w="937" w:type="pct"/>
            <w:vAlign w:val="center"/>
          </w:tcPr>
          <w:p w14:paraId="0E7E87CA">
            <w:pPr>
              <w:keepNext w:val="0"/>
              <w:keepLines w:val="0"/>
              <w:suppressLineNumbers w:val="0"/>
              <w:adjustRightInd w:val="0"/>
              <w:snapToGrid w:val="0"/>
              <w:spacing w:before="0" w:beforeAutospacing="0" w:after="0" w:afterAutospacing="0"/>
              <w:ind w:left="0" w:right="0"/>
              <w:jc w:val="center"/>
              <w:rPr>
                <w:rFonts w:hint="eastAsia"/>
                <w:color w:val="C00000"/>
                <w:szCs w:val="21"/>
              </w:rPr>
            </w:pPr>
            <w:r>
              <w:rPr>
                <w:rFonts w:hint="eastAsia"/>
                <w:color w:val="auto"/>
                <w:szCs w:val="21"/>
              </w:rPr>
              <w:t>/</w:t>
            </w:r>
          </w:p>
        </w:tc>
        <w:tc>
          <w:tcPr>
            <w:tcW w:w="813" w:type="pct"/>
            <w:shd w:val="clear" w:color="auto" w:fill="auto"/>
            <w:vAlign w:val="center"/>
          </w:tcPr>
          <w:p w14:paraId="272C073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c>
          <w:tcPr>
            <w:tcW w:w="813" w:type="pct"/>
            <w:shd w:val="clear" w:color="auto" w:fill="auto"/>
            <w:vAlign w:val="center"/>
          </w:tcPr>
          <w:p w14:paraId="5F1E3AC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r>
      <w:tr w14:paraId="77CB3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0FCB4806">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地下水及土壤环境</w:t>
            </w:r>
          </w:p>
        </w:tc>
        <w:tc>
          <w:tcPr>
            <w:tcW w:w="2031" w:type="pct"/>
            <w:vAlign w:val="center"/>
          </w:tcPr>
          <w:p w14:paraId="0496D4EA">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w:t>
            </w:r>
          </w:p>
        </w:tc>
        <w:tc>
          <w:tcPr>
            <w:tcW w:w="937" w:type="pct"/>
            <w:vAlign w:val="center"/>
          </w:tcPr>
          <w:p w14:paraId="2972DA78">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w:t>
            </w:r>
          </w:p>
        </w:tc>
        <w:tc>
          <w:tcPr>
            <w:tcW w:w="813" w:type="pct"/>
            <w:shd w:val="clear" w:color="auto" w:fill="auto"/>
            <w:vAlign w:val="center"/>
          </w:tcPr>
          <w:p w14:paraId="3633EFA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C00000"/>
                <w:kern w:val="2"/>
                <w:sz w:val="21"/>
                <w:szCs w:val="21"/>
                <w:lang w:val="en-US" w:eastAsia="zh-CN" w:bidi="ar-SA"/>
              </w:rPr>
            </w:pPr>
            <w:r>
              <w:rPr>
                <w:rFonts w:hint="eastAsia" w:ascii="宋体" w:hAnsi="宋体" w:cs="宋体"/>
                <w:color w:val="auto"/>
                <w:sz w:val="18"/>
                <w:szCs w:val="18"/>
              </w:rPr>
              <w:t>/</w:t>
            </w:r>
          </w:p>
        </w:tc>
        <w:tc>
          <w:tcPr>
            <w:tcW w:w="813" w:type="pct"/>
            <w:shd w:val="clear" w:color="auto" w:fill="auto"/>
            <w:vAlign w:val="center"/>
          </w:tcPr>
          <w:p w14:paraId="017EC7F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C00000"/>
                <w:kern w:val="2"/>
                <w:sz w:val="21"/>
                <w:szCs w:val="21"/>
                <w:lang w:val="en-US" w:eastAsia="zh-CN" w:bidi="ar-SA"/>
              </w:rPr>
            </w:pPr>
            <w:r>
              <w:rPr>
                <w:rFonts w:hint="eastAsia" w:ascii="宋体" w:hAnsi="宋体" w:cs="宋体"/>
                <w:color w:val="auto"/>
                <w:sz w:val="18"/>
                <w:szCs w:val="18"/>
              </w:rPr>
              <w:t>/</w:t>
            </w:r>
          </w:p>
        </w:tc>
      </w:tr>
      <w:tr w14:paraId="38EBD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49FDC87E">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声环境</w:t>
            </w:r>
          </w:p>
        </w:tc>
        <w:tc>
          <w:tcPr>
            <w:tcW w:w="2031" w:type="pct"/>
            <w:vAlign w:val="center"/>
          </w:tcPr>
          <w:p w14:paraId="280164F7">
            <w:pPr>
              <w:keepNext w:val="0"/>
              <w:keepLines w:val="0"/>
              <w:suppressLineNumbers w:val="0"/>
              <w:adjustRightInd w:val="0"/>
              <w:snapToGrid w:val="0"/>
              <w:spacing w:before="0" w:beforeAutospacing="0" w:after="0" w:afterAutospacing="0"/>
              <w:ind w:left="0" w:right="0"/>
              <w:rPr>
                <w:rFonts w:hint="eastAsia"/>
                <w:color w:val="auto"/>
                <w:szCs w:val="21"/>
              </w:rPr>
            </w:pPr>
            <w:r>
              <w:rPr>
                <w:rFonts w:hint="eastAsia" w:ascii="宋体" w:hAnsi="宋体" w:cs="宋体"/>
                <w:color w:val="auto"/>
                <w:szCs w:val="21"/>
              </w:rPr>
              <w:t>①</w:t>
            </w:r>
            <w:r>
              <w:rPr>
                <w:rFonts w:hint="eastAsia"/>
                <w:color w:val="auto"/>
                <w:szCs w:val="21"/>
              </w:rPr>
              <w:t>选用低噪声机械设备，加强设备保养；</w:t>
            </w:r>
          </w:p>
          <w:p w14:paraId="588B0D61">
            <w:pPr>
              <w:keepNext w:val="0"/>
              <w:keepLines w:val="0"/>
              <w:suppressLineNumbers w:val="0"/>
              <w:adjustRightInd w:val="0"/>
              <w:snapToGrid w:val="0"/>
              <w:spacing w:before="0" w:beforeAutospacing="0" w:after="0" w:afterAutospacing="0"/>
              <w:ind w:left="0" w:right="0"/>
              <w:rPr>
                <w:rFonts w:hint="eastAsia"/>
                <w:color w:val="auto"/>
                <w:szCs w:val="21"/>
              </w:rPr>
            </w:pPr>
            <w:r>
              <w:rPr>
                <w:rFonts w:hint="eastAsia" w:ascii="宋体" w:hAnsi="宋体" w:cs="宋体"/>
                <w:color w:val="auto"/>
                <w:szCs w:val="21"/>
                <w:lang w:eastAsia="ja-JP"/>
              </w:rPr>
              <w:t>②</w:t>
            </w:r>
            <w:r>
              <w:rPr>
                <w:rFonts w:hint="eastAsia"/>
                <w:color w:val="auto"/>
                <w:szCs w:val="21"/>
                <w:lang w:eastAsia="ja-JP"/>
              </w:rPr>
              <w:t>合理安排施工</w:t>
            </w:r>
            <w:r>
              <w:rPr>
                <w:rFonts w:hint="eastAsia"/>
                <w:color w:val="auto"/>
                <w:szCs w:val="21"/>
              </w:rPr>
              <w:t>时间；</w:t>
            </w:r>
          </w:p>
          <w:p w14:paraId="698D1E2C">
            <w:pPr>
              <w:keepNext w:val="0"/>
              <w:keepLines w:val="0"/>
              <w:suppressLineNumbers w:val="0"/>
              <w:adjustRightInd w:val="0"/>
              <w:snapToGrid w:val="0"/>
              <w:spacing w:before="0" w:beforeAutospacing="0" w:after="0" w:afterAutospacing="0"/>
              <w:ind w:left="0" w:right="0"/>
              <w:rPr>
                <w:rFonts w:hint="eastAsia"/>
                <w:color w:val="auto"/>
                <w:szCs w:val="21"/>
              </w:rPr>
            </w:pPr>
            <w:r>
              <w:rPr>
                <w:rFonts w:hint="eastAsia"/>
                <w:color w:val="auto"/>
                <w:szCs w:val="21"/>
              </w:rPr>
              <w:t>③控制施工</w:t>
            </w:r>
            <w:r>
              <w:rPr>
                <w:rFonts w:hint="eastAsia"/>
                <w:color w:val="auto"/>
                <w:szCs w:val="21"/>
                <w:lang w:val="en-US" w:eastAsia="zh-CN"/>
              </w:rPr>
              <w:t>机车辆</w:t>
            </w:r>
            <w:r>
              <w:rPr>
                <w:rFonts w:hint="eastAsia"/>
                <w:color w:val="auto"/>
                <w:szCs w:val="21"/>
              </w:rPr>
              <w:t>鸣笛和高音喇叭的使用。</w:t>
            </w:r>
          </w:p>
        </w:tc>
        <w:tc>
          <w:tcPr>
            <w:tcW w:w="937" w:type="pct"/>
            <w:vAlign w:val="center"/>
          </w:tcPr>
          <w:p w14:paraId="65CB7950">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《建筑施工场界环境噪声排放标准》（GB12523-20</w:t>
            </w:r>
            <w:r>
              <w:rPr>
                <w:rFonts w:hint="eastAsia"/>
                <w:color w:val="auto"/>
                <w:szCs w:val="21"/>
                <w:lang w:val="en-US" w:eastAsia="zh-CN"/>
              </w:rPr>
              <w:t>25</w:t>
            </w:r>
            <w:r>
              <w:rPr>
                <w:rFonts w:hint="eastAsia"/>
                <w:color w:val="auto"/>
                <w:szCs w:val="21"/>
              </w:rPr>
              <w:t>）</w:t>
            </w:r>
          </w:p>
        </w:tc>
        <w:tc>
          <w:tcPr>
            <w:tcW w:w="813" w:type="pct"/>
            <w:shd w:val="clear" w:color="auto" w:fill="auto"/>
            <w:vAlign w:val="center"/>
          </w:tcPr>
          <w:p w14:paraId="49F9F18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c>
          <w:tcPr>
            <w:tcW w:w="813" w:type="pct"/>
            <w:shd w:val="clear" w:color="auto" w:fill="auto"/>
            <w:vAlign w:val="center"/>
          </w:tcPr>
          <w:p w14:paraId="14B32DA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r>
      <w:tr w14:paraId="5AA89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4A64F4E6">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振动</w:t>
            </w:r>
          </w:p>
        </w:tc>
        <w:tc>
          <w:tcPr>
            <w:tcW w:w="2031" w:type="pct"/>
            <w:vAlign w:val="center"/>
          </w:tcPr>
          <w:p w14:paraId="1E140A87">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w:t>
            </w:r>
          </w:p>
        </w:tc>
        <w:tc>
          <w:tcPr>
            <w:tcW w:w="937" w:type="pct"/>
            <w:vAlign w:val="center"/>
          </w:tcPr>
          <w:p w14:paraId="01E490E6">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w:t>
            </w:r>
          </w:p>
        </w:tc>
        <w:tc>
          <w:tcPr>
            <w:tcW w:w="813" w:type="pct"/>
            <w:shd w:val="clear" w:color="auto" w:fill="auto"/>
            <w:vAlign w:val="center"/>
          </w:tcPr>
          <w:p w14:paraId="38976F5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C00000"/>
                <w:kern w:val="2"/>
                <w:sz w:val="21"/>
                <w:szCs w:val="21"/>
                <w:lang w:val="en-US" w:eastAsia="zh-CN" w:bidi="ar-SA"/>
              </w:rPr>
            </w:pPr>
            <w:r>
              <w:rPr>
                <w:rFonts w:hint="eastAsia" w:ascii="宋体" w:hAnsi="宋体" w:cs="宋体"/>
                <w:color w:val="auto"/>
                <w:sz w:val="18"/>
                <w:szCs w:val="18"/>
              </w:rPr>
              <w:t>/</w:t>
            </w:r>
          </w:p>
        </w:tc>
        <w:tc>
          <w:tcPr>
            <w:tcW w:w="813" w:type="pct"/>
            <w:shd w:val="clear" w:color="auto" w:fill="auto"/>
            <w:vAlign w:val="center"/>
          </w:tcPr>
          <w:p w14:paraId="249747C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C00000"/>
                <w:kern w:val="2"/>
                <w:sz w:val="21"/>
                <w:szCs w:val="21"/>
                <w:lang w:val="en-US" w:eastAsia="zh-CN" w:bidi="ar-SA"/>
              </w:rPr>
            </w:pPr>
            <w:r>
              <w:rPr>
                <w:rFonts w:hint="eastAsia" w:ascii="宋体" w:hAnsi="宋体" w:cs="宋体"/>
                <w:color w:val="auto"/>
                <w:sz w:val="18"/>
                <w:szCs w:val="18"/>
              </w:rPr>
              <w:t>/</w:t>
            </w:r>
          </w:p>
        </w:tc>
      </w:tr>
      <w:tr w14:paraId="756AB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11CA7B6D">
            <w:pPr>
              <w:keepNext w:val="0"/>
              <w:keepLines w:val="0"/>
              <w:suppressLineNumbers w:val="0"/>
              <w:adjustRightInd w:val="0"/>
              <w:snapToGrid w:val="0"/>
              <w:spacing w:before="0" w:beforeAutospacing="0" w:after="0" w:afterAutospacing="0"/>
              <w:ind w:left="0" w:right="0"/>
              <w:jc w:val="center"/>
              <w:rPr>
                <w:rFonts w:hint="eastAsia"/>
                <w:color w:val="C00000"/>
                <w:szCs w:val="21"/>
              </w:rPr>
            </w:pPr>
            <w:r>
              <w:rPr>
                <w:rFonts w:hint="eastAsia"/>
                <w:color w:val="auto"/>
                <w:szCs w:val="21"/>
              </w:rPr>
              <w:t>大气环境</w:t>
            </w:r>
          </w:p>
        </w:tc>
        <w:tc>
          <w:tcPr>
            <w:tcW w:w="2031" w:type="pct"/>
            <w:vAlign w:val="center"/>
          </w:tcPr>
          <w:p w14:paraId="1FEDB71A">
            <w:pPr>
              <w:keepNext w:val="0"/>
              <w:keepLines w:val="0"/>
              <w:suppressLineNumbers w:val="0"/>
              <w:adjustRightInd w:val="0"/>
              <w:snapToGrid w:val="0"/>
              <w:spacing w:before="0" w:beforeAutospacing="0" w:after="0" w:afterAutospacing="0"/>
              <w:ind w:left="0" w:right="0"/>
              <w:rPr>
                <w:rFonts w:hint="eastAsia"/>
                <w:bCs/>
                <w:color w:val="auto"/>
                <w:szCs w:val="21"/>
              </w:rPr>
            </w:pPr>
            <w:r>
              <w:rPr>
                <w:rFonts w:hint="eastAsia"/>
                <w:bCs/>
                <w:color w:val="auto"/>
                <w:szCs w:val="21"/>
              </w:rPr>
              <w:t>①使用符合标准的施工机械，定期检修，避免故障废气增排；</w:t>
            </w:r>
          </w:p>
          <w:p w14:paraId="03F9BA38">
            <w:pPr>
              <w:keepNext w:val="0"/>
              <w:keepLines w:val="0"/>
              <w:suppressLineNumbers w:val="0"/>
              <w:adjustRightInd w:val="0"/>
              <w:snapToGrid w:val="0"/>
              <w:spacing w:before="0" w:beforeAutospacing="0" w:after="0" w:afterAutospacing="0"/>
              <w:ind w:left="0" w:right="0"/>
              <w:rPr>
                <w:rFonts w:hint="eastAsia" w:ascii="宋体" w:hAnsi="宋体" w:cs="宋体"/>
                <w:bCs/>
                <w:color w:val="auto"/>
                <w:szCs w:val="21"/>
              </w:rPr>
            </w:pPr>
            <w:r>
              <w:rPr>
                <w:rFonts w:hint="eastAsia" w:ascii="宋体" w:hAnsi="宋体" w:cs="宋体"/>
                <w:bCs/>
                <w:color w:val="auto"/>
                <w:szCs w:val="21"/>
                <w:lang w:eastAsia="ja-JP"/>
              </w:rPr>
              <w:t>②</w:t>
            </w:r>
            <w:r>
              <w:rPr>
                <w:rFonts w:hint="eastAsia" w:ascii="宋体" w:hAnsi="宋体" w:cs="宋体"/>
                <w:bCs/>
                <w:color w:val="auto"/>
                <w:szCs w:val="21"/>
              </w:rPr>
              <w:t>车辆运输应加盖篷布，易产生扬尘的施工工地，应当采取洒水等抑尘措施；</w:t>
            </w:r>
          </w:p>
        </w:tc>
        <w:tc>
          <w:tcPr>
            <w:tcW w:w="1598" w:type="dxa"/>
            <w:vAlign w:val="center"/>
          </w:tcPr>
          <w:p w14:paraId="1E69995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按照要求施工并做好施工记录。</w:t>
            </w:r>
          </w:p>
        </w:tc>
        <w:tc>
          <w:tcPr>
            <w:tcW w:w="813" w:type="pct"/>
            <w:shd w:val="clear" w:color="auto" w:fill="auto"/>
            <w:vAlign w:val="center"/>
          </w:tcPr>
          <w:p w14:paraId="542C4B6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c>
          <w:tcPr>
            <w:tcW w:w="813" w:type="pct"/>
            <w:shd w:val="clear" w:color="auto" w:fill="auto"/>
            <w:vAlign w:val="center"/>
          </w:tcPr>
          <w:p w14:paraId="4255ECD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r>
      <w:tr w14:paraId="2D220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18F25BF8">
            <w:pPr>
              <w:keepNext w:val="0"/>
              <w:keepLines w:val="0"/>
              <w:suppressLineNumbers w:val="0"/>
              <w:adjustRightInd w:val="0"/>
              <w:snapToGrid w:val="0"/>
              <w:spacing w:before="0" w:beforeAutospacing="0" w:after="0" w:afterAutospacing="0"/>
              <w:ind w:left="0" w:right="0"/>
              <w:jc w:val="center"/>
              <w:rPr>
                <w:rFonts w:hint="eastAsia"/>
                <w:color w:val="C00000"/>
                <w:szCs w:val="21"/>
              </w:rPr>
            </w:pPr>
            <w:r>
              <w:rPr>
                <w:rFonts w:hint="eastAsia"/>
                <w:color w:val="auto"/>
                <w:szCs w:val="21"/>
              </w:rPr>
              <w:t>固体废物</w:t>
            </w:r>
          </w:p>
        </w:tc>
        <w:tc>
          <w:tcPr>
            <w:tcW w:w="2031" w:type="pct"/>
            <w:vAlign w:val="center"/>
          </w:tcPr>
          <w:p w14:paraId="27220F81">
            <w:pPr>
              <w:keepNext w:val="0"/>
              <w:keepLines w:val="0"/>
              <w:suppressLineNumbers w:val="0"/>
              <w:adjustRightInd w:val="0"/>
              <w:snapToGrid w:val="0"/>
              <w:spacing w:before="0" w:beforeAutospacing="0" w:after="0" w:afterAutospacing="0"/>
              <w:ind w:left="0" w:right="0"/>
              <w:rPr>
                <w:rFonts w:hint="eastAsia"/>
                <w:bCs/>
                <w:color w:val="auto"/>
                <w:szCs w:val="21"/>
              </w:rPr>
            </w:pPr>
            <w:r>
              <w:rPr>
                <w:rFonts w:hint="eastAsia"/>
                <w:bCs/>
                <w:color w:val="auto"/>
                <w:szCs w:val="21"/>
                <w:lang w:val="en-US" w:eastAsia="zh-CN"/>
              </w:rPr>
              <w:t>①</w:t>
            </w:r>
            <w:r>
              <w:rPr>
                <w:rFonts w:hint="eastAsia"/>
                <w:bCs/>
                <w:color w:val="auto"/>
                <w:szCs w:val="21"/>
              </w:rPr>
              <w:t>生活垃圾经集中分类收集，委托当地环卫部门统一及时处理；</w:t>
            </w:r>
          </w:p>
          <w:p w14:paraId="4A66FBA5">
            <w:pPr>
              <w:keepNext w:val="0"/>
              <w:keepLines w:val="0"/>
              <w:suppressLineNumbers w:val="0"/>
              <w:adjustRightInd w:val="0"/>
              <w:snapToGrid w:val="0"/>
              <w:spacing w:before="0" w:beforeAutospacing="0" w:after="0" w:afterAutospacing="0"/>
              <w:ind w:left="0" w:right="0"/>
              <w:rPr>
                <w:rFonts w:hint="eastAsia"/>
                <w:bCs/>
                <w:color w:val="auto"/>
                <w:szCs w:val="21"/>
              </w:rPr>
            </w:pPr>
            <w:r>
              <w:rPr>
                <w:rFonts w:hint="eastAsia"/>
                <w:bCs/>
                <w:color w:val="auto"/>
                <w:szCs w:val="21"/>
                <w:lang w:val="en-US" w:eastAsia="zh-CN"/>
              </w:rPr>
              <w:t>②</w:t>
            </w:r>
            <w:r>
              <w:rPr>
                <w:rFonts w:hint="eastAsia"/>
                <w:bCs/>
                <w:color w:val="auto"/>
                <w:szCs w:val="21"/>
              </w:rPr>
              <w:t>对清滩垃圾进行分类处理，对可回收利用的部分，积极进行综合利用，对无法回用的部分集中收集清运；</w:t>
            </w:r>
          </w:p>
        </w:tc>
        <w:tc>
          <w:tcPr>
            <w:tcW w:w="1598" w:type="dxa"/>
            <w:vAlign w:val="center"/>
          </w:tcPr>
          <w:p w14:paraId="6BD0B87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按照要求施工并做好施工记录。</w:t>
            </w:r>
          </w:p>
        </w:tc>
        <w:tc>
          <w:tcPr>
            <w:tcW w:w="813" w:type="pct"/>
            <w:shd w:val="clear" w:color="auto" w:fill="auto"/>
            <w:vAlign w:val="center"/>
          </w:tcPr>
          <w:p w14:paraId="4140962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C00000"/>
                <w:kern w:val="2"/>
                <w:sz w:val="21"/>
                <w:szCs w:val="21"/>
                <w:lang w:val="en-US" w:eastAsia="zh-CN" w:bidi="ar-SA"/>
              </w:rPr>
            </w:pPr>
            <w:r>
              <w:rPr>
                <w:rFonts w:hint="eastAsia" w:ascii="宋体" w:hAnsi="宋体" w:cs="宋体"/>
                <w:color w:val="auto"/>
                <w:sz w:val="18"/>
                <w:szCs w:val="18"/>
              </w:rPr>
              <w:t>/</w:t>
            </w:r>
          </w:p>
        </w:tc>
        <w:tc>
          <w:tcPr>
            <w:tcW w:w="813" w:type="pct"/>
            <w:shd w:val="clear" w:color="auto" w:fill="auto"/>
            <w:vAlign w:val="center"/>
          </w:tcPr>
          <w:p w14:paraId="65CE0EF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C00000"/>
                <w:kern w:val="2"/>
                <w:sz w:val="21"/>
                <w:szCs w:val="21"/>
                <w:lang w:val="en-US" w:eastAsia="zh-CN" w:bidi="ar-SA"/>
              </w:rPr>
            </w:pPr>
            <w:r>
              <w:rPr>
                <w:rFonts w:hint="eastAsia" w:ascii="宋体" w:hAnsi="宋体" w:cs="宋体"/>
                <w:color w:val="auto"/>
                <w:sz w:val="18"/>
                <w:szCs w:val="18"/>
              </w:rPr>
              <w:t>/</w:t>
            </w:r>
          </w:p>
        </w:tc>
      </w:tr>
      <w:tr w14:paraId="6ECFF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0E6DB31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电磁环境</w:t>
            </w:r>
          </w:p>
        </w:tc>
        <w:tc>
          <w:tcPr>
            <w:tcW w:w="2031" w:type="pct"/>
            <w:vAlign w:val="center"/>
          </w:tcPr>
          <w:p w14:paraId="217B171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w:t>
            </w:r>
          </w:p>
        </w:tc>
        <w:tc>
          <w:tcPr>
            <w:tcW w:w="937" w:type="pct"/>
            <w:vAlign w:val="center"/>
          </w:tcPr>
          <w:p w14:paraId="0A30F87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rPr>
            </w:pPr>
          </w:p>
        </w:tc>
        <w:tc>
          <w:tcPr>
            <w:tcW w:w="813" w:type="pct"/>
            <w:shd w:val="clear" w:color="auto" w:fill="auto"/>
            <w:vAlign w:val="center"/>
          </w:tcPr>
          <w:p w14:paraId="13B8A86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c>
          <w:tcPr>
            <w:tcW w:w="813" w:type="pct"/>
            <w:shd w:val="clear" w:color="auto" w:fill="auto"/>
            <w:vAlign w:val="center"/>
          </w:tcPr>
          <w:p w14:paraId="2E22241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r>
      <w:tr w14:paraId="43217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3B390C05">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环境风险</w:t>
            </w:r>
          </w:p>
        </w:tc>
        <w:tc>
          <w:tcPr>
            <w:tcW w:w="2031" w:type="pct"/>
            <w:vAlign w:val="center"/>
          </w:tcPr>
          <w:p w14:paraId="168EFC8D">
            <w:pPr>
              <w:keepNext w:val="0"/>
              <w:keepLines w:val="0"/>
              <w:suppressLineNumbers w:val="0"/>
              <w:adjustRightInd w:val="0"/>
              <w:snapToGrid w:val="0"/>
              <w:spacing w:before="0" w:beforeAutospacing="0" w:after="0" w:afterAutospacing="0"/>
              <w:ind w:left="0" w:right="0"/>
              <w:rPr>
                <w:rFonts w:hint="eastAsia"/>
                <w:color w:val="auto"/>
                <w:szCs w:val="21"/>
              </w:rPr>
            </w:pPr>
            <w:r>
              <w:rPr>
                <w:rFonts w:hint="eastAsia"/>
                <w:color w:val="auto"/>
                <w:szCs w:val="21"/>
              </w:rPr>
              <w:t>①加强设备管理，严禁出现“跑、冒、滴、漏”现象；</w:t>
            </w:r>
          </w:p>
          <w:p w14:paraId="491683B9">
            <w:pPr>
              <w:keepNext w:val="0"/>
              <w:keepLines w:val="0"/>
              <w:suppressLineNumbers w:val="0"/>
              <w:adjustRightInd w:val="0"/>
              <w:snapToGrid w:val="0"/>
              <w:spacing w:before="0" w:beforeAutospacing="0" w:after="0" w:afterAutospacing="0"/>
              <w:ind w:left="0" w:right="0"/>
              <w:rPr>
                <w:rFonts w:hint="eastAsia" w:ascii="宋体" w:hAnsi="宋体" w:cs="宋体" w:eastAsiaTheme="minorEastAsia"/>
                <w:color w:val="auto"/>
                <w:szCs w:val="21"/>
              </w:rPr>
            </w:pPr>
            <w:r>
              <w:rPr>
                <w:rFonts w:hint="eastAsia" w:ascii="宋体" w:hAnsi="宋体" w:cs="宋体"/>
                <w:color w:val="auto"/>
                <w:szCs w:val="21"/>
                <w:lang w:eastAsia="ja-JP"/>
              </w:rPr>
              <w:t>②各类施工机械保证足够的安全</w:t>
            </w:r>
            <w:r>
              <w:rPr>
                <w:rFonts w:hint="eastAsia"/>
                <w:color w:val="auto"/>
                <w:szCs w:val="21"/>
                <w:lang w:eastAsia="ja-JP"/>
              </w:rPr>
              <w:t>距离，防止施工过程中发生碰撞造成设备溢油。</w:t>
            </w:r>
          </w:p>
        </w:tc>
        <w:tc>
          <w:tcPr>
            <w:tcW w:w="937" w:type="pct"/>
            <w:vAlign w:val="center"/>
          </w:tcPr>
          <w:p w14:paraId="7FC81A88">
            <w:pPr>
              <w:keepNext w:val="0"/>
              <w:keepLines w:val="0"/>
              <w:suppressLineNumbers w:val="0"/>
              <w:adjustRightInd w:val="0"/>
              <w:snapToGrid w:val="0"/>
              <w:spacing w:before="0" w:beforeAutospacing="0" w:after="0" w:afterAutospacing="0"/>
              <w:ind w:left="0" w:right="0"/>
              <w:jc w:val="center"/>
              <w:rPr>
                <w:rFonts w:hint="eastAsia"/>
                <w:color w:val="C00000"/>
                <w:szCs w:val="21"/>
              </w:rPr>
            </w:pPr>
          </w:p>
        </w:tc>
        <w:tc>
          <w:tcPr>
            <w:tcW w:w="813" w:type="pct"/>
            <w:shd w:val="clear" w:color="auto" w:fill="auto"/>
            <w:vAlign w:val="center"/>
          </w:tcPr>
          <w:p w14:paraId="3AAEDAC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C00000"/>
                <w:kern w:val="2"/>
                <w:sz w:val="21"/>
                <w:szCs w:val="21"/>
                <w:lang w:val="en-US" w:eastAsia="zh-CN" w:bidi="ar-SA"/>
              </w:rPr>
            </w:pPr>
            <w:r>
              <w:rPr>
                <w:rFonts w:hint="eastAsia" w:ascii="宋体" w:hAnsi="宋体" w:cs="宋体"/>
                <w:color w:val="auto"/>
                <w:sz w:val="18"/>
                <w:szCs w:val="18"/>
              </w:rPr>
              <w:t>/</w:t>
            </w:r>
          </w:p>
        </w:tc>
        <w:tc>
          <w:tcPr>
            <w:tcW w:w="813" w:type="pct"/>
            <w:shd w:val="clear" w:color="auto" w:fill="auto"/>
            <w:vAlign w:val="center"/>
          </w:tcPr>
          <w:p w14:paraId="610CCD0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C00000"/>
                <w:kern w:val="2"/>
                <w:sz w:val="21"/>
                <w:szCs w:val="21"/>
                <w:lang w:val="en-US" w:eastAsia="zh-CN" w:bidi="ar-SA"/>
              </w:rPr>
            </w:pPr>
            <w:r>
              <w:rPr>
                <w:rFonts w:hint="eastAsia" w:ascii="宋体" w:hAnsi="宋体" w:cs="宋体"/>
                <w:color w:val="auto"/>
                <w:sz w:val="18"/>
                <w:szCs w:val="18"/>
              </w:rPr>
              <w:t>/</w:t>
            </w:r>
          </w:p>
        </w:tc>
      </w:tr>
      <w:tr w14:paraId="3BAB5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7561BB00">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环境监测</w:t>
            </w:r>
          </w:p>
        </w:tc>
        <w:tc>
          <w:tcPr>
            <w:tcW w:w="2031" w:type="pct"/>
            <w:vAlign w:val="center"/>
          </w:tcPr>
          <w:p w14:paraId="414FE8AF">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w:t>
            </w:r>
          </w:p>
        </w:tc>
        <w:tc>
          <w:tcPr>
            <w:tcW w:w="937" w:type="pct"/>
            <w:vAlign w:val="center"/>
          </w:tcPr>
          <w:p w14:paraId="319E5AD1">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w:t>
            </w:r>
          </w:p>
        </w:tc>
        <w:tc>
          <w:tcPr>
            <w:tcW w:w="813" w:type="pct"/>
            <w:shd w:val="clear" w:color="auto" w:fill="auto"/>
            <w:vAlign w:val="center"/>
          </w:tcPr>
          <w:p w14:paraId="230EC43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c>
          <w:tcPr>
            <w:tcW w:w="813" w:type="pct"/>
            <w:shd w:val="clear" w:color="auto" w:fill="auto"/>
            <w:vAlign w:val="center"/>
          </w:tcPr>
          <w:p w14:paraId="088A45F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18"/>
                <w:szCs w:val="18"/>
              </w:rPr>
              <w:t>/</w:t>
            </w:r>
          </w:p>
        </w:tc>
      </w:tr>
      <w:tr w14:paraId="66E78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 w:type="pct"/>
            <w:vAlign w:val="center"/>
          </w:tcPr>
          <w:p w14:paraId="369DDB49">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其他</w:t>
            </w:r>
          </w:p>
        </w:tc>
        <w:tc>
          <w:tcPr>
            <w:tcW w:w="2031" w:type="pct"/>
            <w:vAlign w:val="center"/>
          </w:tcPr>
          <w:p w14:paraId="60F256E2">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w:t>
            </w:r>
          </w:p>
        </w:tc>
        <w:tc>
          <w:tcPr>
            <w:tcW w:w="937" w:type="pct"/>
            <w:vAlign w:val="center"/>
          </w:tcPr>
          <w:p w14:paraId="4BFC145C">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w:t>
            </w:r>
          </w:p>
        </w:tc>
        <w:tc>
          <w:tcPr>
            <w:tcW w:w="813" w:type="pct"/>
            <w:shd w:val="clear" w:color="auto" w:fill="auto"/>
            <w:vAlign w:val="center"/>
          </w:tcPr>
          <w:p w14:paraId="20A5FBB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C00000"/>
                <w:kern w:val="2"/>
                <w:sz w:val="21"/>
                <w:szCs w:val="21"/>
                <w:lang w:val="en-US" w:eastAsia="zh-CN" w:bidi="ar-SA"/>
              </w:rPr>
            </w:pPr>
            <w:r>
              <w:rPr>
                <w:rFonts w:hint="eastAsia"/>
                <w:sz w:val="21"/>
                <w:szCs w:val="21"/>
              </w:rPr>
              <w:t>采用增殖放流方法进行生态补偿</w:t>
            </w:r>
          </w:p>
        </w:tc>
        <w:tc>
          <w:tcPr>
            <w:tcW w:w="813" w:type="pct"/>
            <w:shd w:val="clear" w:color="auto" w:fill="auto"/>
            <w:vAlign w:val="center"/>
          </w:tcPr>
          <w:p w14:paraId="1AB683B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C00000"/>
                <w:kern w:val="2"/>
                <w:sz w:val="21"/>
                <w:szCs w:val="21"/>
                <w:lang w:val="en-US" w:eastAsia="zh-CN" w:bidi="ar-SA"/>
              </w:rPr>
            </w:pPr>
            <w:r>
              <w:rPr>
                <w:rFonts w:hint="eastAsia" w:ascii="宋体" w:hAnsi="宋体" w:cs="宋体"/>
                <w:sz w:val="21"/>
                <w:szCs w:val="21"/>
              </w:rPr>
              <w:t>按时完成增殖放流的品种、数量，并接受监督。</w:t>
            </w:r>
          </w:p>
        </w:tc>
      </w:tr>
    </w:tbl>
    <w:p w14:paraId="760966D3">
      <w:pPr>
        <w:rPr>
          <w:rFonts w:ascii="Times New Roman" w:hAnsi="Times New Roman"/>
          <w:b/>
          <w:snapToGrid w:val="0"/>
          <w:color w:val="C00000"/>
          <w:sz w:val="30"/>
          <w:szCs w:val="30"/>
        </w:rPr>
      </w:pPr>
      <w:bookmarkStart w:id="62" w:name="_Toc103157937"/>
      <w:r>
        <w:rPr>
          <w:rFonts w:ascii="Times New Roman" w:hAnsi="Times New Roman"/>
          <w:b/>
          <w:snapToGrid w:val="0"/>
          <w:color w:val="C00000"/>
          <w:sz w:val="30"/>
          <w:szCs w:val="30"/>
        </w:rPr>
        <w:br w:type="page"/>
      </w:r>
    </w:p>
    <w:p w14:paraId="545F9B7D">
      <w:pPr>
        <w:pStyle w:val="21"/>
        <w:spacing w:before="192" w:beforeLines="80" w:beforeAutospacing="0"/>
        <w:jc w:val="center"/>
        <w:outlineLvl w:val="0"/>
        <w:rPr>
          <w:rFonts w:ascii="Times New Roman" w:hAnsi="Times New Roman"/>
          <w:b/>
          <w:snapToGrid w:val="0"/>
          <w:color w:val="auto"/>
          <w:sz w:val="30"/>
          <w:szCs w:val="30"/>
        </w:rPr>
      </w:pPr>
      <w:r>
        <w:rPr>
          <w:rFonts w:ascii="Times New Roman" w:hAnsi="Times New Roman"/>
          <w:b/>
          <w:snapToGrid w:val="0"/>
          <w:color w:val="auto"/>
          <w:sz w:val="30"/>
          <w:szCs w:val="30"/>
        </w:rPr>
        <w:t>七、结论</w:t>
      </w:r>
      <w:bookmarkEnd w:id="62"/>
    </w:p>
    <w:tbl>
      <w:tblPr>
        <w:tblStyle w:val="28"/>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3BC5A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9289" w:type="dxa"/>
          </w:tcPr>
          <w:p w14:paraId="72DCF80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项目符合国家环境保护相关法律法规、符合国家产业政策、符合当地国土规划、符合生态环境分区管控要求。</w:t>
            </w:r>
            <w:r>
              <w:rPr>
                <w:rFonts w:hint="eastAsia"/>
                <w:color w:val="auto"/>
                <w:sz w:val="24"/>
                <w:lang w:val="en-US" w:eastAsia="zh-CN"/>
              </w:rPr>
              <w:t>本项目为生态修复项目，</w:t>
            </w:r>
            <w:r>
              <w:rPr>
                <w:rFonts w:hint="eastAsia"/>
                <w:color w:val="auto"/>
                <w:sz w:val="24"/>
              </w:rPr>
              <w:t>主要为在现有砌石海堤基础外增加片石抛填护坡，起加固海堤防护，减小海水侵蚀作用。</w:t>
            </w:r>
            <w:r>
              <w:rPr>
                <w:rFonts w:hint="eastAsia"/>
                <w:color w:val="auto"/>
                <w:sz w:val="24"/>
                <w:lang w:val="en-US" w:eastAsia="zh-CN"/>
              </w:rPr>
              <w:t>重要建设内容为抛填片石、堤顶硬化和绿化施工</w:t>
            </w:r>
            <w:r>
              <w:rPr>
                <w:rFonts w:hint="eastAsia"/>
                <w:color w:val="auto"/>
                <w:sz w:val="24"/>
              </w:rPr>
              <w:t>。项目采用</w:t>
            </w:r>
            <w:r>
              <w:rPr>
                <w:rFonts w:hint="eastAsia"/>
                <w:color w:val="auto"/>
                <w:sz w:val="24"/>
                <w:lang w:val="en-US" w:eastAsia="zh-CN"/>
              </w:rPr>
              <w:t>非</w:t>
            </w:r>
            <w:r>
              <w:rPr>
                <w:rFonts w:hint="eastAsia"/>
                <w:color w:val="auto"/>
                <w:sz w:val="24"/>
              </w:rPr>
              <w:t>透水结构，</w:t>
            </w:r>
            <w:r>
              <w:rPr>
                <w:rFonts w:hint="eastAsia"/>
                <w:color w:val="auto"/>
                <w:sz w:val="24"/>
                <w:lang w:val="en-US" w:eastAsia="zh-CN"/>
              </w:rPr>
              <w:t>在低潮时施工，</w:t>
            </w:r>
            <w:r>
              <w:rPr>
                <w:rFonts w:hint="eastAsia"/>
                <w:color w:val="auto"/>
                <w:sz w:val="24"/>
              </w:rPr>
              <w:t>对所在海域水动力、生态环境影响较小，对周围的大气和噪声环境影响较小。在认真落实报告表提出的环境保护对策措施后，从环境保护的角度出发，本项目的建设是合理可行的。</w:t>
            </w:r>
          </w:p>
          <w:p w14:paraId="22241AC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C00000"/>
                <w:sz w:val="24"/>
              </w:rPr>
            </w:pPr>
          </w:p>
          <w:p w14:paraId="5E24366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C00000"/>
                <w:sz w:val="24"/>
              </w:rPr>
            </w:pPr>
          </w:p>
          <w:p w14:paraId="2E48262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C00000"/>
                <w:sz w:val="24"/>
              </w:rPr>
            </w:pPr>
          </w:p>
          <w:p w14:paraId="20EB5425">
            <w:pPr>
              <w:keepNext w:val="0"/>
              <w:keepLines w:val="0"/>
              <w:suppressLineNumbers w:val="0"/>
              <w:adjustRightInd w:val="0"/>
              <w:snapToGrid w:val="0"/>
              <w:spacing w:before="0" w:beforeAutospacing="0" w:after="0" w:afterAutospacing="0" w:line="360" w:lineRule="auto"/>
              <w:ind w:left="0" w:right="0"/>
              <w:rPr>
                <w:rFonts w:hint="eastAsia"/>
                <w:color w:val="C00000"/>
                <w:sz w:val="24"/>
              </w:rPr>
            </w:pPr>
          </w:p>
          <w:p w14:paraId="7F07E3F5">
            <w:pPr>
              <w:keepNext w:val="0"/>
              <w:keepLines w:val="0"/>
              <w:suppressLineNumbers w:val="0"/>
              <w:adjustRightInd w:val="0"/>
              <w:snapToGrid w:val="0"/>
              <w:spacing w:before="0" w:beforeAutospacing="0" w:after="0" w:afterAutospacing="0" w:line="360" w:lineRule="auto"/>
              <w:ind w:left="0" w:right="0"/>
              <w:rPr>
                <w:rFonts w:hint="eastAsia"/>
                <w:color w:val="C00000"/>
                <w:sz w:val="24"/>
              </w:rPr>
            </w:pPr>
          </w:p>
          <w:p w14:paraId="6CC12A02">
            <w:pPr>
              <w:keepNext w:val="0"/>
              <w:keepLines w:val="0"/>
              <w:suppressLineNumbers w:val="0"/>
              <w:adjustRightInd w:val="0"/>
              <w:snapToGrid w:val="0"/>
              <w:spacing w:before="0" w:beforeAutospacing="0" w:after="0" w:afterAutospacing="0" w:line="360" w:lineRule="auto"/>
              <w:ind w:left="0" w:right="0"/>
              <w:rPr>
                <w:rFonts w:hint="eastAsia"/>
                <w:color w:val="C00000"/>
                <w:sz w:val="24"/>
              </w:rPr>
            </w:pPr>
          </w:p>
          <w:p w14:paraId="4975803E">
            <w:pPr>
              <w:keepNext w:val="0"/>
              <w:keepLines w:val="0"/>
              <w:suppressLineNumbers w:val="0"/>
              <w:adjustRightInd w:val="0"/>
              <w:snapToGrid w:val="0"/>
              <w:spacing w:before="0" w:beforeAutospacing="0" w:after="0" w:afterAutospacing="0" w:line="360" w:lineRule="auto"/>
              <w:ind w:left="0" w:right="0"/>
              <w:rPr>
                <w:rFonts w:hint="eastAsia"/>
                <w:color w:val="C00000"/>
                <w:sz w:val="24"/>
              </w:rPr>
            </w:pPr>
          </w:p>
        </w:tc>
      </w:tr>
    </w:tbl>
    <w:p w14:paraId="2953490B">
      <w:pPr>
        <w:pStyle w:val="21"/>
        <w:adjustRightInd w:val="0"/>
        <w:snapToGrid w:val="0"/>
        <w:spacing w:before="0" w:beforeAutospacing="0" w:after="0" w:afterAutospacing="0" w:line="648" w:lineRule="auto"/>
        <w:rPr>
          <w:rFonts w:ascii="Times New Roman" w:hAnsi="Times New Roman"/>
          <w:color w:val="C00000"/>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7F6F6D02">
      <w:pPr>
        <w:pStyle w:val="21"/>
        <w:adjustRightInd w:val="0"/>
        <w:snapToGrid w:val="0"/>
        <w:spacing w:before="0" w:beforeAutospacing="0" w:after="0" w:afterAutospacing="0" w:line="648" w:lineRule="auto"/>
        <w:rPr>
          <w:rFonts w:ascii="Times New Roman" w:hAnsi="Times New Roman"/>
          <w:color w:val="C00000"/>
        </w:rPr>
      </w:pPr>
    </w:p>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D80B">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7C0AC">
    <w:pPr>
      <w:pStyle w:val="17"/>
      <w:jc w:val="center"/>
    </w:pPr>
    <w:r>
      <w:fldChar w:fldCharType="begin"/>
    </w:r>
    <w:r>
      <w:instrText xml:space="preserve">PAGE   \* MERGEFORMAT</w:instrText>
    </w:r>
    <w:r>
      <w:fldChar w:fldCharType="separate"/>
    </w:r>
    <w:r>
      <w:rPr>
        <w:lang w:val="zh-CN"/>
      </w:rPr>
      <w:t>18</w:t>
    </w:r>
    <w:r>
      <w:fldChar w:fldCharType="end"/>
    </w:r>
  </w:p>
  <w:p w14:paraId="5FC744C0">
    <w:pPr>
      <w:pStyle w:val="1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7F438">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AF61B6"/>
    <w:multiLevelType w:val="multilevel"/>
    <w:tmpl w:val="59AF61B6"/>
    <w:lvl w:ilvl="0" w:tentative="0">
      <w:start w:val="1"/>
      <w:numFmt w:val="decimal"/>
      <w:suff w:val="space"/>
      <w:lvlText w:val="%1"/>
      <w:lvlJc w:val="left"/>
      <w:pPr>
        <w:tabs>
          <w:tab w:val="left" w:pos="420"/>
        </w:tabs>
        <w:ind w:left="0" w:firstLine="0"/>
      </w:pPr>
      <w:rPr>
        <w:rFonts w:hint="default" w:ascii="Times New Roman" w:hAnsi="Times New Roman" w:eastAsia="宋体" w:cs="Times New Roman"/>
      </w:rPr>
    </w:lvl>
    <w:lvl w:ilvl="1" w:tentative="0">
      <w:start w:val="1"/>
      <w:numFmt w:val="decimal"/>
      <w:suff w:val="space"/>
      <w:lvlText w:val="%1.%2"/>
      <w:lvlJc w:val="left"/>
      <w:pPr>
        <w:tabs>
          <w:tab w:val="left" w:pos="0"/>
        </w:tabs>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tabs>
          <w:tab w:val="left" w:pos="0"/>
        </w:tabs>
        <w:ind w:left="0" w:firstLine="0"/>
      </w:pPr>
      <w:rPr>
        <w:rFonts w:hint="default" w:ascii="Times New Roman" w:hAnsi="Times New Roman" w:eastAsia="宋体" w:cs="Times New Roman"/>
        <w:sz w:val="28"/>
        <w:szCs w:val="28"/>
      </w:rPr>
    </w:lvl>
    <w:lvl w:ilvl="3" w:tentative="0">
      <w:start w:val="1"/>
      <w:numFmt w:val="decimal"/>
      <w:suff w:val="space"/>
      <w:lvlText w:val="%1.%2.%3.%4"/>
      <w:lvlJc w:val="left"/>
      <w:pPr>
        <w:tabs>
          <w:tab w:val="left" w:pos="0"/>
        </w:tabs>
        <w:ind w:left="0" w:firstLine="0"/>
      </w:pPr>
      <w:rPr>
        <w:rFonts w:hint="default" w:ascii="Times New Roman" w:hAnsi="Times New Roman" w:eastAsia="宋体" w:cs="Times New Roman"/>
        <w:sz w:val="24"/>
        <w:szCs w:val="24"/>
      </w:rPr>
    </w:lvl>
    <w:lvl w:ilvl="4" w:tentative="0">
      <w:start w:val="1"/>
      <w:numFmt w:val="decimal"/>
      <w:lvlRestart w:val="2"/>
      <w:suff w:val="space"/>
      <w:lvlText w:val="表%1.%2-%5"/>
      <w:lvlJc w:val="left"/>
      <w:pPr>
        <w:tabs>
          <w:tab w:val="left" w:pos="0"/>
        </w:tabs>
        <w:ind w:left="0" w:firstLine="0"/>
      </w:pPr>
      <w:rPr>
        <w:rFonts w:hint="default" w:ascii="Times New Roman" w:hAnsi="Times New Roman" w:eastAsia="宋体" w:cs="Times New Roman"/>
      </w:rPr>
    </w:lvl>
    <w:lvl w:ilvl="5" w:tentative="0">
      <w:start w:val="1"/>
      <w:numFmt w:val="decimal"/>
      <w:lvlRestart w:val="2"/>
      <w:pStyle w:val="7"/>
      <w:suff w:val="space"/>
      <w:lvlText w:val="图%1.%2-%6"/>
      <w:lvlJc w:val="left"/>
      <w:pPr>
        <w:tabs>
          <w:tab w:val="left" w:pos="0"/>
        </w:tabs>
        <w:ind w:left="0" w:firstLine="0"/>
      </w:pPr>
      <w:rPr>
        <w:rFonts w:hint="default" w:ascii="Times New Roman" w:hAnsi="Times New Roman" w:eastAsia="宋体" w:cs="Times New Roman"/>
      </w:rPr>
    </w:lvl>
    <w:lvl w:ilvl="6" w:tentative="0">
      <w:start w:val="1"/>
      <w:numFmt w:val="none"/>
      <w:lvlRestart w:val="0"/>
      <w:suff w:val="nothing"/>
      <w:lvlText w:val=""/>
      <w:lvlJc w:val="left"/>
      <w:pPr>
        <w:tabs>
          <w:tab w:val="left" w:pos="0"/>
        </w:tabs>
        <w:ind w:left="0" w:firstLine="0"/>
      </w:pPr>
      <w:rPr>
        <w:rFonts w:hint="default" w:ascii="宋体" w:hAnsi="宋体" w:eastAsia="宋体" w:cs="宋体"/>
      </w:r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
    <w:nsid w:val="5AEA1AB3"/>
    <w:multiLevelType w:val="multilevel"/>
    <w:tmpl w:val="5AEA1AB3"/>
    <w:lvl w:ilvl="0" w:tentative="0">
      <w:start w:val="1"/>
      <w:numFmt w:val="decimal"/>
      <w:isLgl/>
      <w:suff w:val="space"/>
      <w:lvlText w:val="%1"/>
      <w:lvlJc w:val="center"/>
      <w:pPr>
        <w:ind w:left="425" w:hanging="137"/>
      </w:pPr>
      <w:rPr>
        <w:rFonts w:hint="eastAsia"/>
      </w:rPr>
    </w:lvl>
    <w:lvl w:ilvl="1" w:tentative="0">
      <w:start w:val="1"/>
      <w:numFmt w:val="decimal"/>
      <w:isLgl/>
      <w:suff w:val="space"/>
      <w:lvlText w:val="%1.%2"/>
      <w:lvlJc w:val="left"/>
      <w:pPr>
        <w:ind w:left="992" w:hanging="992"/>
      </w:pPr>
      <w:rPr>
        <w:rFonts w:hint="eastAsia"/>
      </w:rPr>
    </w:lvl>
    <w:lvl w:ilvl="2" w:tentative="0">
      <w:start w:val="1"/>
      <w:numFmt w:val="decimal"/>
      <w:pStyle w:val="4"/>
      <w:isLgl/>
      <w:suff w:val="space"/>
      <w:lvlText w:val="%1.%2.%3"/>
      <w:lvlJc w:val="left"/>
      <w:pPr>
        <w:ind w:left="1418" w:hanging="1418"/>
      </w:pPr>
      <w:rPr>
        <w:rFonts w:hint="eastAsia"/>
      </w:rPr>
    </w:lvl>
    <w:lvl w:ilvl="3" w:tentative="0">
      <w:start w:val="1"/>
      <w:numFmt w:val="decimal"/>
      <w:isLgl/>
      <w:suff w:val="space"/>
      <w:lvlText w:val="%1.%2.%3.%4"/>
      <w:lvlJc w:val="left"/>
      <w:pPr>
        <w:ind w:left="1418" w:hanging="1418"/>
      </w:pPr>
      <w:rPr>
        <w:rFonts w:hint="eastAsia"/>
      </w:rPr>
    </w:lvl>
    <w:lvl w:ilvl="4" w:tentative="0">
      <w:start w:val="1"/>
      <w:numFmt w:val="decimal"/>
      <w:lvlRestart w:val="2"/>
      <w:pStyle w:val="80"/>
      <w:isLgl/>
      <w:suff w:val="space"/>
      <w:lvlText w:val="表%1.%2-%5 "/>
      <w:lvlJc w:val="center"/>
      <w:pPr>
        <w:ind w:left="2836" w:hanging="1418"/>
      </w:pPr>
      <w:rPr>
        <w:rFonts w:hint="default"/>
        <w:sz w:val="21"/>
        <w:szCs w:val="21"/>
        <w:lang w:val="zh-CN"/>
      </w:rPr>
    </w:lvl>
    <w:lvl w:ilvl="5" w:tentative="0">
      <w:start w:val="1"/>
      <w:numFmt w:val="decimal"/>
      <w:lvlRestart w:val="2"/>
      <w:pStyle w:val="81"/>
      <w:isLgl/>
      <w:suff w:val="space"/>
      <w:lvlText w:val="图%1.%2-%6"/>
      <w:lvlJc w:val="center"/>
      <w:pPr>
        <w:ind w:left="7939" w:hanging="723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c3YzYwMGQxNGJiZWI2NWI2MGEyNjJmMmU1OGM4NmEifQ=="/>
  </w:docVars>
  <w:rsids>
    <w:rsidRoot w:val="00A14947"/>
    <w:rsid w:val="00000D34"/>
    <w:rsid w:val="00001409"/>
    <w:rsid w:val="00001CED"/>
    <w:rsid w:val="00001E67"/>
    <w:rsid w:val="00002AE8"/>
    <w:rsid w:val="00002F4B"/>
    <w:rsid w:val="00002FD6"/>
    <w:rsid w:val="0000356A"/>
    <w:rsid w:val="00003CD8"/>
    <w:rsid w:val="00006030"/>
    <w:rsid w:val="00006E01"/>
    <w:rsid w:val="00006E74"/>
    <w:rsid w:val="0000791F"/>
    <w:rsid w:val="00010460"/>
    <w:rsid w:val="000109B3"/>
    <w:rsid w:val="00011066"/>
    <w:rsid w:val="000117A8"/>
    <w:rsid w:val="0001186C"/>
    <w:rsid w:val="00011C29"/>
    <w:rsid w:val="00012E90"/>
    <w:rsid w:val="00013929"/>
    <w:rsid w:val="00014965"/>
    <w:rsid w:val="00014AF7"/>
    <w:rsid w:val="0001523A"/>
    <w:rsid w:val="00016ECB"/>
    <w:rsid w:val="00020FAD"/>
    <w:rsid w:val="000213EA"/>
    <w:rsid w:val="00021684"/>
    <w:rsid w:val="00022C5B"/>
    <w:rsid w:val="000230A8"/>
    <w:rsid w:val="00023D4A"/>
    <w:rsid w:val="00025C5C"/>
    <w:rsid w:val="0002632D"/>
    <w:rsid w:val="000269F6"/>
    <w:rsid w:val="00027DF5"/>
    <w:rsid w:val="00027E9A"/>
    <w:rsid w:val="000307B9"/>
    <w:rsid w:val="00031078"/>
    <w:rsid w:val="00031939"/>
    <w:rsid w:val="000323B4"/>
    <w:rsid w:val="000325A2"/>
    <w:rsid w:val="00032762"/>
    <w:rsid w:val="00032964"/>
    <w:rsid w:val="00032D25"/>
    <w:rsid w:val="0003332C"/>
    <w:rsid w:val="00033D51"/>
    <w:rsid w:val="00034D41"/>
    <w:rsid w:val="00035784"/>
    <w:rsid w:val="00035A7F"/>
    <w:rsid w:val="000364A5"/>
    <w:rsid w:val="0003700E"/>
    <w:rsid w:val="00037270"/>
    <w:rsid w:val="00037D04"/>
    <w:rsid w:val="00040924"/>
    <w:rsid w:val="00041710"/>
    <w:rsid w:val="000417EA"/>
    <w:rsid w:val="000426FA"/>
    <w:rsid w:val="0004399C"/>
    <w:rsid w:val="000439A1"/>
    <w:rsid w:val="00043C01"/>
    <w:rsid w:val="000444E1"/>
    <w:rsid w:val="0004486E"/>
    <w:rsid w:val="000452DC"/>
    <w:rsid w:val="000453EC"/>
    <w:rsid w:val="0004561E"/>
    <w:rsid w:val="00045A62"/>
    <w:rsid w:val="00046CFC"/>
    <w:rsid w:val="00046D6A"/>
    <w:rsid w:val="00050552"/>
    <w:rsid w:val="000507BC"/>
    <w:rsid w:val="00050A00"/>
    <w:rsid w:val="00051E7D"/>
    <w:rsid w:val="0005219D"/>
    <w:rsid w:val="00053205"/>
    <w:rsid w:val="000537BC"/>
    <w:rsid w:val="000540D2"/>
    <w:rsid w:val="00054B2C"/>
    <w:rsid w:val="000553FC"/>
    <w:rsid w:val="0005568F"/>
    <w:rsid w:val="00056409"/>
    <w:rsid w:val="00056B67"/>
    <w:rsid w:val="00060320"/>
    <w:rsid w:val="000609DF"/>
    <w:rsid w:val="00060EDE"/>
    <w:rsid w:val="000610A2"/>
    <w:rsid w:val="0006153D"/>
    <w:rsid w:val="00061803"/>
    <w:rsid w:val="00061AB4"/>
    <w:rsid w:val="00061B1F"/>
    <w:rsid w:val="00061C47"/>
    <w:rsid w:val="00062A50"/>
    <w:rsid w:val="00062CD4"/>
    <w:rsid w:val="00062E8D"/>
    <w:rsid w:val="000655DC"/>
    <w:rsid w:val="000664DB"/>
    <w:rsid w:val="00067169"/>
    <w:rsid w:val="00070520"/>
    <w:rsid w:val="00070EA0"/>
    <w:rsid w:val="0007127D"/>
    <w:rsid w:val="00071AE5"/>
    <w:rsid w:val="00071D25"/>
    <w:rsid w:val="00072F76"/>
    <w:rsid w:val="000736DE"/>
    <w:rsid w:val="00073AD4"/>
    <w:rsid w:val="00073BB1"/>
    <w:rsid w:val="00073FF1"/>
    <w:rsid w:val="00074223"/>
    <w:rsid w:val="00074783"/>
    <w:rsid w:val="00074FCF"/>
    <w:rsid w:val="000752A0"/>
    <w:rsid w:val="00075C69"/>
    <w:rsid w:val="00075C9D"/>
    <w:rsid w:val="00076D2C"/>
    <w:rsid w:val="00077C44"/>
    <w:rsid w:val="00080041"/>
    <w:rsid w:val="000801E0"/>
    <w:rsid w:val="00080CFD"/>
    <w:rsid w:val="00080D62"/>
    <w:rsid w:val="00080F1A"/>
    <w:rsid w:val="000814EF"/>
    <w:rsid w:val="000815DB"/>
    <w:rsid w:val="00082A29"/>
    <w:rsid w:val="000831C8"/>
    <w:rsid w:val="0008331D"/>
    <w:rsid w:val="00083C18"/>
    <w:rsid w:val="000847D9"/>
    <w:rsid w:val="00084A3C"/>
    <w:rsid w:val="00084F6C"/>
    <w:rsid w:val="000850B2"/>
    <w:rsid w:val="00085C44"/>
    <w:rsid w:val="00085C6B"/>
    <w:rsid w:val="000860B5"/>
    <w:rsid w:val="000861E7"/>
    <w:rsid w:val="00086201"/>
    <w:rsid w:val="00090E5F"/>
    <w:rsid w:val="00092899"/>
    <w:rsid w:val="00092B86"/>
    <w:rsid w:val="00092DE0"/>
    <w:rsid w:val="0009301C"/>
    <w:rsid w:val="000939D5"/>
    <w:rsid w:val="00094003"/>
    <w:rsid w:val="000948EA"/>
    <w:rsid w:val="000962B1"/>
    <w:rsid w:val="0009683E"/>
    <w:rsid w:val="00096C13"/>
    <w:rsid w:val="00096FC3"/>
    <w:rsid w:val="000975EE"/>
    <w:rsid w:val="000A059D"/>
    <w:rsid w:val="000A0AE0"/>
    <w:rsid w:val="000A0BF6"/>
    <w:rsid w:val="000A16E5"/>
    <w:rsid w:val="000A1786"/>
    <w:rsid w:val="000A178E"/>
    <w:rsid w:val="000A2616"/>
    <w:rsid w:val="000A26FE"/>
    <w:rsid w:val="000A2E73"/>
    <w:rsid w:val="000A303C"/>
    <w:rsid w:val="000A33B9"/>
    <w:rsid w:val="000A3521"/>
    <w:rsid w:val="000A4149"/>
    <w:rsid w:val="000A435F"/>
    <w:rsid w:val="000A4BE0"/>
    <w:rsid w:val="000A4EC7"/>
    <w:rsid w:val="000A557E"/>
    <w:rsid w:val="000A76AC"/>
    <w:rsid w:val="000A7A7B"/>
    <w:rsid w:val="000B058F"/>
    <w:rsid w:val="000B091C"/>
    <w:rsid w:val="000B2399"/>
    <w:rsid w:val="000B2B00"/>
    <w:rsid w:val="000B65D8"/>
    <w:rsid w:val="000B693F"/>
    <w:rsid w:val="000B75C7"/>
    <w:rsid w:val="000B7A2D"/>
    <w:rsid w:val="000B7F05"/>
    <w:rsid w:val="000C05D2"/>
    <w:rsid w:val="000C09AC"/>
    <w:rsid w:val="000C0A07"/>
    <w:rsid w:val="000C0A63"/>
    <w:rsid w:val="000C120A"/>
    <w:rsid w:val="000C14A7"/>
    <w:rsid w:val="000C1644"/>
    <w:rsid w:val="000C1BC6"/>
    <w:rsid w:val="000C2D14"/>
    <w:rsid w:val="000C3304"/>
    <w:rsid w:val="000C437E"/>
    <w:rsid w:val="000C44F7"/>
    <w:rsid w:val="000C50A0"/>
    <w:rsid w:val="000C603C"/>
    <w:rsid w:val="000D0143"/>
    <w:rsid w:val="000D0FEB"/>
    <w:rsid w:val="000D1DF5"/>
    <w:rsid w:val="000D24D2"/>
    <w:rsid w:val="000D2DAF"/>
    <w:rsid w:val="000D37E3"/>
    <w:rsid w:val="000D3BCE"/>
    <w:rsid w:val="000D408F"/>
    <w:rsid w:val="000D4F58"/>
    <w:rsid w:val="000D5351"/>
    <w:rsid w:val="000D6272"/>
    <w:rsid w:val="000D72E4"/>
    <w:rsid w:val="000D7320"/>
    <w:rsid w:val="000D7827"/>
    <w:rsid w:val="000E0281"/>
    <w:rsid w:val="000E04A1"/>
    <w:rsid w:val="000E16A8"/>
    <w:rsid w:val="000E26CA"/>
    <w:rsid w:val="000E2EDE"/>
    <w:rsid w:val="000E2FF3"/>
    <w:rsid w:val="000E32ED"/>
    <w:rsid w:val="000E4431"/>
    <w:rsid w:val="000E4518"/>
    <w:rsid w:val="000E4A0A"/>
    <w:rsid w:val="000E4CD0"/>
    <w:rsid w:val="000E5F16"/>
    <w:rsid w:val="000E6D8E"/>
    <w:rsid w:val="000E7C30"/>
    <w:rsid w:val="000F02E6"/>
    <w:rsid w:val="000F05E7"/>
    <w:rsid w:val="000F0974"/>
    <w:rsid w:val="000F14C6"/>
    <w:rsid w:val="000F1996"/>
    <w:rsid w:val="000F1B4C"/>
    <w:rsid w:val="000F4452"/>
    <w:rsid w:val="000F58A9"/>
    <w:rsid w:val="000F6DA1"/>
    <w:rsid w:val="000F701B"/>
    <w:rsid w:val="001008AE"/>
    <w:rsid w:val="00101EF4"/>
    <w:rsid w:val="00102416"/>
    <w:rsid w:val="001028BA"/>
    <w:rsid w:val="00102B07"/>
    <w:rsid w:val="00103597"/>
    <w:rsid w:val="0010372A"/>
    <w:rsid w:val="00103E6B"/>
    <w:rsid w:val="001056A0"/>
    <w:rsid w:val="00106161"/>
    <w:rsid w:val="00106223"/>
    <w:rsid w:val="00107396"/>
    <w:rsid w:val="0010768D"/>
    <w:rsid w:val="00110519"/>
    <w:rsid w:val="00112983"/>
    <w:rsid w:val="00113094"/>
    <w:rsid w:val="0011317B"/>
    <w:rsid w:val="001137C7"/>
    <w:rsid w:val="00113916"/>
    <w:rsid w:val="00114179"/>
    <w:rsid w:val="0011523C"/>
    <w:rsid w:val="00115279"/>
    <w:rsid w:val="00117459"/>
    <w:rsid w:val="0011749A"/>
    <w:rsid w:val="00117941"/>
    <w:rsid w:val="00120F09"/>
    <w:rsid w:val="00120FD4"/>
    <w:rsid w:val="00121C4F"/>
    <w:rsid w:val="001223DD"/>
    <w:rsid w:val="00122566"/>
    <w:rsid w:val="00122A5E"/>
    <w:rsid w:val="00122E79"/>
    <w:rsid w:val="00123345"/>
    <w:rsid w:val="001237B4"/>
    <w:rsid w:val="001249DF"/>
    <w:rsid w:val="00125121"/>
    <w:rsid w:val="001254FF"/>
    <w:rsid w:val="00126A21"/>
    <w:rsid w:val="00126E57"/>
    <w:rsid w:val="00126EC0"/>
    <w:rsid w:val="0012762E"/>
    <w:rsid w:val="00127A68"/>
    <w:rsid w:val="001308BD"/>
    <w:rsid w:val="0013183F"/>
    <w:rsid w:val="00133347"/>
    <w:rsid w:val="001335F3"/>
    <w:rsid w:val="00135BF1"/>
    <w:rsid w:val="00136D12"/>
    <w:rsid w:val="001407E0"/>
    <w:rsid w:val="00140B13"/>
    <w:rsid w:val="00141B68"/>
    <w:rsid w:val="00141F4E"/>
    <w:rsid w:val="00142363"/>
    <w:rsid w:val="00142D7E"/>
    <w:rsid w:val="001430AE"/>
    <w:rsid w:val="00143624"/>
    <w:rsid w:val="001455F9"/>
    <w:rsid w:val="00145675"/>
    <w:rsid w:val="00145C18"/>
    <w:rsid w:val="00145D76"/>
    <w:rsid w:val="00145FFC"/>
    <w:rsid w:val="00146407"/>
    <w:rsid w:val="001466DA"/>
    <w:rsid w:val="001469C2"/>
    <w:rsid w:val="00146BCB"/>
    <w:rsid w:val="001511EA"/>
    <w:rsid w:val="00151589"/>
    <w:rsid w:val="001524DD"/>
    <w:rsid w:val="00152CC2"/>
    <w:rsid w:val="00152DCD"/>
    <w:rsid w:val="0015314C"/>
    <w:rsid w:val="00153846"/>
    <w:rsid w:val="00153ECB"/>
    <w:rsid w:val="001545F4"/>
    <w:rsid w:val="001546E8"/>
    <w:rsid w:val="00154DE1"/>
    <w:rsid w:val="00155931"/>
    <w:rsid w:val="00155B40"/>
    <w:rsid w:val="00156CF6"/>
    <w:rsid w:val="00157148"/>
    <w:rsid w:val="00157435"/>
    <w:rsid w:val="001574A5"/>
    <w:rsid w:val="00162D0B"/>
    <w:rsid w:val="00162E72"/>
    <w:rsid w:val="0016342B"/>
    <w:rsid w:val="001636A3"/>
    <w:rsid w:val="00163BB0"/>
    <w:rsid w:val="00163D9F"/>
    <w:rsid w:val="00163EEA"/>
    <w:rsid w:val="001643F5"/>
    <w:rsid w:val="00164C76"/>
    <w:rsid w:val="001650EA"/>
    <w:rsid w:val="001659D5"/>
    <w:rsid w:val="00165B34"/>
    <w:rsid w:val="00165CF6"/>
    <w:rsid w:val="00167A07"/>
    <w:rsid w:val="0017046A"/>
    <w:rsid w:val="001704A3"/>
    <w:rsid w:val="00171D98"/>
    <w:rsid w:val="001732D0"/>
    <w:rsid w:val="00173376"/>
    <w:rsid w:val="00173DAF"/>
    <w:rsid w:val="0017504D"/>
    <w:rsid w:val="00176728"/>
    <w:rsid w:val="0017726C"/>
    <w:rsid w:val="00177422"/>
    <w:rsid w:val="001776F4"/>
    <w:rsid w:val="00180E92"/>
    <w:rsid w:val="001820DC"/>
    <w:rsid w:val="00182321"/>
    <w:rsid w:val="001824BD"/>
    <w:rsid w:val="001849F6"/>
    <w:rsid w:val="00184F10"/>
    <w:rsid w:val="001854B1"/>
    <w:rsid w:val="00185546"/>
    <w:rsid w:val="0018576B"/>
    <w:rsid w:val="0018683E"/>
    <w:rsid w:val="00186B3D"/>
    <w:rsid w:val="00186B83"/>
    <w:rsid w:val="00186FD4"/>
    <w:rsid w:val="0019047F"/>
    <w:rsid w:val="00190BE1"/>
    <w:rsid w:val="00190DD9"/>
    <w:rsid w:val="00190FDB"/>
    <w:rsid w:val="0019146B"/>
    <w:rsid w:val="00191717"/>
    <w:rsid w:val="001929B1"/>
    <w:rsid w:val="00193416"/>
    <w:rsid w:val="00193809"/>
    <w:rsid w:val="00194226"/>
    <w:rsid w:val="00194398"/>
    <w:rsid w:val="00194455"/>
    <w:rsid w:val="001946D8"/>
    <w:rsid w:val="0019614B"/>
    <w:rsid w:val="00197DDA"/>
    <w:rsid w:val="001A0151"/>
    <w:rsid w:val="001A0350"/>
    <w:rsid w:val="001A0C11"/>
    <w:rsid w:val="001A1285"/>
    <w:rsid w:val="001A1A32"/>
    <w:rsid w:val="001A201C"/>
    <w:rsid w:val="001A21E4"/>
    <w:rsid w:val="001A30CE"/>
    <w:rsid w:val="001A4149"/>
    <w:rsid w:val="001A4402"/>
    <w:rsid w:val="001A4FFA"/>
    <w:rsid w:val="001A5B04"/>
    <w:rsid w:val="001A686A"/>
    <w:rsid w:val="001A73C0"/>
    <w:rsid w:val="001A7C94"/>
    <w:rsid w:val="001A7D2A"/>
    <w:rsid w:val="001B0F35"/>
    <w:rsid w:val="001B1321"/>
    <w:rsid w:val="001B188E"/>
    <w:rsid w:val="001B230C"/>
    <w:rsid w:val="001B281E"/>
    <w:rsid w:val="001B2C0C"/>
    <w:rsid w:val="001B40E9"/>
    <w:rsid w:val="001B4954"/>
    <w:rsid w:val="001B52DD"/>
    <w:rsid w:val="001B56F6"/>
    <w:rsid w:val="001B574C"/>
    <w:rsid w:val="001B5ADF"/>
    <w:rsid w:val="001B7366"/>
    <w:rsid w:val="001C0868"/>
    <w:rsid w:val="001C0AF9"/>
    <w:rsid w:val="001C155A"/>
    <w:rsid w:val="001C1972"/>
    <w:rsid w:val="001C200F"/>
    <w:rsid w:val="001C220C"/>
    <w:rsid w:val="001C3AFA"/>
    <w:rsid w:val="001C43D1"/>
    <w:rsid w:val="001C4446"/>
    <w:rsid w:val="001C4882"/>
    <w:rsid w:val="001C48C0"/>
    <w:rsid w:val="001C49F4"/>
    <w:rsid w:val="001C4CF7"/>
    <w:rsid w:val="001C4D28"/>
    <w:rsid w:val="001C50E9"/>
    <w:rsid w:val="001C5B67"/>
    <w:rsid w:val="001C5F5E"/>
    <w:rsid w:val="001C606C"/>
    <w:rsid w:val="001C6890"/>
    <w:rsid w:val="001C6B0A"/>
    <w:rsid w:val="001C7482"/>
    <w:rsid w:val="001C75D0"/>
    <w:rsid w:val="001D0178"/>
    <w:rsid w:val="001D04E6"/>
    <w:rsid w:val="001D0AE0"/>
    <w:rsid w:val="001D23C9"/>
    <w:rsid w:val="001D2CBF"/>
    <w:rsid w:val="001D2EEF"/>
    <w:rsid w:val="001D3149"/>
    <w:rsid w:val="001D3269"/>
    <w:rsid w:val="001D360C"/>
    <w:rsid w:val="001D385A"/>
    <w:rsid w:val="001D3A63"/>
    <w:rsid w:val="001D47BF"/>
    <w:rsid w:val="001D4880"/>
    <w:rsid w:val="001D4B06"/>
    <w:rsid w:val="001D5124"/>
    <w:rsid w:val="001D5DAF"/>
    <w:rsid w:val="001D6726"/>
    <w:rsid w:val="001D7535"/>
    <w:rsid w:val="001E0123"/>
    <w:rsid w:val="001E0D23"/>
    <w:rsid w:val="001E141C"/>
    <w:rsid w:val="001E170F"/>
    <w:rsid w:val="001E1AB6"/>
    <w:rsid w:val="001E2009"/>
    <w:rsid w:val="001E261D"/>
    <w:rsid w:val="001E26F8"/>
    <w:rsid w:val="001E2740"/>
    <w:rsid w:val="001E28DD"/>
    <w:rsid w:val="001E3E6B"/>
    <w:rsid w:val="001E42EC"/>
    <w:rsid w:val="001E4E53"/>
    <w:rsid w:val="001E50C3"/>
    <w:rsid w:val="001E597D"/>
    <w:rsid w:val="001E5BA4"/>
    <w:rsid w:val="001E5E6E"/>
    <w:rsid w:val="001E6223"/>
    <w:rsid w:val="001E62DE"/>
    <w:rsid w:val="001E66BB"/>
    <w:rsid w:val="001E7169"/>
    <w:rsid w:val="001E7BBF"/>
    <w:rsid w:val="001F1C4D"/>
    <w:rsid w:val="001F24E2"/>
    <w:rsid w:val="001F25CB"/>
    <w:rsid w:val="001F2E33"/>
    <w:rsid w:val="001F3347"/>
    <w:rsid w:val="001F4213"/>
    <w:rsid w:val="001F434F"/>
    <w:rsid w:val="001F4440"/>
    <w:rsid w:val="001F4B31"/>
    <w:rsid w:val="001F5009"/>
    <w:rsid w:val="001F5255"/>
    <w:rsid w:val="001F67AD"/>
    <w:rsid w:val="001F69DB"/>
    <w:rsid w:val="001F69E4"/>
    <w:rsid w:val="001F7FFC"/>
    <w:rsid w:val="00200471"/>
    <w:rsid w:val="00200C74"/>
    <w:rsid w:val="002011A9"/>
    <w:rsid w:val="0020226D"/>
    <w:rsid w:val="002026FF"/>
    <w:rsid w:val="002029F3"/>
    <w:rsid w:val="00202B25"/>
    <w:rsid w:val="00203AC1"/>
    <w:rsid w:val="00204C11"/>
    <w:rsid w:val="00205427"/>
    <w:rsid w:val="002056CD"/>
    <w:rsid w:val="0020593D"/>
    <w:rsid w:val="00205952"/>
    <w:rsid w:val="00205C0E"/>
    <w:rsid w:val="002064C9"/>
    <w:rsid w:val="00206521"/>
    <w:rsid w:val="00206A65"/>
    <w:rsid w:val="00206EC7"/>
    <w:rsid w:val="00207B17"/>
    <w:rsid w:val="002103C8"/>
    <w:rsid w:val="00211487"/>
    <w:rsid w:val="00211512"/>
    <w:rsid w:val="00211DA1"/>
    <w:rsid w:val="00211FC3"/>
    <w:rsid w:val="00212430"/>
    <w:rsid w:val="00212D31"/>
    <w:rsid w:val="002130C7"/>
    <w:rsid w:val="00213FB1"/>
    <w:rsid w:val="00214060"/>
    <w:rsid w:val="00214771"/>
    <w:rsid w:val="00214C00"/>
    <w:rsid w:val="002164B2"/>
    <w:rsid w:val="002168C7"/>
    <w:rsid w:val="0021708B"/>
    <w:rsid w:val="00217178"/>
    <w:rsid w:val="00217784"/>
    <w:rsid w:val="00217CF6"/>
    <w:rsid w:val="002217DD"/>
    <w:rsid w:val="002218A8"/>
    <w:rsid w:val="00221EED"/>
    <w:rsid w:val="002227E5"/>
    <w:rsid w:val="00222BD7"/>
    <w:rsid w:val="0022306D"/>
    <w:rsid w:val="00223B8B"/>
    <w:rsid w:val="00223EA6"/>
    <w:rsid w:val="002259D8"/>
    <w:rsid w:val="00226574"/>
    <w:rsid w:val="00226A7C"/>
    <w:rsid w:val="002278EC"/>
    <w:rsid w:val="002301DC"/>
    <w:rsid w:val="0023080A"/>
    <w:rsid w:val="00230F66"/>
    <w:rsid w:val="00231709"/>
    <w:rsid w:val="0023287A"/>
    <w:rsid w:val="002329FE"/>
    <w:rsid w:val="00233E8D"/>
    <w:rsid w:val="002357C7"/>
    <w:rsid w:val="00235B28"/>
    <w:rsid w:val="00235BA9"/>
    <w:rsid w:val="00235FBA"/>
    <w:rsid w:val="002366DF"/>
    <w:rsid w:val="002367C4"/>
    <w:rsid w:val="00236842"/>
    <w:rsid w:val="0023695E"/>
    <w:rsid w:val="002373D9"/>
    <w:rsid w:val="002427D0"/>
    <w:rsid w:val="00242B74"/>
    <w:rsid w:val="002431A3"/>
    <w:rsid w:val="00243914"/>
    <w:rsid w:val="00244851"/>
    <w:rsid w:val="00244995"/>
    <w:rsid w:val="00244BD2"/>
    <w:rsid w:val="00245424"/>
    <w:rsid w:val="002466E5"/>
    <w:rsid w:val="002503B7"/>
    <w:rsid w:val="00250739"/>
    <w:rsid w:val="00250DDB"/>
    <w:rsid w:val="00250E1B"/>
    <w:rsid w:val="00251606"/>
    <w:rsid w:val="00251876"/>
    <w:rsid w:val="002519B1"/>
    <w:rsid w:val="00251AFE"/>
    <w:rsid w:val="00253745"/>
    <w:rsid w:val="002538AA"/>
    <w:rsid w:val="00253E3D"/>
    <w:rsid w:val="0025402F"/>
    <w:rsid w:val="00254664"/>
    <w:rsid w:val="00254EE1"/>
    <w:rsid w:val="002550BB"/>
    <w:rsid w:val="002551BE"/>
    <w:rsid w:val="0025679E"/>
    <w:rsid w:val="002570EA"/>
    <w:rsid w:val="00257264"/>
    <w:rsid w:val="00257E3E"/>
    <w:rsid w:val="00260396"/>
    <w:rsid w:val="00260BDF"/>
    <w:rsid w:val="00260C68"/>
    <w:rsid w:val="002610AC"/>
    <w:rsid w:val="00261B81"/>
    <w:rsid w:val="00261DFA"/>
    <w:rsid w:val="00262055"/>
    <w:rsid w:val="00262272"/>
    <w:rsid w:val="00262411"/>
    <w:rsid w:val="00262459"/>
    <w:rsid w:val="0026296D"/>
    <w:rsid w:val="00263135"/>
    <w:rsid w:val="002636E3"/>
    <w:rsid w:val="00263739"/>
    <w:rsid w:val="002648B0"/>
    <w:rsid w:val="002656F2"/>
    <w:rsid w:val="0026585C"/>
    <w:rsid w:val="00265BE2"/>
    <w:rsid w:val="0026643F"/>
    <w:rsid w:val="002664F2"/>
    <w:rsid w:val="002668D4"/>
    <w:rsid w:val="002668DF"/>
    <w:rsid w:val="002673D3"/>
    <w:rsid w:val="00270DC6"/>
    <w:rsid w:val="002716CB"/>
    <w:rsid w:val="00271863"/>
    <w:rsid w:val="002718BB"/>
    <w:rsid w:val="00271AB7"/>
    <w:rsid w:val="002734C7"/>
    <w:rsid w:val="00273819"/>
    <w:rsid w:val="002738BB"/>
    <w:rsid w:val="00274717"/>
    <w:rsid w:val="00274800"/>
    <w:rsid w:val="00275271"/>
    <w:rsid w:val="0027535E"/>
    <w:rsid w:val="00275AA6"/>
    <w:rsid w:val="00275DF1"/>
    <w:rsid w:val="002760F6"/>
    <w:rsid w:val="002776CD"/>
    <w:rsid w:val="00277A84"/>
    <w:rsid w:val="00277C02"/>
    <w:rsid w:val="002807D5"/>
    <w:rsid w:val="00280C48"/>
    <w:rsid w:val="00282CCD"/>
    <w:rsid w:val="002844FF"/>
    <w:rsid w:val="002848EA"/>
    <w:rsid w:val="00285DDD"/>
    <w:rsid w:val="00285E4F"/>
    <w:rsid w:val="0028622B"/>
    <w:rsid w:val="0028777B"/>
    <w:rsid w:val="00287E8B"/>
    <w:rsid w:val="00287F66"/>
    <w:rsid w:val="00290174"/>
    <w:rsid w:val="00291028"/>
    <w:rsid w:val="0029122B"/>
    <w:rsid w:val="00291684"/>
    <w:rsid w:val="00291C4A"/>
    <w:rsid w:val="002925B6"/>
    <w:rsid w:val="00293235"/>
    <w:rsid w:val="002932C9"/>
    <w:rsid w:val="00293EDD"/>
    <w:rsid w:val="00293EE4"/>
    <w:rsid w:val="0029516B"/>
    <w:rsid w:val="00296F3E"/>
    <w:rsid w:val="002977AC"/>
    <w:rsid w:val="002977FB"/>
    <w:rsid w:val="002A096C"/>
    <w:rsid w:val="002A0AA0"/>
    <w:rsid w:val="002A168C"/>
    <w:rsid w:val="002A2816"/>
    <w:rsid w:val="002A2C48"/>
    <w:rsid w:val="002A2E86"/>
    <w:rsid w:val="002A3037"/>
    <w:rsid w:val="002A3EED"/>
    <w:rsid w:val="002A41E4"/>
    <w:rsid w:val="002A44A5"/>
    <w:rsid w:val="002A4A03"/>
    <w:rsid w:val="002A4A39"/>
    <w:rsid w:val="002A4BDC"/>
    <w:rsid w:val="002A517D"/>
    <w:rsid w:val="002A5A17"/>
    <w:rsid w:val="002A6138"/>
    <w:rsid w:val="002A6144"/>
    <w:rsid w:val="002A6189"/>
    <w:rsid w:val="002A6425"/>
    <w:rsid w:val="002A68A3"/>
    <w:rsid w:val="002A7262"/>
    <w:rsid w:val="002A7828"/>
    <w:rsid w:val="002B0356"/>
    <w:rsid w:val="002B0875"/>
    <w:rsid w:val="002B09C6"/>
    <w:rsid w:val="002B12D4"/>
    <w:rsid w:val="002B18FB"/>
    <w:rsid w:val="002B1BEA"/>
    <w:rsid w:val="002B224A"/>
    <w:rsid w:val="002B25AD"/>
    <w:rsid w:val="002B2BE9"/>
    <w:rsid w:val="002B32B5"/>
    <w:rsid w:val="002B3657"/>
    <w:rsid w:val="002B4884"/>
    <w:rsid w:val="002B4940"/>
    <w:rsid w:val="002B49E2"/>
    <w:rsid w:val="002B4D51"/>
    <w:rsid w:val="002B4DFB"/>
    <w:rsid w:val="002B4FB6"/>
    <w:rsid w:val="002B5248"/>
    <w:rsid w:val="002B6756"/>
    <w:rsid w:val="002B6B20"/>
    <w:rsid w:val="002B6D16"/>
    <w:rsid w:val="002B70B3"/>
    <w:rsid w:val="002B730E"/>
    <w:rsid w:val="002B7B00"/>
    <w:rsid w:val="002B7C44"/>
    <w:rsid w:val="002C0215"/>
    <w:rsid w:val="002C06E3"/>
    <w:rsid w:val="002C0CEE"/>
    <w:rsid w:val="002C1388"/>
    <w:rsid w:val="002C16D9"/>
    <w:rsid w:val="002C2985"/>
    <w:rsid w:val="002C2A10"/>
    <w:rsid w:val="002C3C6A"/>
    <w:rsid w:val="002C525D"/>
    <w:rsid w:val="002C5411"/>
    <w:rsid w:val="002C6594"/>
    <w:rsid w:val="002C6CAC"/>
    <w:rsid w:val="002C7429"/>
    <w:rsid w:val="002C7DD9"/>
    <w:rsid w:val="002D03BF"/>
    <w:rsid w:val="002D12C7"/>
    <w:rsid w:val="002D1379"/>
    <w:rsid w:val="002D1AFE"/>
    <w:rsid w:val="002D2E48"/>
    <w:rsid w:val="002D3253"/>
    <w:rsid w:val="002D42A7"/>
    <w:rsid w:val="002D42DB"/>
    <w:rsid w:val="002D4DE3"/>
    <w:rsid w:val="002D70A3"/>
    <w:rsid w:val="002D7E7D"/>
    <w:rsid w:val="002E02A2"/>
    <w:rsid w:val="002E050F"/>
    <w:rsid w:val="002E08EF"/>
    <w:rsid w:val="002E0EE3"/>
    <w:rsid w:val="002E1C3C"/>
    <w:rsid w:val="002E1F3A"/>
    <w:rsid w:val="002E298A"/>
    <w:rsid w:val="002E305D"/>
    <w:rsid w:val="002E3399"/>
    <w:rsid w:val="002E4076"/>
    <w:rsid w:val="002E479B"/>
    <w:rsid w:val="002E4835"/>
    <w:rsid w:val="002E4CB7"/>
    <w:rsid w:val="002E5518"/>
    <w:rsid w:val="002E5FBE"/>
    <w:rsid w:val="002E6D0B"/>
    <w:rsid w:val="002E6DAC"/>
    <w:rsid w:val="002E6E47"/>
    <w:rsid w:val="002F02A4"/>
    <w:rsid w:val="002F0E1A"/>
    <w:rsid w:val="002F0EBF"/>
    <w:rsid w:val="002F1CB2"/>
    <w:rsid w:val="002F272B"/>
    <w:rsid w:val="002F2B12"/>
    <w:rsid w:val="002F35CB"/>
    <w:rsid w:val="002F37E7"/>
    <w:rsid w:val="002F3903"/>
    <w:rsid w:val="002F3BC2"/>
    <w:rsid w:val="002F3D98"/>
    <w:rsid w:val="002F4643"/>
    <w:rsid w:val="002F5821"/>
    <w:rsid w:val="002F698B"/>
    <w:rsid w:val="002F74E4"/>
    <w:rsid w:val="002F7ACA"/>
    <w:rsid w:val="002F7B55"/>
    <w:rsid w:val="002F7C6D"/>
    <w:rsid w:val="00300456"/>
    <w:rsid w:val="00300771"/>
    <w:rsid w:val="00301616"/>
    <w:rsid w:val="00301816"/>
    <w:rsid w:val="003027E4"/>
    <w:rsid w:val="00302B2F"/>
    <w:rsid w:val="00303254"/>
    <w:rsid w:val="0030332C"/>
    <w:rsid w:val="003035EC"/>
    <w:rsid w:val="00303D1A"/>
    <w:rsid w:val="00303EDD"/>
    <w:rsid w:val="003040ED"/>
    <w:rsid w:val="00304AA3"/>
    <w:rsid w:val="00306F91"/>
    <w:rsid w:val="00307FA1"/>
    <w:rsid w:val="00310176"/>
    <w:rsid w:val="00310E81"/>
    <w:rsid w:val="0031223D"/>
    <w:rsid w:val="00312267"/>
    <w:rsid w:val="00312296"/>
    <w:rsid w:val="00312EA2"/>
    <w:rsid w:val="0031303C"/>
    <w:rsid w:val="0031337A"/>
    <w:rsid w:val="0031340E"/>
    <w:rsid w:val="00313CB3"/>
    <w:rsid w:val="003149ED"/>
    <w:rsid w:val="0031553D"/>
    <w:rsid w:val="00316464"/>
    <w:rsid w:val="00316804"/>
    <w:rsid w:val="00316A70"/>
    <w:rsid w:val="00316CAF"/>
    <w:rsid w:val="00316EB0"/>
    <w:rsid w:val="00317215"/>
    <w:rsid w:val="00320716"/>
    <w:rsid w:val="0032073A"/>
    <w:rsid w:val="00321084"/>
    <w:rsid w:val="0032176D"/>
    <w:rsid w:val="00321D8E"/>
    <w:rsid w:val="00321F3C"/>
    <w:rsid w:val="00322248"/>
    <w:rsid w:val="00323641"/>
    <w:rsid w:val="003236CC"/>
    <w:rsid w:val="003239E7"/>
    <w:rsid w:val="00323BEB"/>
    <w:rsid w:val="00323FDE"/>
    <w:rsid w:val="00325310"/>
    <w:rsid w:val="003253BF"/>
    <w:rsid w:val="00325A49"/>
    <w:rsid w:val="00325CD7"/>
    <w:rsid w:val="0032683D"/>
    <w:rsid w:val="00326921"/>
    <w:rsid w:val="00326F78"/>
    <w:rsid w:val="00326F81"/>
    <w:rsid w:val="00327234"/>
    <w:rsid w:val="0032787E"/>
    <w:rsid w:val="00327E34"/>
    <w:rsid w:val="0033047B"/>
    <w:rsid w:val="003309EA"/>
    <w:rsid w:val="003326F4"/>
    <w:rsid w:val="00332FE6"/>
    <w:rsid w:val="00333A7D"/>
    <w:rsid w:val="00333BA0"/>
    <w:rsid w:val="00333D09"/>
    <w:rsid w:val="003344B4"/>
    <w:rsid w:val="00334931"/>
    <w:rsid w:val="00334996"/>
    <w:rsid w:val="0033499C"/>
    <w:rsid w:val="003350F7"/>
    <w:rsid w:val="003353EB"/>
    <w:rsid w:val="00335A32"/>
    <w:rsid w:val="00336511"/>
    <w:rsid w:val="00336969"/>
    <w:rsid w:val="0033699C"/>
    <w:rsid w:val="00336C52"/>
    <w:rsid w:val="00337296"/>
    <w:rsid w:val="0033734B"/>
    <w:rsid w:val="00337489"/>
    <w:rsid w:val="003374D7"/>
    <w:rsid w:val="0033756F"/>
    <w:rsid w:val="00337752"/>
    <w:rsid w:val="0034007B"/>
    <w:rsid w:val="003412D4"/>
    <w:rsid w:val="003415D1"/>
    <w:rsid w:val="00341978"/>
    <w:rsid w:val="00341B3E"/>
    <w:rsid w:val="00341B42"/>
    <w:rsid w:val="00341F2B"/>
    <w:rsid w:val="00343C0A"/>
    <w:rsid w:val="00343D4C"/>
    <w:rsid w:val="003441FA"/>
    <w:rsid w:val="003445C2"/>
    <w:rsid w:val="00344B91"/>
    <w:rsid w:val="00344D49"/>
    <w:rsid w:val="00345154"/>
    <w:rsid w:val="003455C8"/>
    <w:rsid w:val="0034560E"/>
    <w:rsid w:val="00345939"/>
    <w:rsid w:val="00345D5D"/>
    <w:rsid w:val="0034674F"/>
    <w:rsid w:val="00346860"/>
    <w:rsid w:val="00346A95"/>
    <w:rsid w:val="00346C68"/>
    <w:rsid w:val="00350523"/>
    <w:rsid w:val="003505BC"/>
    <w:rsid w:val="00351068"/>
    <w:rsid w:val="0035162B"/>
    <w:rsid w:val="0035241E"/>
    <w:rsid w:val="00352436"/>
    <w:rsid w:val="00352773"/>
    <w:rsid w:val="00352975"/>
    <w:rsid w:val="003534E2"/>
    <w:rsid w:val="00353549"/>
    <w:rsid w:val="00353583"/>
    <w:rsid w:val="0035374C"/>
    <w:rsid w:val="003541C5"/>
    <w:rsid w:val="003554CE"/>
    <w:rsid w:val="00355A7E"/>
    <w:rsid w:val="00355CAD"/>
    <w:rsid w:val="0035614C"/>
    <w:rsid w:val="0035677B"/>
    <w:rsid w:val="00356868"/>
    <w:rsid w:val="00356BD7"/>
    <w:rsid w:val="00356FA4"/>
    <w:rsid w:val="00360BE8"/>
    <w:rsid w:val="00361054"/>
    <w:rsid w:val="00361A87"/>
    <w:rsid w:val="00362130"/>
    <w:rsid w:val="0036254B"/>
    <w:rsid w:val="00362560"/>
    <w:rsid w:val="003628E9"/>
    <w:rsid w:val="0036333F"/>
    <w:rsid w:val="003637F0"/>
    <w:rsid w:val="00363D49"/>
    <w:rsid w:val="00363E60"/>
    <w:rsid w:val="0036485B"/>
    <w:rsid w:val="00364D0E"/>
    <w:rsid w:val="0036530E"/>
    <w:rsid w:val="00365317"/>
    <w:rsid w:val="003657FE"/>
    <w:rsid w:val="003659C5"/>
    <w:rsid w:val="003666EF"/>
    <w:rsid w:val="00366764"/>
    <w:rsid w:val="00366D9F"/>
    <w:rsid w:val="00366FF9"/>
    <w:rsid w:val="00367177"/>
    <w:rsid w:val="003671FB"/>
    <w:rsid w:val="00370310"/>
    <w:rsid w:val="00370B9B"/>
    <w:rsid w:val="00370DE1"/>
    <w:rsid w:val="003710AC"/>
    <w:rsid w:val="00371765"/>
    <w:rsid w:val="003722F9"/>
    <w:rsid w:val="00372988"/>
    <w:rsid w:val="00372C8F"/>
    <w:rsid w:val="00373B0D"/>
    <w:rsid w:val="00373BEB"/>
    <w:rsid w:val="0037605B"/>
    <w:rsid w:val="00376302"/>
    <w:rsid w:val="00376988"/>
    <w:rsid w:val="003770DA"/>
    <w:rsid w:val="00380B4A"/>
    <w:rsid w:val="00381A72"/>
    <w:rsid w:val="00381D98"/>
    <w:rsid w:val="0038222B"/>
    <w:rsid w:val="003822A8"/>
    <w:rsid w:val="00382660"/>
    <w:rsid w:val="003842AF"/>
    <w:rsid w:val="003843A8"/>
    <w:rsid w:val="0038459F"/>
    <w:rsid w:val="00384902"/>
    <w:rsid w:val="00384925"/>
    <w:rsid w:val="00384C12"/>
    <w:rsid w:val="00384C8C"/>
    <w:rsid w:val="003864CB"/>
    <w:rsid w:val="003867A2"/>
    <w:rsid w:val="00387035"/>
    <w:rsid w:val="003905ED"/>
    <w:rsid w:val="00390807"/>
    <w:rsid w:val="0039087D"/>
    <w:rsid w:val="00390BB4"/>
    <w:rsid w:val="0039212C"/>
    <w:rsid w:val="00392810"/>
    <w:rsid w:val="00392A47"/>
    <w:rsid w:val="00392DAC"/>
    <w:rsid w:val="00392E12"/>
    <w:rsid w:val="00394073"/>
    <w:rsid w:val="00394A5C"/>
    <w:rsid w:val="00395DB3"/>
    <w:rsid w:val="003962B3"/>
    <w:rsid w:val="003965F2"/>
    <w:rsid w:val="003968CD"/>
    <w:rsid w:val="00397533"/>
    <w:rsid w:val="00397BCC"/>
    <w:rsid w:val="00397FD6"/>
    <w:rsid w:val="003A133E"/>
    <w:rsid w:val="003A1948"/>
    <w:rsid w:val="003A2C55"/>
    <w:rsid w:val="003A2FAB"/>
    <w:rsid w:val="003A4824"/>
    <w:rsid w:val="003A48AC"/>
    <w:rsid w:val="003A4AFC"/>
    <w:rsid w:val="003A5313"/>
    <w:rsid w:val="003A5E52"/>
    <w:rsid w:val="003A689E"/>
    <w:rsid w:val="003A6C64"/>
    <w:rsid w:val="003A74F1"/>
    <w:rsid w:val="003A78C4"/>
    <w:rsid w:val="003A7AEB"/>
    <w:rsid w:val="003A7FFE"/>
    <w:rsid w:val="003B01DE"/>
    <w:rsid w:val="003B0EF9"/>
    <w:rsid w:val="003B14F4"/>
    <w:rsid w:val="003B152A"/>
    <w:rsid w:val="003B23A6"/>
    <w:rsid w:val="003B34DE"/>
    <w:rsid w:val="003B3C99"/>
    <w:rsid w:val="003B3D0D"/>
    <w:rsid w:val="003B4F56"/>
    <w:rsid w:val="003B545B"/>
    <w:rsid w:val="003B581F"/>
    <w:rsid w:val="003B5850"/>
    <w:rsid w:val="003B7011"/>
    <w:rsid w:val="003B731B"/>
    <w:rsid w:val="003B768E"/>
    <w:rsid w:val="003B7A9C"/>
    <w:rsid w:val="003B7B0E"/>
    <w:rsid w:val="003B7BAF"/>
    <w:rsid w:val="003C0997"/>
    <w:rsid w:val="003C0CCD"/>
    <w:rsid w:val="003C1929"/>
    <w:rsid w:val="003C2157"/>
    <w:rsid w:val="003C3846"/>
    <w:rsid w:val="003C38CB"/>
    <w:rsid w:val="003C3F60"/>
    <w:rsid w:val="003C4855"/>
    <w:rsid w:val="003C4DF8"/>
    <w:rsid w:val="003C5804"/>
    <w:rsid w:val="003C589A"/>
    <w:rsid w:val="003C61E4"/>
    <w:rsid w:val="003C7119"/>
    <w:rsid w:val="003D0886"/>
    <w:rsid w:val="003D1A47"/>
    <w:rsid w:val="003D2481"/>
    <w:rsid w:val="003D36E9"/>
    <w:rsid w:val="003D3EE9"/>
    <w:rsid w:val="003D4A0D"/>
    <w:rsid w:val="003D564B"/>
    <w:rsid w:val="003D600A"/>
    <w:rsid w:val="003D72EC"/>
    <w:rsid w:val="003D78C9"/>
    <w:rsid w:val="003E0189"/>
    <w:rsid w:val="003E0914"/>
    <w:rsid w:val="003E0A1C"/>
    <w:rsid w:val="003E0DF3"/>
    <w:rsid w:val="003E0EF3"/>
    <w:rsid w:val="003E1670"/>
    <w:rsid w:val="003E1AB3"/>
    <w:rsid w:val="003E1E6C"/>
    <w:rsid w:val="003E2444"/>
    <w:rsid w:val="003E2678"/>
    <w:rsid w:val="003E3846"/>
    <w:rsid w:val="003E47BF"/>
    <w:rsid w:val="003E4DED"/>
    <w:rsid w:val="003E6BD5"/>
    <w:rsid w:val="003E6E10"/>
    <w:rsid w:val="003E73F0"/>
    <w:rsid w:val="003E7428"/>
    <w:rsid w:val="003E7681"/>
    <w:rsid w:val="003E783E"/>
    <w:rsid w:val="003F04C3"/>
    <w:rsid w:val="003F0809"/>
    <w:rsid w:val="003F0C86"/>
    <w:rsid w:val="003F1B2F"/>
    <w:rsid w:val="003F21F3"/>
    <w:rsid w:val="003F22B4"/>
    <w:rsid w:val="003F3A6E"/>
    <w:rsid w:val="003F4204"/>
    <w:rsid w:val="003F4318"/>
    <w:rsid w:val="003F43D3"/>
    <w:rsid w:val="003F5E73"/>
    <w:rsid w:val="003F6053"/>
    <w:rsid w:val="003F611C"/>
    <w:rsid w:val="003F6B57"/>
    <w:rsid w:val="003F755C"/>
    <w:rsid w:val="00400541"/>
    <w:rsid w:val="00401281"/>
    <w:rsid w:val="00401723"/>
    <w:rsid w:val="004023B1"/>
    <w:rsid w:val="00402749"/>
    <w:rsid w:val="004027B3"/>
    <w:rsid w:val="00402883"/>
    <w:rsid w:val="00402AB6"/>
    <w:rsid w:val="00403039"/>
    <w:rsid w:val="00403B73"/>
    <w:rsid w:val="0040446C"/>
    <w:rsid w:val="004048F7"/>
    <w:rsid w:val="00405074"/>
    <w:rsid w:val="004056B0"/>
    <w:rsid w:val="004065C8"/>
    <w:rsid w:val="00406F01"/>
    <w:rsid w:val="004114D9"/>
    <w:rsid w:val="00411B36"/>
    <w:rsid w:val="00411CBA"/>
    <w:rsid w:val="004121D7"/>
    <w:rsid w:val="0041279F"/>
    <w:rsid w:val="00412BD1"/>
    <w:rsid w:val="00413BE2"/>
    <w:rsid w:val="00415082"/>
    <w:rsid w:val="004151D0"/>
    <w:rsid w:val="00415BEC"/>
    <w:rsid w:val="00416242"/>
    <w:rsid w:val="0041629F"/>
    <w:rsid w:val="004168A4"/>
    <w:rsid w:val="00416D50"/>
    <w:rsid w:val="00416FC1"/>
    <w:rsid w:val="004171A4"/>
    <w:rsid w:val="00417444"/>
    <w:rsid w:val="00417772"/>
    <w:rsid w:val="00417F17"/>
    <w:rsid w:val="00420E6A"/>
    <w:rsid w:val="00420FA6"/>
    <w:rsid w:val="00421A8E"/>
    <w:rsid w:val="004231D3"/>
    <w:rsid w:val="00423A34"/>
    <w:rsid w:val="00423D3D"/>
    <w:rsid w:val="00423F3F"/>
    <w:rsid w:val="0042593B"/>
    <w:rsid w:val="00425B69"/>
    <w:rsid w:val="00426161"/>
    <w:rsid w:val="004267B9"/>
    <w:rsid w:val="004272E5"/>
    <w:rsid w:val="00430187"/>
    <w:rsid w:val="00431C35"/>
    <w:rsid w:val="00432210"/>
    <w:rsid w:val="0043246B"/>
    <w:rsid w:val="00432501"/>
    <w:rsid w:val="004328A4"/>
    <w:rsid w:val="00432E09"/>
    <w:rsid w:val="0043322A"/>
    <w:rsid w:val="00433CA9"/>
    <w:rsid w:val="004340AC"/>
    <w:rsid w:val="004346F0"/>
    <w:rsid w:val="00434A54"/>
    <w:rsid w:val="0043521D"/>
    <w:rsid w:val="0043588A"/>
    <w:rsid w:val="00435CB7"/>
    <w:rsid w:val="00436258"/>
    <w:rsid w:val="00437AC4"/>
    <w:rsid w:val="00437C80"/>
    <w:rsid w:val="004401D0"/>
    <w:rsid w:val="00440895"/>
    <w:rsid w:val="00440946"/>
    <w:rsid w:val="00440D6A"/>
    <w:rsid w:val="00441573"/>
    <w:rsid w:val="004419C2"/>
    <w:rsid w:val="00442024"/>
    <w:rsid w:val="0044254C"/>
    <w:rsid w:val="0044277C"/>
    <w:rsid w:val="00442A98"/>
    <w:rsid w:val="00442CC1"/>
    <w:rsid w:val="00443424"/>
    <w:rsid w:val="0044369F"/>
    <w:rsid w:val="004438AE"/>
    <w:rsid w:val="00443F6A"/>
    <w:rsid w:val="00444DF8"/>
    <w:rsid w:val="00445243"/>
    <w:rsid w:val="004458C0"/>
    <w:rsid w:val="004459B8"/>
    <w:rsid w:val="00445F77"/>
    <w:rsid w:val="004465C6"/>
    <w:rsid w:val="00447E78"/>
    <w:rsid w:val="00450A17"/>
    <w:rsid w:val="00450A81"/>
    <w:rsid w:val="004512FE"/>
    <w:rsid w:val="00451BB7"/>
    <w:rsid w:val="00451D8A"/>
    <w:rsid w:val="004529A6"/>
    <w:rsid w:val="00452BB0"/>
    <w:rsid w:val="00453078"/>
    <w:rsid w:val="0045499E"/>
    <w:rsid w:val="00454D7C"/>
    <w:rsid w:val="004579A2"/>
    <w:rsid w:val="00460090"/>
    <w:rsid w:val="00460DD7"/>
    <w:rsid w:val="00461179"/>
    <w:rsid w:val="004622FC"/>
    <w:rsid w:val="00462749"/>
    <w:rsid w:val="004639FE"/>
    <w:rsid w:val="00463CED"/>
    <w:rsid w:val="00464738"/>
    <w:rsid w:val="00464E27"/>
    <w:rsid w:val="0046555A"/>
    <w:rsid w:val="00465C2A"/>
    <w:rsid w:val="00466321"/>
    <w:rsid w:val="00466BAE"/>
    <w:rsid w:val="004671B2"/>
    <w:rsid w:val="004672AF"/>
    <w:rsid w:val="0046740C"/>
    <w:rsid w:val="004676D6"/>
    <w:rsid w:val="00467A75"/>
    <w:rsid w:val="00471125"/>
    <w:rsid w:val="004712F0"/>
    <w:rsid w:val="0047237A"/>
    <w:rsid w:val="004727B0"/>
    <w:rsid w:val="004729D6"/>
    <w:rsid w:val="0047302F"/>
    <w:rsid w:val="00473635"/>
    <w:rsid w:val="004747B9"/>
    <w:rsid w:val="004748A0"/>
    <w:rsid w:val="0047490D"/>
    <w:rsid w:val="00475711"/>
    <w:rsid w:val="004763E4"/>
    <w:rsid w:val="004771BA"/>
    <w:rsid w:val="00477521"/>
    <w:rsid w:val="00477B5A"/>
    <w:rsid w:val="00477BB3"/>
    <w:rsid w:val="00480247"/>
    <w:rsid w:val="0048081D"/>
    <w:rsid w:val="00480A88"/>
    <w:rsid w:val="00480FBF"/>
    <w:rsid w:val="0048117E"/>
    <w:rsid w:val="0048289A"/>
    <w:rsid w:val="00484668"/>
    <w:rsid w:val="00484787"/>
    <w:rsid w:val="004855F6"/>
    <w:rsid w:val="00485B7D"/>
    <w:rsid w:val="00486D81"/>
    <w:rsid w:val="00486F0C"/>
    <w:rsid w:val="00487F38"/>
    <w:rsid w:val="004905A9"/>
    <w:rsid w:val="0049063E"/>
    <w:rsid w:val="00491629"/>
    <w:rsid w:val="004926BF"/>
    <w:rsid w:val="00493057"/>
    <w:rsid w:val="00494670"/>
    <w:rsid w:val="00494C1C"/>
    <w:rsid w:val="0049597A"/>
    <w:rsid w:val="00495F52"/>
    <w:rsid w:val="00496022"/>
    <w:rsid w:val="004970A4"/>
    <w:rsid w:val="004972D4"/>
    <w:rsid w:val="00497D2E"/>
    <w:rsid w:val="00497DEA"/>
    <w:rsid w:val="004A01E7"/>
    <w:rsid w:val="004A0D2C"/>
    <w:rsid w:val="004A0D5F"/>
    <w:rsid w:val="004A0EB4"/>
    <w:rsid w:val="004A2DE1"/>
    <w:rsid w:val="004A2E6C"/>
    <w:rsid w:val="004A2EEC"/>
    <w:rsid w:val="004A3823"/>
    <w:rsid w:val="004A4B73"/>
    <w:rsid w:val="004A5944"/>
    <w:rsid w:val="004A59BB"/>
    <w:rsid w:val="004A5D67"/>
    <w:rsid w:val="004A6F2B"/>
    <w:rsid w:val="004A7763"/>
    <w:rsid w:val="004B08EE"/>
    <w:rsid w:val="004B0A55"/>
    <w:rsid w:val="004B1E8B"/>
    <w:rsid w:val="004B41B4"/>
    <w:rsid w:val="004B42FD"/>
    <w:rsid w:val="004B43A3"/>
    <w:rsid w:val="004B4A1D"/>
    <w:rsid w:val="004B4C49"/>
    <w:rsid w:val="004B4E6D"/>
    <w:rsid w:val="004B51F5"/>
    <w:rsid w:val="004B57FB"/>
    <w:rsid w:val="004B58A5"/>
    <w:rsid w:val="004B5BE7"/>
    <w:rsid w:val="004B63D9"/>
    <w:rsid w:val="004B64FE"/>
    <w:rsid w:val="004B7430"/>
    <w:rsid w:val="004B79B4"/>
    <w:rsid w:val="004C023A"/>
    <w:rsid w:val="004C0882"/>
    <w:rsid w:val="004C131A"/>
    <w:rsid w:val="004C2135"/>
    <w:rsid w:val="004C25F4"/>
    <w:rsid w:val="004C27CF"/>
    <w:rsid w:val="004C2C97"/>
    <w:rsid w:val="004C3186"/>
    <w:rsid w:val="004C33A3"/>
    <w:rsid w:val="004C352D"/>
    <w:rsid w:val="004C3C92"/>
    <w:rsid w:val="004C41E9"/>
    <w:rsid w:val="004C45DD"/>
    <w:rsid w:val="004C510A"/>
    <w:rsid w:val="004C54AF"/>
    <w:rsid w:val="004C55BE"/>
    <w:rsid w:val="004C61CE"/>
    <w:rsid w:val="004C63D2"/>
    <w:rsid w:val="004C688C"/>
    <w:rsid w:val="004C7412"/>
    <w:rsid w:val="004C7776"/>
    <w:rsid w:val="004C796D"/>
    <w:rsid w:val="004C7CF7"/>
    <w:rsid w:val="004C7FD1"/>
    <w:rsid w:val="004D01EE"/>
    <w:rsid w:val="004D04D0"/>
    <w:rsid w:val="004D188D"/>
    <w:rsid w:val="004D1D63"/>
    <w:rsid w:val="004D37DD"/>
    <w:rsid w:val="004D4418"/>
    <w:rsid w:val="004D45FC"/>
    <w:rsid w:val="004D470E"/>
    <w:rsid w:val="004D4976"/>
    <w:rsid w:val="004D49B4"/>
    <w:rsid w:val="004D4CF7"/>
    <w:rsid w:val="004D545B"/>
    <w:rsid w:val="004D566B"/>
    <w:rsid w:val="004D75AF"/>
    <w:rsid w:val="004D7F66"/>
    <w:rsid w:val="004E0971"/>
    <w:rsid w:val="004E1F9A"/>
    <w:rsid w:val="004E21EE"/>
    <w:rsid w:val="004E3FE7"/>
    <w:rsid w:val="004E4311"/>
    <w:rsid w:val="004E4CC3"/>
    <w:rsid w:val="004E4FAD"/>
    <w:rsid w:val="004E5440"/>
    <w:rsid w:val="004E5B30"/>
    <w:rsid w:val="004E62A7"/>
    <w:rsid w:val="004E7013"/>
    <w:rsid w:val="004F0779"/>
    <w:rsid w:val="004F099E"/>
    <w:rsid w:val="004F1030"/>
    <w:rsid w:val="004F1230"/>
    <w:rsid w:val="004F173F"/>
    <w:rsid w:val="004F177C"/>
    <w:rsid w:val="004F2DCE"/>
    <w:rsid w:val="004F3E7B"/>
    <w:rsid w:val="004F426D"/>
    <w:rsid w:val="004F48E0"/>
    <w:rsid w:val="004F4E97"/>
    <w:rsid w:val="004F5444"/>
    <w:rsid w:val="004F58F2"/>
    <w:rsid w:val="004F61C6"/>
    <w:rsid w:val="004F717E"/>
    <w:rsid w:val="004F77FB"/>
    <w:rsid w:val="004F7CFF"/>
    <w:rsid w:val="004F7EC6"/>
    <w:rsid w:val="005002E2"/>
    <w:rsid w:val="0050064B"/>
    <w:rsid w:val="00500CA6"/>
    <w:rsid w:val="00501BDF"/>
    <w:rsid w:val="005025E1"/>
    <w:rsid w:val="0050330D"/>
    <w:rsid w:val="005034B0"/>
    <w:rsid w:val="005039CB"/>
    <w:rsid w:val="00503C2A"/>
    <w:rsid w:val="00504856"/>
    <w:rsid w:val="00505479"/>
    <w:rsid w:val="00505532"/>
    <w:rsid w:val="0050558F"/>
    <w:rsid w:val="005057E0"/>
    <w:rsid w:val="0050613E"/>
    <w:rsid w:val="00506286"/>
    <w:rsid w:val="0050684C"/>
    <w:rsid w:val="005070D5"/>
    <w:rsid w:val="00507A62"/>
    <w:rsid w:val="0051021E"/>
    <w:rsid w:val="00510813"/>
    <w:rsid w:val="0051169C"/>
    <w:rsid w:val="00511DE0"/>
    <w:rsid w:val="00511E4A"/>
    <w:rsid w:val="005127EC"/>
    <w:rsid w:val="00512C4C"/>
    <w:rsid w:val="005140A3"/>
    <w:rsid w:val="00517E92"/>
    <w:rsid w:val="00517F02"/>
    <w:rsid w:val="00517F22"/>
    <w:rsid w:val="00520267"/>
    <w:rsid w:val="00520B49"/>
    <w:rsid w:val="00520F6E"/>
    <w:rsid w:val="00521D8F"/>
    <w:rsid w:val="00521F7B"/>
    <w:rsid w:val="005225F2"/>
    <w:rsid w:val="0052316E"/>
    <w:rsid w:val="00523218"/>
    <w:rsid w:val="00523A13"/>
    <w:rsid w:val="00523DFC"/>
    <w:rsid w:val="00524547"/>
    <w:rsid w:val="005248D7"/>
    <w:rsid w:val="00524FEB"/>
    <w:rsid w:val="005258A2"/>
    <w:rsid w:val="00525CCB"/>
    <w:rsid w:val="00526278"/>
    <w:rsid w:val="00526645"/>
    <w:rsid w:val="00526FE4"/>
    <w:rsid w:val="00527765"/>
    <w:rsid w:val="00530A65"/>
    <w:rsid w:val="00530F7C"/>
    <w:rsid w:val="00531470"/>
    <w:rsid w:val="00532362"/>
    <w:rsid w:val="00532B4A"/>
    <w:rsid w:val="00532CE4"/>
    <w:rsid w:val="00533AAB"/>
    <w:rsid w:val="0053430A"/>
    <w:rsid w:val="005343D4"/>
    <w:rsid w:val="00534567"/>
    <w:rsid w:val="00534F43"/>
    <w:rsid w:val="00535670"/>
    <w:rsid w:val="005358C8"/>
    <w:rsid w:val="00535A84"/>
    <w:rsid w:val="00535C82"/>
    <w:rsid w:val="00535D34"/>
    <w:rsid w:val="005360FC"/>
    <w:rsid w:val="00536889"/>
    <w:rsid w:val="00537273"/>
    <w:rsid w:val="00537590"/>
    <w:rsid w:val="0054048B"/>
    <w:rsid w:val="00540E62"/>
    <w:rsid w:val="00541B73"/>
    <w:rsid w:val="005420C2"/>
    <w:rsid w:val="00542491"/>
    <w:rsid w:val="005424B1"/>
    <w:rsid w:val="00542E07"/>
    <w:rsid w:val="00542F67"/>
    <w:rsid w:val="0054303C"/>
    <w:rsid w:val="005435B8"/>
    <w:rsid w:val="00543A58"/>
    <w:rsid w:val="00543F4C"/>
    <w:rsid w:val="005440B8"/>
    <w:rsid w:val="00544E2E"/>
    <w:rsid w:val="00545046"/>
    <w:rsid w:val="0054505D"/>
    <w:rsid w:val="005471D1"/>
    <w:rsid w:val="005474C0"/>
    <w:rsid w:val="00547D5A"/>
    <w:rsid w:val="00552BFF"/>
    <w:rsid w:val="00552CBD"/>
    <w:rsid w:val="0055409B"/>
    <w:rsid w:val="00554A7B"/>
    <w:rsid w:val="00554C47"/>
    <w:rsid w:val="00554CB7"/>
    <w:rsid w:val="005550F5"/>
    <w:rsid w:val="0055572C"/>
    <w:rsid w:val="00555E91"/>
    <w:rsid w:val="00556181"/>
    <w:rsid w:val="00557CFB"/>
    <w:rsid w:val="005604AD"/>
    <w:rsid w:val="0056064F"/>
    <w:rsid w:val="00561393"/>
    <w:rsid w:val="0056152F"/>
    <w:rsid w:val="00561A62"/>
    <w:rsid w:val="00561B84"/>
    <w:rsid w:val="00561F4B"/>
    <w:rsid w:val="0056209A"/>
    <w:rsid w:val="0056250D"/>
    <w:rsid w:val="00562EC6"/>
    <w:rsid w:val="00563E32"/>
    <w:rsid w:val="00564019"/>
    <w:rsid w:val="00566AFA"/>
    <w:rsid w:val="0056711D"/>
    <w:rsid w:val="00567F6C"/>
    <w:rsid w:val="005702BF"/>
    <w:rsid w:val="00570C24"/>
    <w:rsid w:val="00571415"/>
    <w:rsid w:val="00571866"/>
    <w:rsid w:val="00571D98"/>
    <w:rsid w:val="005720AE"/>
    <w:rsid w:val="005721DF"/>
    <w:rsid w:val="005732D2"/>
    <w:rsid w:val="00573FDD"/>
    <w:rsid w:val="0057428D"/>
    <w:rsid w:val="00574BCD"/>
    <w:rsid w:val="00574F9D"/>
    <w:rsid w:val="0057635C"/>
    <w:rsid w:val="00577083"/>
    <w:rsid w:val="005778A9"/>
    <w:rsid w:val="0058030D"/>
    <w:rsid w:val="005810D0"/>
    <w:rsid w:val="00582045"/>
    <w:rsid w:val="005828A0"/>
    <w:rsid w:val="00582B31"/>
    <w:rsid w:val="00583873"/>
    <w:rsid w:val="00583B07"/>
    <w:rsid w:val="005846D8"/>
    <w:rsid w:val="00585687"/>
    <w:rsid w:val="00586309"/>
    <w:rsid w:val="005869DD"/>
    <w:rsid w:val="00587F75"/>
    <w:rsid w:val="005901F0"/>
    <w:rsid w:val="00590AE3"/>
    <w:rsid w:val="00590F7E"/>
    <w:rsid w:val="005911C7"/>
    <w:rsid w:val="005918F1"/>
    <w:rsid w:val="00591EB0"/>
    <w:rsid w:val="005925D2"/>
    <w:rsid w:val="00592F00"/>
    <w:rsid w:val="00593201"/>
    <w:rsid w:val="005936AE"/>
    <w:rsid w:val="0059391C"/>
    <w:rsid w:val="00594250"/>
    <w:rsid w:val="0059449F"/>
    <w:rsid w:val="005947AE"/>
    <w:rsid w:val="00594AD8"/>
    <w:rsid w:val="00596255"/>
    <w:rsid w:val="00597B8B"/>
    <w:rsid w:val="00597CDB"/>
    <w:rsid w:val="005A06B7"/>
    <w:rsid w:val="005A1759"/>
    <w:rsid w:val="005A1F90"/>
    <w:rsid w:val="005A29F4"/>
    <w:rsid w:val="005A37FB"/>
    <w:rsid w:val="005A43D1"/>
    <w:rsid w:val="005A4FEA"/>
    <w:rsid w:val="005A5A4D"/>
    <w:rsid w:val="005A5A52"/>
    <w:rsid w:val="005A5F2D"/>
    <w:rsid w:val="005A6D1E"/>
    <w:rsid w:val="005A7B77"/>
    <w:rsid w:val="005B0426"/>
    <w:rsid w:val="005B093B"/>
    <w:rsid w:val="005B0B75"/>
    <w:rsid w:val="005B1583"/>
    <w:rsid w:val="005B189B"/>
    <w:rsid w:val="005B1D8B"/>
    <w:rsid w:val="005B220C"/>
    <w:rsid w:val="005B224A"/>
    <w:rsid w:val="005B2424"/>
    <w:rsid w:val="005B3794"/>
    <w:rsid w:val="005B3816"/>
    <w:rsid w:val="005B3F7C"/>
    <w:rsid w:val="005B45F2"/>
    <w:rsid w:val="005B4878"/>
    <w:rsid w:val="005B4EE3"/>
    <w:rsid w:val="005B5F2C"/>
    <w:rsid w:val="005C0837"/>
    <w:rsid w:val="005C1094"/>
    <w:rsid w:val="005C134F"/>
    <w:rsid w:val="005C1F32"/>
    <w:rsid w:val="005C20F3"/>
    <w:rsid w:val="005C2BFF"/>
    <w:rsid w:val="005C32B1"/>
    <w:rsid w:val="005C3BF4"/>
    <w:rsid w:val="005C5EAF"/>
    <w:rsid w:val="005C654A"/>
    <w:rsid w:val="005C6AE1"/>
    <w:rsid w:val="005D0239"/>
    <w:rsid w:val="005D0352"/>
    <w:rsid w:val="005D0369"/>
    <w:rsid w:val="005D060C"/>
    <w:rsid w:val="005D1234"/>
    <w:rsid w:val="005D1685"/>
    <w:rsid w:val="005D1B44"/>
    <w:rsid w:val="005D1E02"/>
    <w:rsid w:val="005D2B0E"/>
    <w:rsid w:val="005D47F6"/>
    <w:rsid w:val="005D53FE"/>
    <w:rsid w:val="005D6D4D"/>
    <w:rsid w:val="005D6DF8"/>
    <w:rsid w:val="005D7313"/>
    <w:rsid w:val="005D77E2"/>
    <w:rsid w:val="005D7919"/>
    <w:rsid w:val="005D7A0F"/>
    <w:rsid w:val="005E0438"/>
    <w:rsid w:val="005E0713"/>
    <w:rsid w:val="005E1791"/>
    <w:rsid w:val="005E1CAD"/>
    <w:rsid w:val="005E2CE6"/>
    <w:rsid w:val="005E2D1E"/>
    <w:rsid w:val="005E2D4B"/>
    <w:rsid w:val="005E2F06"/>
    <w:rsid w:val="005E3115"/>
    <w:rsid w:val="005E453B"/>
    <w:rsid w:val="005E4555"/>
    <w:rsid w:val="005E4BC2"/>
    <w:rsid w:val="005E4BFB"/>
    <w:rsid w:val="005E56F5"/>
    <w:rsid w:val="005E5897"/>
    <w:rsid w:val="005E5B62"/>
    <w:rsid w:val="005E6324"/>
    <w:rsid w:val="005E6CAE"/>
    <w:rsid w:val="005E713C"/>
    <w:rsid w:val="005E7686"/>
    <w:rsid w:val="005E7CFD"/>
    <w:rsid w:val="005F15FA"/>
    <w:rsid w:val="005F228B"/>
    <w:rsid w:val="005F29CD"/>
    <w:rsid w:val="005F375F"/>
    <w:rsid w:val="005F3CE2"/>
    <w:rsid w:val="005F406B"/>
    <w:rsid w:val="005F49D3"/>
    <w:rsid w:val="005F4D4C"/>
    <w:rsid w:val="005F4DFB"/>
    <w:rsid w:val="005F51AA"/>
    <w:rsid w:val="005F5BC2"/>
    <w:rsid w:val="005F5D2C"/>
    <w:rsid w:val="005F6294"/>
    <w:rsid w:val="005F6A49"/>
    <w:rsid w:val="005F6BC1"/>
    <w:rsid w:val="005F6CC0"/>
    <w:rsid w:val="005F72FC"/>
    <w:rsid w:val="005F73DC"/>
    <w:rsid w:val="0060069C"/>
    <w:rsid w:val="006007E6"/>
    <w:rsid w:val="00600C0D"/>
    <w:rsid w:val="0060113A"/>
    <w:rsid w:val="00601E22"/>
    <w:rsid w:val="006021DA"/>
    <w:rsid w:val="0060270E"/>
    <w:rsid w:val="00603E5B"/>
    <w:rsid w:val="00604BC4"/>
    <w:rsid w:val="00604BC8"/>
    <w:rsid w:val="00605895"/>
    <w:rsid w:val="00605A90"/>
    <w:rsid w:val="00605FC8"/>
    <w:rsid w:val="006074E3"/>
    <w:rsid w:val="00610ACE"/>
    <w:rsid w:val="00610AF0"/>
    <w:rsid w:val="00612FF6"/>
    <w:rsid w:val="006135C6"/>
    <w:rsid w:val="006139AB"/>
    <w:rsid w:val="00614D09"/>
    <w:rsid w:val="00614F3C"/>
    <w:rsid w:val="0061500C"/>
    <w:rsid w:val="00615B4C"/>
    <w:rsid w:val="00615B5D"/>
    <w:rsid w:val="006178B6"/>
    <w:rsid w:val="00617A3C"/>
    <w:rsid w:val="00620504"/>
    <w:rsid w:val="00620DA4"/>
    <w:rsid w:val="006211F0"/>
    <w:rsid w:val="006212A3"/>
    <w:rsid w:val="0062146F"/>
    <w:rsid w:val="006215D1"/>
    <w:rsid w:val="00623B07"/>
    <w:rsid w:val="00623B90"/>
    <w:rsid w:val="00623D4A"/>
    <w:rsid w:val="00623EEA"/>
    <w:rsid w:val="00624038"/>
    <w:rsid w:val="0062495B"/>
    <w:rsid w:val="00624C1D"/>
    <w:rsid w:val="00625A2D"/>
    <w:rsid w:val="006265C3"/>
    <w:rsid w:val="006266E5"/>
    <w:rsid w:val="00626C92"/>
    <w:rsid w:val="00626F55"/>
    <w:rsid w:val="00626FA4"/>
    <w:rsid w:val="006275C2"/>
    <w:rsid w:val="006303F1"/>
    <w:rsid w:val="00632773"/>
    <w:rsid w:val="006333F8"/>
    <w:rsid w:val="006341A7"/>
    <w:rsid w:val="0063424E"/>
    <w:rsid w:val="006343AF"/>
    <w:rsid w:val="00635691"/>
    <w:rsid w:val="006358C1"/>
    <w:rsid w:val="00635D37"/>
    <w:rsid w:val="00635EFB"/>
    <w:rsid w:val="0063634A"/>
    <w:rsid w:val="006367A0"/>
    <w:rsid w:val="00637543"/>
    <w:rsid w:val="00637679"/>
    <w:rsid w:val="00637977"/>
    <w:rsid w:val="006379EA"/>
    <w:rsid w:val="00641256"/>
    <w:rsid w:val="00641EA7"/>
    <w:rsid w:val="00642234"/>
    <w:rsid w:val="006423C9"/>
    <w:rsid w:val="0064250D"/>
    <w:rsid w:val="006439E0"/>
    <w:rsid w:val="00643D2A"/>
    <w:rsid w:val="00643F6C"/>
    <w:rsid w:val="006446B3"/>
    <w:rsid w:val="00644EBE"/>
    <w:rsid w:val="00645264"/>
    <w:rsid w:val="00645B30"/>
    <w:rsid w:val="006477B5"/>
    <w:rsid w:val="006479AE"/>
    <w:rsid w:val="00650811"/>
    <w:rsid w:val="00650948"/>
    <w:rsid w:val="00650C5D"/>
    <w:rsid w:val="0065180F"/>
    <w:rsid w:val="006530BA"/>
    <w:rsid w:val="0065341A"/>
    <w:rsid w:val="0065341B"/>
    <w:rsid w:val="006535EB"/>
    <w:rsid w:val="00653D4D"/>
    <w:rsid w:val="0065431A"/>
    <w:rsid w:val="00654388"/>
    <w:rsid w:val="00655B72"/>
    <w:rsid w:val="006561CF"/>
    <w:rsid w:val="00656266"/>
    <w:rsid w:val="00656D0E"/>
    <w:rsid w:val="00656DBF"/>
    <w:rsid w:val="0065727A"/>
    <w:rsid w:val="00660BF5"/>
    <w:rsid w:val="00661952"/>
    <w:rsid w:val="00661F00"/>
    <w:rsid w:val="00662102"/>
    <w:rsid w:val="00663016"/>
    <w:rsid w:val="00663BC5"/>
    <w:rsid w:val="00663CA2"/>
    <w:rsid w:val="00664A6C"/>
    <w:rsid w:val="00664CA2"/>
    <w:rsid w:val="00665606"/>
    <w:rsid w:val="00665781"/>
    <w:rsid w:val="00665D65"/>
    <w:rsid w:val="00665EE3"/>
    <w:rsid w:val="00666939"/>
    <w:rsid w:val="0066753B"/>
    <w:rsid w:val="00670218"/>
    <w:rsid w:val="006705EA"/>
    <w:rsid w:val="00670941"/>
    <w:rsid w:val="0067095E"/>
    <w:rsid w:val="00673E59"/>
    <w:rsid w:val="00674605"/>
    <w:rsid w:val="006748B8"/>
    <w:rsid w:val="0067538A"/>
    <w:rsid w:val="006757F4"/>
    <w:rsid w:val="00676319"/>
    <w:rsid w:val="0067717B"/>
    <w:rsid w:val="0067752D"/>
    <w:rsid w:val="0067786D"/>
    <w:rsid w:val="006800DA"/>
    <w:rsid w:val="00680607"/>
    <w:rsid w:val="00680975"/>
    <w:rsid w:val="0068104A"/>
    <w:rsid w:val="0068147F"/>
    <w:rsid w:val="00681855"/>
    <w:rsid w:val="00681BA4"/>
    <w:rsid w:val="00682231"/>
    <w:rsid w:val="00682BC9"/>
    <w:rsid w:val="00682E0A"/>
    <w:rsid w:val="00683042"/>
    <w:rsid w:val="0068335A"/>
    <w:rsid w:val="006835FA"/>
    <w:rsid w:val="00683E07"/>
    <w:rsid w:val="006841C3"/>
    <w:rsid w:val="006845E9"/>
    <w:rsid w:val="00684882"/>
    <w:rsid w:val="0068535B"/>
    <w:rsid w:val="00686B44"/>
    <w:rsid w:val="00686F0D"/>
    <w:rsid w:val="0068736E"/>
    <w:rsid w:val="006876D9"/>
    <w:rsid w:val="00690695"/>
    <w:rsid w:val="006908FE"/>
    <w:rsid w:val="00691B96"/>
    <w:rsid w:val="006926AF"/>
    <w:rsid w:val="0069273B"/>
    <w:rsid w:val="0069290A"/>
    <w:rsid w:val="00693925"/>
    <w:rsid w:val="00694043"/>
    <w:rsid w:val="0069548B"/>
    <w:rsid w:val="0069579A"/>
    <w:rsid w:val="00695E3C"/>
    <w:rsid w:val="00696ECC"/>
    <w:rsid w:val="00697032"/>
    <w:rsid w:val="006975AC"/>
    <w:rsid w:val="006A15FB"/>
    <w:rsid w:val="006A16D8"/>
    <w:rsid w:val="006A1C6D"/>
    <w:rsid w:val="006A1E4B"/>
    <w:rsid w:val="006A25C8"/>
    <w:rsid w:val="006A26F3"/>
    <w:rsid w:val="006A3128"/>
    <w:rsid w:val="006A506F"/>
    <w:rsid w:val="006A528A"/>
    <w:rsid w:val="006A619D"/>
    <w:rsid w:val="006A6408"/>
    <w:rsid w:val="006A659F"/>
    <w:rsid w:val="006A66C0"/>
    <w:rsid w:val="006A72BF"/>
    <w:rsid w:val="006A76B1"/>
    <w:rsid w:val="006B052E"/>
    <w:rsid w:val="006B05AC"/>
    <w:rsid w:val="006B095E"/>
    <w:rsid w:val="006B1F75"/>
    <w:rsid w:val="006B250F"/>
    <w:rsid w:val="006B332A"/>
    <w:rsid w:val="006B33BD"/>
    <w:rsid w:val="006B3DA9"/>
    <w:rsid w:val="006B439B"/>
    <w:rsid w:val="006B47D9"/>
    <w:rsid w:val="006B50F1"/>
    <w:rsid w:val="006B5E67"/>
    <w:rsid w:val="006B614B"/>
    <w:rsid w:val="006B631A"/>
    <w:rsid w:val="006B69C4"/>
    <w:rsid w:val="006B7AAD"/>
    <w:rsid w:val="006C055C"/>
    <w:rsid w:val="006C1160"/>
    <w:rsid w:val="006C12ED"/>
    <w:rsid w:val="006C18E6"/>
    <w:rsid w:val="006C3254"/>
    <w:rsid w:val="006C3F75"/>
    <w:rsid w:val="006C41D3"/>
    <w:rsid w:val="006C4EA8"/>
    <w:rsid w:val="006C5A20"/>
    <w:rsid w:val="006C5ECD"/>
    <w:rsid w:val="006C62AB"/>
    <w:rsid w:val="006C69BA"/>
    <w:rsid w:val="006C75FD"/>
    <w:rsid w:val="006C799A"/>
    <w:rsid w:val="006D1289"/>
    <w:rsid w:val="006D170E"/>
    <w:rsid w:val="006D2706"/>
    <w:rsid w:val="006D2C94"/>
    <w:rsid w:val="006D35B2"/>
    <w:rsid w:val="006D375A"/>
    <w:rsid w:val="006D4B93"/>
    <w:rsid w:val="006D4DA6"/>
    <w:rsid w:val="006D6D41"/>
    <w:rsid w:val="006D7EC7"/>
    <w:rsid w:val="006E028C"/>
    <w:rsid w:val="006E06AF"/>
    <w:rsid w:val="006E070A"/>
    <w:rsid w:val="006E1174"/>
    <w:rsid w:val="006E3F0D"/>
    <w:rsid w:val="006E41DB"/>
    <w:rsid w:val="006E630D"/>
    <w:rsid w:val="006E65EA"/>
    <w:rsid w:val="006E663C"/>
    <w:rsid w:val="006E6A53"/>
    <w:rsid w:val="006E6BF1"/>
    <w:rsid w:val="006E71E3"/>
    <w:rsid w:val="006E7258"/>
    <w:rsid w:val="006F124F"/>
    <w:rsid w:val="006F127A"/>
    <w:rsid w:val="006F1789"/>
    <w:rsid w:val="006F1D4A"/>
    <w:rsid w:val="006F219A"/>
    <w:rsid w:val="006F221C"/>
    <w:rsid w:val="006F2373"/>
    <w:rsid w:val="006F24E9"/>
    <w:rsid w:val="006F3BAB"/>
    <w:rsid w:val="006F3DCF"/>
    <w:rsid w:val="006F40C0"/>
    <w:rsid w:val="006F41DA"/>
    <w:rsid w:val="006F4DD5"/>
    <w:rsid w:val="006F513B"/>
    <w:rsid w:val="006F5938"/>
    <w:rsid w:val="006F66CF"/>
    <w:rsid w:val="006F67E6"/>
    <w:rsid w:val="006F6A41"/>
    <w:rsid w:val="006F742B"/>
    <w:rsid w:val="006F75D6"/>
    <w:rsid w:val="006F7632"/>
    <w:rsid w:val="006F79C6"/>
    <w:rsid w:val="00700BCA"/>
    <w:rsid w:val="00700E97"/>
    <w:rsid w:val="0070294E"/>
    <w:rsid w:val="00702F2C"/>
    <w:rsid w:val="00703007"/>
    <w:rsid w:val="007034D5"/>
    <w:rsid w:val="0070532E"/>
    <w:rsid w:val="00706C5D"/>
    <w:rsid w:val="00707011"/>
    <w:rsid w:val="007074AD"/>
    <w:rsid w:val="007074F4"/>
    <w:rsid w:val="00707C02"/>
    <w:rsid w:val="007102FA"/>
    <w:rsid w:val="00710CCB"/>
    <w:rsid w:val="00711187"/>
    <w:rsid w:val="007118E6"/>
    <w:rsid w:val="007119EA"/>
    <w:rsid w:val="0071388F"/>
    <w:rsid w:val="00715A28"/>
    <w:rsid w:val="00715B15"/>
    <w:rsid w:val="007162E4"/>
    <w:rsid w:val="00716788"/>
    <w:rsid w:val="00720960"/>
    <w:rsid w:val="007211C1"/>
    <w:rsid w:val="00721A75"/>
    <w:rsid w:val="007225C9"/>
    <w:rsid w:val="00722C16"/>
    <w:rsid w:val="007240C0"/>
    <w:rsid w:val="007248A2"/>
    <w:rsid w:val="00724D3C"/>
    <w:rsid w:val="007254E7"/>
    <w:rsid w:val="007259E6"/>
    <w:rsid w:val="00725D6D"/>
    <w:rsid w:val="00726D49"/>
    <w:rsid w:val="00726E90"/>
    <w:rsid w:val="007272A2"/>
    <w:rsid w:val="007274EE"/>
    <w:rsid w:val="0072759B"/>
    <w:rsid w:val="00730C74"/>
    <w:rsid w:val="00731515"/>
    <w:rsid w:val="00731CBC"/>
    <w:rsid w:val="007322DD"/>
    <w:rsid w:val="00732375"/>
    <w:rsid w:val="0073280B"/>
    <w:rsid w:val="007328F8"/>
    <w:rsid w:val="00732A3B"/>
    <w:rsid w:val="00732B6E"/>
    <w:rsid w:val="00733F0E"/>
    <w:rsid w:val="0073437A"/>
    <w:rsid w:val="00734493"/>
    <w:rsid w:val="0073471A"/>
    <w:rsid w:val="007348B6"/>
    <w:rsid w:val="0073567E"/>
    <w:rsid w:val="007358EC"/>
    <w:rsid w:val="00735AB3"/>
    <w:rsid w:val="00735CD7"/>
    <w:rsid w:val="00736FA8"/>
    <w:rsid w:val="00737517"/>
    <w:rsid w:val="0074009C"/>
    <w:rsid w:val="00740E6B"/>
    <w:rsid w:val="00742556"/>
    <w:rsid w:val="00742AEF"/>
    <w:rsid w:val="00742EFD"/>
    <w:rsid w:val="007434C5"/>
    <w:rsid w:val="00743B6D"/>
    <w:rsid w:val="00743DDC"/>
    <w:rsid w:val="00744E85"/>
    <w:rsid w:val="007454A0"/>
    <w:rsid w:val="00745C54"/>
    <w:rsid w:val="00746024"/>
    <w:rsid w:val="00746757"/>
    <w:rsid w:val="007472AB"/>
    <w:rsid w:val="00747F2F"/>
    <w:rsid w:val="00751609"/>
    <w:rsid w:val="0075227E"/>
    <w:rsid w:val="00753558"/>
    <w:rsid w:val="00753B1D"/>
    <w:rsid w:val="00754034"/>
    <w:rsid w:val="00754998"/>
    <w:rsid w:val="00754BF1"/>
    <w:rsid w:val="00755A30"/>
    <w:rsid w:val="00755A56"/>
    <w:rsid w:val="00755E1C"/>
    <w:rsid w:val="00755FE2"/>
    <w:rsid w:val="00756556"/>
    <w:rsid w:val="00756DB0"/>
    <w:rsid w:val="00757375"/>
    <w:rsid w:val="00757D57"/>
    <w:rsid w:val="00760335"/>
    <w:rsid w:val="00760B0B"/>
    <w:rsid w:val="0076132B"/>
    <w:rsid w:val="00761C37"/>
    <w:rsid w:val="007623AE"/>
    <w:rsid w:val="00762705"/>
    <w:rsid w:val="007643F9"/>
    <w:rsid w:val="007649A2"/>
    <w:rsid w:val="00764C85"/>
    <w:rsid w:val="007650A3"/>
    <w:rsid w:val="00766059"/>
    <w:rsid w:val="0076655F"/>
    <w:rsid w:val="00766B50"/>
    <w:rsid w:val="00766E92"/>
    <w:rsid w:val="007678AD"/>
    <w:rsid w:val="00767BAC"/>
    <w:rsid w:val="00767CA2"/>
    <w:rsid w:val="00767DDB"/>
    <w:rsid w:val="00770B19"/>
    <w:rsid w:val="00770F1E"/>
    <w:rsid w:val="00770FE4"/>
    <w:rsid w:val="00771723"/>
    <w:rsid w:val="00771774"/>
    <w:rsid w:val="00771ACA"/>
    <w:rsid w:val="00771D1D"/>
    <w:rsid w:val="007721CC"/>
    <w:rsid w:val="00772F6C"/>
    <w:rsid w:val="00773565"/>
    <w:rsid w:val="007737EC"/>
    <w:rsid w:val="00773BDA"/>
    <w:rsid w:val="00774258"/>
    <w:rsid w:val="007746AE"/>
    <w:rsid w:val="007748EA"/>
    <w:rsid w:val="00774D3C"/>
    <w:rsid w:val="00774FA0"/>
    <w:rsid w:val="00775338"/>
    <w:rsid w:val="0077608F"/>
    <w:rsid w:val="00776620"/>
    <w:rsid w:val="0077705C"/>
    <w:rsid w:val="0077732C"/>
    <w:rsid w:val="00777B6D"/>
    <w:rsid w:val="007802C2"/>
    <w:rsid w:val="00780736"/>
    <w:rsid w:val="00780B21"/>
    <w:rsid w:val="00781540"/>
    <w:rsid w:val="00781A76"/>
    <w:rsid w:val="00781FD3"/>
    <w:rsid w:val="007820C0"/>
    <w:rsid w:val="00782396"/>
    <w:rsid w:val="007831DB"/>
    <w:rsid w:val="00783C67"/>
    <w:rsid w:val="00784571"/>
    <w:rsid w:val="00784739"/>
    <w:rsid w:val="00784855"/>
    <w:rsid w:val="00784F39"/>
    <w:rsid w:val="0078545C"/>
    <w:rsid w:val="007859E8"/>
    <w:rsid w:val="00786A4D"/>
    <w:rsid w:val="00787F42"/>
    <w:rsid w:val="007906C4"/>
    <w:rsid w:val="007912BC"/>
    <w:rsid w:val="007914CE"/>
    <w:rsid w:val="007917CD"/>
    <w:rsid w:val="00792685"/>
    <w:rsid w:val="007927CC"/>
    <w:rsid w:val="00792BF6"/>
    <w:rsid w:val="00793131"/>
    <w:rsid w:val="0079346F"/>
    <w:rsid w:val="007940EA"/>
    <w:rsid w:val="0079455B"/>
    <w:rsid w:val="0079573A"/>
    <w:rsid w:val="00795AE5"/>
    <w:rsid w:val="00795E92"/>
    <w:rsid w:val="007965BF"/>
    <w:rsid w:val="007967E8"/>
    <w:rsid w:val="00796A3C"/>
    <w:rsid w:val="00797820"/>
    <w:rsid w:val="007A0BB4"/>
    <w:rsid w:val="007A1518"/>
    <w:rsid w:val="007A1D45"/>
    <w:rsid w:val="007A2B1E"/>
    <w:rsid w:val="007A2F2F"/>
    <w:rsid w:val="007A3059"/>
    <w:rsid w:val="007A31DA"/>
    <w:rsid w:val="007A41FB"/>
    <w:rsid w:val="007A485C"/>
    <w:rsid w:val="007A4ACD"/>
    <w:rsid w:val="007A4E3E"/>
    <w:rsid w:val="007A505B"/>
    <w:rsid w:val="007A63F2"/>
    <w:rsid w:val="007A70F4"/>
    <w:rsid w:val="007A75A9"/>
    <w:rsid w:val="007A7EEB"/>
    <w:rsid w:val="007B00ED"/>
    <w:rsid w:val="007B014E"/>
    <w:rsid w:val="007B05FD"/>
    <w:rsid w:val="007B0B4C"/>
    <w:rsid w:val="007B1105"/>
    <w:rsid w:val="007B2C52"/>
    <w:rsid w:val="007B34FC"/>
    <w:rsid w:val="007B41D8"/>
    <w:rsid w:val="007B43E1"/>
    <w:rsid w:val="007B4DB5"/>
    <w:rsid w:val="007B4EFA"/>
    <w:rsid w:val="007B5A29"/>
    <w:rsid w:val="007B6215"/>
    <w:rsid w:val="007B68DE"/>
    <w:rsid w:val="007C0A2B"/>
    <w:rsid w:val="007C1857"/>
    <w:rsid w:val="007C1ED6"/>
    <w:rsid w:val="007C2417"/>
    <w:rsid w:val="007C2D65"/>
    <w:rsid w:val="007C3CED"/>
    <w:rsid w:val="007C514F"/>
    <w:rsid w:val="007C557E"/>
    <w:rsid w:val="007C5796"/>
    <w:rsid w:val="007C5A6B"/>
    <w:rsid w:val="007C62D6"/>
    <w:rsid w:val="007C7537"/>
    <w:rsid w:val="007C76D3"/>
    <w:rsid w:val="007C7904"/>
    <w:rsid w:val="007C7ADE"/>
    <w:rsid w:val="007C7BDD"/>
    <w:rsid w:val="007D029F"/>
    <w:rsid w:val="007D072F"/>
    <w:rsid w:val="007D0F95"/>
    <w:rsid w:val="007D214D"/>
    <w:rsid w:val="007D2225"/>
    <w:rsid w:val="007D26F8"/>
    <w:rsid w:val="007D2971"/>
    <w:rsid w:val="007D2C97"/>
    <w:rsid w:val="007D437D"/>
    <w:rsid w:val="007D4F90"/>
    <w:rsid w:val="007D50F7"/>
    <w:rsid w:val="007D6100"/>
    <w:rsid w:val="007D6AD0"/>
    <w:rsid w:val="007D729B"/>
    <w:rsid w:val="007D7ECB"/>
    <w:rsid w:val="007E08CE"/>
    <w:rsid w:val="007E0EF2"/>
    <w:rsid w:val="007E1426"/>
    <w:rsid w:val="007E1FD4"/>
    <w:rsid w:val="007E209F"/>
    <w:rsid w:val="007E25A1"/>
    <w:rsid w:val="007E35A1"/>
    <w:rsid w:val="007E476F"/>
    <w:rsid w:val="007E4BD2"/>
    <w:rsid w:val="007E5B5A"/>
    <w:rsid w:val="007E5E76"/>
    <w:rsid w:val="007E5FAF"/>
    <w:rsid w:val="007E60C1"/>
    <w:rsid w:val="007E6494"/>
    <w:rsid w:val="007E6D89"/>
    <w:rsid w:val="007E7145"/>
    <w:rsid w:val="007E725B"/>
    <w:rsid w:val="007E7984"/>
    <w:rsid w:val="007E7C29"/>
    <w:rsid w:val="007E7CFD"/>
    <w:rsid w:val="007F01A8"/>
    <w:rsid w:val="007F0A30"/>
    <w:rsid w:val="007F0BE8"/>
    <w:rsid w:val="007F1DB0"/>
    <w:rsid w:val="007F1ECE"/>
    <w:rsid w:val="007F21A7"/>
    <w:rsid w:val="007F2F12"/>
    <w:rsid w:val="007F3916"/>
    <w:rsid w:val="007F42C7"/>
    <w:rsid w:val="007F53BE"/>
    <w:rsid w:val="007F5488"/>
    <w:rsid w:val="007F6D6C"/>
    <w:rsid w:val="007F7782"/>
    <w:rsid w:val="00800805"/>
    <w:rsid w:val="00801179"/>
    <w:rsid w:val="008015BF"/>
    <w:rsid w:val="00802479"/>
    <w:rsid w:val="00802AE4"/>
    <w:rsid w:val="0080311A"/>
    <w:rsid w:val="008033AB"/>
    <w:rsid w:val="008044A7"/>
    <w:rsid w:val="00804992"/>
    <w:rsid w:val="00805372"/>
    <w:rsid w:val="00805B7B"/>
    <w:rsid w:val="00806FF2"/>
    <w:rsid w:val="00807160"/>
    <w:rsid w:val="00811822"/>
    <w:rsid w:val="00811A09"/>
    <w:rsid w:val="0081236D"/>
    <w:rsid w:val="0081293E"/>
    <w:rsid w:val="00813657"/>
    <w:rsid w:val="00813BDC"/>
    <w:rsid w:val="00813F4A"/>
    <w:rsid w:val="00814555"/>
    <w:rsid w:val="008149E8"/>
    <w:rsid w:val="008149F0"/>
    <w:rsid w:val="00814FFB"/>
    <w:rsid w:val="0081551E"/>
    <w:rsid w:val="00815650"/>
    <w:rsid w:val="0081596E"/>
    <w:rsid w:val="00816B79"/>
    <w:rsid w:val="00817382"/>
    <w:rsid w:val="00820309"/>
    <w:rsid w:val="00820568"/>
    <w:rsid w:val="00820FFD"/>
    <w:rsid w:val="008222F2"/>
    <w:rsid w:val="0082234C"/>
    <w:rsid w:val="00822489"/>
    <w:rsid w:val="0082376F"/>
    <w:rsid w:val="008238CA"/>
    <w:rsid w:val="00823904"/>
    <w:rsid w:val="00825130"/>
    <w:rsid w:val="00825C5E"/>
    <w:rsid w:val="00826130"/>
    <w:rsid w:val="008261F8"/>
    <w:rsid w:val="00827784"/>
    <w:rsid w:val="00830006"/>
    <w:rsid w:val="00830ED9"/>
    <w:rsid w:val="008312D4"/>
    <w:rsid w:val="008315F3"/>
    <w:rsid w:val="00831A80"/>
    <w:rsid w:val="008322DC"/>
    <w:rsid w:val="008325F6"/>
    <w:rsid w:val="00833173"/>
    <w:rsid w:val="008332C8"/>
    <w:rsid w:val="00833743"/>
    <w:rsid w:val="008340A4"/>
    <w:rsid w:val="0083449A"/>
    <w:rsid w:val="00834BA5"/>
    <w:rsid w:val="0083653D"/>
    <w:rsid w:val="00836799"/>
    <w:rsid w:val="00836D96"/>
    <w:rsid w:val="00837028"/>
    <w:rsid w:val="00837131"/>
    <w:rsid w:val="00837879"/>
    <w:rsid w:val="00840163"/>
    <w:rsid w:val="008401C3"/>
    <w:rsid w:val="0084078B"/>
    <w:rsid w:val="0084082F"/>
    <w:rsid w:val="008409AF"/>
    <w:rsid w:val="00841121"/>
    <w:rsid w:val="00841905"/>
    <w:rsid w:val="00841A90"/>
    <w:rsid w:val="00841BB6"/>
    <w:rsid w:val="008439E9"/>
    <w:rsid w:val="008450DB"/>
    <w:rsid w:val="00845A04"/>
    <w:rsid w:val="00845CB4"/>
    <w:rsid w:val="00845F57"/>
    <w:rsid w:val="0084675B"/>
    <w:rsid w:val="008502C1"/>
    <w:rsid w:val="00850BAC"/>
    <w:rsid w:val="00851C6F"/>
    <w:rsid w:val="00851FEC"/>
    <w:rsid w:val="008521E0"/>
    <w:rsid w:val="00852531"/>
    <w:rsid w:val="008525B0"/>
    <w:rsid w:val="00852E07"/>
    <w:rsid w:val="008531D5"/>
    <w:rsid w:val="008533F3"/>
    <w:rsid w:val="008536CF"/>
    <w:rsid w:val="00853A5F"/>
    <w:rsid w:val="00854DA3"/>
    <w:rsid w:val="008552BF"/>
    <w:rsid w:val="00855E77"/>
    <w:rsid w:val="00856363"/>
    <w:rsid w:val="00856500"/>
    <w:rsid w:val="008566E1"/>
    <w:rsid w:val="00856DE1"/>
    <w:rsid w:val="0085798D"/>
    <w:rsid w:val="00857AC1"/>
    <w:rsid w:val="0086013B"/>
    <w:rsid w:val="0086048A"/>
    <w:rsid w:val="00860D59"/>
    <w:rsid w:val="00860FA4"/>
    <w:rsid w:val="008623F7"/>
    <w:rsid w:val="00863226"/>
    <w:rsid w:val="00863E2A"/>
    <w:rsid w:val="00864CDF"/>
    <w:rsid w:val="00865092"/>
    <w:rsid w:val="008653EC"/>
    <w:rsid w:val="00865866"/>
    <w:rsid w:val="008660BC"/>
    <w:rsid w:val="00866DB7"/>
    <w:rsid w:val="00866FA0"/>
    <w:rsid w:val="00867039"/>
    <w:rsid w:val="00867CBC"/>
    <w:rsid w:val="00867DEF"/>
    <w:rsid w:val="0087004D"/>
    <w:rsid w:val="00871F44"/>
    <w:rsid w:val="00872149"/>
    <w:rsid w:val="00873F21"/>
    <w:rsid w:val="00873F2F"/>
    <w:rsid w:val="00876B2F"/>
    <w:rsid w:val="00876C30"/>
    <w:rsid w:val="00877017"/>
    <w:rsid w:val="008772A9"/>
    <w:rsid w:val="008773C0"/>
    <w:rsid w:val="00877532"/>
    <w:rsid w:val="00877B2A"/>
    <w:rsid w:val="00877F37"/>
    <w:rsid w:val="00880364"/>
    <w:rsid w:val="00880756"/>
    <w:rsid w:val="008807E1"/>
    <w:rsid w:val="008815F2"/>
    <w:rsid w:val="008818A5"/>
    <w:rsid w:val="00881E73"/>
    <w:rsid w:val="0088245A"/>
    <w:rsid w:val="00882508"/>
    <w:rsid w:val="0088303C"/>
    <w:rsid w:val="008844A0"/>
    <w:rsid w:val="00884B65"/>
    <w:rsid w:val="00885235"/>
    <w:rsid w:val="008853FD"/>
    <w:rsid w:val="00885A07"/>
    <w:rsid w:val="0088613A"/>
    <w:rsid w:val="008865CB"/>
    <w:rsid w:val="00886A3D"/>
    <w:rsid w:val="00886B30"/>
    <w:rsid w:val="00886C4C"/>
    <w:rsid w:val="00886E33"/>
    <w:rsid w:val="00886EAB"/>
    <w:rsid w:val="0088711C"/>
    <w:rsid w:val="00887AEA"/>
    <w:rsid w:val="008908E5"/>
    <w:rsid w:val="00891440"/>
    <w:rsid w:val="008919D5"/>
    <w:rsid w:val="00891D58"/>
    <w:rsid w:val="00892279"/>
    <w:rsid w:val="00892ECF"/>
    <w:rsid w:val="00892F06"/>
    <w:rsid w:val="00893C08"/>
    <w:rsid w:val="00893E86"/>
    <w:rsid w:val="008940DD"/>
    <w:rsid w:val="00894285"/>
    <w:rsid w:val="008942EA"/>
    <w:rsid w:val="00894894"/>
    <w:rsid w:val="008967A6"/>
    <w:rsid w:val="00896B70"/>
    <w:rsid w:val="00897840"/>
    <w:rsid w:val="008A1F2B"/>
    <w:rsid w:val="008A219E"/>
    <w:rsid w:val="008A2775"/>
    <w:rsid w:val="008A2B4A"/>
    <w:rsid w:val="008A2BE2"/>
    <w:rsid w:val="008A316D"/>
    <w:rsid w:val="008A3215"/>
    <w:rsid w:val="008A40AE"/>
    <w:rsid w:val="008A427A"/>
    <w:rsid w:val="008A4463"/>
    <w:rsid w:val="008A4792"/>
    <w:rsid w:val="008A4C43"/>
    <w:rsid w:val="008A4E19"/>
    <w:rsid w:val="008A54AD"/>
    <w:rsid w:val="008A63FD"/>
    <w:rsid w:val="008A642D"/>
    <w:rsid w:val="008A67C5"/>
    <w:rsid w:val="008A6C86"/>
    <w:rsid w:val="008A6F31"/>
    <w:rsid w:val="008A7A6F"/>
    <w:rsid w:val="008A7F1C"/>
    <w:rsid w:val="008B043D"/>
    <w:rsid w:val="008B0D87"/>
    <w:rsid w:val="008B0E37"/>
    <w:rsid w:val="008B12EC"/>
    <w:rsid w:val="008B16AE"/>
    <w:rsid w:val="008B22E1"/>
    <w:rsid w:val="008B2F86"/>
    <w:rsid w:val="008B3AC2"/>
    <w:rsid w:val="008B3C78"/>
    <w:rsid w:val="008B3F05"/>
    <w:rsid w:val="008B437D"/>
    <w:rsid w:val="008B47E2"/>
    <w:rsid w:val="008B4AE9"/>
    <w:rsid w:val="008B4B69"/>
    <w:rsid w:val="008B58AA"/>
    <w:rsid w:val="008B5E1A"/>
    <w:rsid w:val="008B6008"/>
    <w:rsid w:val="008B65F8"/>
    <w:rsid w:val="008B665C"/>
    <w:rsid w:val="008B76F8"/>
    <w:rsid w:val="008C04E5"/>
    <w:rsid w:val="008C30AD"/>
    <w:rsid w:val="008C3527"/>
    <w:rsid w:val="008C376D"/>
    <w:rsid w:val="008C3F89"/>
    <w:rsid w:val="008C4087"/>
    <w:rsid w:val="008C4757"/>
    <w:rsid w:val="008C49E5"/>
    <w:rsid w:val="008C504F"/>
    <w:rsid w:val="008C53FD"/>
    <w:rsid w:val="008C58BB"/>
    <w:rsid w:val="008C64DC"/>
    <w:rsid w:val="008C74D6"/>
    <w:rsid w:val="008C754B"/>
    <w:rsid w:val="008D068E"/>
    <w:rsid w:val="008D06AD"/>
    <w:rsid w:val="008D0F7A"/>
    <w:rsid w:val="008D1451"/>
    <w:rsid w:val="008D1516"/>
    <w:rsid w:val="008D17B1"/>
    <w:rsid w:val="008D1830"/>
    <w:rsid w:val="008D1F9D"/>
    <w:rsid w:val="008D223E"/>
    <w:rsid w:val="008D263F"/>
    <w:rsid w:val="008D3A03"/>
    <w:rsid w:val="008D3AA6"/>
    <w:rsid w:val="008D411F"/>
    <w:rsid w:val="008D41AD"/>
    <w:rsid w:val="008D464C"/>
    <w:rsid w:val="008D489D"/>
    <w:rsid w:val="008D581F"/>
    <w:rsid w:val="008D5C6D"/>
    <w:rsid w:val="008D639C"/>
    <w:rsid w:val="008D63BE"/>
    <w:rsid w:val="008D6915"/>
    <w:rsid w:val="008D6AE2"/>
    <w:rsid w:val="008D76FB"/>
    <w:rsid w:val="008D7734"/>
    <w:rsid w:val="008E0CFF"/>
    <w:rsid w:val="008E1738"/>
    <w:rsid w:val="008E194C"/>
    <w:rsid w:val="008E2478"/>
    <w:rsid w:val="008E3474"/>
    <w:rsid w:val="008E3E38"/>
    <w:rsid w:val="008E481E"/>
    <w:rsid w:val="008E4B91"/>
    <w:rsid w:val="008E4EE5"/>
    <w:rsid w:val="008E5115"/>
    <w:rsid w:val="008E5D6B"/>
    <w:rsid w:val="008E689B"/>
    <w:rsid w:val="008E6E7F"/>
    <w:rsid w:val="008E6FEF"/>
    <w:rsid w:val="008E76F0"/>
    <w:rsid w:val="008F0209"/>
    <w:rsid w:val="008F0E5A"/>
    <w:rsid w:val="008F116E"/>
    <w:rsid w:val="008F148A"/>
    <w:rsid w:val="008F15FE"/>
    <w:rsid w:val="008F18BF"/>
    <w:rsid w:val="008F2156"/>
    <w:rsid w:val="008F2A94"/>
    <w:rsid w:val="008F329E"/>
    <w:rsid w:val="008F38BE"/>
    <w:rsid w:val="008F3A9F"/>
    <w:rsid w:val="008F3E08"/>
    <w:rsid w:val="008F5187"/>
    <w:rsid w:val="008F519C"/>
    <w:rsid w:val="008F53E3"/>
    <w:rsid w:val="008F5474"/>
    <w:rsid w:val="008F5939"/>
    <w:rsid w:val="008F646A"/>
    <w:rsid w:val="008F6EA9"/>
    <w:rsid w:val="008F709C"/>
    <w:rsid w:val="00900297"/>
    <w:rsid w:val="00901255"/>
    <w:rsid w:val="00902214"/>
    <w:rsid w:val="009022C5"/>
    <w:rsid w:val="00902339"/>
    <w:rsid w:val="009023AE"/>
    <w:rsid w:val="0090312B"/>
    <w:rsid w:val="00903897"/>
    <w:rsid w:val="00904728"/>
    <w:rsid w:val="00904961"/>
    <w:rsid w:val="00904A32"/>
    <w:rsid w:val="009054F6"/>
    <w:rsid w:val="00906949"/>
    <w:rsid w:val="009076A1"/>
    <w:rsid w:val="009076D2"/>
    <w:rsid w:val="0090789B"/>
    <w:rsid w:val="00907DBF"/>
    <w:rsid w:val="0091048B"/>
    <w:rsid w:val="00910CDE"/>
    <w:rsid w:val="00911048"/>
    <w:rsid w:val="00911901"/>
    <w:rsid w:val="0091401A"/>
    <w:rsid w:val="0091413F"/>
    <w:rsid w:val="00914206"/>
    <w:rsid w:val="00914279"/>
    <w:rsid w:val="00915F16"/>
    <w:rsid w:val="009164D7"/>
    <w:rsid w:val="009165AD"/>
    <w:rsid w:val="00916DDC"/>
    <w:rsid w:val="00916EF5"/>
    <w:rsid w:val="0091736D"/>
    <w:rsid w:val="009173EA"/>
    <w:rsid w:val="00917A18"/>
    <w:rsid w:val="00920D25"/>
    <w:rsid w:val="009214BB"/>
    <w:rsid w:val="00921FC1"/>
    <w:rsid w:val="00923312"/>
    <w:rsid w:val="00924A09"/>
    <w:rsid w:val="00925315"/>
    <w:rsid w:val="00925536"/>
    <w:rsid w:val="00927946"/>
    <w:rsid w:val="00927F3B"/>
    <w:rsid w:val="00930D5B"/>
    <w:rsid w:val="00931001"/>
    <w:rsid w:val="00931036"/>
    <w:rsid w:val="00931863"/>
    <w:rsid w:val="00931C26"/>
    <w:rsid w:val="0093229B"/>
    <w:rsid w:val="00932F8A"/>
    <w:rsid w:val="00933436"/>
    <w:rsid w:val="00933524"/>
    <w:rsid w:val="00933647"/>
    <w:rsid w:val="0093376C"/>
    <w:rsid w:val="00933992"/>
    <w:rsid w:val="00934A26"/>
    <w:rsid w:val="00935866"/>
    <w:rsid w:val="009359F8"/>
    <w:rsid w:val="00935BC4"/>
    <w:rsid w:val="00936850"/>
    <w:rsid w:val="009368B1"/>
    <w:rsid w:val="00936EBC"/>
    <w:rsid w:val="00937249"/>
    <w:rsid w:val="0093741A"/>
    <w:rsid w:val="0094009C"/>
    <w:rsid w:val="009407C7"/>
    <w:rsid w:val="0094278D"/>
    <w:rsid w:val="00942943"/>
    <w:rsid w:val="009430D9"/>
    <w:rsid w:val="00943268"/>
    <w:rsid w:val="00943F2D"/>
    <w:rsid w:val="00944081"/>
    <w:rsid w:val="00944F31"/>
    <w:rsid w:val="009456DE"/>
    <w:rsid w:val="00946ABE"/>
    <w:rsid w:val="00947178"/>
    <w:rsid w:val="00947AA2"/>
    <w:rsid w:val="009501A7"/>
    <w:rsid w:val="009504F5"/>
    <w:rsid w:val="00950959"/>
    <w:rsid w:val="00951070"/>
    <w:rsid w:val="00951A01"/>
    <w:rsid w:val="00951DDF"/>
    <w:rsid w:val="00951F1C"/>
    <w:rsid w:val="0095298E"/>
    <w:rsid w:val="00952B03"/>
    <w:rsid w:val="00952C93"/>
    <w:rsid w:val="0095308A"/>
    <w:rsid w:val="00953302"/>
    <w:rsid w:val="009538F3"/>
    <w:rsid w:val="00953ABD"/>
    <w:rsid w:val="0095413D"/>
    <w:rsid w:val="009544CC"/>
    <w:rsid w:val="00954610"/>
    <w:rsid w:val="00954E67"/>
    <w:rsid w:val="009556EA"/>
    <w:rsid w:val="00955AEE"/>
    <w:rsid w:val="00955D53"/>
    <w:rsid w:val="009562C9"/>
    <w:rsid w:val="00956F14"/>
    <w:rsid w:val="00957544"/>
    <w:rsid w:val="00957779"/>
    <w:rsid w:val="00957A92"/>
    <w:rsid w:val="00957C57"/>
    <w:rsid w:val="00957DC6"/>
    <w:rsid w:val="00961568"/>
    <w:rsid w:val="009620FD"/>
    <w:rsid w:val="0096247A"/>
    <w:rsid w:val="00962DE4"/>
    <w:rsid w:val="00963202"/>
    <w:rsid w:val="00963AB5"/>
    <w:rsid w:val="0096465D"/>
    <w:rsid w:val="00964898"/>
    <w:rsid w:val="0096579E"/>
    <w:rsid w:val="00965861"/>
    <w:rsid w:val="00965F4B"/>
    <w:rsid w:val="009670E8"/>
    <w:rsid w:val="00967966"/>
    <w:rsid w:val="00970295"/>
    <w:rsid w:val="00970F8A"/>
    <w:rsid w:val="00971FB5"/>
    <w:rsid w:val="0097241D"/>
    <w:rsid w:val="009726DA"/>
    <w:rsid w:val="0097287E"/>
    <w:rsid w:val="00972959"/>
    <w:rsid w:val="00972C2D"/>
    <w:rsid w:val="00972D2A"/>
    <w:rsid w:val="00972FFA"/>
    <w:rsid w:val="00973757"/>
    <w:rsid w:val="00973D2E"/>
    <w:rsid w:val="00973E55"/>
    <w:rsid w:val="0097437C"/>
    <w:rsid w:val="00975CAF"/>
    <w:rsid w:val="00975CC5"/>
    <w:rsid w:val="00976328"/>
    <w:rsid w:val="0097689C"/>
    <w:rsid w:val="00976B4E"/>
    <w:rsid w:val="00976CAF"/>
    <w:rsid w:val="009772A8"/>
    <w:rsid w:val="00977B2C"/>
    <w:rsid w:val="00977BC3"/>
    <w:rsid w:val="009808D1"/>
    <w:rsid w:val="00980B47"/>
    <w:rsid w:val="00980C41"/>
    <w:rsid w:val="00982307"/>
    <w:rsid w:val="009824D9"/>
    <w:rsid w:val="009827AF"/>
    <w:rsid w:val="00983340"/>
    <w:rsid w:val="00983B14"/>
    <w:rsid w:val="00984022"/>
    <w:rsid w:val="0098417E"/>
    <w:rsid w:val="00984458"/>
    <w:rsid w:val="00984D4D"/>
    <w:rsid w:val="00985283"/>
    <w:rsid w:val="00986502"/>
    <w:rsid w:val="00987322"/>
    <w:rsid w:val="00987898"/>
    <w:rsid w:val="00987E6D"/>
    <w:rsid w:val="00990056"/>
    <w:rsid w:val="00990086"/>
    <w:rsid w:val="00990EA5"/>
    <w:rsid w:val="009929DF"/>
    <w:rsid w:val="00993268"/>
    <w:rsid w:val="00993CD0"/>
    <w:rsid w:val="00993F9E"/>
    <w:rsid w:val="00994976"/>
    <w:rsid w:val="00994DEE"/>
    <w:rsid w:val="00994F96"/>
    <w:rsid w:val="0099517D"/>
    <w:rsid w:val="00995739"/>
    <w:rsid w:val="00995757"/>
    <w:rsid w:val="00995EC6"/>
    <w:rsid w:val="00997363"/>
    <w:rsid w:val="009978BE"/>
    <w:rsid w:val="00997F97"/>
    <w:rsid w:val="009A044F"/>
    <w:rsid w:val="009A05D3"/>
    <w:rsid w:val="009A0F3B"/>
    <w:rsid w:val="009A1255"/>
    <w:rsid w:val="009A136B"/>
    <w:rsid w:val="009A219D"/>
    <w:rsid w:val="009A233A"/>
    <w:rsid w:val="009A3D98"/>
    <w:rsid w:val="009A4307"/>
    <w:rsid w:val="009A52D0"/>
    <w:rsid w:val="009A531C"/>
    <w:rsid w:val="009A5632"/>
    <w:rsid w:val="009A64EB"/>
    <w:rsid w:val="009A6528"/>
    <w:rsid w:val="009A66EE"/>
    <w:rsid w:val="009A6F12"/>
    <w:rsid w:val="009A72C7"/>
    <w:rsid w:val="009A753A"/>
    <w:rsid w:val="009A75FD"/>
    <w:rsid w:val="009B0897"/>
    <w:rsid w:val="009B171D"/>
    <w:rsid w:val="009B217F"/>
    <w:rsid w:val="009B2908"/>
    <w:rsid w:val="009B388C"/>
    <w:rsid w:val="009B4E1D"/>
    <w:rsid w:val="009B52B2"/>
    <w:rsid w:val="009B52D1"/>
    <w:rsid w:val="009B68E3"/>
    <w:rsid w:val="009B69C2"/>
    <w:rsid w:val="009B6A43"/>
    <w:rsid w:val="009B75DE"/>
    <w:rsid w:val="009C0059"/>
    <w:rsid w:val="009C103D"/>
    <w:rsid w:val="009C1895"/>
    <w:rsid w:val="009C1B01"/>
    <w:rsid w:val="009C3167"/>
    <w:rsid w:val="009C3B2E"/>
    <w:rsid w:val="009C3E63"/>
    <w:rsid w:val="009C3F8E"/>
    <w:rsid w:val="009C492E"/>
    <w:rsid w:val="009C50B7"/>
    <w:rsid w:val="009C50C0"/>
    <w:rsid w:val="009C5EA8"/>
    <w:rsid w:val="009C6A57"/>
    <w:rsid w:val="009D0852"/>
    <w:rsid w:val="009D0FA9"/>
    <w:rsid w:val="009D1401"/>
    <w:rsid w:val="009D1FBF"/>
    <w:rsid w:val="009D2806"/>
    <w:rsid w:val="009D2C17"/>
    <w:rsid w:val="009D2CA4"/>
    <w:rsid w:val="009D3158"/>
    <w:rsid w:val="009D3EEC"/>
    <w:rsid w:val="009D4658"/>
    <w:rsid w:val="009D4B72"/>
    <w:rsid w:val="009D4C3A"/>
    <w:rsid w:val="009D4E1D"/>
    <w:rsid w:val="009D5138"/>
    <w:rsid w:val="009D5202"/>
    <w:rsid w:val="009D52C6"/>
    <w:rsid w:val="009D568F"/>
    <w:rsid w:val="009D5E68"/>
    <w:rsid w:val="009D60F8"/>
    <w:rsid w:val="009D6438"/>
    <w:rsid w:val="009D65AC"/>
    <w:rsid w:val="009D6BB5"/>
    <w:rsid w:val="009D6C53"/>
    <w:rsid w:val="009D7B97"/>
    <w:rsid w:val="009E0047"/>
    <w:rsid w:val="009E02A7"/>
    <w:rsid w:val="009E0300"/>
    <w:rsid w:val="009E0A65"/>
    <w:rsid w:val="009E14A8"/>
    <w:rsid w:val="009E1E2A"/>
    <w:rsid w:val="009E2153"/>
    <w:rsid w:val="009E2250"/>
    <w:rsid w:val="009E2E00"/>
    <w:rsid w:val="009E2E1B"/>
    <w:rsid w:val="009E399C"/>
    <w:rsid w:val="009E3AF4"/>
    <w:rsid w:val="009E3FC0"/>
    <w:rsid w:val="009E43C1"/>
    <w:rsid w:val="009E518E"/>
    <w:rsid w:val="009E52A8"/>
    <w:rsid w:val="009E589C"/>
    <w:rsid w:val="009E6777"/>
    <w:rsid w:val="009E6CE9"/>
    <w:rsid w:val="009E7524"/>
    <w:rsid w:val="009E7A9F"/>
    <w:rsid w:val="009E7AE0"/>
    <w:rsid w:val="009E7DF5"/>
    <w:rsid w:val="009E7E95"/>
    <w:rsid w:val="009F116F"/>
    <w:rsid w:val="009F1E63"/>
    <w:rsid w:val="009F1F36"/>
    <w:rsid w:val="009F329E"/>
    <w:rsid w:val="009F3EFB"/>
    <w:rsid w:val="009F4B32"/>
    <w:rsid w:val="009F513D"/>
    <w:rsid w:val="009F56FC"/>
    <w:rsid w:val="009F5EFB"/>
    <w:rsid w:val="009F6E47"/>
    <w:rsid w:val="009F71B1"/>
    <w:rsid w:val="009F7758"/>
    <w:rsid w:val="009F7ED3"/>
    <w:rsid w:val="00A00B6A"/>
    <w:rsid w:val="00A00E08"/>
    <w:rsid w:val="00A01180"/>
    <w:rsid w:val="00A01992"/>
    <w:rsid w:val="00A01A5E"/>
    <w:rsid w:val="00A01D9B"/>
    <w:rsid w:val="00A02104"/>
    <w:rsid w:val="00A03607"/>
    <w:rsid w:val="00A04030"/>
    <w:rsid w:val="00A047FF"/>
    <w:rsid w:val="00A04F29"/>
    <w:rsid w:val="00A04FEF"/>
    <w:rsid w:val="00A05F42"/>
    <w:rsid w:val="00A06698"/>
    <w:rsid w:val="00A06931"/>
    <w:rsid w:val="00A06C0C"/>
    <w:rsid w:val="00A06E27"/>
    <w:rsid w:val="00A07233"/>
    <w:rsid w:val="00A0767D"/>
    <w:rsid w:val="00A078F0"/>
    <w:rsid w:val="00A100B6"/>
    <w:rsid w:val="00A1030B"/>
    <w:rsid w:val="00A10946"/>
    <w:rsid w:val="00A10E50"/>
    <w:rsid w:val="00A122CD"/>
    <w:rsid w:val="00A12A32"/>
    <w:rsid w:val="00A12DC8"/>
    <w:rsid w:val="00A1370E"/>
    <w:rsid w:val="00A13DD8"/>
    <w:rsid w:val="00A14248"/>
    <w:rsid w:val="00A14947"/>
    <w:rsid w:val="00A15526"/>
    <w:rsid w:val="00A15732"/>
    <w:rsid w:val="00A158D2"/>
    <w:rsid w:val="00A1640E"/>
    <w:rsid w:val="00A17113"/>
    <w:rsid w:val="00A17E1B"/>
    <w:rsid w:val="00A201A9"/>
    <w:rsid w:val="00A203E0"/>
    <w:rsid w:val="00A22D4B"/>
    <w:rsid w:val="00A23C98"/>
    <w:rsid w:val="00A23DC5"/>
    <w:rsid w:val="00A24FFE"/>
    <w:rsid w:val="00A25F0D"/>
    <w:rsid w:val="00A25F2E"/>
    <w:rsid w:val="00A27433"/>
    <w:rsid w:val="00A274AC"/>
    <w:rsid w:val="00A27B60"/>
    <w:rsid w:val="00A27BB0"/>
    <w:rsid w:val="00A306E4"/>
    <w:rsid w:val="00A309CB"/>
    <w:rsid w:val="00A313FF"/>
    <w:rsid w:val="00A31562"/>
    <w:rsid w:val="00A3196A"/>
    <w:rsid w:val="00A31993"/>
    <w:rsid w:val="00A31B72"/>
    <w:rsid w:val="00A31DED"/>
    <w:rsid w:val="00A32C04"/>
    <w:rsid w:val="00A33362"/>
    <w:rsid w:val="00A34028"/>
    <w:rsid w:val="00A35568"/>
    <w:rsid w:val="00A35B23"/>
    <w:rsid w:val="00A37056"/>
    <w:rsid w:val="00A403EB"/>
    <w:rsid w:val="00A407FF"/>
    <w:rsid w:val="00A41188"/>
    <w:rsid w:val="00A41887"/>
    <w:rsid w:val="00A418A4"/>
    <w:rsid w:val="00A41CE4"/>
    <w:rsid w:val="00A41F4A"/>
    <w:rsid w:val="00A41FA2"/>
    <w:rsid w:val="00A41FA4"/>
    <w:rsid w:val="00A4247E"/>
    <w:rsid w:val="00A42484"/>
    <w:rsid w:val="00A4358F"/>
    <w:rsid w:val="00A43682"/>
    <w:rsid w:val="00A43696"/>
    <w:rsid w:val="00A43C0F"/>
    <w:rsid w:val="00A446BC"/>
    <w:rsid w:val="00A448FF"/>
    <w:rsid w:val="00A453C8"/>
    <w:rsid w:val="00A45808"/>
    <w:rsid w:val="00A45E08"/>
    <w:rsid w:val="00A46207"/>
    <w:rsid w:val="00A46CFC"/>
    <w:rsid w:val="00A46D2A"/>
    <w:rsid w:val="00A46F13"/>
    <w:rsid w:val="00A46F67"/>
    <w:rsid w:val="00A47386"/>
    <w:rsid w:val="00A4753E"/>
    <w:rsid w:val="00A47AA7"/>
    <w:rsid w:val="00A502AA"/>
    <w:rsid w:val="00A50551"/>
    <w:rsid w:val="00A52B5D"/>
    <w:rsid w:val="00A54176"/>
    <w:rsid w:val="00A543D6"/>
    <w:rsid w:val="00A54AA1"/>
    <w:rsid w:val="00A54EAA"/>
    <w:rsid w:val="00A551FC"/>
    <w:rsid w:val="00A5653C"/>
    <w:rsid w:val="00A568FF"/>
    <w:rsid w:val="00A56D9F"/>
    <w:rsid w:val="00A5710D"/>
    <w:rsid w:val="00A57917"/>
    <w:rsid w:val="00A57991"/>
    <w:rsid w:val="00A57A7D"/>
    <w:rsid w:val="00A60148"/>
    <w:rsid w:val="00A602EF"/>
    <w:rsid w:val="00A60634"/>
    <w:rsid w:val="00A61261"/>
    <w:rsid w:val="00A61496"/>
    <w:rsid w:val="00A61833"/>
    <w:rsid w:val="00A624C6"/>
    <w:rsid w:val="00A6294F"/>
    <w:rsid w:val="00A6394E"/>
    <w:rsid w:val="00A63CEC"/>
    <w:rsid w:val="00A6454B"/>
    <w:rsid w:val="00A6494E"/>
    <w:rsid w:val="00A64B5F"/>
    <w:rsid w:val="00A65B2B"/>
    <w:rsid w:val="00A666D5"/>
    <w:rsid w:val="00A67859"/>
    <w:rsid w:val="00A67C9B"/>
    <w:rsid w:val="00A7031E"/>
    <w:rsid w:val="00A70DD5"/>
    <w:rsid w:val="00A710D9"/>
    <w:rsid w:val="00A7217C"/>
    <w:rsid w:val="00A72410"/>
    <w:rsid w:val="00A7285B"/>
    <w:rsid w:val="00A728B1"/>
    <w:rsid w:val="00A74109"/>
    <w:rsid w:val="00A75EE8"/>
    <w:rsid w:val="00A763DE"/>
    <w:rsid w:val="00A76E63"/>
    <w:rsid w:val="00A7762E"/>
    <w:rsid w:val="00A77A33"/>
    <w:rsid w:val="00A803D6"/>
    <w:rsid w:val="00A805C7"/>
    <w:rsid w:val="00A80BE5"/>
    <w:rsid w:val="00A80D75"/>
    <w:rsid w:val="00A80F68"/>
    <w:rsid w:val="00A81282"/>
    <w:rsid w:val="00A82279"/>
    <w:rsid w:val="00A840FF"/>
    <w:rsid w:val="00A84741"/>
    <w:rsid w:val="00A85CAF"/>
    <w:rsid w:val="00A870D6"/>
    <w:rsid w:val="00A8713F"/>
    <w:rsid w:val="00A90280"/>
    <w:rsid w:val="00A90EAD"/>
    <w:rsid w:val="00A910C2"/>
    <w:rsid w:val="00A91167"/>
    <w:rsid w:val="00A912A8"/>
    <w:rsid w:val="00A915CA"/>
    <w:rsid w:val="00A916C9"/>
    <w:rsid w:val="00A9171C"/>
    <w:rsid w:val="00A91942"/>
    <w:rsid w:val="00A91F01"/>
    <w:rsid w:val="00A91FB8"/>
    <w:rsid w:val="00A92899"/>
    <w:rsid w:val="00A92B1E"/>
    <w:rsid w:val="00A92FFD"/>
    <w:rsid w:val="00A93532"/>
    <w:rsid w:val="00A93730"/>
    <w:rsid w:val="00A93D90"/>
    <w:rsid w:val="00A93EDE"/>
    <w:rsid w:val="00A94759"/>
    <w:rsid w:val="00A94D9A"/>
    <w:rsid w:val="00A95975"/>
    <w:rsid w:val="00A960F4"/>
    <w:rsid w:val="00A96BD5"/>
    <w:rsid w:val="00A9708D"/>
    <w:rsid w:val="00A9746F"/>
    <w:rsid w:val="00A974A0"/>
    <w:rsid w:val="00A979F3"/>
    <w:rsid w:val="00AA01F1"/>
    <w:rsid w:val="00AA0703"/>
    <w:rsid w:val="00AA0790"/>
    <w:rsid w:val="00AA24C5"/>
    <w:rsid w:val="00AA2B3E"/>
    <w:rsid w:val="00AA2C17"/>
    <w:rsid w:val="00AA379F"/>
    <w:rsid w:val="00AA3C67"/>
    <w:rsid w:val="00AA407A"/>
    <w:rsid w:val="00AA4172"/>
    <w:rsid w:val="00AA6714"/>
    <w:rsid w:val="00AB1914"/>
    <w:rsid w:val="00AB1F57"/>
    <w:rsid w:val="00AB21DC"/>
    <w:rsid w:val="00AB33C4"/>
    <w:rsid w:val="00AB3E3B"/>
    <w:rsid w:val="00AB5330"/>
    <w:rsid w:val="00AB555E"/>
    <w:rsid w:val="00AB5A3A"/>
    <w:rsid w:val="00AB6D68"/>
    <w:rsid w:val="00AB7747"/>
    <w:rsid w:val="00AC02DA"/>
    <w:rsid w:val="00AC0B75"/>
    <w:rsid w:val="00AC0EC2"/>
    <w:rsid w:val="00AC1036"/>
    <w:rsid w:val="00AC1946"/>
    <w:rsid w:val="00AC20B2"/>
    <w:rsid w:val="00AC2532"/>
    <w:rsid w:val="00AC2FBA"/>
    <w:rsid w:val="00AC3315"/>
    <w:rsid w:val="00AC42DB"/>
    <w:rsid w:val="00AC4974"/>
    <w:rsid w:val="00AC49E0"/>
    <w:rsid w:val="00AC550F"/>
    <w:rsid w:val="00AC60A3"/>
    <w:rsid w:val="00AC6D3B"/>
    <w:rsid w:val="00AC6F42"/>
    <w:rsid w:val="00AC6FEE"/>
    <w:rsid w:val="00AC7FA4"/>
    <w:rsid w:val="00AD0155"/>
    <w:rsid w:val="00AD1507"/>
    <w:rsid w:val="00AD1C4D"/>
    <w:rsid w:val="00AD368B"/>
    <w:rsid w:val="00AD3CF1"/>
    <w:rsid w:val="00AD3FF6"/>
    <w:rsid w:val="00AD4D36"/>
    <w:rsid w:val="00AD4DE8"/>
    <w:rsid w:val="00AD56E3"/>
    <w:rsid w:val="00AD58C2"/>
    <w:rsid w:val="00AD5A70"/>
    <w:rsid w:val="00AD5D97"/>
    <w:rsid w:val="00AD736C"/>
    <w:rsid w:val="00AD738B"/>
    <w:rsid w:val="00AD79E0"/>
    <w:rsid w:val="00AD7FF0"/>
    <w:rsid w:val="00AE0EE6"/>
    <w:rsid w:val="00AE1428"/>
    <w:rsid w:val="00AE1BF4"/>
    <w:rsid w:val="00AE2A34"/>
    <w:rsid w:val="00AE3254"/>
    <w:rsid w:val="00AE3BBD"/>
    <w:rsid w:val="00AE3DD0"/>
    <w:rsid w:val="00AE55D1"/>
    <w:rsid w:val="00AE5A6E"/>
    <w:rsid w:val="00AE5D97"/>
    <w:rsid w:val="00AE6220"/>
    <w:rsid w:val="00AE6223"/>
    <w:rsid w:val="00AE6794"/>
    <w:rsid w:val="00AE6B2A"/>
    <w:rsid w:val="00AF011A"/>
    <w:rsid w:val="00AF050B"/>
    <w:rsid w:val="00AF0BE0"/>
    <w:rsid w:val="00AF1321"/>
    <w:rsid w:val="00AF250F"/>
    <w:rsid w:val="00AF487A"/>
    <w:rsid w:val="00AF5C21"/>
    <w:rsid w:val="00AF5F02"/>
    <w:rsid w:val="00AF6DC7"/>
    <w:rsid w:val="00B00148"/>
    <w:rsid w:val="00B002B0"/>
    <w:rsid w:val="00B01110"/>
    <w:rsid w:val="00B012CF"/>
    <w:rsid w:val="00B02262"/>
    <w:rsid w:val="00B024F2"/>
    <w:rsid w:val="00B025D1"/>
    <w:rsid w:val="00B0290E"/>
    <w:rsid w:val="00B02C9E"/>
    <w:rsid w:val="00B03509"/>
    <w:rsid w:val="00B03A78"/>
    <w:rsid w:val="00B03B1F"/>
    <w:rsid w:val="00B03CEC"/>
    <w:rsid w:val="00B048C8"/>
    <w:rsid w:val="00B04934"/>
    <w:rsid w:val="00B05A25"/>
    <w:rsid w:val="00B05C2D"/>
    <w:rsid w:val="00B073F0"/>
    <w:rsid w:val="00B07C16"/>
    <w:rsid w:val="00B10275"/>
    <w:rsid w:val="00B10CA9"/>
    <w:rsid w:val="00B116E5"/>
    <w:rsid w:val="00B1209F"/>
    <w:rsid w:val="00B122EA"/>
    <w:rsid w:val="00B125CA"/>
    <w:rsid w:val="00B12AD0"/>
    <w:rsid w:val="00B12DC0"/>
    <w:rsid w:val="00B1375D"/>
    <w:rsid w:val="00B1398F"/>
    <w:rsid w:val="00B13C65"/>
    <w:rsid w:val="00B14186"/>
    <w:rsid w:val="00B1463B"/>
    <w:rsid w:val="00B152A2"/>
    <w:rsid w:val="00B15A00"/>
    <w:rsid w:val="00B170C8"/>
    <w:rsid w:val="00B17488"/>
    <w:rsid w:val="00B178CC"/>
    <w:rsid w:val="00B17959"/>
    <w:rsid w:val="00B17A95"/>
    <w:rsid w:val="00B204C8"/>
    <w:rsid w:val="00B20AFA"/>
    <w:rsid w:val="00B213DF"/>
    <w:rsid w:val="00B2176E"/>
    <w:rsid w:val="00B2179F"/>
    <w:rsid w:val="00B22104"/>
    <w:rsid w:val="00B2267A"/>
    <w:rsid w:val="00B226B8"/>
    <w:rsid w:val="00B2308E"/>
    <w:rsid w:val="00B2422C"/>
    <w:rsid w:val="00B242E9"/>
    <w:rsid w:val="00B2464C"/>
    <w:rsid w:val="00B24F0B"/>
    <w:rsid w:val="00B24F30"/>
    <w:rsid w:val="00B25206"/>
    <w:rsid w:val="00B25C77"/>
    <w:rsid w:val="00B26217"/>
    <w:rsid w:val="00B26CFD"/>
    <w:rsid w:val="00B2783D"/>
    <w:rsid w:val="00B27F9A"/>
    <w:rsid w:val="00B30975"/>
    <w:rsid w:val="00B30D36"/>
    <w:rsid w:val="00B31246"/>
    <w:rsid w:val="00B31ABF"/>
    <w:rsid w:val="00B335AE"/>
    <w:rsid w:val="00B34395"/>
    <w:rsid w:val="00B35B0D"/>
    <w:rsid w:val="00B36DE1"/>
    <w:rsid w:val="00B3785E"/>
    <w:rsid w:val="00B37CE1"/>
    <w:rsid w:val="00B37E33"/>
    <w:rsid w:val="00B40158"/>
    <w:rsid w:val="00B40ACF"/>
    <w:rsid w:val="00B40E12"/>
    <w:rsid w:val="00B42F65"/>
    <w:rsid w:val="00B437CB"/>
    <w:rsid w:val="00B43CEB"/>
    <w:rsid w:val="00B44919"/>
    <w:rsid w:val="00B44CC5"/>
    <w:rsid w:val="00B455BB"/>
    <w:rsid w:val="00B456D2"/>
    <w:rsid w:val="00B45AB0"/>
    <w:rsid w:val="00B45B32"/>
    <w:rsid w:val="00B46BAA"/>
    <w:rsid w:val="00B47371"/>
    <w:rsid w:val="00B475C3"/>
    <w:rsid w:val="00B47815"/>
    <w:rsid w:val="00B50B5F"/>
    <w:rsid w:val="00B52429"/>
    <w:rsid w:val="00B53C90"/>
    <w:rsid w:val="00B54128"/>
    <w:rsid w:val="00B54D68"/>
    <w:rsid w:val="00B55102"/>
    <w:rsid w:val="00B55826"/>
    <w:rsid w:val="00B55A2D"/>
    <w:rsid w:val="00B56109"/>
    <w:rsid w:val="00B5694E"/>
    <w:rsid w:val="00B574F3"/>
    <w:rsid w:val="00B57ABB"/>
    <w:rsid w:val="00B57AEF"/>
    <w:rsid w:val="00B60426"/>
    <w:rsid w:val="00B61BE3"/>
    <w:rsid w:val="00B622DD"/>
    <w:rsid w:val="00B6238C"/>
    <w:rsid w:val="00B625FC"/>
    <w:rsid w:val="00B63522"/>
    <w:rsid w:val="00B636DA"/>
    <w:rsid w:val="00B6479D"/>
    <w:rsid w:val="00B659B0"/>
    <w:rsid w:val="00B65C66"/>
    <w:rsid w:val="00B66568"/>
    <w:rsid w:val="00B66C75"/>
    <w:rsid w:val="00B679DA"/>
    <w:rsid w:val="00B67C65"/>
    <w:rsid w:val="00B67DC8"/>
    <w:rsid w:val="00B712D4"/>
    <w:rsid w:val="00B71812"/>
    <w:rsid w:val="00B71AB7"/>
    <w:rsid w:val="00B720D4"/>
    <w:rsid w:val="00B72835"/>
    <w:rsid w:val="00B72EBC"/>
    <w:rsid w:val="00B737B2"/>
    <w:rsid w:val="00B746A1"/>
    <w:rsid w:val="00B74AFC"/>
    <w:rsid w:val="00B74DAC"/>
    <w:rsid w:val="00B74E2F"/>
    <w:rsid w:val="00B75C6E"/>
    <w:rsid w:val="00B76235"/>
    <w:rsid w:val="00B76B88"/>
    <w:rsid w:val="00B76C61"/>
    <w:rsid w:val="00B76F1D"/>
    <w:rsid w:val="00B7771D"/>
    <w:rsid w:val="00B80A38"/>
    <w:rsid w:val="00B80E48"/>
    <w:rsid w:val="00B81500"/>
    <w:rsid w:val="00B83822"/>
    <w:rsid w:val="00B83F32"/>
    <w:rsid w:val="00B8511A"/>
    <w:rsid w:val="00B85B12"/>
    <w:rsid w:val="00B86163"/>
    <w:rsid w:val="00B86560"/>
    <w:rsid w:val="00B8719D"/>
    <w:rsid w:val="00B92A19"/>
    <w:rsid w:val="00B92B1A"/>
    <w:rsid w:val="00B9450F"/>
    <w:rsid w:val="00B94F33"/>
    <w:rsid w:val="00B9544C"/>
    <w:rsid w:val="00B96530"/>
    <w:rsid w:val="00B9750B"/>
    <w:rsid w:val="00B97650"/>
    <w:rsid w:val="00BA0B9F"/>
    <w:rsid w:val="00BA1296"/>
    <w:rsid w:val="00BA1389"/>
    <w:rsid w:val="00BA2143"/>
    <w:rsid w:val="00BA23D2"/>
    <w:rsid w:val="00BA2562"/>
    <w:rsid w:val="00BA2977"/>
    <w:rsid w:val="00BA29E9"/>
    <w:rsid w:val="00BA3D7A"/>
    <w:rsid w:val="00BA4DB8"/>
    <w:rsid w:val="00BA5587"/>
    <w:rsid w:val="00BA6DE5"/>
    <w:rsid w:val="00BA714D"/>
    <w:rsid w:val="00BA7417"/>
    <w:rsid w:val="00BB0587"/>
    <w:rsid w:val="00BB0636"/>
    <w:rsid w:val="00BB1679"/>
    <w:rsid w:val="00BB1D91"/>
    <w:rsid w:val="00BB28F0"/>
    <w:rsid w:val="00BB2A09"/>
    <w:rsid w:val="00BB31BF"/>
    <w:rsid w:val="00BB3618"/>
    <w:rsid w:val="00BB3906"/>
    <w:rsid w:val="00BB44D9"/>
    <w:rsid w:val="00BB4DCD"/>
    <w:rsid w:val="00BB5181"/>
    <w:rsid w:val="00BB5E8C"/>
    <w:rsid w:val="00BB61BD"/>
    <w:rsid w:val="00BB6283"/>
    <w:rsid w:val="00BC06F4"/>
    <w:rsid w:val="00BC07F6"/>
    <w:rsid w:val="00BC0C9E"/>
    <w:rsid w:val="00BC0FFF"/>
    <w:rsid w:val="00BC1A8C"/>
    <w:rsid w:val="00BC1D58"/>
    <w:rsid w:val="00BC1E7E"/>
    <w:rsid w:val="00BC2D4C"/>
    <w:rsid w:val="00BC32DC"/>
    <w:rsid w:val="00BC3AE3"/>
    <w:rsid w:val="00BC3FED"/>
    <w:rsid w:val="00BC5089"/>
    <w:rsid w:val="00BC6DF8"/>
    <w:rsid w:val="00BC716A"/>
    <w:rsid w:val="00BC7BEB"/>
    <w:rsid w:val="00BD03F0"/>
    <w:rsid w:val="00BD1B51"/>
    <w:rsid w:val="00BD1DE8"/>
    <w:rsid w:val="00BD2107"/>
    <w:rsid w:val="00BD2832"/>
    <w:rsid w:val="00BD3BC7"/>
    <w:rsid w:val="00BD4476"/>
    <w:rsid w:val="00BD47F6"/>
    <w:rsid w:val="00BD4945"/>
    <w:rsid w:val="00BD53BC"/>
    <w:rsid w:val="00BD5911"/>
    <w:rsid w:val="00BD6A1D"/>
    <w:rsid w:val="00BD6FD0"/>
    <w:rsid w:val="00BE038B"/>
    <w:rsid w:val="00BE0DEB"/>
    <w:rsid w:val="00BE1314"/>
    <w:rsid w:val="00BE1432"/>
    <w:rsid w:val="00BE1D83"/>
    <w:rsid w:val="00BE2EE0"/>
    <w:rsid w:val="00BE312D"/>
    <w:rsid w:val="00BE33FD"/>
    <w:rsid w:val="00BE368D"/>
    <w:rsid w:val="00BE3FCA"/>
    <w:rsid w:val="00BE62D1"/>
    <w:rsid w:val="00BE6B73"/>
    <w:rsid w:val="00BE7379"/>
    <w:rsid w:val="00BF01B9"/>
    <w:rsid w:val="00BF17DF"/>
    <w:rsid w:val="00BF2D6A"/>
    <w:rsid w:val="00BF30F9"/>
    <w:rsid w:val="00BF3786"/>
    <w:rsid w:val="00BF42D7"/>
    <w:rsid w:val="00BF4407"/>
    <w:rsid w:val="00BF45EE"/>
    <w:rsid w:val="00BF4F91"/>
    <w:rsid w:val="00BF592F"/>
    <w:rsid w:val="00BF677D"/>
    <w:rsid w:val="00BF67BC"/>
    <w:rsid w:val="00BF6D97"/>
    <w:rsid w:val="00C00214"/>
    <w:rsid w:val="00C00300"/>
    <w:rsid w:val="00C00476"/>
    <w:rsid w:val="00C008CB"/>
    <w:rsid w:val="00C015AF"/>
    <w:rsid w:val="00C01D50"/>
    <w:rsid w:val="00C02517"/>
    <w:rsid w:val="00C046DD"/>
    <w:rsid w:val="00C05719"/>
    <w:rsid w:val="00C05883"/>
    <w:rsid w:val="00C05FF6"/>
    <w:rsid w:val="00C06B5D"/>
    <w:rsid w:val="00C06E2A"/>
    <w:rsid w:val="00C07BDF"/>
    <w:rsid w:val="00C07F50"/>
    <w:rsid w:val="00C10051"/>
    <w:rsid w:val="00C10578"/>
    <w:rsid w:val="00C10C84"/>
    <w:rsid w:val="00C111E0"/>
    <w:rsid w:val="00C11220"/>
    <w:rsid w:val="00C11485"/>
    <w:rsid w:val="00C114A3"/>
    <w:rsid w:val="00C1161E"/>
    <w:rsid w:val="00C11909"/>
    <w:rsid w:val="00C12BD9"/>
    <w:rsid w:val="00C13130"/>
    <w:rsid w:val="00C14C45"/>
    <w:rsid w:val="00C16053"/>
    <w:rsid w:val="00C17D62"/>
    <w:rsid w:val="00C20228"/>
    <w:rsid w:val="00C2095E"/>
    <w:rsid w:val="00C212D3"/>
    <w:rsid w:val="00C21AB3"/>
    <w:rsid w:val="00C21FDC"/>
    <w:rsid w:val="00C22748"/>
    <w:rsid w:val="00C2293D"/>
    <w:rsid w:val="00C24BE1"/>
    <w:rsid w:val="00C24EE7"/>
    <w:rsid w:val="00C2596A"/>
    <w:rsid w:val="00C26262"/>
    <w:rsid w:val="00C26708"/>
    <w:rsid w:val="00C26B93"/>
    <w:rsid w:val="00C271BE"/>
    <w:rsid w:val="00C27425"/>
    <w:rsid w:val="00C2793A"/>
    <w:rsid w:val="00C27D27"/>
    <w:rsid w:val="00C302AA"/>
    <w:rsid w:val="00C302B3"/>
    <w:rsid w:val="00C328FE"/>
    <w:rsid w:val="00C32C11"/>
    <w:rsid w:val="00C335EF"/>
    <w:rsid w:val="00C33A05"/>
    <w:rsid w:val="00C3437F"/>
    <w:rsid w:val="00C37E83"/>
    <w:rsid w:val="00C40C2F"/>
    <w:rsid w:val="00C40F4A"/>
    <w:rsid w:val="00C415BB"/>
    <w:rsid w:val="00C4225F"/>
    <w:rsid w:val="00C42500"/>
    <w:rsid w:val="00C43199"/>
    <w:rsid w:val="00C43AF1"/>
    <w:rsid w:val="00C4409D"/>
    <w:rsid w:val="00C44634"/>
    <w:rsid w:val="00C449CB"/>
    <w:rsid w:val="00C44D7C"/>
    <w:rsid w:val="00C455BE"/>
    <w:rsid w:val="00C463F4"/>
    <w:rsid w:val="00C50779"/>
    <w:rsid w:val="00C516D9"/>
    <w:rsid w:val="00C51E5F"/>
    <w:rsid w:val="00C53EE5"/>
    <w:rsid w:val="00C54062"/>
    <w:rsid w:val="00C55142"/>
    <w:rsid w:val="00C565A5"/>
    <w:rsid w:val="00C5660D"/>
    <w:rsid w:val="00C56874"/>
    <w:rsid w:val="00C609E7"/>
    <w:rsid w:val="00C612E2"/>
    <w:rsid w:val="00C617B7"/>
    <w:rsid w:val="00C61BBB"/>
    <w:rsid w:val="00C61E4B"/>
    <w:rsid w:val="00C62E3A"/>
    <w:rsid w:val="00C63597"/>
    <w:rsid w:val="00C63B1C"/>
    <w:rsid w:val="00C63E8C"/>
    <w:rsid w:val="00C64503"/>
    <w:rsid w:val="00C6460F"/>
    <w:rsid w:val="00C647CD"/>
    <w:rsid w:val="00C64A1F"/>
    <w:rsid w:val="00C64BFF"/>
    <w:rsid w:val="00C64CD1"/>
    <w:rsid w:val="00C65806"/>
    <w:rsid w:val="00C65F23"/>
    <w:rsid w:val="00C66FF5"/>
    <w:rsid w:val="00C675DB"/>
    <w:rsid w:val="00C70309"/>
    <w:rsid w:val="00C704A2"/>
    <w:rsid w:val="00C707A6"/>
    <w:rsid w:val="00C70874"/>
    <w:rsid w:val="00C71B2F"/>
    <w:rsid w:val="00C71CE6"/>
    <w:rsid w:val="00C71D0A"/>
    <w:rsid w:val="00C72816"/>
    <w:rsid w:val="00C72928"/>
    <w:rsid w:val="00C73A08"/>
    <w:rsid w:val="00C748EF"/>
    <w:rsid w:val="00C74900"/>
    <w:rsid w:val="00C74A97"/>
    <w:rsid w:val="00C75541"/>
    <w:rsid w:val="00C75879"/>
    <w:rsid w:val="00C758A7"/>
    <w:rsid w:val="00C763C9"/>
    <w:rsid w:val="00C763CB"/>
    <w:rsid w:val="00C767BC"/>
    <w:rsid w:val="00C76B5E"/>
    <w:rsid w:val="00C773E8"/>
    <w:rsid w:val="00C7766F"/>
    <w:rsid w:val="00C77B64"/>
    <w:rsid w:val="00C80057"/>
    <w:rsid w:val="00C80BD1"/>
    <w:rsid w:val="00C814FA"/>
    <w:rsid w:val="00C818B3"/>
    <w:rsid w:val="00C82C79"/>
    <w:rsid w:val="00C82D9B"/>
    <w:rsid w:val="00C831BD"/>
    <w:rsid w:val="00C838E1"/>
    <w:rsid w:val="00C83955"/>
    <w:rsid w:val="00C84753"/>
    <w:rsid w:val="00C8479D"/>
    <w:rsid w:val="00C84CCB"/>
    <w:rsid w:val="00C84EAA"/>
    <w:rsid w:val="00C85C82"/>
    <w:rsid w:val="00C86104"/>
    <w:rsid w:val="00C869F1"/>
    <w:rsid w:val="00C86ADF"/>
    <w:rsid w:val="00C87DDB"/>
    <w:rsid w:val="00C909D2"/>
    <w:rsid w:val="00C91611"/>
    <w:rsid w:val="00C91657"/>
    <w:rsid w:val="00C9183E"/>
    <w:rsid w:val="00C92959"/>
    <w:rsid w:val="00C93466"/>
    <w:rsid w:val="00C96994"/>
    <w:rsid w:val="00C9760C"/>
    <w:rsid w:val="00C97BB1"/>
    <w:rsid w:val="00CA0E85"/>
    <w:rsid w:val="00CA128D"/>
    <w:rsid w:val="00CA2763"/>
    <w:rsid w:val="00CA2868"/>
    <w:rsid w:val="00CA29A1"/>
    <w:rsid w:val="00CA3508"/>
    <w:rsid w:val="00CA3585"/>
    <w:rsid w:val="00CA3D5A"/>
    <w:rsid w:val="00CA3E06"/>
    <w:rsid w:val="00CA4971"/>
    <w:rsid w:val="00CA4C7C"/>
    <w:rsid w:val="00CA4CC1"/>
    <w:rsid w:val="00CA6291"/>
    <w:rsid w:val="00CA63E2"/>
    <w:rsid w:val="00CA6C5C"/>
    <w:rsid w:val="00CA6C98"/>
    <w:rsid w:val="00CA7501"/>
    <w:rsid w:val="00CA7DDE"/>
    <w:rsid w:val="00CB0183"/>
    <w:rsid w:val="00CB1183"/>
    <w:rsid w:val="00CB1EA3"/>
    <w:rsid w:val="00CB2131"/>
    <w:rsid w:val="00CB3B82"/>
    <w:rsid w:val="00CB3F0B"/>
    <w:rsid w:val="00CB4550"/>
    <w:rsid w:val="00CB4A0D"/>
    <w:rsid w:val="00CB4BE0"/>
    <w:rsid w:val="00CB5346"/>
    <w:rsid w:val="00CB552C"/>
    <w:rsid w:val="00CB5E36"/>
    <w:rsid w:val="00CB5F08"/>
    <w:rsid w:val="00CB6475"/>
    <w:rsid w:val="00CB6934"/>
    <w:rsid w:val="00CB6A9E"/>
    <w:rsid w:val="00CB7F60"/>
    <w:rsid w:val="00CC0815"/>
    <w:rsid w:val="00CC1A68"/>
    <w:rsid w:val="00CC229C"/>
    <w:rsid w:val="00CC26C6"/>
    <w:rsid w:val="00CC3579"/>
    <w:rsid w:val="00CC39D2"/>
    <w:rsid w:val="00CC3B4E"/>
    <w:rsid w:val="00CC4854"/>
    <w:rsid w:val="00CC4E88"/>
    <w:rsid w:val="00CC597E"/>
    <w:rsid w:val="00CC6066"/>
    <w:rsid w:val="00CC6181"/>
    <w:rsid w:val="00CC6C44"/>
    <w:rsid w:val="00CC7919"/>
    <w:rsid w:val="00CC7D60"/>
    <w:rsid w:val="00CC7F99"/>
    <w:rsid w:val="00CD1646"/>
    <w:rsid w:val="00CD16E5"/>
    <w:rsid w:val="00CD17CF"/>
    <w:rsid w:val="00CD21C9"/>
    <w:rsid w:val="00CD2BCD"/>
    <w:rsid w:val="00CD36AA"/>
    <w:rsid w:val="00CD3791"/>
    <w:rsid w:val="00CD3A29"/>
    <w:rsid w:val="00CD3E1F"/>
    <w:rsid w:val="00CD4324"/>
    <w:rsid w:val="00CD43A5"/>
    <w:rsid w:val="00CD4A31"/>
    <w:rsid w:val="00CD53C2"/>
    <w:rsid w:val="00CD5A72"/>
    <w:rsid w:val="00CD65B0"/>
    <w:rsid w:val="00CD6A3A"/>
    <w:rsid w:val="00CD6FD0"/>
    <w:rsid w:val="00CE00A0"/>
    <w:rsid w:val="00CE02CD"/>
    <w:rsid w:val="00CE0F8C"/>
    <w:rsid w:val="00CE10E9"/>
    <w:rsid w:val="00CE11AB"/>
    <w:rsid w:val="00CE17F0"/>
    <w:rsid w:val="00CE2A7C"/>
    <w:rsid w:val="00CE37DE"/>
    <w:rsid w:val="00CE3E5B"/>
    <w:rsid w:val="00CE3F02"/>
    <w:rsid w:val="00CE4446"/>
    <w:rsid w:val="00CE4CA6"/>
    <w:rsid w:val="00CE5149"/>
    <w:rsid w:val="00CE67B8"/>
    <w:rsid w:val="00CE681B"/>
    <w:rsid w:val="00CE6A99"/>
    <w:rsid w:val="00CE6E66"/>
    <w:rsid w:val="00CF02D5"/>
    <w:rsid w:val="00CF0902"/>
    <w:rsid w:val="00CF1153"/>
    <w:rsid w:val="00CF2864"/>
    <w:rsid w:val="00CF3D83"/>
    <w:rsid w:val="00CF3E24"/>
    <w:rsid w:val="00CF54A6"/>
    <w:rsid w:val="00CF5798"/>
    <w:rsid w:val="00CF5C6F"/>
    <w:rsid w:val="00CF5FE5"/>
    <w:rsid w:val="00CF62AD"/>
    <w:rsid w:val="00CF6508"/>
    <w:rsid w:val="00CF6AC1"/>
    <w:rsid w:val="00CF7A63"/>
    <w:rsid w:val="00D0072E"/>
    <w:rsid w:val="00D00D0A"/>
    <w:rsid w:val="00D00E76"/>
    <w:rsid w:val="00D00F9B"/>
    <w:rsid w:val="00D00FEF"/>
    <w:rsid w:val="00D01AD2"/>
    <w:rsid w:val="00D029F3"/>
    <w:rsid w:val="00D02C31"/>
    <w:rsid w:val="00D03C8C"/>
    <w:rsid w:val="00D049AD"/>
    <w:rsid w:val="00D0576B"/>
    <w:rsid w:val="00D0661A"/>
    <w:rsid w:val="00D06896"/>
    <w:rsid w:val="00D069EB"/>
    <w:rsid w:val="00D06A28"/>
    <w:rsid w:val="00D06BBA"/>
    <w:rsid w:val="00D07825"/>
    <w:rsid w:val="00D07859"/>
    <w:rsid w:val="00D108AD"/>
    <w:rsid w:val="00D111A4"/>
    <w:rsid w:val="00D111DA"/>
    <w:rsid w:val="00D11362"/>
    <w:rsid w:val="00D1159F"/>
    <w:rsid w:val="00D11647"/>
    <w:rsid w:val="00D11C75"/>
    <w:rsid w:val="00D127E7"/>
    <w:rsid w:val="00D1352B"/>
    <w:rsid w:val="00D136DA"/>
    <w:rsid w:val="00D14079"/>
    <w:rsid w:val="00D1458A"/>
    <w:rsid w:val="00D14AD5"/>
    <w:rsid w:val="00D15727"/>
    <w:rsid w:val="00D15837"/>
    <w:rsid w:val="00D16332"/>
    <w:rsid w:val="00D17099"/>
    <w:rsid w:val="00D17291"/>
    <w:rsid w:val="00D172C3"/>
    <w:rsid w:val="00D1787C"/>
    <w:rsid w:val="00D205AB"/>
    <w:rsid w:val="00D209E0"/>
    <w:rsid w:val="00D20AFC"/>
    <w:rsid w:val="00D20BDB"/>
    <w:rsid w:val="00D20E77"/>
    <w:rsid w:val="00D210DF"/>
    <w:rsid w:val="00D212D5"/>
    <w:rsid w:val="00D21689"/>
    <w:rsid w:val="00D23C64"/>
    <w:rsid w:val="00D23F0E"/>
    <w:rsid w:val="00D24972"/>
    <w:rsid w:val="00D2515E"/>
    <w:rsid w:val="00D25740"/>
    <w:rsid w:val="00D270A8"/>
    <w:rsid w:val="00D27F30"/>
    <w:rsid w:val="00D304B5"/>
    <w:rsid w:val="00D308ED"/>
    <w:rsid w:val="00D30E8A"/>
    <w:rsid w:val="00D31C84"/>
    <w:rsid w:val="00D325B7"/>
    <w:rsid w:val="00D345A9"/>
    <w:rsid w:val="00D3462E"/>
    <w:rsid w:val="00D366A0"/>
    <w:rsid w:val="00D37AAA"/>
    <w:rsid w:val="00D37BB3"/>
    <w:rsid w:val="00D37BF9"/>
    <w:rsid w:val="00D407F1"/>
    <w:rsid w:val="00D41AE9"/>
    <w:rsid w:val="00D41C5F"/>
    <w:rsid w:val="00D42BAF"/>
    <w:rsid w:val="00D4302A"/>
    <w:rsid w:val="00D44A92"/>
    <w:rsid w:val="00D45D3F"/>
    <w:rsid w:val="00D5008F"/>
    <w:rsid w:val="00D5042F"/>
    <w:rsid w:val="00D50DCF"/>
    <w:rsid w:val="00D51121"/>
    <w:rsid w:val="00D51544"/>
    <w:rsid w:val="00D5199A"/>
    <w:rsid w:val="00D51D17"/>
    <w:rsid w:val="00D52767"/>
    <w:rsid w:val="00D54587"/>
    <w:rsid w:val="00D54877"/>
    <w:rsid w:val="00D56178"/>
    <w:rsid w:val="00D56291"/>
    <w:rsid w:val="00D56806"/>
    <w:rsid w:val="00D56CF0"/>
    <w:rsid w:val="00D56F5C"/>
    <w:rsid w:val="00D5704C"/>
    <w:rsid w:val="00D574CB"/>
    <w:rsid w:val="00D57766"/>
    <w:rsid w:val="00D617BB"/>
    <w:rsid w:val="00D623DC"/>
    <w:rsid w:val="00D62E23"/>
    <w:rsid w:val="00D6312A"/>
    <w:rsid w:val="00D6336F"/>
    <w:rsid w:val="00D63C41"/>
    <w:rsid w:val="00D6422C"/>
    <w:rsid w:val="00D65164"/>
    <w:rsid w:val="00D659BC"/>
    <w:rsid w:val="00D65F4E"/>
    <w:rsid w:val="00D6643D"/>
    <w:rsid w:val="00D66C5B"/>
    <w:rsid w:val="00D6744B"/>
    <w:rsid w:val="00D67605"/>
    <w:rsid w:val="00D704B1"/>
    <w:rsid w:val="00D704DC"/>
    <w:rsid w:val="00D70B63"/>
    <w:rsid w:val="00D70C55"/>
    <w:rsid w:val="00D71561"/>
    <w:rsid w:val="00D71C25"/>
    <w:rsid w:val="00D72B92"/>
    <w:rsid w:val="00D72E13"/>
    <w:rsid w:val="00D72ED4"/>
    <w:rsid w:val="00D73240"/>
    <w:rsid w:val="00D73F61"/>
    <w:rsid w:val="00D73FFF"/>
    <w:rsid w:val="00D74918"/>
    <w:rsid w:val="00D754C0"/>
    <w:rsid w:val="00D75A4A"/>
    <w:rsid w:val="00D7649D"/>
    <w:rsid w:val="00D76A2A"/>
    <w:rsid w:val="00D776A2"/>
    <w:rsid w:val="00D801C4"/>
    <w:rsid w:val="00D801E1"/>
    <w:rsid w:val="00D812AF"/>
    <w:rsid w:val="00D82EC1"/>
    <w:rsid w:val="00D83D2C"/>
    <w:rsid w:val="00D847C2"/>
    <w:rsid w:val="00D84E32"/>
    <w:rsid w:val="00D856D9"/>
    <w:rsid w:val="00D86431"/>
    <w:rsid w:val="00D86E4D"/>
    <w:rsid w:val="00D87117"/>
    <w:rsid w:val="00D90661"/>
    <w:rsid w:val="00D90836"/>
    <w:rsid w:val="00D90AD8"/>
    <w:rsid w:val="00D90B0B"/>
    <w:rsid w:val="00D924D1"/>
    <w:rsid w:val="00D9293A"/>
    <w:rsid w:val="00D92DBA"/>
    <w:rsid w:val="00D93233"/>
    <w:rsid w:val="00D93929"/>
    <w:rsid w:val="00D93A61"/>
    <w:rsid w:val="00D93D9E"/>
    <w:rsid w:val="00D94ACD"/>
    <w:rsid w:val="00D952AA"/>
    <w:rsid w:val="00D95896"/>
    <w:rsid w:val="00D95CC6"/>
    <w:rsid w:val="00D95E3D"/>
    <w:rsid w:val="00D962E9"/>
    <w:rsid w:val="00D96CB0"/>
    <w:rsid w:val="00D9771E"/>
    <w:rsid w:val="00D97C2A"/>
    <w:rsid w:val="00D97F03"/>
    <w:rsid w:val="00DA0670"/>
    <w:rsid w:val="00DA1CD8"/>
    <w:rsid w:val="00DA1DB9"/>
    <w:rsid w:val="00DA24E6"/>
    <w:rsid w:val="00DA2C62"/>
    <w:rsid w:val="00DA2DA3"/>
    <w:rsid w:val="00DA37FB"/>
    <w:rsid w:val="00DA42F2"/>
    <w:rsid w:val="00DA46ED"/>
    <w:rsid w:val="00DA4A39"/>
    <w:rsid w:val="00DA5E43"/>
    <w:rsid w:val="00DA613D"/>
    <w:rsid w:val="00DA62B3"/>
    <w:rsid w:val="00DA6615"/>
    <w:rsid w:val="00DA728E"/>
    <w:rsid w:val="00DA76AE"/>
    <w:rsid w:val="00DB0649"/>
    <w:rsid w:val="00DB08C5"/>
    <w:rsid w:val="00DB0F9A"/>
    <w:rsid w:val="00DB181E"/>
    <w:rsid w:val="00DB18C3"/>
    <w:rsid w:val="00DB1C7A"/>
    <w:rsid w:val="00DB2296"/>
    <w:rsid w:val="00DB2983"/>
    <w:rsid w:val="00DB2A22"/>
    <w:rsid w:val="00DB2AEB"/>
    <w:rsid w:val="00DB306F"/>
    <w:rsid w:val="00DB31A7"/>
    <w:rsid w:val="00DB343D"/>
    <w:rsid w:val="00DB38AD"/>
    <w:rsid w:val="00DB4364"/>
    <w:rsid w:val="00DB523C"/>
    <w:rsid w:val="00DB5579"/>
    <w:rsid w:val="00DB55FB"/>
    <w:rsid w:val="00DB5CFE"/>
    <w:rsid w:val="00DB785F"/>
    <w:rsid w:val="00DC0EDD"/>
    <w:rsid w:val="00DC24CF"/>
    <w:rsid w:val="00DC281C"/>
    <w:rsid w:val="00DC2CBE"/>
    <w:rsid w:val="00DC5E82"/>
    <w:rsid w:val="00DC5E8B"/>
    <w:rsid w:val="00DC5FA7"/>
    <w:rsid w:val="00DC6EF6"/>
    <w:rsid w:val="00DC72A6"/>
    <w:rsid w:val="00DC7B4B"/>
    <w:rsid w:val="00DD0379"/>
    <w:rsid w:val="00DD0A9C"/>
    <w:rsid w:val="00DD0BAD"/>
    <w:rsid w:val="00DD1E03"/>
    <w:rsid w:val="00DD2113"/>
    <w:rsid w:val="00DD2399"/>
    <w:rsid w:val="00DD240D"/>
    <w:rsid w:val="00DD24BB"/>
    <w:rsid w:val="00DD265E"/>
    <w:rsid w:val="00DD297F"/>
    <w:rsid w:val="00DD346C"/>
    <w:rsid w:val="00DD46B3"/>
    <w:rsid w:val="00DD517A"/>
    <w:rsid w:val="00DD5B53"/>
    <w:rsid w:val="00DD5E35"/>
    <w:rsid w:val="00DD692B"/>
    <w:rsid w:val="00DD6C7C"/>
    <w:rsid w:val="00DD6CAE"/>
    <w:rsid w:val="00DD7139"/>
    <w:rsid w:val="00DD7537"/>
    <w:rsid w:val="00DD7711"/>
    <w:rsid w:val="00DE0BD9"/>
    <w:rsid w:val="00DE0C15"/>
    <w:rsid w:val="00DE111A"/>
    <w:rsid w:val="00DE1B9E"/>
    <w:rsid w:val="00DE2613"/>
    <w:rsid w:val="00DE2BF0"/>
    <w:rsid w:val="00DE2CE3"/>
    <w:rsid w:val="00DE2EBF"/>
    <w:rsid w:val="00DE3683"/>
    <w:rsid w:val="00DE3E0C"/>
    <w:rsid w:val="00DE4BE3"/>
    <w:rsid w:val="00DE5471"/>
    <w:rsid w:val="00DE5905"/>
    <w:rsid w:val="00DE5EC5"/>
    <w:rsid w:val="00DE624A"/>
    <w:rsid w:val="00DE64D2"/>
    <w:rsid w:val="00DE67DC"/>
    <w:rsid w:val="00DE67FF"/>
    <w:rsid w:val="00DE6B95"/>
    <w:rsid w:val="00DE71FB"/>
    <w:rsid w:val="00DE733C"/>
    <w:rsid w:val="00DE740A"/>
    <w:rsid w:val="00DE7693"/>
    <w:rsid w:val="00DE780B"/>
    <w:rsid w:val="00DE7C7F"/>
    <w:rsid w:val="00DE7DCE"/>
    <w:rsid w:val="00DE7F00"/>
    <w:rsid w:val="00DF1930"/>
    <w:rsid w:val="00DF1B90"/>
    <w:rsid w:val="00DF1D51"/>
    <w:rsid w:val="00DF243C"/>
    <w:rsid w:val="00DF49D1"/>
    <w:rsid w:val="00DF4D96"/>
    <w:rsid w:val="00DF4E53"/>
    <w:rsid w:val="00DF5047"/>
    <w:rsid w:val="00DF514A"/>
    <w:rsid w:val="00DF578E"/>
    <w:rsid w:val="00DF5936"/>
    <w:rsid w:val="00DF596A"/>
    <w:rsid w:val="00DF5E3F"/>
    <w:rsid w:val="00DF62A9"/>
    <w:rsid w:val="00DF697D"/>
    <w:rsid w:val="00DF797B"/>
    <w:rsid w:val="00E00324"/>
    <w:rsid w:val="00E0063A"/>
    <w:rsid w:val="00E01161"/>
    <w:rsid w:val="00E03008"/>
    <w:rsid w:val="00E0358D"/>
    <w:rsid w:val="00E03944"/>
    <w:rsid w:val="00E03C98"/>
    <w:rsid w:val="00E051E5"/>
    <w:rsid w:val="00E0543B"/>
    <w:rsid w:val="00E06327"/>
    <w:rsid w:val="00E075B3"/>
    <w:rsid w:val="00E07FAE"/>
    <w:rsid w:val="00E10B44"/>
    <w:rsid w:val="00E10BA1"/>
    <w:rsid w:val="00E10C8D"/>
    <w:rsid w:val="00E11537"/>
    <w:rsid w:val="00E1185D"/>
    <w:rsid w:val="00E11D65"/>
    <w:rsid w:val="00E12137"/>
    <w:rsid w:val="00E12290"/>
    <w:rsid w:val="00E12941"/>
    <w:rsid w:val="00E138A6"/>
    <w:rsid w:val="00E139FE"/>
    <w:rsid w:val="00E1428C"/>
    <w:rsid w:val="00E1559C"/>
    <w:rsid w:val="00E15B5A"/>
    <w:rsid w:val="00E15E42"/>
    <w:rsid w:val="00E16394"/>
    <w:rsid w:val="00E165A7"/>
    <w:rsid w:val="00E1668C"/>
    <w:rsid w:val="00E16B80"/>
    <w:rsid w:val="00E16D8E"/>
    <w:rsid w:val="00E170B4"/>
    <w:rsid w:val="00E172C0"/>
    <w:rsid w:val="00E17E13"/>
    <w:rsid w:val="00E2064B"/>
    <w:rsid w:val="00E2071F"/>
    <w:rsid w:val="00E20809"/>
    <w:rsid w:val="00E21207"/>
    <w:rsid w:val="00E228F7"/>
    <w:rsid w:val="00E25239"/>
    <w:rsid w:val="00E25566"/>
    <w:rsid w:val="00E255C9"/>
    <w:rsid w:val="00E25BDE"/>
    <w:rsid w:val="00E26334"/>
    <w:rsid w:val="00E265B1"/>
    <w:rsid w:val="00E2681C"/>
    <w:rsid w:val="00E26871"/>
    <w:rsid w:val="00E2713D"/>
    <w:rsid w:val="00E275B0"/>
    <w:rsid w:val="00E27A3B"/>
    <w:rsid w:val="00E27CB5"/>
    <w:rsid w:val="00E3026F"/>
    <w:rsid w:val="00E3042D"/>
    <w:rsid w:val="00E30AA8"/>
    <w:rsid w:val="00E31143"/>
    <w:rsid w:val="00E320F3"/>
    <w:rsid w:val="00E328FD"/>
    <w:rsid w:val="00E32D64"/>
    <w:rsid w:val="00E339E8"/>
    <w:rsid w:val="00E33A0F"/>
    <w:rsid w:val="00E33A9B"/>
    <w:rsid w:val="00E3491F"/>
    <w:rsid w:val="00E36185"/>
    <w:rsid w:val="00E3710F"/>
    <w:rsid w:val="00E37420"/>
    <w:rsid w:val="00E4034D"/>
    <w:rsid w:val="00E412D0"/>
    <w:rsid w:val="00E423DE"/>
    <w:rsid w:val="00E4257D"/>
    <w:rsid w:val="00E42721"/>
    <w:rsid w:val="00E43E61"/>
    <w:rsid w:val="00E440F6"/>
    <w:rsid w:val="00E4452E"/>
    <w:rsid w:val="00E47879"/>
    <w:rsid w:val="00E47CDB"/>
    <w:rsid w:val="00E508A2"/>
    <w:rsid w:val="00E50A5E"/>
    <w:rsid w:val="00E52180"/>
    <w:rsid w:val="00E52940"/>
    <w:rsid w:val="00E52C50"/>
    <w:rsid w:val="00E5368E"/>
    <w:rsid w:val="00E536A9"/>
    <w:rsid w:val="00E5471A"/>
    <w:rsid w:val="00E5601B"/>
    <w:rsid w:val="00E5612C"/>
    <w:rsid w:val="00E566BC"/>
    <w:rsid w:val="00E60463"/>
    <w:rsid w:val="00E60982"/>
    <w:rsid w:val="00E60C8D"/>
    <w:rsid w:val="00E60FD5"/>
    <w:rsid w:val="00E6162F"/>
    <w:rsid w:val="00E61E84"/>
    <w:rsid w:val="00E625E7"/>
    <w:rsid w:val="00E6274A"/>
    <w:rsid w:val="00E6279A"/>
    <w:rsid w:val="00E62EAC"/>
    <w:rsid w:val="00E62F96"/>
    <w:rsid w:val="00E6311B"/>
    <w:rsid w:val="00E63272"/>
    <w:rsid w:val="00E6378B"/>
    <w:rsid w:val="00E638EC"/>
    <w:rsid w:val="00E65031"/>
    <w:rsid w:val="00E65D97"/>
    <w:rsid w:val="00E663EA"/>
    <w:rsid w:val="00E671CF"/>
    <w:rsid w:val="00E672C3"/>
    <w:rsid w:val="00E67EFD"/>
    <w:rsid w:val="00E702DC"/>
    <w:rsid w:val="00E70C03"/>
    <w:rsid w:val="00E70F2B"/>
    <w:rsid w:val="00E711A7"/>
    <w:rsid w:val="00E71B8D"/>
    <w:rsid w:val="00E71FFB"/>
    <w:rsid w:val="00E7204B"/>
    <w:rsid w:val="00E72C2E"/>
    <w:rsid w:val="00E72F38"/>
    <w:rsid w:val="00E73782"/>
    <w:rsid w:val="00E7428E"/>
    <w:rsid w:val="00E743A5"/>
    <w:rsid w:val="00E7479D"/>
    <w:rsid w:val="00E7669D"/>
    <w:rsid w:val="00E76D1D"/>
    <w:rsid w:val="00E77E9E"/>
    <w:rsid w:val="00E8033C"/>
    <w:rsid w:val="00E806F8"/>
    <w:rsid w:val="00E816A3"/>
    <w:rsid w:val="00E8179C"/>
    <w:rsid w:val="00E837F9"/>
    <w:rsid w:val="00E8458E"/>
    <w:rsid w:val="00E84782"/>
    <w:rsid w:val="00E84964"/>
    <w:rsid w:val="00E850C6"/>
    <w:rsid w:val="00E851AC"/>
    <w:rsid w:val="00E85A50"/>
    <w:rsid w:val="00E8639B"/>
    <w:rsid w:val="00E86C2F"/>
    <w:rsid w:val="00E86E07"/>
    <w:rsid w:val="00E86F14"/>
    <w:rsid w:val="00E87092"/>
    <w:rsid w:val="00E87176"/>
    <w:rsid w:val="00E8724C"/>
    <w:rsid w:val="00E875A3"/>
    <w:rsid w:val="00E87752"/>
    <w:rsid w:val="00E8793B"/>
    <w:rsid w:val="00E90AF0"/>
    <w:rsid w:val="00E90F81"/>
    <w:rsid w:val="00E911D2"/>
    <w:rsid w:val="00E913C4"/>
    <w:rsid w:val="00E91A6D"/>
    <w:rsid w:val="00E91AD6"/>
    <w:rsid w:val="00E9242D"/>
    <w:rsid w:val="00E927F2"/>
    <w:rsid w:val="00E92E75"/>
    <w:rsid w:val="00E93E98"/>
    <w:rsid w:val="00E95372"/>
    <w:rsid w:val="00E96281"/>
    <w:rsid w:val="00E962B2"/>
    <w:rsid w:val="00E96882"/>
    <w:rsid w:val="00E969A9"/>
    <w:rsid w:val="00E96DA6"/>
    <w:rsid w:val="00E97B38"/>
    <w:rsid w:val="00EA0397"/>
    <w:rsid w:val="00EA08E5"/>
    <w:rsid w:val="00EA0A06"/>
    <w:rsid w:val="00EA0F62"/>
    <w:rsid w:val="00EA1591"/>
    <w:rsid w:val="00EA224F"/>
    <w:rsid w:val="00EA22E7"/>
    <w:rsid w:val="00EA2882"/>
    <w:rsid w:val="00EA31A3"/>
    <w:rsid w:val="00EA320F"/>
    <w:rsid w:val="00EA441C"/>
    <w:rsid w:val="00EA4746"/>
    <w:rsid w:val="00EA59B1"/>
    <w:rsid w:val="00EA5D19"/>
    <w:rsid w:val="00EA6700"/>
    <w:rsid w:val="00EA6E3F"/>
    <w:rsid w:val="00EA7AE8"/>
    <w:rsid w:val="00EA7D10"/>
    <w:rsid w:val="00EB041C"/>
    <w:rsid w:val="00EB0878"/>
    <w:rsid w:val="00EB0A3B"/>
    <w:rsid w:val="00EB0D0B"/>
    <w:rsid w:val="00EB1442"/>
    <w:rsid w:val="00EB1722"/>
    <w:rsid w:val="00EB1D79"/>
    <w:rsid w:val="00EB2D2F"/>
    <w:rsid w:val="00EB3857"/>
    <w:rsid w:val="00EB4CF0"/>
    <w:rsid w:val="00EB60AF"/>
    <w:rsid w:val="00EB6B18"/>
    <w:rsid w:val="00EB72B0"/>
    <w:rsid w:val="00EB7907"/>
    <w:rsid w:val="00EB7C8D"/>
    <w:rsid w:val="00EB7E5C"/>
    <w:rsid w:val="00EC0384"/>
    <w:rsid w:val="00EC05FE"/>
    <w:rsid w:val="00EC0F36"/>
    <w:rsid w:val="00EC0F8E"/>
    <w:rsid w:val="00EC130D"/>
    <w:rsid w:val="00EC18DE"/>
    <w:rsid w:val="00EC29D2"/>
    <w:rsid w:val="00EC2C5F"/>
    <w:rsid w:val="00EC2E05"/>
    <w:rsid w:val="00EC338D"/>
    <w:rsid w:val="00EC3D1A"/>
    <w:rsid w:val="00EC3E7E"/>
    <w:rsid w:val="00EC42CE"/>
    <w:rsid w:val="00EC4C0A"/>
    <w:rsid w:val="00EC5819"/>
    <w:rsid w:val="00EC5874"/>
    <w:rsid w:val="00EC6169"/>
    <w:rsid w:val="00EC7112"/>
    <w:rsid w:val="00EC7280"/>
    <w:rsid w:val="00EC775F"/>
    <w:rsid w:val="00EC79BC"/>
    <w:rsid w:val="00EC79C1"/>
    <w:rsid w:val="00ED192D"/>
    <w:rsid w:val="00ED1A15"/>
    <w:rsid w:val="00ED27AA"/>
    <w:rsid w:val="00ED30B4"/>
    <w:rsid w:val="00ED31F5"/>
    <w:rsid w:val="00ED3BC4"/>
    <w:rsid w:val="00ED3F12"/>
    <w:rsid w:val="00ED4893"/>
    <w:rsid w:val="00ED560A"/>
    <w:rsid w:val="00ED5A4A"/>
    <w:rsid w:val="00ED5B26"/>
    <w:rsid w:val="00ED6846"/>
    <w:rsid w:val="00ED6F39"/>
    <w:rsid w:val="00ED7E72"/>
    <w:rsid w:val="00EE065C"/>
    <w:rsid w:val="00EE0843"/>
    <w:rsid w:val="00EE1B31"/>
    <w:rsid w:val="00EE1C96"/>
    <w:rsid w:val="00EE1CEC"/>
    <w:rsid w:val="00EE248B"/>
    <w:rsid w:val="00EE33F5"/>
    <w:rsid w:val="00EE362B"/>
    <w:rsid w:val="00EE3EBA"/>
    <w:rsid w:val="00EE48C6"/>
    <w:rsid w:val="00EE5987"/>
    <w:rsid w:val="00EE5A0A"/>
    <w:rsid w:val="00EE5D7F"/>
    <w:rsid w:val="00EE649E"/>
    <w:rsid w:val="00EE7E5A"/>
    <w:rsid w:val="00EE7FBC"/>
    <w:rsid w:val="00EF0ED6"/>
    <w:rsid w:val="00EF1161"/>
    <w:rsid w:val="00EF14A4"/>
    <w:rsid w:val="00EF15D4"/>
    <w:rsid w:val="00EF1F08"/>
    <w:rsid w:val="00EF2601"/>
    <w:rsid w:val="00EF268D"/>
    <w:rsid w:val="00EF2759"/>
    <w:rsid w:val="00EF3B8B"/>
    <w:rsid w:val="00EF3FD1"/>
    <w:rsid w:val="00EF43B1"/>
    <w:rsid w:val="00EF45EB"/>
    <w:rsid w:val="00EF4CFD"/>
    <w:rsid w:val="00EF5099"/>
    <w:rsid w:val="00EF55EF"/>
    <w:rsid w:val="00EF598E"/>
    <w:rsid w:val="00EF5E33"/>
    <w:rsid w:val="00EF6292"/>
    <w:rsid w:val="00EF65C9"/>
    <w:rsid w:val="00EF70F8"/>
    <w:rsid w:val="00EF71A7"/>
    <w:rsid w:val="00EF723C"/>
    <w:rsid w:val="00EF75DD"/>
    <w:rsid w:val="00EF7E4A"/>
    <w:rsid w:val="00F00075"/>
    <w:rsid w:val="00F00864"/>
    <w:rsid w:val="00F00C9A"/>
    <w:rsid w:val="00F0159F"/>
    <w:rsid w:val="00F02263"/>
    <w:rsid w:val="00F02DAF"/>
    <w:rsid w:val="00F02F4D"/>
    <w:rsid w:val="00F030B7"/>
    <w:rsid w:val="00F03118"/>
    <w:rsid w:val="00F0372F"/>
    <w:rsid w:val="00F03A60"/>
    <w:rsid w:val="00F04568"/>
    <w:rsid w:val="00F04CAE"/>
    <w:rsid w:val="00F0520D"/>
    <w:rsid w:val="00F0570B"/>
    <w:rsid w:val="00F067C6"/>
    <w:rsid w:val="00F069EE"/>
    <w:rsid w:val="00F0714B"/>
    <w:rsid w:val="00F07822"/>
    <w:rsid w:val="00F0791B"/>
    <w:rsid w:val="00F105D4"/>
    <w:rsid w:val="00F1087D"/>
    <w:rsid w:val="00F11CE4"/>
    <w:rsid w:val="00F12C37"/>
    <w:rsid w:val="00F12CCF"/>
    <w:rsid w:val="00F132CF"/>
    <w:rsid w:val="00F1379A"/>
    <w:rsid w:val="00F139A7"/>
    <w:rsid w:val="00F13D7A"/>
    <w:rsid w:val="00F1492E"/>
    <w:rsid w:val="00F14999"/>
    <w:rsid w:val="00F15AEF"/>
    <w:rsid w:val="00F15C95"/>
    <w:rsid w:val="00F16C5C"/>
    <w:rsid w:val="00F16DA2"/>
    <w:rsid w:val="00F176F7"/>
    <w:rsid w:val="00F177EC"/>
    <w:rsid w:val="00F17BB3"/>
    <w:rsid w:val="00F21696"/>
    <w:rsid w:val="00F21C53"/>
    <w:rsid w:val="00F21C6D"/>
    <w:rsid w:val="00F227F1"/>
    <w:rsid w:val="00F22985"/>
    <w:rsid w:val="00F22C62"/>
    <w:rsid w:val="00F23347"/>
    <w:rsid w:val="00F23373"/>
    <w:rsid w:val="00F234BA"/>
    <w:rsid w:val="00F23767"/>
    <w:rsid w:val="00F241AB"/>
    <w:rsid w:val="00F24BC4"/>
    <w:rsid w:val="00F2588B"/>
    <w:rsid w:val="00F26455"/>
    <w:rsid w:val="00F27B80"/>
    <w:rsid w:val="00F30406"/>
    <w:rsid w:val="00F30431"/>
    <w:rsid w:val="00F31382"/>
    <w:rsid w:val="00F32072"/>
    <w:rsid w:val="00F32BE9"/>
    <w:rsid w:val="00F33890"/>
    <w:rsid w:val="00F342E8"/>
    <w:rsid w:val="00F345A3"/>
    <w:rsid w:val="00F354C0"/>
    <w:rsid w:val="00F3560F"/>
    <w:rsid w:val="00F356E7"/>
    <w:rsid w:val="00F35829"/>
    <w:rsid w:val="00F3678E"/>
    <w:rsid w:val="00F369FD"/>
    <w:rsid w:val="00F37501"/>
    <w:rsid w:val="00F37695"/>
    <w:rsid w:val="00F378CE"/>
    <w:rsid w:val="00F4067F"/>
    <w:rsid w:val="00F40A68"/>
    <w:rsid w:val="00F40E6B"/>
    <w:rsid w:val="00F41099"/>
    <w:rsid w:val="00F418E4"/>
    <w:rsid w:val="00F42814"/>
    <w:rsid w:val="00F42868"/>
    <w:rsid w:val="00F43D8B"/>
    <w:rsid w:val="00F44F53"/>
    <w:rsid w:val="00F45AD4"/>
    <w:rsid w:val="00F45C70"/>
    <w:rsid w:val="00F46466"/>
    <w:rsid w:val="00F465A7"/>
    <w:rsid w:val="00F4764A"/>
    <w:rsid w:val="00F479B1"/>
    <w:rsid w:val="00F50471"/>
    <w:rsid w:val="00F508F9"/>
    <w:rsid w:val="00F50989"/>
    <w:rsid w:val="00F50B7C"/>
    <w:rsid w:val="00F50E6F"/>
    <w:rsid w:val="00F510CF"/>
    <w:rsid w:val="00F51485"/>
    <w:rsid w:val="00F51B37"/>
    <w:rsid w:val="00F5202D"/>
    <w:rsid w:val="00F52CF6"/>
    <w:rsid w:val="00F532EC"/>
    <w:rsid w:val="00F5426D"/>
    <w:rsid w:val="00F54496"/>
    <w:rsid w:val="00F554EA"/>
    <w:rsid w:val="00F56CC1"/>
    <w:rsid w:val="00F572AF"/>
    <w:rsid w:val="00F57C19"/>
    <w:rsid w:val="00F60296"/>
    <w:rsid w:val="00F60C9E"/>
    <w:rsid w:val="00F60FA6"/>
    <w:rsid w:val="00F61097"/>
    <w:rsid w:val="00F61D75"/>
    <w:rsid w:val="00F62DEE"/>
    <w:rsid w:val="00F63C40"/>
    <w:rsid w:val="00F63CCB"/>
    <w:rsid w:val="00F6406B"/>
    <w:rsid w:val="00F64AEA"/>
    <w:rsid w:val="00F64B6D"/>
    <w:rsid w:val="00F6582F"/>
    <w:rsid w:val="00F66F7A"/>
    <w:rsid w:val="00F670F2"/>
    <w:rsid w:val="00F67270"/>
    <w:rsid w:val="00F70126"/>
    <w:rsid w:val="00F70164"/>
    <w:rsid w:val="00F7080E"/>
    <w:rsid w:val="00F70F30"/>
    <w:rsid w:val="00F7129E"/>
    <w:rsid w:val="00F71ACD"/>
    <w:rsid w:val="00F725A6"/>
    <w:rsid w:val="00F72BF3"/>
    <w:rsid w:val="00F72EDD"/>
    <w:rsid w:val="00F74345"/>
    <w:rsid w:val="00F74441"/>
    <w:rsid w:val="00F7681C"/>
    <w:rsid w:val="00F76B14"/>
    <w:rsid w:val="00F778E9"/>
    <w:rsid w:val="00F77F30"/>
    <w:rsid w:val="00F80911"/>
    <w:rsid w:val="00F80E28"/>
    <w:rsid w:val="00F81020"/>
    <w:rsid w:val="00F82589"/>
    <w:rsid w:val="00F82B19"/>
    <w:rsid w:val="00F8307F"/>
    <w:rsid w:val="00F83328"/>
    <w:rsid w:val="00F83762"/>
    <w:rsid w:val="00F83FB3"/>
    <w:rsid w:val="00F84815"/>
    <w:rsid w:val="00F84869"/>
    <w:rsid w:val="00F84BEA"/>
    <w:rsid w:val="00F85B64"/>
    <w:rsid w:val="00F85F04"/>
    <w:rsid w:val="00F86AD9"/>
    <w:rsid w:val="00F86C80"/>
    <w:rsid w:val="00F87476"/>
    <w:rsid w:val="00F87E02"/>
    <w:rsid w:val="00F90618"/>
    <w:rsid w:val="00F90AA7"/>
    <w:rsid w:val="00F90BA5"/>
    <w:rsid w:val="00F91A58"/>
    <w:rsid w:val="00F9212D"/>
    <w:rsid w:val="00F92AB9"/>
    <w:rsid w:val="00F92E8F"/>
    <w:rsid w:val="00F947B7"/>
    <w:rsid w:val="00F95082"/>
    <w:rsid w:val="00F952A1"/>
    <w:rsid w:val="00F95492"/>
    <w:rsid w:val="00F967E5"/>
    <w:rsid w:val="00F96C96"/>
    <w:rsid w:val="00F97CF2"/>
    <w:rsid w:val="00F97E70"/>
    <w:rsid w:val="00FA0E61"/>
    <w:rsid w:val="00FA301A"/>
    <w:rsid w:val="00FA3398"/>
    <w:rsid w:val="00FA3CF6"/>
    <w:rsid w:val="00FA406A"/>
    <w:rsid w:val="00FA4696"/>
    <w:rsid w:val="00FA4ED3"/>
    <w:rsid w:val="00FA5072"/>
    <w:rsid w:val="00FA577D"/>
    <w:rsid w:val="00FA5837"/>
    <w:rsid w:val="00FA5CB6"/>
    <w:rsid w:val="00FA7205"/>
    <w:rsid w:val="00FB05C5"/>
    <w:rsid w:val="00FB0980"/>
    <w:rsid w:val="00FB20ED"/>
    <w:rsid w:val="00FB3455"/>
    <w:rsid w:val="00FB36DF"/>
    <w:rsid w:val="00FB392C"/>
    <w:rsid w:val="00FB3A8B"/>
    <w:rsid w:val="00FB3DDD"/>
    <w:rsid w:val="00FB3E17"/>
    <w:rsid w:val="00FB44E6"/>
    <w:rsid w:val="00FB451C"/>
    <w:rsid w:val="00FB533F"/>
    <w:rsid w:val="00FB592A"/>
    <w:rsid w:val="00FB6B8A"/>
    <w:rsid w:val="00FB6DB6"/>
    <w:rsid w:val="00FB6E5F"/>
    <w:rsid w:val="00FB7529"/>
    <w:rsid w:val="00FB7551"/>
    <w:rsid w:val="00FB7921"/>
    <w:rsid w:val="00FC0701"/>
    <w:rsid w:val="00FC1BB3"/>
    <w:rsid w:val="00FC2359"/>
    <w:rsid w:val="00FC26AA"/>
    <w:rsid w:val="00FC279A"/>
    <w:rsid w:val="00FC2BC1"/>
    <w:rsid w:val="00FC3850"/>
    <w:rsid w:val="00FC6442"/>
    <w:rsid w:val="00FC66AC"/>
    <w:rsid w:val="00FC690E"/>
    <w:rsid w:val="00FC78E7"/>
    <w:rsid w:val="00FC7C72"/>
    <w:rsid w:val="00FC7F0C"/>
    <w:rsid w:val="00FC7F37"/>
    <w:rsid w:val="00FD15C4"/>
    <w:rsid w:val="00FD18F4"/>
    <w:rsid w:val="00FD1E2C"/>
    <w:rsid w:val="00FD2935"/>
    <w:rsid w:val="00FD527A"/>
    <w:rsid w:val="00FD54A0"/>
    <w:rsid w:val="00FD54D9"/>
    <w:rsid w:val="00FD58BC"/>
    <w:rsid w:val="00FD5D8A"/>
    <w:rsid w:val="00FD653D"/>
    <w:rsid w:val="00FD74B4"/>
    <w:rsid w:val="00FD7556"/>
    <w:rsid w:val="00FD7838"/>
    <w:rsid w:val="00FD7C21"/>
    <w:rsid w:val="00FD7E27"/>
    <w:rsid w:val="00FE0F22"/>
    <w:rsid w:val="00FE2CC8"/>
    <w:rsid w:val="00FE34FC"/>
    <w:rsid w:val="00FE3F94"/>
    <w:rsid w:val="00FE42C5"/>
    <w:rsid w:val="00FE4471"/>
    <w:rsid w:val="00FE44EE"/>
    <w:rsid w:val="00FE6827"/>
    <w:rsid w:val="00FE6ADC"/>
    <w:rsid w:val="00FE6DAC"/>
    <w:rsid w:val="00FF0272"/>
    <w:rsid w:val="00FF1551"/>
    <w:rsid w:val="00FF252F"/>
    <w:rsid w:val="00FF33E8"/>
    <w:rsid w:val="00FF3E6A"/>
    <w:rsid w:val="00FF3ED2"/>
    <w:rsid w:val="00FF4394"/>
    <w:rsid w:val="00FF44A9"/>
    <w:rsid w:val="00FF4B07"/>
    <w:rsid w:val="00FF579F"/>
    <w:rsid w:val="00FF60C3"/>
    <w:rsid w:val="00FF6782"/>
    <w:rsid w:val="00FF6FCE"/>
    <w:rsid w:val="00FF7518"/>
    <w:rsid w:val="00FF7F46"/>
    <w:rsid w:val="00FF7FD8"/>
    <w:rsid w:val="017F174F"/>
    <w:rsid w:val="02251150"/>
    <w:rsid w:val="03123DCA"/>
    <w:rsid w:val="03BD4CE0"/>
    <w:rsid w:val="03D70B20"/>
    <w:rsid w:val="03E5328D"/>
    <w:rsid w:val="04223B99"/>
    <w:rsid w:val="043D2E67"/>
    <w:rsid w:val="047B14FB"/>
    <w:rsid w:val="04B36EE7"/>
    <w:rsid w:val="04CD61FB"/>
    <w:rsid w:val="04D661DE"/>
    <w:rsid w:val="05742AC8"/>
    <w:rsid w:val="060E737E"/>
    <w:rsid w:val="06336531"/>
    <w:rsid w:val="06352F05"/>
    <w:rsid w:val="063E7D85"/>
    <w:rsid w:val="06904CFC"/>
    <w:rsid w:val="070875E0"/>
    <w:rsid w:val="070E2AFA"/>
    <w:rsid w:val="07174993"/>
    <w:rsid w:val="071B6883"/>
    <w:rsid w:val="07293586"/>
    <w:rsid w:val="07295285"/>
    <w:rsid w:val="075A7AEE"/>
    <w:rsid w:val="07770C56"/>
    <w:rsid w:val="07886409"/>
    <w:rsid w:val="083E11BD"/>
    <w:rsid w:val="087A3C32"/>
    <w:rsid w:val="08843074"/>
    <w:rsid w:val="088742CC"/>
    <w:rsid w:val="08CE1E54"/>
    <w:rsid w:val="090441D7"/>
    <w:rsid w:val="092217DD"/>
    <w:rsid w:val="09372CF3"/>
    <w:rsid w:val="093A7294"/>
    <w:rsid w:val="0A4D3EDC"/>
    <w:rsid w:val="0A595E3B"/>
    <w:rsid w:val="0ABE2142"/>
    <w:rsid w:val="0B9F230D"/>
    <w:rsid w:val="0BD27BF6"/>
    <w:rsid w:val="0BD762D6"/>
    <w:rsid w:val="0BE36A9F"/>
    <w:rsid w:val="0D0E5602"/>
    <w:rsid w:val="0D9629E8"/>
    <w:rsid w:val="0E0130FC"/>
    <w:rsid w:val="0E110D06"/>
    <w:rsid w:val="0E642D2B"/>
    <w:rsid w:val="0EAF7D3D"/>
    <w:rsid w:val="0EDB32C2"/>
    <w:rsid w:val="0F13775A"/>
    <w:rsid w:val="0F250F9E"/>
    <w:rsid w:val="0F474DFC"/>
    <w:rsid w:val="0F9A112B"/>
    <w:rsid w:val="0FCF73DB"/>
    <w:rsid w:val="106D2F64"/>
    <w:rsid w:val="10B63710"/>
    <w:rsid w:val="10D97CD5"/>
    <w:rsid w:val="111C2F7A"/>
    <w:rsid w:val="112D6B93"/>
    <w:rsid w:val="113013DE"/>
    <w:rsid w:val="117B752B"/>
    <w:rsid w:val="11AF3302"/>
    <w:rsid w:val="12040D82"/>
    <w:rsid w:val="122B06C2"/>
    <w:rsid w:val="12861023"/>
    <w:rsid w:val="130378C1"/>
    <w:rsid w:val="13951726"/>
    <w:rsid w:val="13D01963"/>
    <w:rsid w:val="13E15182"/>
    <w:rsid w:val="14396509"/>
    <w:rsid w:val="1447165C"/>
    <w:rsid w:val="144D4C62"/>
    <w:rsid w:val="14720C4F"/>
    <w:rsid w:val="14904B4F"/>
    <w:rsid w:val="14AD3953"/>
    <w:rsid w:val="14F926F4"/>
    <w:rsid w:val="15AB5F4A"/>
    <w:rsid w:val="15B605E5"/>
    <w:rsid w:val="166149F5"/>
    <w:rsid w:val="16FF3BF9"/>
    <w:rsid w:val="17516817"/>
    <w:rsid w:val="17735226"/>
    <w:rsid w:val="1788669E"/>
    <w:rsid w:val="179D6CFC"/>
    <w:rsid w:val="17C67534"/>
    <w:rsid w:val="17F954FC"/>
    <w:rsid w:val="183F48C2"/>
    <w:rsid w:val="18A92683"/>
    <w:rsid w:val="1931657F"/>
    <w:rsid w:val="19355CC5"/>
    <w:rsid w:val="194C2B7D"/>
    <w:rsid w:val="1A1C66C0"/>
    <w:rsid w:val="1A361CF4"/>
    <w:rsid w:val="1A42393B"/>
    <w:rsid w:val="1B046F80"/>
    <w:rsid w:val="1B3267B5"/>
    <w:rsid w:val="1B5B2A1B"/>
    <w:rsid w:val="1B627063"/>
    <w:rsid w:val="1BC25DC8"/>
    <w:rsid w:val="1BC976E2"/>
    <w:rsid w:val="1C1E610B"/>
    <w:rsid w:val="1C1E64AF"/>
    <w:rsid w:val="1C5E7925"/>
    <w:rsid w:val="1C67088B"/>
    <w:rsid w:val="1C887FC8"/>
    <w:rsid w:val="1CA4563B"/>
    <w:rsid w:val="1CB47291"/>
    <w:rsid w:val="1CD14921"/>
    <w:rsid w:val="1CD86431"/>
    <w:rsid w:val="1D594678"/>
    <w:rsid w:val="1D5F6196"/>
    <w:rsid w:val="1D6132A5"/>
    <w:rsid w:val="1D8E56D5"/>
    <w:rsid w:val="1D9B44D0"/>
    <w:rsid w:val="1E044E91"/>
    <w:rsid w:val="1E7A43DA"/>
    <w:rsid w:val="1E9B0CC0"/>
    <w:rsid w:val="1EA22A7C"/>
    <w:rsid w:val="1EB277FE"/>
    <w:rsid w:val="1EE15A6C"/>
    <w:rsid w:val="1EF87EC0"/>
    <w:rsid w:val="1F5D5C0B"/>
    <w:rsid w:val="1F8507F5"/>
    <w:rsid w:val="1FAE4F31"/>
    <w:rsid w:val="1FD10C80"/>
    <w:rsid w:val="1FE126E5"/>
    <w:rsid w:val="1FE7539E"/>
    <w:rsid w:val="1FE90A16"/>
    <w:rsid w:val="20857532"/>
    <w:rsid w:val="20963CB8"/>
    <w:rsid w:val="20B07FB6"/>
    <w:rsid w:val="213B74B1"/>
    <w:rsid w:val="215A2310"/>
    <w:rsid w:val="21826640"/>
    <w:rsid w:val="21A44AD3"/>
    <w:rsid w:val="21DE318A"/>
    <w:rsid w:val="21EF5B80"/>
    <w:rsid w:val="22123047"/>
    <w:rsid w:val="223C00C4"/>
    <w:rsid w:val="22576990"/>
    <w:rsid w:val="229C4EAB"/>
    <w:rsid w:val="22E551A7"/>
    <w:rsid w:val="23163A18"/>
    <w:rsid w:val="241A2687"/>
    <w:rsid w:val="24B91EA0"/>
    <w:rsid w:val="252D53FE"/>
    <w:rsid w:val="25EC2D81"/>
    <w:rsid w:val="264528BD"/>
    <w:rsid w:val="26F92E80"/>
    <w:rsid w:val="270B3494"/>
    <w:rsid w:val="271B0BF0"/>
    <w:rsid w:val="275F23F3"/>
    <w:rsid w:val="27903864"/>
    <w:rsid w:val="27C744A8"/>
    <w:rsid w:val="27CB6172"/>
    <w:rsid w:val="27D15DD1"/>
    <w:rsid w:val="28A76295"/>
    <w:rsid w:val="28AE6842"/>
    <w:rsid w:val="290C6B56"/>
    <w:rsid w:val="29206EB8"/>
    <w:rsid w:val="29891E41"/>
    <w:rsid w:val="298A5082"/>
    <w:rsid w:val="29E325E0"/>
    <w:rsid w:val="2A452503"/>
    <w:rsid w:val="2A6428AE"/>
    <w:rsid w:val="2A7F68F2"/>
    <w:rsid w:val="2AB23619"/>
    <w:rsid w:val="2B2F2F59"/>
    <w:rsid w:val="2B3E012F"/>
    <w:rsid w:val="2BA936A8"/>
    <w:rsid w:val="2C315A5A"/>
    <w:rsid w:val="2C382A68"/>
    <w:rsid w:val="2D2B1E42"/>
    <w:rsid w:val="2D3227EF"/>
    <w:rsid w:val="2D86319C"/>
    <w:rsid w:val="2D9E56F5"/>
    <w:rsid w:val="2E12184A"/>
    <w:rsid w:val="2E3632C1"/>
    <w:rsid w:val="2E667F96"/>
    <w:rsid w:val="2E8226AB"/>
    <w:rsid w:val="2E8B798F"/>
    <w:rsid w:val="2E913546"/>
    <w:rsid w:val="2ECA3572"/>
    <w:rsid w:val="2EE834A3"/>
    <w:rsid w:val="2EF06BB9"/>
    <w:rsid w:val="2F832C79"/>
    <w:rsid w:val="2FE85726"/>
    <w:rsid w:val="2FEF2D58"/>
    <w:rsid w:val="30580BC9"/>
    <w:rsid w:val="30BC0D4E"/>
    <w:rsid w:val="30DF2C8E"/>
    <w:rsid w:val="311C7A3E"/>
    <w:rsid w:val="311E2ED7"/>
    <w:rsid w:val="314239BA"/>
    <w:rsid w:val="315C449C"/>
    <w:rsid w:val="31B82709"/>
    <w:rsid w:val="31E16592"/>
    <w:rsid w:val="32400B34"/>
    <w:rsid w:val="329E6876"/>
    <w:rsid w:val="32D61E6F"/>
    <w:rsid w:val="33224D22"/>
    <w:rsid w:val="339733AC"/>
    <w:rsid w:val="33D934D4"/>
    <w:rsid w:val="33ED121E"/>
    <w:rsid w:val="33ED7470"/>
    <w:rsid w:val="33FE2F6A"/>
    <w:rsid w:val="344B0A01"/>
    <w:rsid w:val="346F4329"/>
    <w:rsid w:val="349873DC"/>
    <w:rsid w:val="3510723E"/>
    <w:rsid w:val="351647A5"/>
    <w:rsid w:val="353A2699"/>
    <w:rsid w:val="357340A2"/>
    <w:rsid w:val="358F3372"/>
    <w:rsid w:val="36074A7F"/>
    <w:rsid w:val="368F6E0E"/>
    <w:rsid w:val="36923549"/>
    <w:rsid w:val="36B75FBF"/>
    <w:rsid w:val="36FB4891"/>
    <w:rsid w:val="37491867"/>
    <w:rsid w:val="375241BA"/>
    <w:rsid w:val="37ED7A3F"/>
    <w:rsid w:val="38194B60"/>
    <w:rsid w:val="383D3652"/>
    <w:rsid w:val="388D19F8"/>
    <w:rsid w:val="3896555B"/>
    <w:rsid w:val="38A27027"/>
    <w:rsid w:val="38BF64C2"/>
    <w:rsid w:val="38F12CD3"/>
    <w:rsid w:val="38F94775"/>
    <w:rsid w:val="391A0E85"/>
    <w:rsid w:val="392971ED"/>
    <w:rsid w:val="39A9208B"/>
    <w:rsid w:val="39AF6E3D"/>
    <w:rsid w:val="3A4D6EBA"/>
    <w:rsid w:val="3A744B64"/>
    <w:rsid w:val="3A8E7797"/>
    <w:rsid w:val="3AA82343"/>
    <w:rsid w:val="3B06334B"/>
    <w:rsid w:val="3B3763D1"/>
    <w:rsid w:val="3B5B2830"/>
    <w:rsid w:val="3BCB3AEE"/>
    <w:rsid w:val="3BE51232"/>
    <w:rsid w:val="3C695ADF"/>
    <w:rsid w:val="3C7544A7"/>
    <w:rsid w:val="3C88781A"/>
    <w:rsid w:val="3CDA245A"/>
    <w:rsid w:val="3CEA1116"/>
    <w:rsid w:val="3CEE0A37"/>
    <w:rsid w:val="3D581DFE"/>
    <w:rsid w:val="3E5B6683"/>
    <w:rsid w:val="3E630A5B"/>
    <w:rsid w:val="3EC11C25"/>
    <w:rsid w:val="3EF02812"/>
    <w:rsid w:val="3F1C6E5B"/>
    <w:rsid w:val="3F32553B"/>
    <w:rsid w:val="3F4F0FDF"/>
    <w:rsid w:val="3F660E74"/>
    <w:rsid w:val="40181D19"/>
    <w:rsid w:val="407A6407"/>
    <w:rsid w:val="410C0C3B"/>
    <w:rsid w:val="41801923"/>
    <w:rsid w:val="423A3BCC"/>
    <w:rsid w:val="433A6FE6"/>
    <w:rsid w:val="4350713C"/>
    <w:rsid w:val="436653E0"/>
    <w:rsid w:val="4397623D"/>
    <w:rsid w:val="43F54F5F"/>
    <w:rsid w:val="44161999"/>
    <w:rsid w:val="44641089"/>
    <w:rsid w:val="44B95392"/>
    <w:rsid w:val="44CD14E0"/>
    <w:rsid w:val="44EB5650"/>
    <w:rsid w:val="45224346"/>
    <w:rsid w:val="452E1696"/>
    <w:rsid w:val="458946E9"/>
    <w:rsid w:val="45B002FD"/>
    <w:rsid w:val="460421F7"/>
    <w:rsid w:val="46BA701C"/>
    <w:rsid w:val="46D955A7"/>
    <w:rsid w:val="46DA7D28"/>
    <w:rsid w:val="47133957"/>
    <w:rsid w:val="473F2011"/>
    <w:rsid w:val="4779329E"/>
    <w:rsid w:val="47A07E0C"/>
    <w:rsid w:val="47CD5197"/>
    <w:rsid w:val="481935D8"/>
    <w:rsid w:val="484F2050"/>
    <w:rsid w:val="4870272E"/>
    <w:rsid w:val="488E5795"/>
    <w:rsid w:val="49DC7715"/>
    <w:rsid w:val="4A023139"/>
    <w:rsid w:val="4A5542FC"/>
    <w:rsid w:val="4A6022F2"/>
    <w:rsid w:val="4A7B576F"/>
    <w:rsid w:val="4A8A1B6D"/>
    <w:rsid w:val="4ACC7988"/>
    <w:rsid w:val="4AFE1AF3"/>
    <w:rsid w:val="4B1F5D09"/>
    <w:rsid w:val="4B215F25"/>
    <w:rsid w:val="4B3E0902"/>
    <w:rsid w:val="4B45356B"/>
    <w:rsid w:val="4B8F532F"/>
    <w:rsid w:val="4BD411EA"/>
    <w:rsid w:val="4C4A0649"/>
    <w:rsid w:val="4C824469"/>
    <w:rsid w:val="4CE470D3"/>
    <w:rsid w:val="4D2A6BE7"/>
    <w:rsid w:val="4DEC4FB0"/>
    <w:rsid w:val="4E015B9A"/>
    <w:rsid w:val="4E075D8A"/>
    <w:rsid w:val="4E256AB9"/>
    <w:rsid w:val="4E6600F3"/>
    <w:rsid w:val="4E6B645F"/>
    <w:rsid w:val="4E9179F4"/>
    <w:rsid w:val="4F0F1BE6"/>
    <w:rsid w:val="4F5827B5"/>
    <w:rsid w:val="4F7505EE"/>
    <w:rsid w:val="4FC62A8C"/>
    <w:rsid w:val="4FE20F0D"/>
    <w:rsid w:val="503E0E60"/>
    <w:rsid w:val="504B32D9"/>
    <w:rsid w:val="50504C4B"/>
    <w:rsid w:val="509C6E7C"/>
    <w:rsid w:val="50E21CB3"/>
    <w:rsid w:val="5162104E"/>
    <w:rsid w:val="530C3017"/>
    <w:rsid w:val="53A039CC"/>
    <w:rsid w:val="53A1505A"/>
    <w:rsid w:val="54063E08"/>
    <w:rsid w:val="54176117"/>
    <w:rsid w:val="543437E8"/>
    <w:rsid w:val="54493DF7"/>
    <w:rsid w:val="54F241EB"/>
    <w:rsid w:val="55907098"/>
    <w:rsid w:val="559B174B"/>
    <w:rsid w:val="559F1AA1"/>
    <w:rsid w:val="55CE0CF4"/>
    <w:rsid w:val="56004989"/>
    <w:rsid w:val="56701B0F"/>
    <w:rsid w:val="56B22A9C"/>
    <w:rsid w:val="57321A9A"/>
    <w:rsid w:val="57432CE0"/>
    <w:rsid w:val="575C2093"/>
    <w:rsid w:val="576F328A"/>
    <w:rsid w:val="577437AE"/>
    <w:rsid w:val="577D5302"/>
    <w:rsid w:val="57B72A76"/>
    <w:rsid w:val="57B8376D"/>
    <w:rsid w:val="57EE53E1"/>
    <w:rsid w:val="5814471C"/>
    <w:rsid w:val="58726012"/>
    <w:rsid w:val="588E0972"/>
    <w:rsid w:val="58CB483C"/>
    <w:rsid w:val="58EE31BF"/>
    <w:rsid w:val="58EE779C"/>
    <w:rsid w:val="59417CFE"/>
    <w:rsid w:val="595F112E"/>
    <w:rsid w:val="59CD2BCB"/>
    <w:rsid w:val="5A0F7891"/>
    <w:rsid w:val="5A3C747D"/>
    <w:rsid w:val="5A447E73"/>
    <w:rsid w:val="5AB70B64"/>
    <w:rsid w:val="5ABD72ED"/>
    <w:rsid w:val="5ABE2233"/>
    <w:rsid w:val="5AE66844"/>
    <w:rsid w:val="5B276D18"/>
    <w:rsid w:val="5B8878FB"/>
    <w:rsid w:val="5B9444F1"/>
    <w:rsid w:val="5B9D5DC0"/>
    <w:rsid w:val="5BB56F08"/>
    <w:rsid w:val="5BDF5D95"/>
    <w:rsid w:val="5CCF5950"/>
    <w:rsid w:val="5D017965"/>
    <w:rsid w:val="5D7554B6"/>
    <w:rsid w:val="5D8440F2"/>
    <w:rsid w:val="5DAD2909"/>
    <w:rsid w:val="5DF52098"/>
    <w:rsid w:val="5DF87A0F"/>
    <w:rsid w:val="5E1F70B7"/>
    <w:rsid w:val="5EC66213"/>
    <w:rsid w:val="5F1A2B43"/>
    <w:rsid w:val="5F6C789E"/>
    <w:rsid w:val="5F750196"/>
    <w:rsid w:val="5FB837BB"/>
    <w:rsid w:val="5FE46263"/>
    <w:rsid w:val="601A43EF"/>
    <w:rsid w:val="608E3D34"/>
    <w:rsid w:val="60C018E5"/>
    <w:rsid w:val="60C8085F"/>
    <w:rsid w:val="618D7A19"/>
    <w:rsid w:val="61A40812"/>
    <w:rsid w:val="61B52BB6"/>
    <w:rsid w:val="61EF537D"/>
    <w:rsid w:val="61F40A0D"/>
    <w:rsid w:val="62364782"/>
    <w:rsid w:val="624C78D4"/>
    <w:rsid w:val="62A244AE"/>
    <w:rsid w:val="62C63B33"/>
    <w:rsid w:val="633914DA"/>
    <w:rsid w:val="63B219B9"/>
    <w:rsid w:val="63D40BE9"/>
    <w:rsid w:val="63E0211F"/>
    <w:rsid w:val="6401024A"/>
    <w:rsid w:val="644B4371"/>
    <w:rsid w:val="645C1924"/>
    <w:rsid w:val="650A312E"/>
    <w:rsid w:val="650E7A75"/>
    <w:rsid w:val="65373578"/>
    <w:rsid w:val="65744A4C"/>
    <w:rsid w:val="65960337"/>
    <w:rsid w:val="66285F62"/>
    <w:rsid w:val="673F2C7A"/>
    <w:rsid w:val="67472EA6"/>
    <w:rsid w:val="679F6EDC"/>
    <w:rsid w:val="681F6961"/>
    <w:rsid w:val="68610A2F"/>
    <w:rsid w:val="6862040E"/>
    <w:rsid w:val="68805514"/>
    <w:rsid w:val="691618AF"/>
    <w:rsid w:val="694E2071"/>
    <w:rsid w:val="695928D6"/>
    <w:rsid w:val="695F78C1"/>
    <w:rsid w:val="697A3B33"/>
    <w:rsid w:val="698069BA"/>
    <w:rsid w:val="698F1BCA"/>
    <w:rsid w:val="699E2456"/>
    <w:rsid w:val="69C67683"/>
    <w:rsid w:val="6A5303E1"/>
    <w:rsid w:val="6AB5047B"/>
    <w:rsid w:val="6AE96CFE"/>
    <w:rsid w:val="6AF5553D"/>
    <w:rsid w:val="6B322639"/>
    <w:rsid w:val="6BA075EE"/>
    <w:rsid w:val="6C276CBC"/>
    <w:rsid w:val="6C636C38"/>
    <w:rsid w:val="6C8612C2"/>
    <w:rsid w:val="6CA30D30"/>
    <w:rsid w:val="6D301BA0"/>
    <w:rsid w:val="6D727A37"/>
    <w:rsid w:val="6DB34098"/>
    <w:rsid w:val="6DB545B6"/>
    <w:rsid w:val="6DDB7D5E"/>
    <w:rsid w:val="6E4375A0"/>
    <w:rsid w:val="6E514CED"/>
    <w:rsid w:val="6E79491A"/>
    <w:rsid w:val="6EB563D5"/>
    <w:rsid w:val="6F225983"/>
    <w:rsid w:val="6F2B261F"/>
    <w:rsid w:val="6FDA5623"/>
    <w:rsid w:val="6FFC5590"/>
    <w:rsid w:val="70134ABB"/>
    <w:rsid w:val="70301DA3"/>
    <w:rsid w:val="70551CB2"/>
    <w:rsid w:val="706D1DD0"/>
    <w:rsid w:val="70856B87"/>
    <w:rsid w:val="70D527EE"/>
    <w:rsid w:val="711A1C9E"/>
    <w:rsid w:val="713F5E68"/>
    <w:rsid w:val="715B5300"/>
    <w:rsid w:val="715F4BD7"/>
    <w:rsid w:val="71AD3C93"/>
    <w:rsid w:val="71D27F8A"/>
    <w:rsid w:val="71F72C8D"/>
    <w:rsid w:val="71F744C6"/>
    <w:rsid w:val="71F960CF"/>
    <w:rsid w:val="721E646B"/>
    <w:rsid w:val="731D6723"/>
    <w:rsid w:val="731F5D5E"/>
    <w:rsid w:val="738D30D1"/>
    <w:rsid w:val="73972979"/>
    <w:rsid w:val="741E793C"/>
    <w:rsid w:val="7448595E"/>
    <w:rsid w:val="745E637B"/>
    <w:rsid w:val="758D75E2"/>
    <w:rsid w:val="76566885"/>
    <w:rsid w:val="765C3ABF"/>
    <w:rsid w:val="76EB4713"/>
    <w:rsid w:val="771340C5"/>
    <w:rsid w:val="774C3764"/>
    <w:rsid w:val="77762421"/>
    <w:rsid w:val="77A03606"/>
    <w:rsid w:val="780F09F4"/>
    <w:rsid w:val="781D4AF0"/>
    <w:rsid w:val="789C4F47"/>
    <w:rsid w:val="78A90480"/>
    <w:rsid w:val="790068CB"/>
    <w:rsid w:val="79221CC8"/>
    <w:rsid w:val="792407DB"/>
    <w:rsid w:val="79811327"/>
    <w:rsid w:val="79C637C5"/>
    <w:rsid w:val="7A2B115A"/>
    <w:rsid w:val="7A364017"/>
    <w:rsid w:val="7A81325A"/>
    <w:rsid w:val="7A8265E1"/>
    <w:rsid w:val="7ABE2599"/>
    <w:rsid w:val="7B1B5C3E"/>
    <w:rsid w:val="7B4707E1"/>
    <w:rsid w:val="7B542EFE"/>
    <w:rsid w:val="7B5C2D88"/>
    <w:rsid w:val="7B686D42"/>
    <w:rsid w:val="7B826227"/>
    <w:rsid w:val="7B841746"/>
    <w:rsid w:val="7BAD0F8C"/>
    <w:rsid w:val="7C2D424A"/>
    <w:rsid w:val="7C5A2A2F"/>
    <w:rsid w:val="7C8932DF"/>
    <w:rsid w:val="7D0239FF"/>
    <w:rsid w:val="7D4A26D8"/>
    <w:rsid w:val="7D560CDC"/>
    <w:rsid w:val="7D5E40CD"/>
    <w:rsid w:val="7D693BED"/>
    <w:rsid w:val="7D893333"/>
    <w:rsid w:val="7DFE3170"/>
    <w:rsid w:val="7E941F8F"/>
    <w:rsid w:val="7F062761"/>
    <w:rsid w:val="7F6E7DE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2"/>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87"/>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93"/>
    <w:qFormat/>
    <w:uiPriority w:val="0"/>
    <w:pPr>
      <w:keepNext/>
      <w:keepLines/>
      <w:numPr>
        <w:ilvl w:val="2"/>
        <w:numId w:val="1"/>
      </w:numPr>
      <w:outlineLvl w:val="2"/>
    </w:pPr>
    <w:rPr>
      <w:rFonts w:eastAsia="黑体"/>
      <w:b/>
      <w:bCs/>
      <w:sz w:val="30"/>
      <w:szCs w:val="28"/>
    </w:rPr>
  </w:style>
  <w:style w:type="paragraph" w:styleId="5">
    <w:name w:val="heading 4"/>
    <w:basedOn w:val="1"/>
    <w:next w:val="1"/>
    <w:link w:val="94"/>
    <w:qFormat/>
    <w:uiPriority w:val="0"/>
    <w:pPr>
      <w:outlineLvl w:val="3"/>
    </w:pPr>
    <w:rPr>
      <w:rFonts w:eastAsia="宋体"/>
      <w:sz w:val="28"/>
    </w:rPr>
  </w:style>
  <w:style w:type="paragraph" w:styleId="6">
    <w:name w:val="heading 5"/>
    <w:basedOn w:val="1"/>
    <w:next w:val="1"/>
    <w:link w:val="95"/>
    <w:semiHidden/>
    <w:unhideWhenUsed/>
    <w:qFormat/>
    <w:uiPriority w:val="0"/>
    <w:pPr>
      <w:keepNext/>
      <w:keepLines/>
      <w:widowControl w:val="0"/>
      <w:suppressLineNumbers w:val="0"/>
      <w:spacing w:before="0" w:beforeAutospacing="0" w:after="0" w:afterAutospacing="0" w:line="374" w:lineRule="auto"/>
      <w:ind w:left="0" w:right="0"/>
      <w:jc w:val="both"/>
      <w:outlineLvl w:val="4"/>
    </w:pPr>
    <w:rPr>
      <w:rFonts w:hint="eastAsia" w:ascii="等线" w:hAnsi="等线" w:eastAsia="宋体" w:cs="等线"/>
      <w:bCs/>
      <w:kern w:val="2"/>
      <w:sz w:val="28"/>
      <w:szCs w:val="28"/>
      <w:lang w:val="en-US" w:eastAsia="zh-CN" w:bidi="ar"/>
    </w:rPr>
  </w:style>
  <w:style w:type="paragraph" w:styleId="7">
    <w:name w:val="heading 6"/>
    <w:basedOn w:val="8"/>
    <w:next w:val="1"/>
    <w:qFormat/>
    <w:uiPriority w:val="0"/>
    <w:pPr>
      <w:keepNext/>
      <w:keepLines/>
      <w:numPr>
        <w:ilvl w:val="5"/>
        <w:numId w:val="2"/>
      </w:numPr>
      <w:tabs>
        <w:tab w:val="left" w:pos="1152"/>
        <w:tab w:val="clear" w:pos="0"/>
      </w:tabs>
      <w:spacing w:line="360" w:lineRule="auto"/>
      <w:ind w:left="0" w:firstLine="0" w:firstLineChars="0"/>
      <w:jc w:val="center"/>
      <w:outlineLvl w:val="5"/>
    </w:pPr>
    <w:rPr>
      <w:bCs/>
      <w:sz w:val="21"/>
      <w:szCs w:val="21"/>
    </w:rPr>
  </w:style>
  <w:style w:type="character" w:default="1" w:styleId="30">
    <w:name w:val="Default Paragraph Font"/>
    <w:semiHidden/>
    <w:unhideWhenUsed/>
    <w:qFormat/>
    <w:uiPriority w:val="1"/>
  </w:style>
  <w:style w:type="table" w:default="1" w:styleId="28">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CellMar>
        <w:top w:w="0" w:type="dxa"/>
        <w:left w:w="108" w:type="dxa"/>
        <w:bottom w:w="0" w:type="dxa"/>
        <w:right w:w="108" w:type="dxa"/>
      </w:tblCellMar>
    </w:tblPr>
  </w:style>
  <w:style w:type="paragraph" w:styleId="8">
    <w:name w:val="caption"/>
    <w:basedOn w:val="1"/>
    <w:next w:val="1"/>
    <w:link w:val="88"/>
    <w:unhideWhenUsed/>
    <w:qFormat/>
    <w:uiPriority w:val="35"/>
    <w:pPr>
      <w:adjustRightInd w:val="0"/>
      <w:snapToGrid w:val="0"/>
      <w:jc w:val="center"/>
    </w:pPr>
    <w:rPr>
      <w:rFonts w:cstheme="majorBidi"/>
      <w:b/>
      <w:szCs w:val="20"/>
      <w14:ligatures w14:val="standardContextual"/>
    </w:rPr>
  </w:style>
  <w:style w:type="paragraph" w:styleId="9">
    <w:name w:val="Normal Indent"/>
    <w:basedOn w:val="1"/>
    <w:link w:val="35"/>
    <w:unhideWhenUsed/>
    <w:qFormat/>
    <w:uiPriority w:val="0"/>
    <w:pPr>
      <w:spacing w:line="500" w:lineRule="exact"/>
      <w:ind w:firstLine="200" w:firstLineChars="200"/>
      <w:jc w:val="left"/>
    </w:pPr>
    <w:rPr>
      <w:sz w:val="24"/>
    </w:rPr>
  </w:style>
  <w:style w:type="paragraph" w:styleId="10">
    <w:name w:val="annotation text"/>
    <w:basedOn w:val="1"/>
    <w:link w:val="36"/>
    <w:semiHidden/>
    <w:qFormat/>
    <w:uiPriority w:val="0"/>
    <w:pPr>
      <w:jc w:val="left"/>
    </w:pPr>
    <w:rPr>
      <w:kern w:val="0"/>
      <w:sz w:val="24"/>
      <w:szCs w:val="20"/>
    </w:rPr>
  </w:style>
  <w:style w:type="paragraph" w:styleId="11">
    <w:name w:val="Body Text"/>
    <w:basedOn w:val="1"/>
    <w:link w:val="37"/>
    <w:qFormat/>
    <w:uiPriority w:val="0"/>
    <w:pPr>
      <w:widowControl/>
      <w:snapToGrid w:val="0"/>
      <w:spacing w:before="60" w:after="160" w:line="259" w:lineRule="auto"/>
      <w:ind w:right="113"/>
    </w:pPr>
    <w:rPr>
      <w:kern w:val="0"/>
      <w:sz w:val="18"/>
      <w:szCs w:val="20"/>
    </w:rPr>
  </w:style>
  <w:style w:type="paragraph" w:styleId="12">
    <w:name w:val="Body Text Indent"/>
    <w:basedOn w:val="1"/>
    <w:next w:val="1"/>
    <w:link w:val="38"/>
    <w:semiHidden/>
    <w:qFormat/>
    <w:uiPriority w:val="0"/>
    <w:pPr>
      <w:spacing w:after="120"/>
      <w:ind w:left="420" w:leftChars="200"/>
    </w:pPr>
    <w:rPr>
      <w:kern w:val="0"/>
      <w:sz w:val="24"/>
    </w:rPr>
  </w:style>
  <w:style w:type="paragraph" w:styleId="13">
    <w:name w:val="Plain Text"/>
    <w:basedOn w:val="1"/>
    <w:qFormat/>
    <w:uiPriority w:val="0"/>
    <w:pPr>
      <w:adjustRightInd w:val="0"/>
      <w:spacing w:line="312" w:lineRule="atLeast"/>
      <w:textAlignment w:val="baseline"/>
    </w:pPr>
    <w:rPr>
      <w:rFonts w:ascii="宋体" w:hAnsi="Courier New"/>
      <w:kern w:val="0"/>
      <w:sz w:val="21"/>
    </w:rPr>
  </w:style>
  <w:style w:type="paragraph" w:styleId="14">
    <w:name w:val="Date"/>
    <w:basedOn w:val="1"/>
    <w:next w:val="1"/>
    <w:link w:val="39"/>
    <w:qFormat/>
    <w:uiPriority w:val="0"/>
    <w:pPr>
      <w:ind w:left="100" w:leftChars="2500"/>
    </w:pPr>
    <w:rPr>
      <w:kern w:val="0"/>
      <w:sz w:val="24"/>
      <w:szCs w:val="20"/>
    </w:rPr>
  </w:style>
  <w:style w:type="paragraph" w:styleId="15">
    <w:name w:val="Body Text Indent 2"/>
    <w:basedOn w:val="1"/>
    <w:link w:val="40"/>
    <w:qFormat/>
    <w:uiPriority w:val="0"/>
    <w:pPr>
      <w:spacing w:after="120" w:line="480" w:lineRule="auto"/>
      <w:ind w:left="420" w:leftChars="200"/>
    </w:pPr>
  </w:style>
  <w:style w:type="paragraph" w:styleId="16">
    <w:name w:val="Balloon Text"/>
    <w:basedOn w:val="1"/>
    <w:link w:val="41"/>
    <w:semiHidden/>
    <w:qFormat/>
    <w:uiPriority w:val="0"/>
    <w:rPr>
      <w:kern w:val="0"/>
      <w:sz w:val="18"/>
      <w:szCs w:val="18"/>
    </w:rPr>
  </w:style>
  <w:style w:type="paragraph" w:styleId="17">
    <w:name w:val="footer"/>
    <w:basedOn w:val="1"/>
    <w:link w:val="91"/>
    <w:qFormat/>
    <w:uiPriority w:val="99"/>
    <w:pPr>
      <w:tabs>
        <w:tab w:val="center" w:pos="4153"/>
        <w:tab w:val="right" w:pos="8306"/>
      </w:tabs>
      <w:snapToGrid w:val="0"/>
      <w:jc w:val="left"/>
    </w:pPr>
    <w:rPr>
      <w:kern w:val="0"/>
      <w:sz w:val="18"/>
      <w:szCs w:val="18"/>
    </w:rPr>
  </w:style>
  <w:style w:type="paragraph" w:styleId="18">
    <w:name w:val="header"/>
    <w:basedOn w:val="1"/>
    <w:link w:val="96"/>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qFormat/>
    <w:uiPriority w:val="39"/>
    <w:pPr>
      <w:tabs>
        <w:tab w:val="right" w:leader="dot" w:pos="8834"/>
      </w:tabs>
      <w:spacing w:line="360" w:lineRule="auto"/>
      <w:jc w:val="center"/>
    </w:pPr>
    <w:rPr>
      <w:rFonts w:ascii="黑体" w:hAnsi="黑体" w:eastAsia="黑体"/>
      <w:sz w:val="32"/>
      <w:szCs w:val="32"/>
    </w:rPr>
  </w:style>
  <w:style w:type="paragraph" w:styleId="20">
    <w:name w:val="toc 2"/>
    <w:basedOn w:val="1"/>
    <w:next w:val="1"/>
    <w:qFormat/>
    <w:uiPriority w:val="0"/>
    <w:pPr>
      <w:ind w:left="420" w:leftChars="200"/>
    </w:pPr>
  </w:style>
  <w:style w:type="paragraph" w:styleId="21">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2">
    <w:name w:val="Title"/>
    <w:basedOn w:val="1"/>
    <w:next w:val="1"/>
    <w:qFormat/>
    <w:uiPriority w:val="0"/>
    <w:pPr>
      <w:spacing w:before="240" w:after="60" w:line="360" w:lineRule="auto"/>
      <w:jc w:val="center"/>
      <w:outlineLvl w:val="0"/>
    </w:pPr>
    <w:rPr>
      <w:rFonts w:ascii="Arial" w:hAnsi="Arial" w:cs="Arial"/>
      <w:b/>
      <w:bCs/>
      <w:sz w:val="32"/>
      <w:szCs w:val="32"/>
    </w:rPr>
  </w:style>
  <w:style w:type="paragraph" w:styleId="23">
    <w:name w:val="annotation subject"/>
    <w:basedOn w:val="10"/>
    <w:next w:val="10"/>
    <w:link w:val="45"/>
    <w:semiHidden/>
    <w:qFormat/>
    <w:uiPriority w:val="0"/>
    <w:rPr>
      <w:b/>
      <w:bCs/>
      <w:kern w:val="2"/>
    </w:rPr>
  </w:style>
  <w:style w:type="paragraph" w:styleId="24">
    <w:name w:val="Body Text First Indent"/>
    <w:basedOn w:val="11"/>
    <w:link w:val="46"/>
    <w:unhideWhenUsed/>
    <w:qFormat/>
    <w:uiPriority w:val="99"/>
    <w:pPr>
      <w:widowControl w:val="0"/>
      <w:snapToGrid/>
      <w:spacing w:before="0" w:after="120" w:line="240" w:lineRule="auto"/>
      <w:ind w:right="0" w:firstLine="420" w:firstLineChars="100"/>
    </w:pPr>
    <w:rPr>
      <w:rFonts w:ascii="Calibri" w:hAnsi="Calibri"/>
      <w:kern w:val="2"/>
      <w:sz w:val="21"/>
      <w:szCs w:val="22"/>
    </w:rPr>
  </w:style>
  <w:style w:type="paragraph" w:styleId="25">
    <w:name w:val="Body Text First Indent 2"/>
    <w:basedOn w:val="12"/>
    <w:next w:val="26"/>
    <w:qFormat/>
    <w:uiPriority w:val="0"/>
    <w:pPr>
      <w:ind w:firstLine="420" w:firstLineChars="200"/>
    </w:pPr>
    <w:rPr>
      <w:rFonts w:eastAsia="Times New Roman"/>
    </w:rPr>
  </w:style>
  <w:style w:type="paragraph" w:customStyle="1" w:styleId="26">
    <w:name w:val="Default"/>
    <w:basedOn w:val="2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纯文本1"/>
    <w:qFormat/>
    <w:uiPriority w:val="0"/>
    <w:pPr>
      <w:widowControl w:val="0"/>
      <w:spacing w:after="160" w:line="278" w:lineRule="auto"/>
      <w:jc w:val="both"/>
    </w:pPr>
    <w:rPr>
      <w:rFonts w:hint="eastAsia" w:ascii="宋体" w:hAnsi="Courier New" w:eastAsia="宋体" w:cs="Times New Roman"/>
      <w:kern w:val="2"/>
      <w:sz w:val="21"/>
      <w:szCs w:val="22"/>
      <w:lang w:val="en-US" w:eastAsia="zh-CN" w:bidi="ar-SA"/>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qFormat/>
    <w:uiPriority w:val="0"/>
  </w:style>
  <w:style w:type="character" w:styleId="32">
    <w:name w:val="Hyperlink"/>
    <w:unhideWhenUsed/>
    <w:qFormat/>
    <w:uiPriority w:val="99"/>
    <w:rPr>
      <w:color w:val="0000FF"/>
      <w:u w:val="single"/>
    </w:rPr>
  </w:style>
  <w:style w:type="character" w:styleId="33">
    <w:name w:val="annotation reference"/>
    <w:semiHidden/>
    <w:qFormat/>
    <w:uiPriority w:val="0"/>
    <w:rPr>
      <w:sz w:val="21"/>
    </w:rPr>
  </w:style>
  <w:style w:type="character" w:customStyle="1" w:styleId="34">
    <w:name w:val="标题 2 字符"/>
    <w:link w:val="3"/>
    <w:semiHidden/>
    <w:qFormat/>
    <w:uiPriority w:val="0"/>
    <w:rPr>
      <w:rFonts w:ascii="Cambria" w:hAnsi="Cambria" w:eastAsia="宋体" w:cs="Times New Roman"/>
      <w:b/>
      <w:bCs/>
      <w:kern w:val="2"/>
      <w:sz w:val="32"/>
      <w:szCs w:val="32"/>
    </w:rPr>
  </w:style>
  <w:style w:type="character" w:customStyle="1" w:styleId="35">
    <w:name w:val="正文缩进 字符"/>
    <w:link w:val="9"/>
    <w:qFormat/>
    <w:uiPriority w:val="0"/>
    <w:rPr>
      <w:kern w:val="2"/>
      <w:sz w:val="24"/>
      <w:szCs w:val="24"/>
    </w:rPr>
  </w:style>
  <w:style w:type="character" w:customStyle="1" w:styleId="36">
    <w:name w:val="批注文字 字符"/>
    <w:link w:val="10"/>
    <w:qFormat/>
    <w:uiPriority w:val="0"/>
    <w:rPr>
      <w:rFonts w:ascii="Times New Roman" w:hAnsi="Times New Roman" w:eastAsia="宋体"/>
      <w:sz w:val="24"/>
    </w:rPr>
  </w:style>
  <w:style w:type="character" w:customStyle="1" w:styleId="37">
    <w:name w:val="正文文本 字符"/>
    <w:link w:val="11"/>
    <w:qFormat/>
    <w:uiPriority w:val="0"/>
    <w:rPr>
      <w:sz w:val="18"/>
    </w:rPr>
  </w:style>
  <w:style w:type="character" w:customStyle="1" w:styleId="38">
    <w:name w:val="正文文本缩进 字符"/>
    <w:link w:val="12"/>
    <w:semiHidden/>
    <w:qFormat/>
    <w:uiPriority w:val="0"/>
    <w:rPr>
      <w:rFonts w:ascii="Times New Roman" w:hAnsi="Times New Roman" w:eastAsia="宋体" w:cs="Times New Roman"/>
      <w:sz w:val="24"/>
      <w:szCs w:val="24"/>
    </w:rPr>
  </w:style>
  <w:style w:type="character" w:customStyle="1" w:styleId="39">
    <w:name w:val="日期 字符1"/>
    <w:link w:val="14"/>
    <w:qFormat/>
    <w:uiPriority w:val="0"/>
    <w:rPr>
      <w:rFonts w:ascii="Times New Roman" w:hAnsi="Times New Roman" w:eastAsia="宋体"/>
      <w:sz w:val="24"/>
    </w:rPr>
  </w:style>
  <w:style w:type="character" w:customStyle="1" w:styleId="40">
    <w:name w:val="正文文本缩进 2 字符"/>
    <w:link w:val="15"/>
    <w:qFormat/>
    <w:uiPriority w:val="0"/>
    <w:rPr>
      <w:kern w:val="2"/>
      <w:sz w:val="21"/>
      <w:szCs w:val="24"/>
    </w:rPr>
  </w:style>
  <w:style w:type="character" w:customStyle="1" w:styleId="41">
    <w:name w:val="批注框文本 字符"/>
    <w:link w:val="16"/>
    <w:semiHidden/>
    <w:qFormat/>
    <w:uiPriority w:val="0"/>
    <w:rPr>
      <w:rFonts w:ascii="Times New Roman" w:hAnsi="Times New Roman" w:eastAsia="宋体" w:cs="Times New Roman"/>
      <w:sz w:val="18"/>
      <w:szCs w:val="18"/>
    </w:rPr>
  </w:style>
  <w:style w:type="character" w:customStyle="1" w:styleId="42">
    <w:name w:val="页脚 字符"/>
    <w:link w:val="17"/>
    <w:qFormat/>
    <w:uiPriority w:val="99"/>
    <w:rPr>
      <w:rFonts w:cs="Times New Roman"/>
      <w:sz w:val="18"/>
      <w:szCs w:val="18"/>
    </w:rPr>
  </w:style>
  <w:style w:type="character" w:customStyle="1" w:styleId="43">
    <w:name w:val="页眉 字符"/>
    <w:link w:val="18"/>
    <w:qFormat/>
    <w:uiPriority w:val="0"/>
    <w:rPr>
      <w:rFonts w:cs="Times New Roman"/>
      <w:sz w:val="18"/>
      <w:szCs w:val="18"/>
    </w:rPr>
  </w:style>
  <w:style w:type="character" w:customStyle="1" w:styleId="44">
    <w:name w:val="普通(网站) 字符"/>
    <w:link w:val="21"/>
    <w:qFormat/>
    <w:uiPriority w:val="0"/>
    <w:rPr>
      <w:rFonts w:ascii="宋体" w:hAnsi="宋体" w:eastAsia="宋体"/>
      <w:sz w:val="24"/>
    </w:rPr>
  </w:style>
  <w:style w:type="character" w:customStyle="1" w:styleId="45">
    <w:name w:val="批注主题 字符"/>
    <w:link w:val="23"/>
    <w:semiHidden/>
    <w:qFormat/>
    <w:uiPriority w:val="0"/>
    <w:rPr>
      <w:rFonts w:ascii="Times New Roman" w:hAnsi="Times New Roman" w:eastAsia="宋体" w:cs="Times New Roman"/>
      <w:b/>
      <w:bCs/>
      <w:kern w:val="2"/>
      <w:sz w:val="24"/>
      <w:szCs w:val="24"/>
    </w:rPr>
  </w:style>
  <w:style w:type="character" w:customStyle="1" w:styleId="46">
    <w:name w:val="正文首行缩进 字符"/>
    <w:link w:val="24"/>
    <w:qFormat/>
    <w:uiPriority w:val="99"/>
    <w:rPr>
      <w:rFonts w:ascii="Calibri" w:hAnsi="Calibri"/>
      <w:kern w:val="2"/>
      <w:sz w:val="21"/>
      <w:szCs w:val="22"/>
    </w:rPr>
  </w:style>
  <w:style w:type="character" w:customStyle="1" w:styleId="47">
    <w:name w:val="日期 字符"/>
    <w:semiHidden/>
    <w:qFormat/>
    <w:uiPriority w:val="0"/>
    <w:rPr>
      <w:rFonts w:ascii="Times New Roman" w:hAnsi="Times New Roman" w:eastAsia="宋体" w:cs="Times New Roman"/>
      <w:sz w:val="24"/>
      <w:szCs w:val="24"/>
    </w:rPr>
  </w:style>
  <w:style w:type="character" w:customStyle="1" w:styleId="48">
    <w:name w:val="正文文本 字符1"/>
    <w:semiHidden/>
    <w:qFormat/>
    <w:uiPriority w:val="0"/>
    <w:rPr>
      <w:rFonts w:ascii="Times New Roman" w:hAnsi="Times New Roman" w:eastAsia="宋体" w:cs="Times New Roman"/>
      <w:sz w:val="24"/>
      <w:szCs w:val="24"/>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0">
    <w:name w:val="表格 Char"/>
    <w:link w:val="51"/>
    <w:qFormat/>
    <w:uiPriority w:val="0"/>
    <w:rPr>
      <w:rFonts w:ascii="宋体"/>
      <w:sz w:val="21"/>
    </w:rPr>
  </w:style>
  <w:style w:type="paragraph" w:customStyle="1" w:styleId="51">
    <w:name w:val="表格"/>
    <w:basedOn w:val="1"/>
    <w:next w:val="1"/>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批注文字 字符1"/>
    <w:semiHidden/>
    <w:qFormat/>
    <w:uiPriority w:val="0"/>
    <w:rPr>
      <w:rFonts w:ascii="Times New Roman" w:hAnsi="Times New Roman" w:eastAsia="宋体" w:cs="Times New Roman"/>
      <w:sz w:val="24"/>
      <w:szCs w:val="24"/>
    </w:rPr>
  </w:style>
  <w:style w:type="character" w:customStyle="1" w:styleId="53">
    <w:name w:val="普通(网站) Char"/>
    <w:qFormat/>
    <w:uiPriority w:val="0"/>
    <w:rPr>
      <w:rFonts w:ascii="宋体" w:hAnsi="宋体" w:eastAsia="宋体"/>
      <w:sz w:val="24"/>
    </w:rPr>
  </w:style>
  <w:style w:type="paragraph" w:customStyle="1" w:styleId="54">
    <w:name w:val="表格内容"/>
    <w:basedOn w:val="55"/>
    <w:link w:val="71"/>
    <w:qFormat/>
    <w:uiPriority w:val="0"/>
    <w:pPr>
      <w:adjustRightInd w:val="0"/>
      <w:snapToGrid w:val="0"/>
    </w:pPr>
    <w:rPr>
      <w:sz w:val="30"/>
      <w:szCs w:val="21"/>
    </w:rPr>
  </w:style>
  <w:style w:type="paragraph" w:customStyle="1" w:styleId="55">
    <w:name w:val="正文_wan"/>
    <w:basedOn w:val="1"/>
    <w:qFormat/>
    <w:uiPriority w:val="0"/>
    <w:rPr>
      <w:rFonts w:cs="宋体"/>
      <w:szCs w:val="21"/>
    </w:rPr>
  </w:style>
  <w:style w:type="character" w:customStyle="1" w:styleId="56">
    <w:name w:val="表格(ZR) Char"/>
    <w:link w:val="57"/>
    <w:qFormat/>
    <w:uiPriority w:val="0"/>
    <w:rPr>
      <w:rFonts w:ascii="仿宋_GB2312" w:hAnsi="宋体" w:eastAsia="仿宋_GB2312"/>
      <w:sz w:val="21"/>
      <w:szCs w:val="21"/>
    </w:rPr>
  </w:style>
  <w:style w:type="paragraph" w:customStyle="1" w:styleId="57">
    <w:name w:val="表格(ZR)"/>
    <w:basedOn w:val="1"/>
    <w:link w:val="56"/>
    <w:qFormat/>
    <w:uiPriority w:val="0"/>
    <w:pPr>
      <w:adjustRightInd w:val="0"/>
      <w:jc w:val="center"/>
    </w:pPr>
    <w:rPr>
      <w:rFonts w:ascii="仿宋_GB2312" w:hAnsi="宋体" w:eastAsia="仿宋_GB2312"/>
      <w:kern w:val="0"/>
      <w:szCs w:val="21"/>
    </w:rPr>
  </w:style>
  <w:style w:type="character" w:customStyle="1" w:styleId="58">
    <w:name w:val="1正文 Char"/>
    <w:link w:val="59"/>
    <w:qFormat/>
    <w:uiPriority w:val="0"/>
    <w:rPr>
      <w:sz w:val="24"/>
    </w:rPr>
  </w:style>
  <w:style w:type="paragraph" w:customStyle="1" w:styleId="59">
    <w:name w:val="1正文"/>
    <w:basedOn w:val="1"/>
    <w:link w:val="58"/>
    <w:qFormat/>
    <w:uiPriority w:val="0"/>
    <w:pPr>
      <w:autoSpaceDE w:val="0"/>
      <w:autoSpaceDN w:val="0"/>
      <w:adjustRightInd w:val="0"/>
      <w:spacing w:line="360" w:lineRule="auto"/>
      <w:ind w:firstLine="200" w:firstLineChars="200"/>
    </w:pPr>
    <w:rPr>
      <w:kern w:val="0"/>
      <w:sz w:val="24"/>
      <w:szCs w:val="20"/>
    </w:rPr>
  </w:style>
  <w:style w:type="character" w:customStyle="1" w:styleId="60">
    <w:name w:val="font61"/>
    <w:qFormat/>
    <w:uiPriority w:val="0"/>
    <w:rPr>
      <w:rFonts w:hint="eastAsia" w:ascii="宋体" w:hAnsi="宋体" w:eastAsia="宋体"/>
      <w:color w:val="000000"/>
      <w:sz w:val="21"/>
      <w:szCs w:val="21"/>
      <w:u w:val="none"/>
    </w:rPr>
  </w:style>
  <w:style w:type="character" w:customStyle="1" w:styleId="61">
    <w:name w:val="font81"/>
    <w:qFormat/>
    <w:uiPriority w:val="0"/>
    <w:rPr>
      <w:rFonts w:hint="default" w:ascii="Times New Roman" w:hAnsi="Times New Roman" w:cs="Times New Roman"/>
      <w:color w:val="000000"/>
      <w:sz w:val="18"/>
      <w:szCs w:val="18"/>
      <w:u w:val="none"/>
    </w:rPr>
  </w:style>
  <w:style w:type="character" w:customStyle="1" w:styleId="62">
    <w:name w:val="font71"/>
    <w:qFormat/>
    <w:uiPriority w:val="0"/>
    <w:rPr>
      <w:rFonts w:hint="eastAsia" w:ascii="宋体" w:hAnsi="宋体" w:eastAsia="宋体"/>
      <w:b/>
      <w:bCs/>
      <w:color w:val="000000"/>
      <w:sz w:val="21"/>
      <w:szCs w:val="21"/>
      <w:u w:val="none"/>
    </w:rPr>
  </w:style>
  <w:style w:type="character" w:customStyle="1" w:styleId="63">
    <w:name w:val="font31"/>
    <w:qFormat/>
    <w:uiPriority w:val="0"/>
    <w:rPr>
      <w:rFonts w:hint="eastAsia" w:ascii="宋体" w:hAnsi="宋体" w:eastAsia="宋体"/>
      <w:color w:val="000000"/>
      <w:sz w:val="22"/>
      <w:szCs w:val="22"/>
      <w:u w:val="none"/>
    </w:rPr>
  </w:style>
  <w:style w:type="character" w:customStyle="1" w:styleId="64">
    <w:name w:val="font101"/>
    <w:qFormat/>
    <w:uiPriority w:val="0"/>
    <w:rPr>
      <w:rFonts w:hint="eastAsia" w:ascii="宋体" w:hAnsi="宋体" w:eastAsia="宋体"/>
      <w:color w:val="000000"/>
      <w:sz w:val="18"/>
      <w:szCs w:val="18"/>
      <w:u w:val="none"/>
    </w:rPr>
  </w:style>
  <w:style w:type="character" w:customStyle="1" w:styleId="65">
    <w:name w:val="表格文字112 Char"/>
    <w:link w:val="66"/>
    <w:qFormat/>
    <w:uiPriority w:val="0"/>
    <w:rPr>
      <w:sz w:val="21"/>
      <w:szCs w:val="24"/>
    </w:rPr>
  </w:style>
  <w:style w:type="paragraph" w:customStyle="1" w:styleId="66">
    <w:name w:val="表格文字112"/>
    <w:basedOn w:val="1"/>
    <w:link w:val="65"/>
    <w:qFormat/>
    <w:uiPriority w:val="0"/>
    <w:pPr>
      <w:wordWrap w:val="0"/>
      <w:autoSpaceDE w:val="0"/>
      <w:autoSpaceDN w:val="0"/>
      <w:adjustRightInd w:val="0"/>
      <w:snapToGrid w:val="0"/>
      <w:jc w:val="center"/>
    </w:pPr>
    <w:rPr>
      <w:kern w:val="0"/>
    </w:rPr>
  </w:style>
  <w:style w:type="paragraph" w:customStyle="1" w:styleId="67">
    <w:name w:val="封面“建设+编制”"/>
    <w:basedOn w:val="1"/>
    <w:link w:val="68"/>
    <w:autoRedefine/>
    <w:qFormat/>
    <w:uiPriority w:val="0"/>
    <w:pPr>
      <w:spacing w:after="50" w:afterLines="50" w:line="360" w:lineRule="auto"/>
      <w:ind w:firstLine="400" w:firstLineChars="400"/>
    </w:pPr>
    <w:rPr>
      <w:rFonts w:cs="宋体"/>
      <w:b/>
      <w:spacing w:val="-2"/>
      <w:kern w:val="0"/>
      <w:sz w:val="32"/>
      <w:szCs w:val="32"/>
    </w:rPr>
  </w:style>
  <w:style w:type="character" w:customStyle="1" w:styleId="68">
    <w:name w:val="封面“建设+编制” 字符"/>
    <w:link w:val="67"/>
    <w:qFormat/>
    <w:uiPriority w:val="0"/>
    <w:rPr>
      <w:rFonts w:cs="宋体"/>
      <w:b/>
      <w:spacing w:val="-2"/>
      <w:sz w:val="32"/>
      <w:szCs w:val="32"/>
    </w:rPr>
  </w:style>
  <w:style w:type="paragraph" w:customStyle="1" w:styleId="69">
    <w:name w:val="正文图、表标题"/>
    <w:basedOn w:val="1"/>
    <w:link w:val="70"/>
    <w:autoRedefine/>
    <w:qFormat/>
    <w:uiPriority w:val="0"/>
    <w:pPr>
      <w:jc w:val="center"/>
    </w:pPr>
    <w:rPr>
      <w:rFonts w:cs="宋体"/>
      <w:b/>
      <w:spacing w:val="-2"/>
      <w:kern w:val="0"/>
      <w:szCs w:val="18"/>
    </w:rPr>
  </w:style>
  <w:style w:type="character" w:customStyle="1" w:styleId="70">
    <w:name w:val="正文图、表标题 字符"/>
    <w:link w:val="69"/>
    <w:qFormat/>
    <w:uiPriority w:val="0"/>
    <w:rPr>
      <w:rFonts w:cs="宋体"/>
      <w:b/>
      <w:spacing w:val="-2"/>
      <w:sz w:val="21"/>
      <w:szCs w:val="18"/>
    </w:rPr>
  </w:style>
  <w:style w:type="character" w:customStyle="1" w:styleId="71">
    <w:name w:val="表格内容 字符"/>
    <w:link w:val="54"/>
    <w:qFormat/>
    <w:uiPriority w:val="0"/>
    <w:rPr>
      <w:kern w:val="2"/>
      <w:sz w:val="30"/>
      <w:szCs w:val="21"/>
    </w:rPr>
  </w:style>
  <w:style w:type="paragraph" w:customStyle="1" w:styleId="72">
    <w:name w:val="正文表头"/>
    <w:basedOn w:val="54"/>
    <w:link w:val="73"/>
    <w:autoRedefine/>
    <w:qFormat/>
    <w:uiPriority w:val="0"/>
    <w:pPr>
      <w:adjustRightInd/>
      <w:snapToGrid/>
      <w:jc w:val="center"/>
    </w:pPr>
    <w:rPr>
      <w:rFonts w:cs="宋体"/>
      <w:b/>
      <w:spacing w:val="-2"/>
      <w:kern w:val="0"/>
      <w:sz w:val="21"/>
    </w:rPr>
  </w:style>
  <w:style w:type="character" w:customStyle="1" w:styleId="73">
    <w:name w:val="正文表头 字符"/>
    <w:link w:val="72"/>
    <w:qFormat/>
    <w:uiPriority w:val="0"/>
    <w:rPr>
      <w:rFonts w:cs="宋体"/>
      <w:b/>
      <w:spacing w:val="-2"/>
      <w:sz w:val="21"/>
      <w:szCs w:val="21"/>
    </w:rPr>
  </w:style>
  <w:style w:type="paragraph" w:styleId="74">
    <w:name w:val="List Paragraph"/>
    <w:basedOn w:val="1"/>
    <w:qFormat/>
    <w:uiPriority w:val="99"/>
    <w:pPr>
      <w:ind w:firstLine="420" w:firstLineChars="200"/>
    </w:pPr>
  </w:style>
  <w:style w:type="paragraph" w:customStyle="1" w:styleId="75">
    <w:name w:val="报告表正文"/>
    <w:basedOn w:val="1"/>
    <w:qFormat/>
    <w:uiPriority w:val="0"/>
    <w:pPr>
      <w:adjustRightInd w:val="0"/>
      <w:spacing w:line="300" w:lineRule="auto"/>
      <w:ind w:left="113" w:right="113"/>
      <w:textAlignment w:val="baseline"/>
    </w:pPr>
    <w:rPr>
      <w:kern w:val="0"/>
      <w:sz w:val="24"/>
      <w:szCs w:val="20"/>
    </w:rPr>
  </w:style>
  <w:style w:type="paragraph" w:customStyle="1" w:styleId="76">
    <w:name w:val="样式1（空行）"/>
    <w:basedOn w:val="1"/>
    <w:link w:val="77"/>
    <w:autoRedefine/>
    <w:qFormat/>
    <w:uiPriority w:val="0"/>
    <w:pPr>
      <w:spacing w:line="360" w:lineRule="auto"/>
      <w:jc w:val="center"/>
    </w:pPr>
    <w:rPr>
      <w:rFonts w:ascii="Cambria Math" w:hAnsi="Cambria Math" w:cs="宋体"/>
      <w:spacing w:val="-2"/>
      <w:kern w:val="0"/>
      <w:sz w:val="24"/>
      <w:szCs w:val="18"/>
    </w:rPr>
  </w:style>
  <w:style w:type="character" w:customStyle="1" w:styleId="77">
    <w:name w:val="样式1（空行） 字符"/>
    <w:basedOn w:val="30"/>
    <w:link w:val="76"/>
    <w:qFormat/>
    <w:uiPriority w:val="0"/>
    <w:rPr>
      <w:rFonts w:ascii="Cambria Math" w:hAnsi="Cambria Math" w:cs="宋体"/>
      <w:spacing w:val="-2"/>
      <w:sz w:val="24"/>
      <w:szCs w:val="18"/>
    </w:rPr>
  </w:style>
  <w:style w:type="character" w:styleId="78">
    <w:name w:val="Placeholder Text"/>
    <w:basedOn w:val="30"/>
    <w:unhideWhenUsed/>
    <w:qFormat/>
    <w:uiPriority w:val="99"/>
    <w:rPr>
      <w:color w:val="808080"/>
    </w:rPr>
  </w:style>
  <w:style w:type="table" w:customStyle="1" w:styleId="79">
    <w:name w:val="灰度表格1224"/>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
    <w:name w:val="表格名称"/>
    <w:basedOn w:val="22"/>
    <w:qFormat/>
    <w:uiPriority w:val="0"/>
    <w:pPr>
      <w:numPr>
        <w:ilvl w:val="4"/>
        <w:numId w:val="1"/>
      </w:numPr>
      <w:spacing w:before="0" w:after="0" w:line="240" w:lineRule="auto"/>
      <w:outlineLvl w:val="9"/>
    </w:pPr>
    <w:rPr>
      <w:rFonts w:ascii="Times New Roman" w:hAnsi="Times New Roman"/>
      <w:bCs w:val="0"/>
      <w:sz w:val="24"/>
    </w:rPr>
  </w:style>
  <w:style w:type="paragraph" w:customStyle="1" w:styleId="81">
    <w:name w:val="图表"/>
    <w:basedOn w:val="80"/>
    <w:qFormat/>
    <w:uiPriority w:val="0"/>
    <w:pPr>
      <w:numPr>
        <w:ilvl w:val="5"/>
      </w:numPr>
    </w:pPr>
  </w:style>
  <w:style w:type="paragraph" w:customStyle="1" w:styleId="82">
    <w:name w:val="正文nlw"/>
    <w:basedOn w:val="1"/>
    <w:qFormat/>
    <w:uiPriority w:val="99"/>
    <w:pPr>
      <w:adjustRightInd w:val="0"/>
      <w:ind w:firstLine="200" w:firstLineChars="200"/>
      <w:textAlignment w:val="baseline"/>
    </w:pPr>
    <w:rPr>
      <w:kern w:val="0"/>
    </w:rPr>
  </w:style>
  <w:style w:type="paragraph" w:customStyle="1" w:styleId="83">
    <w:name w:val="样式nlw"/>
    <w:basedOn w:val="1"/>
    <w:qFormat/>
    <w:uiPriority w:val="0"/>
    <w:pPr>
      <w:ind w:firstLine="200" w:firstLineChars="200"/>
    </w:pPr>
    <w:rPr>
      <w:lang w:val="zh-CN"/>
    </w:rPr>
  </w:style>
  <w:style w:type="paragraph" w:customStyle="1" w:styleId="84">
    <w:name w:val="表"/>
    <w:basedOn w:val="1"/>
    <w:qFormat/>
    <w:uiPriority w:val="0"/>
    <w:pPr>
      <w:wordWrap w:val="0"/>
      <w:spacing w:before="180" w:after="60" w:line="280" w:lineRule="exact"/>
      <w:ind w:right="294"/>
      <w:jc w:val="center"/>
    </w:pPr>
    <w:rPr>
      <w:kern w:val="10"/>
      <w:lang w:bidi="he-IL"/>
    </w:rPr>
  </w:style>
  <w:style w:type="paragraph" w:customStyle="1" w:styleId="85">
    <w:name w:val="000正文"/>
    <w:basedOn w:val="1"/>
    <w:qFormat/>
    <w:uiPriority w:val="0"/>
    <w:pPr>
      <w:adjustRightInd w:val="0"/>
      <w:snapToGrid w:val="0"/>
      <w:spacing w:line="360" w:lineRule="auto"/>
      <w:ind w:firstLine="200" w:firstLineChars="200"/>
    </w:pPr>
    <w:rPr>
      <w:kern w:val="0"/>
      <w:szCs w:val="20"/>
    </w:rPr>
  </w:style>
  <w:style w:type="paragraph" w:customStyle="1" w:styleId="86">
    <w:name w:val="【表格文字】"/>
    <w:basedOn w:val="1"/>
    <w:qFormat/>
    <w:uiPriority w:val="0"/>
    <w:pPr>
      <w:widowControl/>
      <w:adjustRightInd w:val="0"/>
      <w:snapToGrid w:val="0"/>
      <w:jc w:val="center"/>
    </w:pPr>
    <w:rPr>
      <w:kern w:val="0"/>
      <w:sz w:val="21"/>
      <w:szCs w:val="20"/>
    </w:rPr>
  </w:style>
  <w:style w:type="character" w:customStyle="1" w:styleId="87">
    <w:name w:val="标题 2 Char"/>
    <w:basedOn w:val="30"/>
    <w:link w:val="3"/>
    <w:qFormat/>
    <w:uiPriority w:val="0"/>
    <w:rPr>
      <w:rFonts w:hint="eastAsia" w:ascii="等线 Light" w:hAnsi="等线 Light" w:eastAsia="等线 Light" w:cs="Times New Roman"/>
      <w:b/>
      <w:bCs/>
      <w:kern w:val="2"/>
      <w:sz w:val="32"/>
      <w:szCs w:val="32"/>
    </w:rPr>
  </w:style>
  <w:style w:type="character" w:customStyle="1" w:styleId="88">
    <w:name w:val="题注 Char"/>
    <w:basedOn w:val="30"/>
    <w:link w:val="8"/>
    <w:qFormat/>
    <w:uiPriority w:val="0"/>
    <w:rPr>
      <w:rFonts w:ascii="Arial" w:hAnsi="Arial" w:eastAsia="黑体" w:cs="Arial"/>
      <w:kern w:val="2"/>
    </w:rPr>
  </w:style>
  <w:style w:type="character" w:customStyle="1" w:styleId="89">
    <w:name w:val="正文样式 Char"/>
    <w:basedOn w:val="30"/>
    <w:link w:val="90"/>
    <w:qFormat/>
    <w:uiPriority w:val="0"/>
    <w:rPr>
      <w:rFonts w:hint="default" w:ascii="Times New Roman" w:hAnsi="Times New Roman" w:eastAsia="宋体" w:cs="Times New Roman"/>
      <w:bCs/>
      <w:snapToGrid/>
      <w:sz w:val="24"/>
      <w:szCs w:val="44"/>
    </w:rPr>
  </w:style>
  <w:style w:type="paragraph" w:customStyle="1" w:styleId="90">
    <w:name w:val="正文样式"/>
    <w:basedOn w:val="1"/>
    <w:link w:val="89"/>
    <w:qFormat/>
    <w:uiPriority w:val="0"/>
    <w:pPr>
      <w:keepNext w:val="0"/>
      <w:keepLines w:val="0"/>
      <w:widowControl w:val="0"/>
      <w:suppressLineNumbers w:val="0"/>
      <w:adjustRightInd w:val="0"/>
      <w:snapToGrid w:val="0"/>
      <w:spacing w:before="0" w:beforeAutospacing="0" w:after="0" w:afterAutospacing="0" w:line="360" w:lineRule="auto"/>
      <w:ind w:left="0" w:right="0" w:firstLine="200" w:firstLineChars="200"/>
      <w:jc w:val="both"/>
    </w:pPr>
    <w:rPr>
      <w:rFonts w:hint="default" w:ascii="Times New Roman" w:hAnsi="Times New Roman" w:eastAsia="宋体" w:cs="Times New Roman"/>
      <w:bCs/>
      <w:kern w:val="0"/>
      <w:sz w:val="24"/>
      <w:szCs w:val="44"/>
      <w:lang w:val="en-US" w:eastAsia="zh-CN" w:bidi="ar"/>
    </w:rPr>
  </w:style>
  <w:style w:type="character" w:customStyle="1" w:styleId="91">
    <w:name w:val="页脚 Char"/>
    <w:basedOn w:val="30"/>
    <w:link w:val="17"/>
    <w:qFormat/>
    <w:uiPriority w:val="0"/>
    <w:rPr>
      <w:kern w:val="2"/>
      <w:sz w:val="18"/>
      <w:szCs w:val="18"/>
    </w:rPr>
  </w:style>
  <w:style w:type="character" w:customStyle="1" w:styleId="92">
    <w:name w:val="标题 1 Char"/>
    <w:basedOn w:val="30"/>
    <w:link w:val="2"/>
    <w:qFormat/>
    <w:uiPriority w:val="0"/>
    <w:rPr>
      <w:b/>
      <w:bCs/>
      <w:kern w:val="44"/>
      <w:sz w:val="44"/>
      <w:szCs w:val="44"/>
    </w:rPr>
  </w:style>
  <w:style w:type="character" w:customStyle="1" w:styleId="93">
    <w:name w:val="标题 3 Char"/>
    <w:basedOn w:val="30"/>
    <w:link w:val="4"/>
    <w:qFormat/>
    <w:uiPriority w:val="0"/>
    <w:rPr>
      <w:bCs/>
      <w:kern w:val="2"/>
      <w:sz w:val="28"/>
      <w:szCs w:val="32"/>
    </w:rPr>
  </w:style>
  <w:style w:type="character" w:customStyle="1" w:styleId="94">
    <w:name w:val="标题 4 Char"/>
    <w:basedOn w:val="30"/>
    <w:link w:val="5"/>
    <w:qFormat/>
    <w:uiPriority w:val="0"/>
    <w:rPr>
      <w:rFonts w:hint="eastAsia" w:ascii="等线 Light" w:hAnsi="等线 Light" w:eastAsia="等线 Light" w:cs="Times New Roman"/>
      <w:b/>
      <w:bCs/>
      <w:kern w:val="2"/>
      <w:sz w:val="28"/>
      <w:szCs w:val="28"/>
    </w:rPr>
  </w:style>
  <w:style w:type="character" w:customStyle="1" w:styleId="95">
    <w:name w:val="标题 5 Char"/>
    <w:basedOn w:val="30"/>
    <w:link w:val="6"/>
    <w:qFormat/>
    <w:uiPriority w:val="0"/>
    <w:rPr>
      <w:rFonts w:hint="eastAsia" w:ascii="宋体" w:hAnsi="宋体" w:eastAsia="宋体" w:cs="宋体"/>
      <w:bCs/>
      <w:kern w:val="2"/>
      <w:sz w:val="28"/>
      <w:szCs w:val="28"/>
    </w:rPr>
  </w:style>
  <w:style w:type="character" w:customStyle="1" w:styleId="96">
    <w:name w:val="页眉 Char"/>
    <w:basedOn w:val="30"/>
    <w:link w:val="18"/>
    <w:qFormat/>
    <w:uiPriority w:val="0"/>
    <w:rPr>
      <w:kern w:val="2"/>
      <w:sz w:val="18"/>
      <w:szCs w:val="18"/>
    </w:rPr>
  </w:style>
  <w:style w:type="character" w:customStyle="1" w:styleId="97">
    <w:name w:val="图表 Char"/>
    <w:basedOn w:val="30"/>
    <w:qFormat/>
    <w:uiPriority w:val="0"/>
    <w:rPr>
      <w:rFonts w:hint="default" w:ascii="Times New Roman" w:hAnsi="Times New Roman" w:eastAsia="黑体" w:cs="Times New Roman"/>
      <w:kern w:val="2"/>
      <w:sz w:val="21"/>
      <w:szCs w:val="22"/>
    </w:rPr>
  </w:style>
  <w:style w:type="paragraph" w:customStyle="1" w:styleId="98">
    <w:name w:val="图标题"/>
    <w:basedOn w:val="8"/>
    <w:qFormat/>
    <w:uiPriority w:val="0"/>
    <w:pPr>
      <w:keepNext w:val="0"/>
      <w:keepLines w:val="0"/>
      <w:spacing w:before="0" w:beforeLines="0" w:after="50" w:afterLines="50"/>
    </w:pPr>
  </w:style>
  <w:style w:type="paragraph" w:customStyle="1" w:styleId="99">
    <w:name w:val="表格文字"/>
    <w:basedOn w:val="1"/>
    <w:qFormat/>
    <w:uiPriority w:val="0"/>
    <w:pPr>
      <w:spacing w:line="240" w:lineRule="atLeast"/>
      <w:ind w:firstLine="0" w:firstLineChars="0"/>
      <w:jc w:val="center"/>
    </w:pPr>
    <w:rPr>
      <w:sz w:val="21"/>
    </w:rPr>
  </w:style>
  <w:style w:type="paragraph" w:customStyle="1" w:styleId="100">
    <w:name w:val="+列表1"/>
    <w:basedOn w:val="1"/>
    <w:qFormat/>
    <w:uiPriority w:val="0"/>
    <w:pPr>
      <w:adjustRightInd/>
      <w:snapToGrid/>
      <w:spacing w:line="240" w:lineRule="auto"/>
      <w:ind w:firstLine="0" w:firstLineChars="0"/>
      <w:jc w:val="center"/>
    </w:pPr>
    <w:rPr>
      <w:b/>
      <w:sz w:val="21"/>
    </w:rPr>
  </w:style>
  <w:style w:type="paragraph" w:customStyle="1" w:styleId="101">
    <w:name w:val="Table Paragraph"/>
    <w:basedOn w:val="1"/>
    <w:qFormat/>
    <w:uiPriority w:val="1"/>
    <w:pPr>
      <w:spacing w:before="172"/>
      <w:ind w:left="44"/>
    </w:pPr>
  </w:style>
</w:styles>
</file>

<file path=word/_rels/document.xml.rels><?xml version="1.0" encoding="UTF-8" standalone="yes"?>
<Relationships xmlns="http://schemas.openxmlformats.org/package/2006/relationships"><Relationship Id="rId99" Type="http://schemas.openxmlformats.org/officeDocument/2006/relationships/image" Target="media/image56.png"/><Relationship Id="rId98" Type="http://schemas.openxmlformats.org/officeDocument/2006/relationships/image" Target="media/image55.wmf"/><Relationship Id="rId97" Type="http://schemas.openxmlformats.org/officeDocument/2006/relationships/oleObject" Target="embeddings/oleObject37.bin"/><Relationship Id="rId96" Type="http://schemas.openxmlformats.org/officeDocument/2006/relationships/image" Target="media/image54.png"/><Relationship Id="rId95" Type="http://schemas.openxmlformats.org/officeDocument/2006/relationships/oleObject" Target="embeddings/oleObject36.bin"/><Relationship Id="rId94" Type="http://schemas.openxmlformats.org/officeDocument/2006/relationships/oleObject" Target="embeddings/oleObject35.bin"/><Relationship Id="rId93" Type="http://schemas.openxmlformats.org/officeDocument/2006/relationships/image" Target="media/image53.wmf"/><Relationship Id="rId92" Type="http://schemas.openxmlformats.org/officeDocument/2006/relationships/oleObject" Target="embeddings/oleObject34.bin"/><Relationship Id="rId91" Type="http://schemas.openxmlformats.org/officeDocument/2006/relationships/image" Target="media/image52.wmf"/><Relationship Id="rId90" Type="http://schemas.openxmlformats.org/officeDocument/2006/relationships/oleObject" Target="embeddings/oleObject33.bin"/><Relationship Id="rId9" Type="http://schemas.openxmlformats.org/officeDocument/2006/relationships/image" Target="media/image3.png"/><Relationship Id="rId89" Type="http://schemas.openxmlformats.org/officeDocument/2006/relationships/image" Target="media/image51.wmf"/><Relationship Id="rId88" Type="http://schemas.openxmlformats.org/officeDocument/2006/relationships/oleObject" Target="embeddings/oleObject32.bin"/><Relationship Id="rId87" Type="http://schemas.openxmlformats.org/officeDocument/2006/relationships/image" Target="media/image50.wmf"/><Relationship Id="rId86" Type="http://schemas.openxmlformats.org/officeDocument/2006/relationships/oleObject" Target="embeddings/oleObject31.bin"/><Relationship Id="rId85" Type="http://schemas.openxmlformats.org/officeDocument/2006/relationships/image" Target="media/image49.png"/><Relationship Id="rId84" Type="http://schemas.openxmlformats.org/officeDocument/2006/relationships/image" Target="media/image48.png"/><Relationship Id="rId83" Type="http://schemas.openxmlformats.org/officeDocument/2006/relationships/image" Target="media/image47.png"/><Relationship Id="rId82" Type="http://schemas.openxmlformats.org/officeDocument/2006/relationships/image" Target="media/image46.png"/><Relationship Id="rId81" Type="http://schemas.openxmlformats.org/officeDocument/2006/relationships/image" Target="media/image45.png"/><Relationship Id="rId80" Type="http://schemas.openxmlformats.org/officeDocument/2006/relationships/image" Target="media/image44.png"/><Relationship Id="rId8" Type="http://schemas.openxmlformats.org/officeDocument/2006/relationships/image" Target="media/image2.png"/><Relationship Id="rId79" Type="http://schemas.openxmlformats.org/officeDocument/2006/relationships/image" Target="media/image43.wmf"/><Relationship Id="rId78" Type="http://schemas.openxmlformats.org/officeDocument/2006/relationships/oleObject" Target="embeddings/oleObject30.bin"/><Relationship Id="rId77" Type="http://schemas.openxmlformats.org/officeDocument/2006/relationships/image" Target="media/image42.wmf"/><Relationship Id="rId76" Type="http://schemas.openxmlformats.org/officeDocument/2006/relationships/oleObject" Target="embeddings/oleObject29.bin"/><Relationship Id="rId75" Type="http://schemas.openxmlformats.org/officeDocument/2006/relationships/image" Target="media/image41.png"/><Relationship Id="rId74" Type="http://schemas.openxmlformats.org/officeDocument/2006/relationships/image" Target="media/image40.png"/><Relationship Id="rId73" Type="http://schemas.openxmlformats.org/officeDocument/2006/relationships/image" Target="media/image39.wmf"/><Relationship Id="rId72" Type="http://schemas.openxmlformats.org/officeDocument/2006/relationships/oleObject" Target="embeddings/oleObject28.bin"/><Relationship Id="rId71" Type="http://schemas.openxmlformats.org/officeDocument/2006/relationships/image" Target="media/image38.wmf"/><Relationship Id="rId70" Type="http://schemas.openxmlformats.org/officeDocument/2006/relationships/oleObject" Target="embeddings/oleObject27.bin"/><Relationship Id="rId7" Type="http://schemas.openxmlformats.org/officeDocument/2006/relationships/image" Target="media/image1.png"/><Relationship Id="rId69" Type="http://schemas.openxmlformats.org/officeDocument/2006/relationships/image" Target="media/image37.wmf"/><Relationship Id="rId68" Type="http://schemas.openxmlformats.org/officeDocument/2006/relationships/oleObject" Target="embeddings/oleObject26.bin"/><Relationship Id="rId67" Type="http://schemas.openxmlformats.org/officeDocument/2006/relationships/image" Target="media/image36.wmf"/><Relationship Id="rId66" Type="http://schemas.openxmlformats.org/officeDocument/2006/relationships/oleObject" Target="embeddings/oleObject25.bin"/><Relationship Id="rId65" Type="http://schemas.openxmlformats.org/officeDocument/2006/relationships/image" Target="media/image35.png"/><Relationship Id="rId64" Type="http://schemas.openxmlformats.org/officeDocument/2006/relationships/image" Target="media/image34.wmf"/><Relationship Id="rId63" Type="http://schemas.openxmlformats.org/officeDocument/2006/relationships/oleObject" Target="embeddings/oleObject24.bin"/><Relationship Id="rId62" Type="http://schemas.openxmlformats.org/officeDocument/2006/relationships/image" Target="media/image33.wmf"/><Relationship Id="rId61" Type="http://schemas.openxmlformats.org/officeDocument/2006/relationships/oleObject" Target="embeddings/oleObject23.bin"/><Relationship Id="rId60" Type="http://schemas.openxmlformats.org/officeDocument/2006/relationships/image" Target="media/image32.png"/><Relationship Id="rId6" Type="http://schemas.openxmlformats.org/officeDocument/2006/relationships/theme" Target="theme/theme1.xml"/><Relationship Id="rId59" Type="http://schemas.openxmlformats.org/officeDocument/2006/relationships/image" Target="media/image31.wmf"/><Relationship Id="rId58" Type="http://schemas.openxmlformats.org/officeDocument/2006/relationships/oleObject" Target="embeddings/oleObject22.bin"/><Relationship Id="rId57" Type="http://schemas.openxmlformats.org/officeDocument/2006/relationships/image" Target="media/image30.wmf"/><Relationship Id="rId56" Type="http://schemas.openxmlformats.org/officeDocument/2006/relationships/oleObject" Target="embeddings/oleObject21.bin"/><Relationship Id="rId55" Type="http://schemas.openxmlformats.org/officeDocument/2006/relationships/image" Target="media/image29.wmf"/><Relationship Id="rId54" Type="http://schemas.openxmlformats.org/officeDocument/2006/relationships/oleObject" Target="embeddings/oleObject20.bin"/><Relationship Id="rId53" Type="http://schemas.openxmlformats.org/officeDocument/2006/relationships/image" Target="media/image28.wmf"/><Relationship Id="rId52" Type="http://schemas.openxmlformats.org/officeDocument/2006/relationships/oleObject" Target="embeddings/oleObject19.bin"/><Relationship Id="rId51" Type="http://schemas.openxmlformats.org/officeDocument/2006/relationships/image" Target="media/image27.wmf"/><Relationship Id="rId50" Type="http://schemas.openxmlformats.org/officeDocument/2006/relationships/oleObject" Target="embeddings/oleObject18.bin"/><Relationship Id="rId5" Type="http://schemas.openxmlformats.org/officeDocument/2006/relationships/footer" Target="footer2.xml"/><Relationship Id="rId49" Type="http://schemas.openxmlformats.org/officeDocument/2006/relationships/image" Target="media/image26.wmf"/><Relationship Id="rId48" Type="http://schemas.openxmlformats.org/officeDocument/2006/relationships/oleObject" Target="embeddings/oleObject17.bin"/><Relationship Id="rId47" Type="http://schemas.openxmlformats.org/officeDocument/2006/relationships/image" Target="media/image25.wmf"/><Relationship Id="rId46" Type="http://schemas.openxmlformats.org/officeDocument/2006/relationships/oleObject" Target="embeddings/oleObject16.bin"/><Relationship Id="rId45" Type="http://schemas.openxmlformats.org/officeDocument/2006/relationships/image" Target="media/image24.wmf"/><Relationship Id="rId44" Type="http://schemas.openxmlformats.org/officeDocument/2006/relationships/oleObject" Target="embeddings/oleObject15.bin"/><Relationship Id="rId43" Type="http://schemas.openxmlformats.org/officeDocument/2006/relationships/image" Target="media/image23.wmf"/><Relationship Id="rId42" Type="http://schemas.openxmlformats.org/officeDocument/2006/relationships/oleObject" Target="embeddings/oleObject14.bin"/><Relationship Id="rId41" Type="http://schemas.openxmlformats.org/officeDocument/2006/relationships/image" Target="media/image22.wmf"/><Relationship Id="rId40" Type="http://schemas.openxmlformats.org/officeDocument/2006/relationships/oleObject" Target="embeddings/oleObject13.bin"/><Relationship Id="rId4" Type="http://schemas.openxmlformats.org/officeDocument/2006/relationships/footer" Target="footer1.xml"/><Relationship Id="rId39" Type="http://schemas.openxmlformats.org/officeDocument/2006/relationships/image" Target="media/image21.wmf"/><Relationship Id="rId38" Type="http://schemas.openxmlformats.org/officeDocument/2006/relationships/oleObject" Target="embeddings/oleObject12.bin"/><Relationship Id="rId37" Type="http://schemas.openxmlformats.org/officeDocument/2006/relationships/image" Target="media/image20.wmf"/><Relationship Id="rId36" Type="http://schemas.openxmlformats.org/officeDocument/2006/relationships/oleObject" Target="embeddings/oleObject11.bin"/><Relationship Id="rId35" Type="http://schemas.openxmlformats.org/officeDocument/2006/relationships/image" Target="media/image19.wmf"/><Relationship Id="rId34" Type="http://schemas.openxmlformats.org/officeDocument/2006/relationships/oleObject" Target="embeddings/oleObject10.bin"/><Relationship Id="rId33" Type="http://schemas.openxmlformats.org/officeDocument/2006/relationships/image" Target="media/image18.wmf"/><Relationship Id="rId32" Type="http://schemas.openxmlformats.org/officeDocument/2006/relationships/oleObject" Target="embeddings/oleObject9.bin"/><Relationship Id="rId31" Type="http://schemas.openxmlformats.org/officeDocument/2006/relationships/image" Target="media/image17.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7.bin"/><Relationship Id="rId27" Type="http://schemas.openxmlformats.org/officeDocument/2006/relationships/image" Target="media/image15.wmf"/><Relationship Id="rId26" Type="http://schemas.openxmlformats.org/officeDocument/2006/relationships/oleObject" Target="embeddings/oleObject6.bin"/><Relationship Id="rId25" Type="http://schemas.openxmlformats.org/officeDocument/2006/relationships/image" Target="media/image14.wmf"/><Relationship Id="rId24" Type="http://schemas.openxmlformats.org/officeDocument/2006/relationships/oleObject" Target="embeddings/oleObject5.bin"/><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2.bin"/><Relationship Id="rId176" Type="http://schemas.openxmlformats.org/officeDocument/2006/relationships/fontTable" Target="fontTable.xml"/><Relationship Id="rId175" Type="http://schemas.openxmlformats.org/officeDocument/2006/relationships/customXml" Target="../customXml/item1.xml"/><Relationship Id="rId174" Type="http://schemas.openxmlformats.org/officeDocument/2006/relationships/numbering" Target="numbering.xml"/><Relationship Id="rId173" Type="http://schemas.openxmlformats.org/officeDocument/2006/relationships/image" Target="media/image130.wmf"/><Relationship Id="rId172" Type="http://schemas.openxmlformats.org/officeDocument/2006/relationships/image" Target="media/image129.wmf"/><Relationship Id="rId171" Type="http://schemas.openxmlformats.org/officeDocument/2006/relationships/image" Target="media/image128.png"/><Relationship Id="rId170" Type="http://schemas.openxmlformats.org/officeDocument/2006/relationships/image" Target="media/image127.png"/><Relationship Id="rId17" Type="http://schemas.openxmlformats.org/officeDocument/2006/relationships/image" Target="media/image10.png"/><Relationship Id="rId169" Type="http://schemas.openxmlformats.org/officeDocument/2006/relationships/image" Target="media/image126.png"/><Relationship Id="rId168" Type="http://schemas.openxmlformats.org/officeDocument/2006/relationships/image" Target="media/image125.emf"/><Relationship Id="rId167" Type="http://schemas.openxmlformats.org/officeDocument/2006/relationships/image" Target="media/image124.png"/><Relationship Id="rId166" Type="http://schemas.openxmlformats.org/officeDocument/2006/relationships/image" Target="media/image123.png"/><Relationship Id="rId165" Type="http://schemas.openxmlformats.org/officeDocument/2006/relationships/image" Target="media/image122.png"/><Relationship Id="rId164" Type="http://schemas.openxmlformats.org/officeDocument/2006/relationships/image" Target="media/image121.png"/><Relationship Id="rId163" Type="http://schemas.openxmlformats.org/officeDocument/2006/relationships/image" Target="media/image120.png"/><Relationship Id="rId162" Type="http://schemas.openxmlformats.org/officeDocument/2006/relationships/image" Target="media/image119.png"/><Relationship Id="rId161" Type="http://schemas.openxmlformats.org/officeDocument/2006/relationships/image" Target="media/image118.png"/><Relationship Id="rId160" Type="http://schemas.openxmlformats.org/officeDocument/2006/relationships/image" Target="media/image117.png"/><Relationship Id="rId16" Type="http://schemas.openxmlformats.org/officeDocument/2006/relationships/image" Target="media/image9.png"/><Relationship Id="rId159" Type="http://schemas.openxmlformats.org/officeDocument/2006/relationships/image" Target="media/image116.png"/><Relationship Id="rId158" Type="http://schemas.openxmlformats.org/officeDocument/2006/relationships/image" Target="media/image115.png"/><Relationship Id="rId157" Type="http://schemas.openxmlformats.org/officeDocument/2006/relationships/image" Target="media/image114.png"/><Relationship Id="rId156" Type="http://schemas.openxmlformats.org/officeDocument/2006/relationships/image" Target="media/image113.png"/><Relationship Id="rId155" Type="http://schemas.openxmlformats.org/officeDocument/2006/relationships/image" Target="media/image112.png"/><Relationship Id="rId154" Type="http://schemas.openxmlformats.org/officeDocument/2006/relationships/image" Target="media/image111.png"/><Relationship Id="rId153" Type="http://schemas.openxmlformats.org/officeDocument/2006/relationships/image" Target="media/image110.png"/><Relationship Id="rId152" Type="http://schemas.openxmlformats.org/officeDocument/2006/relationships/image" Target="media/image109.png"/><Relationship Id="rId151" Type="http://schemas.openxmlformats.org/officeDocument/2006/relationships/image" Target="media/image108.png"/><Relationship Id="rId150" Type="http://schemas.openxmlformats.org/officeDocument/2006/relationships/image" Target="media/image107.png"/><Relationship Id="rId15" Type="http://schemas.openxmlformats.org/officeDocument/2006/relationships/image" Target="media/image8.png"/><Relationship Id="rId149" Type="http://schemas.openxmlformats.org/officeDocument/2006/relationships/image" Target="media/image106.png"/><Relationship Id="rId148" Type="http://schemas.openxmlformats.org/officeDocument/2006/relationships/image" Target="media/image105.png"/><Relationship Id="rId147" Type="http://schemas.openxmlformats.org/officeDocument/2006/relationships/image" Target="media/image104.png"/><Relationship Id="rId146" Type="http://schemas.openxmlformats.org/officeDocument/2006/relationships/image" Target="media/image103.png"/><Relationship Id="rId145" Type="http://schemas.openxmlformats.org/officeDocument/2006/relationships/image" Target="media/image102.png"/><Relationship Id="rId144" Type="http://schemas.openxmlformats.org/officeDocument/2006/relationships/image" Target="media/image101.png"/><Relationship Id="rId143" Type="http://schemas.openxmlformats.org/officeDocument/2006/relationships/image" Target="media/image100.png"/><Relationship Id="rId142" Type="http://schemas.openxmlformats.org/officeDocument/2006/relationships/image" Target="media/image99.png"/><Relationship Id="rId141" Type="http://schemas.openxmlformats.org/officeDocument/2006/relationships/image" Target="media/image98.png"/><Relationship Id="rId140" Type="http://schemas.openxmlformats.org/officeDocument/2006/relationships/image" Target="media/image97.png"/><Relationship Id="rId14" Type="http://schemas.openxmlformats.org/officeDocument/2006/relationships/image" Target="media/image7.png"/><Relationship Id="rId139" Type="http://schemas.openxmlformats.org/officeDocument/2006/relationships/image" Target="media/image96.png"/><Relationship Id="rId138" Type="http://schemas.openxmlformats.org/officeDocument/2006/relationships/image" Target="media/image95.png"/><Relationship Id="rId137" Type="http://schemas.openxmlformats.org/officeDocument/2006/relationships/image" Target="media/image94.png"/><Relationship Id="rId136" Type="http://schemas.openxmlformats.org/officeDocument/2006/relationships/image" Target="media/image93.png"/><Relationship Id="rId135" Type="http://schemas.openxmlformats.org/officeDocument/2006/relationships/image" Target="media/image92.png"/><Relationship Id="rId134" Type="http://schemas.openxmlformats.org/officeDocument/2006/relationships/image" Target="media/image91.png"/><Relationship Id="rId133" Type="http://schemas.openxmlformats.org/officeDocument/2006/relationships/image" Target="media/image90.png"/><Relationship Id="rId132" Type="http://schemas.openxmlformats.org/officeDocument/2006/relationships/image" Target="media/image89.png"/><Relationship Id="rId131" Type="http://schemas.openxmlformats.org/officeDocument/2006/relationships/image" Target="media/image88.png"/><Relationship Id="rId130" Type="http://schemas.openxmlformats.org/officeDocument/2006/relationships/image" Target="media/image87.png"/><Relationship Id="rId13" Type="http://schemas.openxmlformats.org/officeDocument/2006/relationships/image" Target="media/image6.png"/><Relationship Id="rId129" Type="http://schemas.openxmlformats.org/officeDocument/2006/relationships/image" Target="media/image86.png"/><Relationship Id="rId128" Type="http://schemas.openxmlformats.org/officeDocument/2006/relationships/image" Target="media/image85.png"/><Relationship Id="rId127" Type="http://schemas.openxmlformats.org/officeDocument/2006/relationships/image" Target="media/image84.png"/><Relationship Id="rId126" Type="http://schemas.openxmlformats.org/officeDocument/2006/relationships/image" Target="media/image83.png"/><Relationship Id="rId125" Type="http://schemas.openxmlformats.org/officeDocument/2006/relationships/image" Target="media/image82.png"/><Relationship Id="rId124" Type="http://schemas.openxmlformats.org/officeDocument/2006/relationships/image" Target="media/image81.png"/><Relationship Id="rId123" Type="http://schemas.openxmlformats.org/officeDocument/2006/relationships/image" Target="media/image80.png"/><Relationship Id="rId122" Type="http://schemas.openxmlformats.org/officeDocument/2006/relationships/image" Target="media/image79.png"/><Relationship Id="rId121" Type="http://schemas.openxmlformats.org/officeDocument/2006/relationships/image" Target="media/image78.png"/><Relationship Id="rId120" Type="http://schemas.openxmlformats.org/officeDocument/2006/relationships/image" Target="media/image77.png"/><Relationship Id="rId12" Type="http://schemas.openxmlformats.org/officeDocument/2006/relationships/image" Target="media/image5.wmf"/><Relationship Id="rId119" Type="http://schemas.openxmlformats.org/officeDocument/2006/relationships/image" Target="media/image76.png"/><Relationship Id="rId118" Type="http://schemas.openxmlformats.org/officeDocument/2006/relationships/image" Target="media/image75.png"/><Relationship Id="rId117" Type="http://schemas.openxmlformats.org/officeDocument/2006/relationships/image" Target="media/image74.png"/><Relationship Id="rId116" Type="http://schemas.openxmlformats.org/officeDocument/2006/relationships/image" Target="media/image73.png"/><Relationship Id="rId115" Type="http://schemas.openxmlformats.org/officeDocument/2006/relationships/image" Target="media/image72.png"/><Relationship Id="rId114" Type="http://schemas.openxmlformats.org/officeDocument/2006/relationships/image" Target="media/image71.png"/><Relationship Id="rId113" Type="http://schemas.openxmlformats.org/officeDocument/2006/relationships/image" Target="media/image70.wmf"/><Relationship Id="rId112" Type="http://schemas.openxmlformats.org/officeDocument/2006/relationships/image" Target="media/image69.wmf"/><Relationship Id="rId111" Type="http://schemas.openxmlformats.org/officeDocument/2006/relationships/image" Target="media/image68.png"/><Relationship Id="rId110" Type="http://schemas.openxmlformats.org/officeDocument/2006/relationships/image" Target="media/image67.png"/><Relationship Id="rId11" Type="http://schemas.openxmlformats.org/officeDocument/2006/relationships/oleObject" Target="embeddings/oleObject1.bin"/><Relationship Id="rId109" Type="http://schemas.openxmlformats.org/officeDocument/2006/relationships/image" Target="media/image66.png"/><Relationship Id="rId108" Type="http://schemas.openxmlformats.org/officeDocument/2006/relationships/image" Target="media/image65.png"/><Relationship Id="rId107" Type="http://schemas.openxmlformats.org/officeDocument/2006/relationships/image" Target="media/image64.png"/><Relationship Id="rId106" Type="http://schemas.openxmlformats.org/officeDocument/2006/relationships/image" Target="media/image63.png"/><Relationship Id="rId105" Type="http://schemas.openxmlformats.org/officeDocument/2006/relationships/image" Target="media/image62.png"/><Relationship Id="rId104" Type="http://schemas.openxmlformats.org/officeDocument/2006/relationships/image" Target="media/image61.png"/><Relationship Id="rId103" Type="http://schemas.openxmlformats.org/officeDocument/2006/relationships/image" Target="media/image60.png"/><Relationship Id="rId102" Type="http://schemas.openxmlformats.org/officeDocument/2006/relationships/image" Target="media/image59.png"/><Relationship Id="rId101" Type="http://schemas.openxmlformats.org/officeDocument/2006/relationships/image" Target="media/image58.png"/><Relationship Id="rId100" Type="http://schemas.openxmlformats.org/officeDocument/2006/relationships/image" Target="media/image57.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9424D-19AB-44EF-8D60-D7FBCC1B23B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108</Pages>
  <Words>43425</Words>
  <Characters>59993</Characters>
  <Lines>462</Lines>
  <Paragraphs>130</Paragraphs>
  <TotalTime>10</TotalTime>
  <ScaleCrop>false</ScaleCrop>
  <LinksUpToDate>false</LinksUpToDate>
  <CharactersWithSpaces>60348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2025-06-25T08:53:00Z</dcterms:created>
  <dc:creator>lhj</dc:creator>
  <cp:lastModifiedBy>李慧</cp:lastModifiedBy>
  <cp:lastPrinted>2026-03-23T07:23:00Z</cp:lastPrinted>
  <dcterms:modified xsi:type="dcterms:W3CDTF">2026-03-30T06:25:58Z</dcterms:modified>
  <cp:revision>1818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B66BDFAEA0F8474083361200A6C81847</vt:lpwstr>
  </property>
  <property fmtid="{D5CDD505-2E9C-101B-9397-08002B2CF9AE}" pid="4" name="KSOTemplateDocerSaveRecord">
    <vt:lpwstr>eyJoZGlkIjoiNjNlMDFhZWNhZDM3YjAyYmU1YjMxYTg3NTIwZDg2YTIiLCJ1c2VySWQiOiIyMjM5MjAxOTQifQ==</vt:lpwstr>
  </property>
</Properties>
</file>