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84A631">
      <w:pPr>
        <w:rPr>
          <w:rFonts w:cs="仿宋_GB2312"/>
          <w:color w:val="auto"/>
          <w:sz w:val="36"/>
          <w:szCs w:val="36"/>
        </w:rPr>
      </w:pPr>
      <w:bookmarkStart w:id="19" w:name="_GoBack"/>
      <w:bookmarkStart w:id="0" w:name="_Hlk57883707"/>
      <w:r>
        <w:rPr>
          <w:rFonts w:cs="仿宋_GB2312"/>
          <w:color w:val="auto"/>
          <w:sz w:val="36"/>
          <w:szCs w:val="36"/>
        </w:rPr>
        <w:drawing>
          <wp:anchor distT="0" distB="0" distL="114300" distR="114300" simplePos="0" relativeHeight="251670528" behindDoc="0" locked="0" layoutInCell="1" allowOverlap="1">
            <wp:simplePos x="0" y="0"/>
            <wp:positionH relativeFrom="column">
              <wp:posOffset>-142875</wp:posOffset>
            </wp:positionH>
            <wp:positionV relativeFrom="paragraph">
              <wp:posOffset>123825</wp:posOffset>
            </wp:positionV>
            <wp:extent cx="5937250" cy="8401050"/>
            <wp:effectExtent l="0" t="0" r="635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937250" cy="8401050"/>
                    </a:xfrm>
                    <a:prstGeom prst="rect">
                      <a:avLst/>
                    </a:prstGeom>
                    <a:noFill/>
                    <a:ln>
                      <a:noFill/>
                    </a:ln>
                  </pic:spPr>
                </pic:pic>
              </a:graphicData>
            </a:graphic>
          </wp:anchor>
        </w:drawing>
      </w:r>
      <w:bookmarkEnd w:id="19"/>
    </w:p>
    <w:p w14:paraId="38939100">
      <w:pPr>
        <w:rPr>
          <w:rFonts w:cs="仿宋_GB2312"/>
          <w:color w:val="auto"/>
          <w:sz w:val="36"/>
          <w:szCs w:val="36"/>
        </w:rPr>
      </w:pPr>
    </w:p>
    <w:p w14:paraId="2740FB6F">
      <w:pPr>
        <w:rPr>
          <w:rFonts w:cs="仿宋_GB2312"/>
          <w:color w:val="auto"/>
          <w:sz w:val="36"/>
          <w:szCs w:val="36"/>
        </w:rPr>
      </w:pPr>
    </w:p>
    <w:p w14:paraId="4C01D2AC">
      <w:pPr>
        <w:rPr>
          <w:rFonts w:cs="仿宋_GB2312"/>
          <w:color w:val="auto"/>
          <w:sz w:val="36"/>
          <w:szCs w:val="36"/>
        </w:rPr>
      </w:pPr>
    </w:p>
    <w:bookmarkEnd w:id="0"/>
    <w:p w14:paraId="6120D7E6">
      <w:pPr>
        <w:adjustRightInd w:val="0"/>
        <w:snapToGrid w:val="0"/>
        <w:jc w:val="center"/>
        <w:rPr>
          <w:bCs/>
          <w:color w:val="auto"/>
          <w:sz w:val="72"/>
          <w:szCs w:val="72"/>
        </w:rPr>
      </w:pPr>
      <w:r>
        <w:rPr>
          <w:rFonts w:hint="eastAsia"/>
          <w:bCs/>
          <w:color w:val="auto"/>
          <w:sz w:val="72"/>
          <w:szCs w:val="72"/>
        </w:rPr>
        <w:t>建设项目环境影响报告表</w:t>
      </w:r>
    </w:p>
    <w:p w14:paraId="690CE3FE">
      <w:pPr>
        <w:adjustRightInd w:val="0"/>
        <w:snapToGrid w:val="0"/>
        <w:spacing w:before="192" w:beforeLines="80"/>
        <w:jc w:val="center"/>
        <w:rPr>
          <w:bCs/>
          <w:color w:val="auto"/>
          <w:sz w:val="48"/>
          <w:szCs w:val="48"/>
        </w:rPr>
      </w:pPr>
      <w:r>
        <w:rPr>
          <w:rFonts w:hint="eastAsia"/>
          <w:bCs/>
          <w:color w:val="auto"/>
          <w:sz w:val="48"/>
          <w:szCs w:val="48"/>
        </w:rPr>
        <w:t>（生态影响类</w:t>
      </w:r>
      <w:r>
        <w:rPr>
          <w:rFonts w:hint="eastAsia"/>
          <w:bCs/>
          <w:color w:val="auto"/>
          <w:sz w:val="48"/>
          <w:szCs w:val="48"/>
          <w:lang w:eastAsia="zh-CN"/>
        </w:rPr>
        <w:t>—</w:t>
      </w:r>
      <w:r>
        <w:rPr>
          <w:rFonts w:hint="eastAsia"/>
          <w:bCs/>
          <w:color w:val="auto"/>
          <w:sz w:val="48"/>
          <w:szCs w:val="48"/>
          <w:lang w:val="en-US" w:eastAsia="zh-CN"/>
        </w:rPr>
        <w:t>公示稿</w:t>
      </w:r>
      <w:r>
        <w:rPr>
          <w:rFonts w:hint="eastAsia"/>
          <w:bCs/>
          <w:color w:val="auto"/>
          <w:sz w:val="48"/>
          <w:szCs w:val="48"/>
        </w:rPr>
        <w:t>）</w:t>
      </w:r>
    </w:p>
    <w:p w14:paraId="02179DF2">
      <w:pPr>
        <w:jc w:val="center"/>
        <w:rPr>
          <w:color w:val="auto"/>
          <w:sz w:val="52"/>
          <w:szCs w:val="52"/>
        </w:rPr>
      </w:pPr>
      <w:bookmarkStart w:id="1" w:name="_Hlk57883728"/>
    </w:p>
    <w:p w14:paraId="107EEF94">
      <w:pPr>
        <w:ind w:firstLine="1040"/>
        <w:rPr>
          <w:color w:val="auto"/>
          <w:sz w:val="44"/>
          <w:szCs w:val="44"/>
        </w:rPr>
      </w:pPr>
    </w:p>
    <w:p w14:paraId="4C1CDA1E">
      <w:pPr>
        <w:ind w:firstLine="1040"/>
        <w:rPr>
          <w:color w:val="auto"/>
          <w:sz w:val="44"/>
          <w:szCs w:val="44"/>
        </w:rPr>
      </w:pPr>
    </w:p>
    <w:p w14:paraId="30489088">
      <w:pPr>
        <w:ind w:firstLine="1040"/>
        <w:rPr>
          <w:color w:val="auto"/>
          <w:sz w:val="44"/>
          <w:szCs w:val="44"/>
        </w:rPr>
      </w:pPr>
    </w:p>
    <w:p w14:paraId="357C1A00">
      <w:pPr>
        <w:ind w:firstLine="1040"/>
        <w:rPr>
          <w:color w:val="auto"/>
          <w:sz w:val="44"/>
          <w:szCs w:val="44"/>
        </w:rPr>
      </w:pPr>
    </w:p>
    <w:bookmarkEnd w:id="1"/>
    <w:p w14:paraId="5FB6CE6B">
      <w:pPr>
        <w:adjustRightInd w:val="0"/>
        <w:snapToGrid w:val="0"/>
        <w:spacing w:line="360" w:lineRule="auto"/>
        <w:ind w:left="1440" w:hanging="1440" w:hangingChars="400"/>
        <w:rPr>
          <w:rFonts w:hint="default" w:eastAsia="宋体"/>
          <w:color w:val="auto"/>
          <w:sz w:val="36"/>
          <w:szCs w:val="36"/>
          <w:u w:val="single"/>
          <w:lang w:val="en-US" w:eastAsia="zh-CN"/>
        </w:rPr>
      </w:pPr>
      <w:r>
        <w:rPr>
          <w:rFonts w:hint="eastAsia"/>
          <w:color w:val="auto"/>
          <w:sz w:val="36"/>
          <w:szCs w:val="36"/>
        </w:rPr>
        <w:t>项目名称：</w:t>
      </w:r>
      <w:r>
        <w:rPr>
          <w:rFonts w:hint="eastAsia"/>
          <w:color w:val="auto"/>
          <w:sz w:val="36"/>
          <w:szCs w:val="36"/>
          <w:u w:val="single"/>
          <w:lang w:eastAsia="zh-CN"/>
        </w:rPr>
        <w:t>广西沿海铁路</w:t>
      </w:r>
      <w:r>
        <w:rPr>
          <w:rFonts w:hint="eastAsia"/>
          <w:color w:val="auto"/>
          <w:sz w:val="36"/>
          <w:szCs w:val="36"/>
          <w:u w:val="single"/>
          <w:lang w:val="en-US" w:eastAsia="zh-CN"/>
        </w:rPr>
        <w:t xml:space="preserve">股份有限公司云约站铁路物流园（铁路货场）工程                         </w:t>
      </w:r>
    </w:p>
    <w:p w14:paraId="068AB996">
      <w:pPr>
        <w:adjustRightInd w:val="0"/>
        <w:snapToGrid w:val="0"/>
        <w:spacing w:line="360" w:lineRule="auto"/>
        <w:rPr>
          <w:rFonts w:hint="default"/>
          <w:color w:val="auto"/>
          <w:sz w:val="36"/>
          <w:szCs w:val="36"/>
          <w:u w:val="single"/>
          <w:lang w:val="en-US" w:eastAsia="zh-CN"/>
        </w:rPr>
      </w:pPr>
      <w:r>
        <w:rPr>
          <w:rFonts w:hint="eastAsia"/>
          <w:color w:val="auto"/>
          <w:sz w:val="36"/>
          <w:szCs w:val="36"/>
        </w:rPr>
        <w:t>建设单位（盖章）：</w:t>
      </w:r>
      <w:r>
        <w:rPr>
          <w:rFonts w:hint="eastAsia"/>
          <w:color w:val="auto"/>
          <w:sz w:val="36"/>
          <w:szCs w:val="36"/>
          <w:u w:val="single"/>
          <w:lang w:eastAsia="zh-CN"/>
        </w:rPr>
        <w:t>广西沿海铁路股份有限公司</w:t>
      </w:r>
      <w:r>
        <w:rPr>
          <w:rFonts w:hint="eastAsia"/>
          <w:color w:val="auto"/>
          <w:sz w:val="36"/>
          <w:szCs w:val="36"/>
          <w:u w:val="single"/>
          <w:lang w:val="en-US" w:eastAsia="zh-CN"/>
        </w:rPr>
        <w:t xml:space="preserve">       </w:t>
      </w:r>
    </w:p>
    <w:p w14:paraId="6BFF1C83">
      <w:pPr>
        <w:adjustRightInd w:val="0"/>
        <w:snapToGrid w:val="0"/>
        <w:spacing w:line="360" w:lineRule="auto"/>
        <w:rPr>
          <w:rFonts w:hint="default" w:eastAsia="宋体"/>
          <w:color w:val="auto"/>
          <w:sz w:val="36"/>
          <w:szCs w:val="36"/>
          <w:u w:val="single"/>
          <w:lang w:val="en-US" w:eastAsia="zh-CN"/>
        </w:rPr>
      </w:pPr>
      <w:r>
        <w:rPr>
          <w:rFonts w:hint="eastAsia"/>
          <w:color w:val="auto"/>
          <w:sz w:val="36"/>
          <w:szCs w:val="36"/>
        </w:rPr>
        <w:t>编制日期：</w:t>
      </w:r>
      <w:r>
        <w:rPr>
          <w:rFonts w:hint="eastAsia"/>
          <w:color w:val="auto"/>
          <w:sz w:val="36"/>
          <w:szCs w:val="36"/>
          <w:u w:val="single"/>
          <w:lang w:val="en-US" w:eastAsia="zh-CN"/>
        </w:rPr>
        <w:t xml:space="preserve">              2026年4月               </w:t>
      </w:r>
    </w:p>
    <w:p w14:paraId="6FD56E58">
      <w:pPr>
        <w:adjustRightInd w:val="0"/>
        <w:snapToGrid w:val="0"/>
        <w:spacing w:line="288" w:lineRule="auto"/>
        <w:ind w:firstLine="1040"/>
        <w:rPr>
          <w:color w:val="auto"/>
          <w:sz w:val="36"/>
          <w:szCs w:val="36"/>
          <w:u w:val="single"/>
        </w:rPr>
      </w:pPr>
    </w:p>
    <w:p w14:paraId="01AE5783">
      <w:pPr>
        <w:adjustRightInd w:val="0"/>
        <w:snapToGrid w:val="0"/>
        <w:spacing w:line="288" w:lineRule="auto"/>
        <w:ind w:firstLine="1040"/>
        <w:rPr>
          <w:color w:val="auto"/>
          <w:sz w:val="36"/>
          <w:szCs w:val="36"/>
        </w:rPr>
      </w:pPr>
    </w:p>
    <w:p w14:paraId="736FC1BD">
      <w:pPr>
        <w:adjustRightInd w:val="0"/>
        <w:snapToGrid w:val="0"/>
        <w:spacing w:line="288" w:lineRule="auto"/>
        <w:ind w:firstLine="1040"/>
        <w:rPr>
          <w:color w:val="auto"/>
          <w:sz w:val="36"/>
          <w:szCs w:val="36"/>
        </w:rPr>
      </w:pPr>
    </w:p>
    <w:p w14:paraId="3F7B5864">
      <w:pPr>
        <w:adjustRightInd w:val="0"/>
        <w:snapToGrid w:val="0"/>
        <w:spacing w:line="288" w:lineRule="auto"/>
        <w:ind w:firstLine="1040"/>
        <w:rPr>
          <w:color w:val="auto"/>
          <w:sz w:val="36"/>
          <w:szCs w:val="36"/>
        </w:rPr>
      </w:pPr>
    </w:p>
    <w:p w14:paraId="1B473074">
      <w:pPr>
        <w:adjustRightInd w:val="0"/>
        <w:snapToGrid w:val="0"/>
        <w:spacing w:line="288" w:lineRule="auto"/>
        <w:ind w:firstLine="1040"/>
        <w:rPr>
          <w:color w:val="auto"/>
          <w:sz w:val="36"/>
          <w:szCs w:val="36"/>
        </w:rPr>
      </w:pPr>
    </w:p>
    <w:p w14:paraId="2353F675">
      <w:pPr>
        <w:adjustRightInd w:val="0"/>
        <w:snapToGrid w:val="0"/>
        <w:spacing w:line="288" w:lineRule="auto"/>
        <w:jc w:val="center"/>
        <w:rPr>
          <w:color w:val="auto"/>
          <w:sz w:val="36"/>
          <w:szCs w:val="36"/>
        </w:rPr>
      </w:pPr>
      <w:r>
        <w:rPr>
          <w:rFonts w:hint="eastAsia"/>
          <w:color w:val="auto"/>
          <w:sz w:val="36"/>
          <w:szCs w:val="36"/>
        </w:rPr>
        <w:t>中华人民共和国生态环境部制</w:t>
      </w:r>
    </w:p>
    <w:p w14:paraId="31994961">
      <w:pPr>
        <w:widowControl/>
        <w:jc w:val="left"/>
        <w:rPr>
          <w:color w:val="auto"/>
          <w:sz w:val="36"/>
          <w:szCs w:val="36"/>
        </w:rPr>
      </w:pPr>
      <w:r>
        <w:rPr>
          <w:color w:val="auto"/>
          <w:sz w:val="36"/>
          <w:szCs w:val="36"/>
        </w:rPr>
        <w:br w:type="page"/>
      </w:r>
    </w:p>
    <w:p w14:paraId="1C1AC310">
      <w:pPr>
        <w:adjustRightInd w:val="0"/>
        <w:snapToGrid w:val="0"/>
        <w:jc w:val="center"/>
        <w:rPr>
          <w:b/>
          <w:bCs/>
          <w:color w:val="auto"/>
          <w:sz w:val="28"/>
          <w:szCs w:val="28"/>
        </w:rPr>
      </w:pPr>
      <w:r>
        <w:rPr>
          <w:rFonts w:hint="eastAsia"/>
          <w:b/>
          <w:bCs/>
          <w:color w:val="auto"/>
          <w:sz w:val="28"/>
          <w:szCs w:val="28"/>
        </w:rPr>
        <w:t>现场照片页</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4"/>
        <w:gridCol w:w="4366"/>
      </w:tblGrid>
      <w:tr w14:paraId="50B4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tcPr>
          <w:p w14:paraId="0B34BFE0">
            <w:pPr>
              <w:adjustRightInd w:val="0"/>
              <w:snapToGrid w:val="0"/>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2600960" cy="1950720"/>
                  <wp:effectExtent l="0" t="0" r="8890" b="11430"/>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12"/>
                          <a:stretch>
                            <a:fillRect/>
                          </a:stretch>
                        </pic:blipFill>
                        <pic:spPr>
                          <a:xfrm>
                            <a:off x="0" y="0"/>
                            <a:ext cx="2600960" cy="1950720"/>
                          </a:xfrm>
                          <a:prstGeom prst="rect">
                            <a:avLst/>
                          </a:prstGeom>
                        </pic:spPr>
                      </pic:pic>
                    </a:graphicData>
                  </a:graphic>
                </wp:inline>
              </w:drawing>
            </w:r>
          </w:p>
        </w:tc>
        <w:tc>
          <w:tcPr>
            <w:tcW w:w="4424" w:type="dxa"/>
          </w:tcPr>
          <w:p w14:paraId="7F8E7E2F">
            <w:pPr>
              <w:adjustRightInd w:val="0"/>
              <w:snapToGrid w:val="0"/>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2600960" cy="1950720"/>
                  <wp:effectExtent l="0" t="0" r="8890" b="11430"/>
                  <wp:docPr id="14" name="图片 14" descr="DJI_20251225120950_0389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I_20251225120950_0389_D"/>
                          <pic:cNvPicPr>
                            <a:picLocks noChangeAspect="1"/>
                          </pic:cNvPicPr>
                        </pic:nvPicPr>
                        <pic:blipFill>
                          <a:blip r:embed="rId13"/>
                          <a:stretch>
                            <a:fillRect/>
                          </a:stretch>
                        </pic:blipFill>
                        <pic:spPr>
                          <a:xfrm>
                            <a:off x="0" y="0"/>
                            <a:ext cx="2600960" cy="1950720"/>
                          </a:xfrm>
                          <a:prstGeom prst="rect">
                            <a:avLst/>
                          </a:prstGeom>
                        </pic:spPr>
                      </pic:pic>
                    </a:graphicData>
                  </a:graphic>
                </wp:inline>
              </w:drawing>
            </w:r>
          </w:p>
        </w:tc>
      </w:tr>
      <w:tr w14:paraId="748A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vAlign w:val="center"/>
          </w:tcPr>
          <w:p w14:paraId="0F44502A">
            <w:pPr>
              <w:keepNext w:val="0"/>
              <w:keepLines w:val="0"/>
              <w:widowControl/>
              <w:suppressLineNumbers w:val="0"/>
              <w:jc w:val="center"/>
              <w:rPr>
                <w:rFonts w:hint="eastAsia" w:eastAsia="宋体"/>
                <w:color w:val="auto"/>
                <w:sz w:val="24"/>
                <w:lang w:eastAsia="zh-CN"/>
              </w:rPr>
            </w:pPr>
            <w:r>
              <w:rPr>
                <w:rFonts w:hint="eastAsia"/>
                <w:color w:val="auto"/>
                <w:sz w:val="24"/>
                <w:lang w:eastAsia="zh-CN"/>
              </w:rPr>
              <w:t>项目场地现状</w:t>
            </w:r>
          </w:p>
        </w:tc>
        <w:tc>
          <w:tcPr>
            <w:tcW w:w="4424" w:type="dxa"/>
            <w:vAlign w:val="center"/>
          </w:tcPr>
          <w:p w14:paraId="036B4189">
            <w:pPr>
              <w:adjustRightInd w:val="0"/>
              <w:snapToGrid w:val="0"/>
              <w:jc w:val="center"/>
              <w:rPr>
                <w:rFonts w:hint="eastAsia" w:eastAsia="宋体"/>
                <w:color w:val="auto"/>
                <w:sz w:val="24"/>
                <w:lang w:eastAsia="zh-CN"/>
              </w:rPr>
            </w:pPr>
            <w:r>
              <w:rPr>
                <w:rFonts w:hint="eastAsia"/>
                <w:color w:val="auto"/>
                <w:sz w:val="24"/>
                <w:lang w:val="en-US" w:eastAsia="zh-CN"/>
              </w:rPr>
              <w:t>项目场地现状</w:t>
            </w:r>
          </w:p>
        </w:tc>
      </w:tr>
      <w:tr w14:paraId="1B03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tcPr>
          <w:p w14:paraId="69FF438C">
            <w:pPr>
              <w:adjustRightInd w:val="0"/>
              <w:snapToGrid w:val="0"/>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2600960" cy="1950720"/>
                  <wp:effectExtent l="0" t="0" r="8890" b="11430"/>
                  <wp:docPr id="16" name="图片 16" descr="DJI_20251225121857_0409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JI_20251225121857_0409_D"/>
                          <pic:cNvPicPr>
                            <a:picLocks noChangeAspect="1"/>
                          </pic:cNvPicPr>
                        </pic:nvPicPr>
                        <pic:blipFill>
                          <a:blip r:embed="rId14"/>
                          <a:stretch>
                            <a:fillRect/>
                          </a:stretch>
                        </pic:blipFill>
                        <pic:spPr>
                          <a:xfrm>
                            <a:off x="0" y="0"/>
                            <a:ext cx="2600960" cy="1950720"/>
                          </a:xfrm>
                          <a:prstGeom prst="rect">
                            <a:avLst/>
                          </a:prstGeom>
                        </pic:spPr>
                      </pic:pic>
                    </a:graphicData>
                  </a:graphic>
                </wp:inline>
              </w:drawing>
            </w:r>
          </w:p>
        </w:tc>
        <w:tc>
          <w:tcPr>
            <w:tcW w:w="4424" w:type="dxa"/>
          </w:tcPr>
          <w:p w14:paraId="6070BB63">
            <w:pPr>
              <w:adjustRightInd w:val="0"/>
              <w:snapToGrid w:val="0"/>
              <w:jc w:val="center"/>
              <w:rPr>
                <w:rFonts w:hint="eastAsia" w:eastAsia="宋体"/>
                <w:color w:val="auto"/>
                <w:sz w:val="24"/>
                <w:lang w:eastAsia="zh-CN"/>
              </w:rPr>
            </w:pP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496570</wp:posOffset>
                      </wp:positionH>
                      <wp:positionV relativeFrom="paragraph">
                        <wp:posOffset>1405890</wp:posOffset>
                      </wp:positionV>
                      <wp:extent cx="1653540" cy="259715"/>
                      <wp:effectExtent l="6350" t="255905" r="16510" b="17780"/>
                      <wp:wrapNone/>
                      <wp:docPr id="25" name="矩形标注 25"/>
                      <wp:cNvGraphicFramePr/>
                      <a:graphic xmlns:a="http://schemas.openxmlformats.org/drawingml/2006/main">
                        <a:graphicData uri="http://schemas.microsoft.com/office/word/2010/wordprocessingShape">
                          <wps:wsp>
                            <wps:cNvSpPr/>
                            <wps:spPr>
                              <a:xfrm>
                                <a:off x="0" y="0"/>
                                <a:ext cx="1653540" cy="259715"/>
                              </a:xfrm>
                              <a:prstGeom prst="wedgeRectCallout">
                                <a:avLst>
                                  <a:gd name="adj1" fmla="val 8177"/>
                                  <a:gd name="adj2" fmla="val -144132"/>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29E8E83">
                                  <w:pPr>
                                    <w:jc w:val="center"/>
                                    <w:rPr>
                                      <w:rFonts w:hint="default" w:eastAsia="宋体"/>
                                      <w:lang w:val="en-US" w:eastAsia="zh-CN"/>
                                    </w:rPr>
                                  </w:pPr>
                                  <w:r>
                                    <w:rPr>
                                      <w:rFonts w:hint="eastAsia"/>
                                      <w:lang w:val="en-US" w:eastAsia="zh-CN"/>
                                    </w:rPr>
                                    <w:t>红线内已搬迁，后续拆除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9.1pt;margin-top:110.7pt;height:20.45pt;width:130.2pt;z-index:251669504;v-text-anchor:middle;mso-width-relative:page;mso-height-relative:page;" filled="f" stroked="t" coordsize="21600,21600" o:gfxdata="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MA4a42QAAAAoBAAAPAAAAAAAAAAEAIAAAACIAAABkcnMvZG93&#10;bnJldi54bWxQSwECFAAUAAAACACHTuJATaXwUaoCAAA8BQAADgAAAAAAAAABACAAAAAoAQAAZHJz&#10;L2Uyb0RvYy54bWxQSwUGAAAAAAYABgBZAQAARAYAAAAA&#10;" adj="12566,-20333">
                      <v:fill on="f" focussize="0,0"/>
                      <v:stroke weight="1pt" color="#FF0000 [2404]" miterlimit="8" joinstyle="miter"/>
                      <v:imagedata o:title=""/>
                      <o:lock v:ext="edit" aspectratio="f"/>
                      <v:textbox>
                        <w:txbxContent>
                          <w:p w14:paraId="729E8E83">
                            <w:pPr>
                              <w:jc w:val="center"/>
                              <w:rPr>
                                <w:rFonts w:hint="default" w:eastAsia="宋体"/>
                                <w:lang w:val="en-US" w:eastAsia="zh-CN"/>
                              </w:rPr>
                            </w:pPr>
                            <w:r>
                              <w:rPr>
                                <w:rFonts w:hint="eastAsia"/>
                                <w:lang w:val="en-US" w:eastAsia="zh-CN"/>
                              </w:rPr>
                              <w:t>红线内已搬迁，后续拆除</w:t>
                            </w:r>
                          </w:p>
                        </w:txbxContent>
                      </v:textbox>
                    </v:shape>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490855</wp:posOffset>
                      </wp:positionH>
                      <wp:positionV relativeFrom="paragraph">
                        <wp:posOffset>213995</wp:posOffset>
                      </wp:positionV>
                      <wp:extent cx="1463675" cy="259715"/>
                      <wp:effectExtent l="6350" t="6350" r="15875" b="210185"/>
                      <wp:wrapNone/>
                      <wp:docPr id="24" name="矩形标注 24"/>
                      <wp:cNvGraphicFramePr/>
                      <a:graphic xmlns:a="http://schemas.openxmlformats.org/drawingml/2006/main">
                        <a:graphicData uri="http://schemas.microsoft.com/office/word/2010/wordprocessingShape">
                          <wps:wsp>
                            <wps:cNvSpPr/>
                            <wps:spPr>
                              <a:xfrm>
                                <a:off x="4443730" y="3703320"/>
                                <a:ext cx="1463675" cy="259715"/>
                              </a:xfrm>
                              <a:prstGeom prst="wedgeRectCallout">
                                <a:avLst>
                                  <a:gd name="adj1" fmla="val 5227"/>
                                  <a:gd name="adj2" fmla="val 122371"/>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31699A4">
                                  <w:pPr>
                                    <w:jc w:val="center"/>
                                    <w:rPr>
                                      <w:rFonts w:hint="default" w:eastAsia="宋体"/>
                                      <w:lang w:val="en-US" w:eastAsia="zh-CN"/>
                                    </w:rPr>
                                  </w:pPr>
                                  <w:r>
                                    <w:rPr>
                                      <w:rFonts w:hint="eastAsia"/>
                                      <w:lang w:val="en-US" w:eastAsia="zh-CN"/>
                                    </w:rPr>
                                    <w:t>云约部分敏感点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8.65pt;margin-top:16.85pt;height:20.45pt;width:115.25pt;z-index:251668480;v-text-anchor:middle;mso-width-relative:page;mso-height-relative:page;" filled="f" stroked="t" coordsize="21600,21600" o:gfxdata="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Pl4Z1gAAAAgBAAAPAAAAAAAAAAEAIAAAACIA&#10;AABkcnMvZG93bnJldi54bWxQSwECFAAUAAAACACHTuJACJvuKLYCAABHBQAADgAAAAAAAAABACAA&#10;AAAlAQAAZHJzL2Uyb0RvYy54bWxQSwUGAAAAAAYABgBZAQAATQYAAAAA&#10;" adj="11929,37232">
                      <v:fill on="f" focussize="0,0"/>
                      <v:stroke weight="1pt" color="#FFFF00 [2404]" miterlimit="8" joinstyle="miter"/>
                      <v:imagedata o:title=""/>
                      <o:lock v:ext="edit" aspectratio="f"/>
                      <v:textbox>
                        <w:txbxContent>
                          <w:p w14:paraId="731699A4">
                            <w:pPr>
                              <w:jc w:val="center"/>
                              <w:rPr>
                                <w:rFonts w:hint="default" w:eastAsia="宋体"/>
                                <w:lang w:val="en-US" w:eastAsia="zh-CN"/>
                              </w:rPr>
                            </w:pPr>
                            <w:r>
                              <w:rPr>
                                <w:rFonts w:hint="eastAsia"/>
                                <w:lang w:val="en-US" w:eastAsia="zh-CN"/>
                              </w:rPr>
                              <w:t>云约部分敏感点</w:t>
                            </w:r>
                          </w:p>
                        </w:txbxContent>
                      </v:textbox>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1192530</wp:posOffset>
                      </wp:positionH>
                      <wp:positionV relativeFrom="paragraph">
                        <wp:posOffset>612775</wp:posOffset>
                      </wp:positionV>
                      <wp:extent cx="294640" cy="215900"/>
                      <wp:effectExtent l="12065" t="6350" r="17145" b="25400"/>
                      <wp:wrapNone/>
                      <wp:docPr id="23" name="任意多边形 23"/>
                      <wp:cNvGraphicFramePr/>
                      <a:graphic xmlns:a="http://schemas.openxmlformats.org/drawingml/2006/main">
                        <a:graphicData uri="http://schemas.microsoft.com/office/word/2010/wordprocessingShape">
                          <wps:wsp>
                            <wps:cNvSpPr/>
                            <wps:spPr>
                              <a:xfrm>
                                <a:off x="5145405" y="4102100"/>
                                <a:ext cx="294640" cy="215900"/>
                              </a:xfrm>
                              <a:custGeom>
                                <a:avLst/>
                                <a:gdLst>
                                  <a:gd name="connisteX0" fmla="*/ 95250 w 294640"/>
                                  <a:gd name="connsiteY0" fmla="*/ 0 h 215900"/>
                                  <a:gd name="connisteX1" fmla="*/ 164465 w 294640"/>
                                  <a:gd name="connsiteY1" fmla="*/ 0 h 215900"/>
                                  <a:gd name="connisteX2" fmla="*/ 242570 w 294640"/>
                                  <a:gd name="connsiteY2" fmla="*/ 25400 h 215900"/>
                                  <a:gd name="connisteX3" fmla="*/ 294640 w 294640"/>
                                  <a:gd name="connsiteY3" fmla="*/ 138430 h 215900"/>
                                  <a:gd name="connisteX4" fmla="*/ 121285 w 294640"/>
                                  <a:gd name="connsiteY4" fmla="*/ 164465 h 215900"/>
                                  <a:gd name="connisteX5" fmla="*/ 0 w 294640"/>
                                  <a:gd name="connsiteY5" fmla="*/ 215900 h 215900"/>
                                  <a:gd name="connisteX6" fmla="*/ 95250 w 294640"/>
                                  <a:gd name="connsiteY6" fmla="*/ 0 h 2159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294640" h="215900">
                                    <a:moveTo>
                                      <a:pt x="95250" y="0"/>
                                    </a:moveTo>
                                    <a:lnTo>
                                      <a:pt x="164465" y="0"/>
                                    </a:lnTo>
                                    <a:lnTo>
                                      <a:pt x="242570" y="25400"/>
                                    </a:lnTo>
                                    <a:lnTo>
                                      <a:pt x="294640" y="138430"/>
                                    </a:lnTo>
                                    <a:lnTo>
                                      <a:pt x="121285" y="164465"/>
                                    </a:lnTo>
                                    <a:lnTo>
                                      <a:pt x="0" y="215900"/>
                                    </a:lnTo>
                                    <a:lnTo>
                                      <a:pt x="95250"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3.9pt;margin-top:48.25pt;height:17pt;width:23.2pt;z-index:251667456;mso-width-relative:page;mso-height-relative:page;" filled="f" stroked="t" coordsize="294640,215900" o:gfxdata="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sWd/YNoAAAAKAQAADwAAAAAAAAABACAA&#10;AAAiAAAAZHJzL2Rvd25yZXYueG1sUEsBAhQAFAAAAAgAh07iQBujjxRhAwAA4AkAAA4AAAAAAAAA&#10;AQAgAAAAKQEAAGRycy9lMm9Eb2MueG1sUEsFBgAAAAAGAAYAWQEAAPwGAAAAAA==&#10;" path="m95250,0l164465,0,242570,25400,294640,138430,121285,164465,0,215900,95250,0xe">
                      <v:path o:connectlocs="95250,0;164465,0;242570,25400;294640,138430;121285,164465;0,215900;95250,0" o:connectangles="0,0,0,0,0,0,0"/>
                      <v:fill on="f" focussize="0,0"/>
                      <v:stroke weight="1pt" color="#FFFF00 [24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1149350</wp:posOffset>
                      </wp:positionH>
                      <wp:positionV relativeFrom="paragraph">
                        <wp:posOffset>811530</wp:posOffset>
                      </wp:positionV>
                      <wp:extent cx="502285" cy="415925"/>
                      <wp:effectExtent l="7620" t="6350" r="23495" b="15875"/>
                      <wp:wrapNone/>
                      <wp:docPr id="22" name="任意多边形 22"/>
                      <wp:cNvGraphicFramePr/>
                      <a:graphic xmlns:a="http://schemas.openxmlformats.org/drawingml/2006/main">
                        <a:graphicData uri="http://schemas.microsoft.com/office/word/2010/wordprocessingShape">
                          <wps:wsp>
                            <wps:cNvSpPr/>
                            <wps:spPr>
                              <a:xfrm>
                                <a:off x="5102225" y="4300855"/>
                                <a:ext cx="502285" cy="415925"/>
                              </a:xfrm>
                              <a:custGeom>
                                <a:avLst/>
                                <a:gdLst>
                                  <a:gd name="connisteX0" fmla="*/ 198755 w 502285"/>
                                  <a:gd name="connsiteY0" fmla="*/ 8890 h 415925"/>
                                  <a:gd name="connisteX1" fmla="*/ 476250 w 502285"/>
                                  <a:gd name="connsiteY1" fmla="*/ 0 h 415925"/>
                                  <a:gd name="connisteX2" fmla="*/ 433070 w 502285"/>
                                  <a:gd name="connsiteY2" fmla="*/ 346710 h 415925"/>
                                  <a:gd name="connisteX3" fmla="*/ 502285 w 502285"/>
                                  <a:gd name="connsiteY3" fmla="*/ 398145 h 415925"/>
                                  <a:gd name="connisteX4" fmla="*/ 476250 w 502285"/>
                                  <a:gd name="connsiteY4" fmla="*/ 415925 h 415925"/>
                                  <a:gd name="connisteX5" fmla="*/ 242570 w 502285"/>
                                  <a:gd name="connsiteY5" fmla="*/ 415925 h 415925"/>
                                  <a:gd name="connisteX6" fmla="*/ 0 w 502285"/>
                                  <a:gd name="connsiteY6" fmla="*/ 259715 h 415925"/>
                                  <a:gd name="connisteX7" fmla="*/ 43180 w 502285"/>
                                  <a:gd name="connsiteY7" fmla="*/ 112395 h 415925"/>
                                  <a:gd name="connisteX8" fmla="*/ 198755 w 502285"/>
                                  <a:gd name="connsiteY8" fmla="*/ 8890 h 4159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502285" h="415925">
                                    <a:moveTo>
                                      <a:pt x="198755" y="8890"/>
                                    </a:moveTo>
                                    <a:lnTo>
                                      <a:pt x="476250" y="0"/>
                                    </a:lnTo>
                                    <a:lnTo>
                                      <a:pt x="433070" y="346710"/>
                                    </a:lnTo>
                                    <a:lnTo>
                                      <a:pt x="502285" y="398145"/>
                                    </a:lnTo>
                                    <a:lnTo>
                                      <a:pt x="476250" y="415925"/>
                                    </a:lnTo>
                                    <a:lnTo>
                                      <a:pt x="242570" y="415925"/>
                                    </a:lnTo>
                                    <a:lnTo>
                                      <a:pt x="0" y="259715"/>
                                    </a:lnTo>
                                    <a:lnTo>
                                      <a:pt x="43180" y="112395"/>
                                    </a:lnTo>
                                    <a:lnTo>
                                      <a:pt x="198755" y="889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0.5pt;margin-top:63.9pt;height:32.75pt;width:39.55pt;z-index:251666432;mso-width-relative:page;mso-height-relative:page;" filled="f" stroked="t" coordsize="502285,415925" o:gfxdata="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Dvi0Jc2QAAAAsBAAAP&#10;AAAAAAAAAAEAIAAAACIAAABkcnMvZG93bnJldi54bWxQSwECFAAUAAAACACHTuJA/e1UuqYDAACS&#10;CwAADgAAAAAAAAABACAAAAAoAQAAZHJzL2Uyb0RvYy54bWxQSwUGAAAAAAYABgBZAQAAQAcAAAAA&#10;" path="m198755,8890l476250,0,433070,346710,502285,398145,476250,415925,242570,415925,0,259715,43180,112395,198755,8890xe">
                      <v:path o:connectlocs="198755,8890;476250,0;433070,346710;502285,398145;476250,415925;242570,415925;0,259715;43180,112395;198755,8890" o:connectangles="0,0,0,0,0,0,0,0,0"/>
                      <v:fill on="f" focussize="0,0"/>
                      <v:stroke weight="1pt" color="#FF0000 [2404]" miterlimit="8" joinstyle="miter"/>
                      <v:imagedata o:title=""/>
                      <o:lock v:ext="edit" aspectratio="f"/>
                    </v:shape>
                  </w:pict>
                </mc:Fallback>
              </mc:AlternateContent>
            </w:r>
            <w:r>
              <w:rPr>
                <w:rFonts w:hint="eastAsia" w:eastAsia="宋体"/>
                <w:color w:val="auto"/>
                <w:sz w:val="24"/>
                <w:lang w:eastAsia="zh-CN"/>
              </w:rPr>
              <w:drawing>
                <wp:inline distT="0" distB="0" distL="114300" distR="114300">
                  <wp:extent cx="2600960" cy="1950720"/>
                  <wp:effectExtent l="0" t="0" r="8890" b="11430"/>
                  <wp:docPr id="17" name="图片 17" descr="DJI_20251225123222_0424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JI_20251225123222_0424_D"/>
                          <pic:cNvPicPr>
                            <a:picLocks noChangeAspect="1"/>
                          </pic:cNvPicPr>
                        </pic:nvPicPr>
                        <pic:blipFill>
                          <a:blip r:embed="rId15"/>
                          <a:stretch>
                            <a:fillRect/>
                          </a:stretch>
                        </pic:blipFill>
                        <pic:spPr>
                          <a:xfrm>
                            <a:off x="0" y="0"/>
                            <a:ext cx="2600960" cy="1950720"/>
                          </a:xfrm>
                          <a:prstGeom prst="rect">
                            <a:avLst/>
                          </a:prstGeom>
                        </pic:spPr>
                      </pic:pic>
                    </a:graphicData>
                  </a:graphic>
                </wp:inline>
              </w:drawing>
            </w:r>
          </w:p>
        </w:tc>
      </w:tr>
      <w:tr w14:paraId="0A41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tcPr>
          <w:p w14:paraId="052D6D6B">
            <w:pPr>
              <w:adjustRightInd w:val="0"/>
              <w:snapToGrid w:val="0"/>
              <w:jc w:val="center"/>
              <w:rPr>
                <w:rFonts w:hint="default"/>
                <w:color w:val="auto"/>
                <w:sz w:val="24"/>
                <w:lang w:val="en-US"/>
              </w:rPr>
            </w:pPr>
            <w:r>
              <w:rPr>
                <w:rFonts w:hint="eastAsia"/>
                <w:color w:val="auto"/>
                <w:sz w:val="24"/>
                <w:lang w:val="en-US" w:eastAsia="zh-CN"/>
              </w:rPr>
              <w:t>东</w:t>
            </w:r>
            <w:r>
              <w:rPr>
                <w:rFonts w:hint="eastAsia"/>
                <w:color w:val="auto"/>
                <w:sz w:val="24"/>
                <w:lang w:eastAsia="zh-CN"/>
              </w:rPr>
              <w:t>侧铁路主路</w:t>
            </w:r>
          </w:p>
        </w:tc>
        <w:tc>
          <w:tcPr>
            <w:tcW w:w="4424" w:type="dxa"/>
          </w:tcPr>
          <w:p w14:paraId="027AF9C7">
            <w:pPr>
              <w:adjustRightInd w:val="0"/>
              <w:snapToGrid w:val="0"/>
              <w:jc w:val="center"/>
              <w:rPr>
                <w:rFonts w:hint="default" w:eastAsia="宋体"/>
                <w:color w:val="auto"/>
                <w:sz w:val="24"/>
                <w:lang w:val="en-US" w:eastAsia="zh-CN"/>
              </w:rPr>
            </w:pPr>
            <w:r>
              <w:rPr>
                <w:rFonts w:hint="eastAsia"/>
                <w:color w:val="auto"/>
                <w:sz w:val="24"/>
                <w:lang w:val="en-US" w:eastAsia="zh-CN"/>
              </w:rPr>
              <w:t>云约村</w:t>
            </w:r>
          </w:p>
        </w:tc>
      </w:tr>
      <w:tr w14:paraId="4C67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tcPr>
          <w:p w14:paraId="29691796">
            <w:pPr>
              <w:adjustRightInd w:val="0"/>
              <w:snapToGrid w:val="0"/>
              <w:jc w:val="center"/>
              <w:rPr>
                <w:rFonts w:hint="eastAsia"/>
                <w:color w:val="auto"/>
                <w:sz w:val="24"/>
                <w:lang w:val="en-US" w:eastAsia="zh-CN"/>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1990725</wp:posOffset>
                      </wp:positionH>
                      <wp:positionV relativeFrom="paragraph">
                        <wp:posOffset>224790</wp:posOffset>
                      </wp:positionV>
                      <wp:extent cx="803910" cy="27559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80391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9427E">
                                  <w:pPr>
                                    <w:rPr>
                                      <w:rFonts w:hint="eastAsia"/>
                                      <w:color w:val="FFFF00"/>
                                      <w:lang w:val="en-US" w:eastAsia="zh-CN"/>
                                    </w:rPr>
                                  </w:pPr>
                                  <w:r>
                                    <w:rPr>
                                      <w:rFonts w:hint="eastAsia"/>
                                      <w:color w:val="FFFF00"/>
                                      <w:lang w:val="en-US" w:eastAsia="zh-CN"/>
                                    </w:rPr>
                                    <w:t>陈屋村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75pt;margin-top:17.7pt;height:21.7pt;width:63.3pt;z-index:251665408;mso-width-relative:page;mso-height-relative:page;" filled="f" stroked="f" coordsize="21600,21600" o:gfxdata="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&#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sKIL9sAAAAJAQAADwAAAAAAAAABACAAAAAiAAAA&#10;ZHJzL2Rvd25yZXYueG1sUEsBAhQAFAAAAAgAh07iQF28xr49AgAAZwQAAA4AAAAAAAAAAQAgAAAA&#10;KgEAAGRycy9lMm9Eb2MueG1sUEsFBgAAAAAGAAYAWQEAANkFAAAAAA==&#10;">
                      <v:fill on="f" focussize="0,0"/>
                      <v:stroke on="f" weight="0.5pt"/>
                      <v:imagedata o:title=""/>
                      <o:lock v:ext="edit" aspectratio="f"/>
                      <v:textbox>
                        <w:txbxContent>
                          <w:p w14:paraId="6FF9427E">
                            <w:pPr>
                              <w:rPr>
                                <w:rFonts w:hint="eastAsia"/>
                                <w:color w:val="FFFF00"/>
                                <w:lang w:val="en-US" w:eastAsia="zh-CN"/>
                              </w:rPr>
                            </w:pPr>
                            <w:r>
                              <w:rPr>
                                <w:rFonts w:hint="eastAsia"/>
                                <w:color w:val="FFFF00"/>
                                <w:lang w:val="en-US" w:eastAsia="zh-CN"/>
                              </w:rPr>
                              <w:t>陈屋村</w:t>
                            </w:r>
                          </w:p>
                        </w:txbxContent>
                      </v:textbox>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907415</wp:posOffset>
                      </wp:positionH>
                      <wp:positionV relativeFrom="paragraph">
                        <wp:posOffset>537845</wp:posOffset>
                      </wp:positionV>
                      <wp:extent cx="803910" cy="275590"/>
                      <wp:effectExtent l="0" t="0" r="0" b="0"/>
                      <wp:wrapNone/>
                      <wp:docPr id="18" name="文本框 18"/>
                      <wp:cNvGraphicFramePr/>
                      <a:graphic xmlns:a="http://schemas.openxmlformats.org/drawingml/2006/main">
                        <a:graphicData uri="http://schemas.microsoft.com/office/word/2010/wordprocessingShape">
                          <wps:wsp>
                            <wps:cNvSpPr txBox="1"/>
                            <wps:spPr>
                              <a:xfrm>
                                <a:off x="1879600" y="6199505"/>
                                <a:ext cx="80391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5AD33">
                                  <w:pPr>
                                    <w:rPr>
                                      <w:rFonts w:hint="eastAsia" w:eastAsia="宋体"/>
                                      <w:color w:val="FFFF00"/>
                                      <w:lang w:val="en-US" w:eastAsia="zh-CN"/>
                                    </w:rPr>
                                  </w:pPr>
                                  <w:r>
                                    <w:rPr>
                                      <w:rFonts w:hint="eastAsia"/>
                                      <w:color w:val="FFFF00"/>
                                      <w:lang w:val="en-US" w:eastAsia="zh-CN"/>
                                    </w:rPr>
                                    <w:t>黄京角村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45pt;margin-top:42.35pt;height:21.7pt;width:63.3pt;z-index:251664384;mso-width-relative:page;mso-height-relative:page;" filled="f" stroked="f" coordsize="21600,21600" o:gfxdata="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eiY1HaAAAACgEAAA8AAAAAAAAA&#10;AQAgAAAAIgAAAGRycy9kb3ducmV2LnhtbFBLAQIUABQAAAAIAIdO4kC6cz8ASAIAAHMEAAAOAAAA&#10;AAAAAAEAIAAAACkBAABkcnMvZTJvRG9jLnhtbFBLBQYAAAAABgAGAFkBAADjBQAAAAA=&#10;">
                      <v:fill on="f" focussize="0,0"/>
                      <v:stroke on="f" weight="0.5pt"/>
                      <v:imagedata o:title=""/>
                      <o:lock v:ext="edit" aspectratio="f"/>
                      <v:textbox>
                        <w:txbxContent>
                          <w:p w14:paraId="0035AD33">
                            <w:pPr>
                              <w:rPr>
                                <w:rFonts w:hint="eastAsia" w:eastAsia="宋体"/>
                                <w:color w:val="FFFF00"/>
                                <w:lang w:val="en-US" w:eastAsia="zh-CN"/>
                              </w:rPr>
                            </w:pPr>
                            <w:r>
                              <w:rPr>
                                <w:rFonts w:hint="eastAsia"/>
                                <w:color w:val="FFFF00"/>
                                <w:lang w:val="en-US" w:eastAsia="zh-CN"/>
                              </w:rPr>
                              <w:t>黄京角村</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2262505</wp:posOffset>
                      </wp:positionH>
                      <wp:positionV relativeFrom="paragraph">
                        <wp:posOffset>336550</wp:posOffset>
                      </wp:positionV>
                      <wp:extent cx="274955" cy="106045"/>
                      <wp:effectExtent l="17780" t="52070" r="24765" b="57785"/>
                      <wp:wrapNone/>
                      <wp:docPr id="15" name="矩形 15"/>
                      <wp:cNvGraphicFramePr/>
                      <a:graphic xmlns:a="http://schemas.openxmlformats.org/drawingml/2006/main">
                        <a:graphicData uri="http://schemas.microsoft.com/office/word/2010/wordprocessingShape">
                          <wps:wsp>
                            <wps:cNvSpPr/>
                            <wps:spPr>
                              <a:xfrm rot="20400000">
                                <a:off x="3234690" y="5998210"/>
                                <a:ext cx="274955" cy="106045"/>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15pt;margin-top:26.5pt;height:8.35pt;width:21.65pt;rotation:-1310720f;z-index:251663360;v-text-anchor:middle;mso-width-relative:page;mso-height-relative:page;" filled="f" stroked="t" coordsize="21600,21600" o:gfxdata="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05MFh1wAAAAkBAAAPAAAAAAAAAAEAIAAA&#10;ACIAAABkcnMvZG93bnJldi54bWxQSwECFAAUAAAACACHTuJA8edmgn8CAADnBAAADgAAAAAAAAAB&#10;ACAAAAAmAQAAZHJzL2Uyb0RvYy54bWxQSwUGAAAAAAYABgBZAQAAFwYAAAAA&#10;">
                      <v:fill on="f" focussize="0,0"/>
                      <v:stroke weight="1pt" color="#FFFF00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436880</wp:posOffset>
                      </wp:positionH>
                      <wp:positionV relativeFrom="paragraph">
                        <wp:posOffset>1045845</wp:posOffset>
                      </wp:positionV>
                      <wp:extent cx="936625" cy="320675"/>
                      <wp:effectExtent l="0" t="0" r="0" b="0"/>
                      <wp:wrapNone/>
                      <wp:docPr id="13" name="文本框 13"/>
                      <wp:cNvGraphicFramePr/>
                      <a:graphic xmlns:a="http://schemas.openxmlformats.org/drawingml/2006/main">
                        <a:graphicData uri="http://schemas.microsoft.com/office/word/2010/wordprocessingShape">
                          <wps:wsp>
                            <wps:cNvSpPr txBox="1"/>
                            <wps:spPr>
                              <a:xfrm rot="20280000">
                                <a:off x="1409065" y="6771005"/>
                                <a:ext cx="936625" cy="320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DCD3A">
                                  <w:pPr>
                                    <w:rPr>
                                      <w:rFonts w:hint="eastAsia" w:eastAsia="宋体"/>
                                      <w:color w:val="FFFF00"/>
                                      <w:lang w:val="en-US" w:eastAsia="zh-CN"/>
                                    </w:rPr>
                                  </w:pPr>
                                  <w:r>
                                    <w:rPr>
                                      <w:rFonts w:hint="eastAsia"/>
                                      <w:color w:val="FFFF00"/>
                                      <w:lang w:val="en-US" w:eastAsia="zh-CN"/>
                                    </w:rPr>
                                    <w:t>沙企一级路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pt;margin-top:82.35pt;height:25.25pt;width:73.75pt;rotation:-1441792f;z-index:251662336;mso-width-relative:page;mso-height-relative:page;" filled="f" stroked="f" coordsize="21600,21600" o:gfxdata="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fMIYS2QAAAAoBAAAP&#10;AAAAAAAAAAEAIAAAACIAAABkcnMvZG93bnJldi54bWxQSwECFAAUAAAACACHTuJAa9gUdFACAACC&#10;BAAADgAAAAAAAAABACAAAAAoAQAAZHJzL2Uyb0RvYy54bWxQSwUGAAAAAAYABgBZAQAA6gUAAAAA&#10;">
                      <v:fill on="f" focussize="0,0"/>
                      <v:stroke on="f" weight="0.5pt"/>
                      <v:imagedata o:title=""/>
                      <o:lock v:ext="edit" aspectratio="f"/>
                      <v:textbox>
                        <w:txbxContent>
                          <w:p w14:paraId="340DCD3A">
                            <w:pPr>
                              <w:rPr>
                                <w:rFonts w:hint="eastAsia" w:eastAsia="宋体"/>
                                <w:color w:val="FFFF00"/>
                                <w:lang w:val="en-US" w:eastAsia="zh-CN"/>
                              </w:rPr>
                            </w:pPr>
                            <w:r>
                              <w:rPr>
                                <w:rFonts w:hint="eastAsia"/>
                                <w:color w:val="FFFF00"/>
                                <w:lang w:val="en-US" w:eastAsia="zh-CN"/>
                              </w:rPr>
                              <w:t>沙企一级路</w:t>
                            </w:r>
                          </w:p>
                        </w:txbxContent>
                      </v:textbox>
                    </v:shape>
                  </w:pict>
                </mc:Fallback>
              </mc:AlternateContent>
            </w: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643255</wp:posOffset>
                      </wp:positionH>
                      <wp:positionV relativeFrom="paragraph">
                        <wp:posOffset>528320</wp:posOffset>
                      </wp:positionV>
                      <wp:extent cx="1027430" cy="317500"/>
                      <wp:effectExtent l="15240" t="6350" r="24130" b="6350"/>
                      <wp:wrapNone/>
                      <wp:docPr id="3" name="任意多边形 3"/>
                      <wp:cNvGraphicFramePr/>
                      <a:graphic xmlns:a="http://schemas.openxmlformats.org/drawingml/2006/main">
                        <a:graphicData uri="http://schemas.microsoft.com/office/word/2010/wordprocessingShape">
                          <wps:wsp>
                            <wps:cNvSpPr/>
                            <wps:spPr>
                              <a:xfrm>
                                <a:off x="1615440" y="6189980"/>
                                <a:ext cx="1027430" cy="317500"/>
                              </a:xfrm>
                              <a:custGeom>
                                <a:avLst/>
                                <a:gdLst>
                                  <a:gd name="connisteX0" fmla="*/ 0 w 1027430"/>
                                  <a:gd name="connsiteY0" fmla="*/ 201930 h 317500"/>
                                  <a:gd name="connisteX1" fmla="*/ 450215 w 1027430"/>
                                  <a:gd name="connsiteY1" fmla="*/ 306070 h 317500"/>
                                  <a:gd name="connisteX2" fmla="*/ 657860 w 1027430"/>
                                  <a:gd name="connsiteY2" fmla="*/ 317500 h 317500"/>
                                  <a:gd name="connisteX3" fmla="*/ 952500 w 1027430"/>
                                  <a:gd name="connsiteY3" fmla="*/ 179070 h 317500"/>
                                  <a:gd name="connisteX4" fmla="*/ 1027430 w 1027430"/>
                                  <a:gd name="connsiteY4" fmla="*/ 109855 h 317500"/>
                                  <a:gd name="connisteX5" fmla="*/ 767715 w 1027430"/>
                                  <a:gd name="connsiteY5" fmla="*/ 52070 h 317500"/>
                                  <a:gd name="connisteX6" fmla="*/ 450215 w 1027430"/>
                                  <a:gd name="connsiteY6" fmla="*/ 0 h 317500"/>
                                  <a:gd name="connisteX7" fmla="*/ 138430 w 1027430"/>
                                  <a:gd name="connsiteY7" fmla="*/ 104140 h 317500"/>
                                  <a:gd name="connisteX8" fmla="*/ 0 w 1027430"/>
                                  <a:gd name="connsiteY8" fmla="*/ 201930 h 3175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027430" h="317500">
                                    <a:moveTo>
                                      <a:pt x="0" y="201930"/>
                                    </a:moveTo>
                                    <a:lnTo>
                                      <a:pt x="450215" y="306070"/>
                                    </a:lnTo>
                                    <a:lnTo>
                                      <a:pt x="657860" y="317500"/>
                                    </a:lnTo>
                                    <a:lnTo>
                                      <a:pt x="952500" y="179070"/>
                                    </a:lnTo>
                                    <a:lnTo>
                                      <a:pt x="1027430" y="109855"/>
                                    </a:lnTo>
                                    <a:lnTo>
                                      <a:pt x="767715" y="52070"/>
                                    </a:lnTo>
                                    <a:lnTo>
                                      <a:pt x="450215" y="0"/>
                                    </a:lnTo>
                                    <a:lnTo>
                                      <a:pt x="138430" y="104140"/>
                                    </a:lnTo>
                                    <a:lnTo>
                                      <a:pt x="0" y="20193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0.65pt;margin-top:41.6pt;height:25pt;width:80.9pt;z-index:251659264;mso-width-relative:page;mso-height-relative:page;" filled="f" stroked="t" coordsize="1027430,317500" o:gfxdata="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DHxqcL2AAAAAoBAAAPAAAAAAAAAAEA&#10;IAAAACIAAABkcnMvZG93bnJldi54bWxQSwECFAAUAAAACACHTuJAbsAPgp4DAACbCwAADgAAAAAA&#10;AAABACAAAAAnAQAAZHJzL2Uyb0RvYy54bWxQSwUGAAAAAAYABgBZAQAANwcAAAAA&#10;" path="m0,201930l450215,306070,657860,317500,952500,179070,1027430,109855,767715,52070,450215,0,138430,104140,0,201930xe">
                      <v:path o:connectlocs="0,201930;450215,306070;657860,317500;952500,179070;1027430,109855;767715,52070;450215,0;138430,104140;0,201930" o:connectangles="0,0,0,0,0,0,0,0,0"/>
                      <v:fill on="f" focussize="0,0"/>
                      <v:stroke weight="1pt" color="#FFFF00 [2404]" miterlimit="8" joinstyle="miter"/>
                      <v:imagedata o:title=""/>
                      <o:lock v:ext="edit" aspectratio="f"/>
                    </v:shape>
                  </w:pict>
                </mc:Fallback>
              </mc:AlternateContent>
            </w:r>
            <w:r>
              <w:rPr>
                <w:rFonts w:hint="eastAsia"/>
                <w:color w:val="auto"/>
                <w:sz w:val="24"/>
                <w:lang w:val="en-US" w:eastAsia="zh-CN"/>
              </w:rPr>
              <w:drawing>
                <wp:inline distT="0" distB="0" distL="114300" distR="114300">
                  <wp:extent cx="2934335" cy="1918970"/>
                  <wp:effectExtent l="0" t="0" r="1206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934335" cy="1918970"/>
                          </a:xfrm>
                          <a:prstGeom prst="rect">
                            <a:avLst/>
                          </a:prstGeom>
                          <a:noFill/>
                          <a:ln>
                            <a:noFill/>
                          </a:ln>
                        </pic:spPr>
                      </pic:pic>
                    </a:graphicData>
                  </a:graphic>
                </wp:inline>
              </w:drawing>
            </w:r>
          </w:p>
        </w:tc>
        <w:tc>
          <w:tcPr>
            <w:tcW w:w="4424" w:type="dxa"/>
          </w:tcPr>
          <w:p w14:paraId="4ED9583D">
            <w:pPr>
              <w:adjustRightInd w:val="0"/>
              <w:snapToGrid w:val="0"/>
              <w:jc w:val="center"/>
              <w:rPr>
                <w:rFonts w:hint="eastAsia"/>
                <w:color w:val="auto"/>
                <w:sz w:val="24"/>
                <w:lang w:val="en-US" w:eastAsia="zh-CN"/>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655320</wp:posOffset>
                      </wp:positionV>
                      <wp:extent cx="525780" cy="225425"/>
                      <wp:effectExtent l="10795" t="6350" r="9525" b="9525"/>
                      <wp:wrapNone/>
                      <wp:docPr id="9" name="任意多边形 9"/>
                      <wp:cNvGraphicFramePr/>
                      <a:graphic xmlns:a="http://schemas.openxmlformats.org/drawingml/2006/main">
                        <a:graphicData uri="http://schemas.microsoft.com/office/word/2010/wordprocessingShape">
                          <wps:wsp>
                            <wps:cNvSpPr/>
                            <wps:spPr>
                              <a:xfrm>
                                <a:off x="3945255" y="6316980"/>
                                <a:ext cx="525780" cy="225425"/>
                              </a:xfrm>
                              <a:custGeom>
                                <a:avLst/>
                                <a:gdLst>
                                  <a:gd name="connisteX0" fmla="*/ 40640 w 525780"/>
                                  <a:gd name="connsiteY0" fmla="*/ 17780 h 225425"/>
                                  <a:gd name="connisteX1" fmla="*/ 525780 w 525780"/>
                                  <a:gd name="connsiteY1" fmla="*/ 0 h 225425"/>
                                  <a:gd name="connisteX2" fmla="*/ 502285 w 525780"/>
                                  <a:gd name="connsiteY2" fmla="*/ 225425 h 225425"/>
                                  <a:gd name="connisteX3" fmla="*/ 184785 w 525780"/>
                                  <a:gd name="connsiteY3" fmla="*/ 225425 h 225425"/>
                                  <a:gd name="connisteX4" fmla="*/ 0 w 525780"/>
                                  <a:gd name="connsiteY4" fmla="*/ 34925 h 225425"/>
                                  <a:gd name="connisteX5" fmla="*/ 40640 w 525780"/>
                                  <a:gd name="connsiteY5" fmla="*/ 17780 h 2254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525780" h="225425">
                                    <a:moveTo>
                                      <a:pt x="40640" y="17780"/>
                                    </a:moveTo>
                                    <a:lnTo>
                                      <a:pt x="525780" y="0"/>
                                    </a:lnTo>
                                    <a:lnTo>
                                      <a:pt x="502285" y="225425"/>
                                    </a:lnTo>
                                    <a:lnTo>
                                      <a:pt x="184785" y="225425"/>
                                    </a:lnTo>
                                    <a:lnTo>
                                      <a:pt x="0" y="34925"/>
                                    </a:lnTo>
                                    <a:lnTo>
                                      <a:pt x="40640" y="1778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0.6pt;margin-top:51.6pt;height:17.75pt;width:41.4pt;z-index:251661312;mso-width-relative:page;mso-height-relative:page;" filled="f" stroked="t" coordsize="525780,225425" o:gfxdata="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O69J3tgAAAAJAQAADwAA&#10;AAAAAAABACAAAAAiAAAAZHJzL2Rvd25yZXYueG1sUEsBAhQAFAAAAAgAh07iQJvrvMAzAwAAHQkA&#10;AA4AAAAAAAAAAQAgAAAAJwEAAGRycy9lMm9Eb2MueG1sUEsFBgAAAAAGAAYAWQEAAMwGAAAAAA==&#10;" path="m40640,17780l525780,0,502285,225425,184785,225425,0,34925,40640,17780xe">
                      <v:path o:connectlocs="40640,17780;525780,0;502285,225425;184785,225425;0,34925;40640,17780" o:connectangles="0,0,0,0,0,0"/>
                      <v:fill on="f" focussize="0,0"/>
                      <v:stroke weight="1pt" color="#FFFF00 [2404]" miterlimit="8" joinstyle="miter"/>
                      <v:imagedata o:title=""/>
                      <o:lock v:ext="edit" aspectratio="f"/>
                    </v:shap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2388235</wp:posOffset>
                      </wp:positionH>
                      <wp:positionV relativeFrom="paragraph">
                        <wp:posOffset>597535</wp:posOffset>
                      </wp:positionV>
                      <wp:extent cx="283210" cy="848995"/>
                      <wp:effectExtent l="6350" t="6985" r="15240" b="20320"/>
                      <wp:wrapNone/>
                      <wp:docPr id="8" name="任意多边形 8"/>
                      <wp:cNvGraphicFramePr/>
                      <a:graphic xmlns:a="http://schemas.openxmlformats.org/drawingml/2006/main">
                        <a:graphicData uri="http://schemas.microsoft.com/office/word/2010/wordprocessingShape">
                          <wps:wsp>
                            <wps:cNvSpPr/>
                            <wps:spPr>
                              <a:xfrm>
                                <a:off x="6341110" y="6259195"/>
                                <a:ext cx="283210" cy="848995"/>
                              </a:xfrm>
                              <a:custGeom>
                                <a:avLst/>
                                <a:gdLst>
                                  <a:gd name="connisteX0" fmla="*/ 144145 w 283210"/>
                                  <a:gd name="connsiteY0" fmla="*/ 0 h 848995"/>
                                  <a:gd name="connisteX1" fmla="*/ 0 w 283210"/>
                                  <a:gd name="connsiteY1" fmla="*/ 156210 h 848995"/>
                                  <a:gd name="connisteX2" fmla="*/ 5715 w 283210"/>
                                  <a:gd name="connsiteY2" fmla="*/ 513715 h 848995"/>
                                  <a:gd name="connisteX3" fmla="*/ 109855 w 283210"/>
                                  <a:gd name="connsiteY3" fmla="*/ 848995 h 848995"/>
                                  <a:gd name="connisteX4" fmla="*/ 254000 w 283210"/>
                                  <a:gd name="connsiteY4" fmla="*/ 774065 h 848995"/>
                                  <a:gd name="connisteX5" fmla="*/ 283210 w 283210"/>
                                  <a:gd name="connsiteY5" fmla="*/ 34925 h 848995"/>
                                  <a:gd name="connisteX6" fmla="*/ 144145 w 283210"/>
                                  <a:gd name="connsiteY6" fmla="*/ 0 h 84899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283210" h="848995">
                                    <a:moveTo>
                                      <a:pt x="144145" y="0"/>
                                    </a:moveTo>
                                    <a:lnTo>
                                      <a:pt x="0" y="156210"/>
                                    </a:lnTo>
                                    <a:lnTo>
                                      <a:pt x="5715" y="513715"/>
                                    </a:lnTo>
                                    <a:lnTo>
                                      <a:pt x="109855" y="848995"/>
                                    </a:lnTo>
                                    <a:lnTo>
                                      <a:pt x="254000" y="774065"/>
                                    </a:lnTo>
                                    <a:lnTo>
                                      <a:pt x="283210" y="34925"/>
                                    </a:lnTo>
                                    <a:lnTo>
                                      <a:pt x="144145" y="0"/>
                                    </a:lnTo>
                                    <a:close/>
                                  </a:path>
                                </a:pathLst>
                              </a:cu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88.05pt;margin-top:47.05pt;height:66.85pt;width:22.3pt;z-index:251660288;mso-width-relative:page;mso-height-relative:page;" filled="f" stroked="t" coordsize="283210,848995" o:gfxdata="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4/tWG2wAAAAoBAAAPAAAAAAAAAAEAIAAAACIA&#10;AABkcnMvZG93bnJldi54bWxQSwECFAAUAAAACACHTuJAvOCA91wDAADoCQAADgAAAAAAAAABACAA&#10;AAAqAQAAZHJzL2Uyb0RvYy54bWxQSwUGAAAAAAYABgBZAQAA+AYAAAAA&#10;" path="m144145,0l0,156210,5715,513715,109855,848995,254000,774065,283210,34925,144145,0xe">
                      <v:path o:connectlocs="144145,0;0,156210;5715,513715;109855,848995;254000,774065;283210,34925;144145,0" o:connectangles="0,0,0,0,0,0,0"/>
                      <v:fill on="f" focussize="0,0"/>
                      <v:stroke weight="1pt" color="#FFFF00 [2404]" miterlimit="8" joinstyle="miter"/>
                      <v:imagedata o:title=""/>
                      <o:lock v:ext="edit" aspectratio="f"/>
                    </v:shape>
                  </w:pict>
                </mc:Fallback>
              </mc:AlternateContent>
            </w:r>
            <w:r>
              <w:rPr>
                <w:rFonts w:hint="eastAsia"/>
                <w:color w:val="auto"/>
                <w:sz w:val="24"/>
                <w:lang w:val="en-US" w:eastAsia="zh-CN"/>
              </w:rPr>
              <w:drawing>
                <wp:inline distT="0" distB="0" distL="114300" distR="114300">
                  <wp:extent cx="2727960" cy="2098040"/>
                  <wp:effectExtent l="0" t="0" r="2540"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2727960" cy="2098040"/>
                          </a:xfrm>
                          <a:prstGeom prst="rect">
                            <a:avLst/>
                          </a:prstGeom>
                          <a:noFill/>
                          <a:ln>
                            <a:noFill/>
                          </a:ln>
                        </pic:spPr>
                      </pic:pic>
                    </a:graphicData>
                  </a:graphic>
                </wp:inline>
              </w:drawing>
            </w:r>
          </w:p>
        </w:tc>
      </w:tr>
      <w:tr w14:paraId="6759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0" w:type="dxa"/>
          </w:tcPr>
          <w:p w14:paraId="3AACE46D">
            <w:pPr>
              <w:adjustRightInd w:val="0"/>
              <w:snapToGrid w:val="0"/>
              <w:jc w:val="center"/>
              <w:rPr>
                <w:rFonts w:hint="default"/>
                <w:color w:val="auto"/>
                <w:sz w:val="24"/>
                <w:lang w:val="en-US" w:eastAsia="zh-CN"/>
              </w:rPr>
            </w:pPr>
            <w:r>
              <w:rPr>
                <w:rFonts w:hint="eastAsia"/>
                <w:color w:val="auto"/>
                <w:sz w:val="24"/>
                <w:lang w:val="en-US" w:eastAsia="zh-CN"/>
              </w:rPr>
              <w:t>黄京角村、陈屋村</w:t>
            </w:r>
          </w:p>
        </w:tc>
        <w:tc>
          <w:tcPr>
            <w:tcW w:w="4424" w:type="dxa"/>
          </w:tcPr>
          <w:p w14:paraId="683D8319">
            <w:pPr>
              <w:adjustRightInd w:val="0"/>
              <w:snapToGrid w:val="0"/>
              <w:jc w:val="center"/>
              <w:rPr>
                <w:rFonts w:hint="default"/>
                <w:color w:val="auto"/>
                <w:sz w:val="24"/>
                <w:lang w:val="en-US" w:eastAsia="zh-CN"/>
              </w:rPr>
            </w:pPr>
            <w:r>
              <w:rPr>
                <w:rFonts w:hint="eastAsia"/>
                <w:color w:val="auto"/>
                <w:sz w:val="24"/>
                <w:lang w:val="en-US" w:eastAsia="zh-CN"/>
              </w:rPr>
              <w:t>铁路两边上云约</w:t>
            </w:r>
          </w:p>
        </w:tc>
      </w:tr>
    </w:tbl>
    <w:p w14:paraId="7123970E">
      <w:pPr>
        <w:widowControl/>
        <w:spacing w:line="360" w:lineRule="auto"/>
        <w:jc w:val="left"/>
        <w:rPr>
          <w:color w:val="auto"/>
          <w:sz w:val="24"/>
        </w:rPr>
      </w:pPr>
      <w:r>
        <w:rPr>
          <w:color w:val="auto"/>
          <w:sz w:val="24"/>
        </w:rPr>
        <w:br w:type="page"/>
      </w:r>
    </w:p>
    <w:sdt>
      <w:sdtPr>
        <w:rPr>
          <w:rFonts w:ascii="Times New Roman" w:hAnsi="Times New Roman" w:eastAsia="宋体" w:cs="Times New Roman"/>
          <w:color w:val="auto"/>
          <w:kern w:val="2"/>
          <w:sz w:val="21"/>
          <w:szCs w:val="24"/>
          <w:lang w:val="zh-CN"/>
        </w:rPr>
        <w:id w:val="664217013"/>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14:paraId="32ABABFD">
          <w:pPr>
            <w:pStyle w:val="76"/>
            <w:jc w:val="center"/>
            <w:rPr>
              <w:rFonts w:ascii="Times New Roman" w:hAnsi="Times New Roman" w:eastAsia="宋体"/>
              <w:color w:val="auto"/>
            </w:rPr>
          </w:pPr>
          <w:r>
            <w:rPr>
              <w:rFonts w:ascii="Times New Roman" w:hAnsi="Times New Roman" w:eastAsia="宋体"/>
              <w:color w:val="auto"/>
              <w:lang w:val="zh-CN"/>
            </w:rPr>
            <w:t>目录</w:t>
          </w:r>
        </w:p>
        <w:p w14:paraId="7B5AB612">
          <w:pPr>
            <w:pStyle w:val="29"/>
            <w:tabs>
              <w:tab w:val="right" w:leader="dot" w:pos="8834"/>
            </w:tabs>
            <w:spacing w:line="360" w:lineRule="auto"/>
            <w:rPr>
              <w:rFonts w:cstheme="minorBidi"/>
              <w:color w:val="auto"/>
              <w:sz w:val="24"/>
              <w14:ligatures w14:val="standardContextual"/>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"_Toc141432012" </w:instrText>
          </w:r>
          <w:r>
            <w:rPr>
              <w:color w:val="auto"/>
            </w:rPr>
            <w:fldChar w:fldCharType="separate"/>
          </w:r>
          <w:r>
            <w:rPr>
              <w:rStyle w:val="54"/>
              <w:snapToGrid w:val="0"/>
              <w:color w:val="auto"/>
              <w:sz w:val="24"/>
            </w:rPr>
            <w:t>一、建设项目基本情况</w:t>
          </w:r>
          <w:r>
            <w:rPr>
              <w:color w:val="auto"/>
              <w:sz w:val="24"/>
            </w:rPr>
            <w:tab/>
          </w:r>
          <w:r>
            <w:rPr>
              <w:color w:val="auto"/>
              <w:sz w:val="24"/>
            </w:rPr>
            <w:fldChar w:fldCharType="begin"/>
          </w:r>
          <w:r>
            <w:rPr>
              <w:color w:val="auto"/>
              <w:sz w:val="24"/>
            </w:rPr>
            <w:instrText xml:space="preserve"> PAGEREF _Toc141432012 \h </w:instrText>
          </w:r>
          <w:r>
            <w:rPr>
              <w:color w:val="auto"/>
              <w:sz w:val="24"/>
            </w:rPr>
            <w:fldChar w:fldCharType="separate"/>
          </w:r>
          <w:r>
            <w:rPr>
              <w:color w:val="auto"/>
              <w:sz w:val="24"/>
            </w:rPr>
            <w:t>1</w:t>
          </w:r>
          <w:r>
            <w:rPr>
              <w:color w:val="auto"/>
              <w:sz w:val="24"/>
            </w:rPr>
            <w:fldChar w:fldCharType="end"/>
          </w:r>
          <w:r>
            <w:rPr>
              <w:color w:val="auto"/>
              <w:sz w:val="24"/>
            </w:rPr>
            <w:fldChar w:fldCharType="end"/>
          </w:r>
        </w:p>
        <w:p w14:paraId="2FCBCB9F">
          <w:pPr>
            <w:pStyle w:val="29"/>
            <w:tabs>
              <w:tab w:val="right" w:leader="dot" w:pos="8834"/>
            </w:tabs>
            <w:spacing w:line="360" w:lineRule="auto"/>
            <w:rPr>
              <w:rFonts w:cstheme="minorBidi"/>
              <w:color w:val="auto"/>
              <w:sz w:val="24"/>
              <w14:ligatures w14:val="standardContextual"/>
            </w:rPr>
          </w:pPr>
          <w:r>
            <w:rPr>
              <w:color w:val="auto"/>
            </w:rPr>
            <w:fldChar w:fldCharType="begin"/>
          </w:r>
          <w:r>
            <w:rPr>
              <w:color w:val="auto"/>
            </w:rPr>
            <w:instrText xml:space="preserve"> HYPERLINK \l "_Toc141432013" </w:instrText>
          </w:r>
          <w:r>
            <w:rPr>
              <w:color w:val="auto"/>
            </w:rPr>
            <w:fldChar w:fldCharType="separate"/>
          </w:r>
          <w:r>
            <w:rPr>
              <w:rStyle w:val="54"/>
              <w:snapToGrid w:val="0"/>
              <w:color w:val="auto"/>
              <w:sz w:val="24"/>
            </w:rPr>
            <w:t>二、建设内容</w:t>
          </w:r>
          <w:r>
            <w:rPr>
              <w:color w:val="auto"/>
              <w:sz w:val="24"/>
            </w:rPr>
            <w:tab/>
          </w:r>
          <w:r>
            <w:rPr>
              <w:color w:val="auto"/>
              <w:sz w:val="24"/>
            </w:rPr>
            <w:fldChar w:fldCharType="begin"/>
          </w:r>
          <w:r>
            <w:rPr>
              <w:color w:val="auto"/>
              <w:sz w:val="24"/>
            </w:rPr>
            <w:instrText xml:space="preserve"> PAGEREF _Toc141432013 \h </w:instrText>
          </w:r>
          <w:r>
            <w:rPr>
              <w:color w:val="auto"/>
              <w:sz w:val="24"/>
            </w:rPr>
            <w:fldChar w:fldCharType="separate"/>
          </w:r>
          <w:r>
            <w:rPr>
              <w:color w:val="auto"/>
              <w:sz w:val="24"/>
            </w:rPr>
            <w:t>16</w:t>
          </w:r>
          <w:r>
            <w:rPr>
              <w:color w:val="auto"/>
              <w:sz w:val="24"/>
            </w:rPr>
            <w:fldChar w:fldCharType="end"/>
          </w:r>
          <w:r>
            <w:rPr>
              <w:color w:val="auto"/>
              <w:sz w:val="24"/>
            </w:rPr>
            <w:fldChar w:fldCharType="end"/>
          </w:r>
        </w:p>
        <w:p w14:paraId="1789B714">
          <w:pPr>
            <w:pStyle w:val="29"/>
            <w:tabs>
              <w:tab w:val="right" w:leader="dot" w:pos="8834"/>
            </w:tabs>
            <w:spacing w:line="360" w:lineRule="auto"/>
            <w:rPr>
              <w:rFonts w:cstheme="minorBidi"/>
              <w:color w:val="auto"/>
              <w:sz w:val="24"/>
              <w14:ligatures w14:val="standardContextual"/>
            </w:rPr>
          </w:pPr>
          <w:r>
            <w:rPr>
              <w:color w:val="auto"/>
            </w:rPr>
            <w:fldChar w:fldCharType="begin"/>
          </w:r>
          <w:r>
            <w:rPr>
              <w:color w:val="auto"/>
            </w:rPr>
            <w:instrText xml:space="preserve"> HYPERLINK \l "_Toc141432014" </w:instrText>
          </w:r>
          <w:r>
            <w:rPr>
              <w:color w:val="auto"/>
            </w:rPr>
            <w:fldChar w:fldCharType="separate"/>
          </w:r>
          <w:r>
            <w:rPr>
              <w:rStyle w:val="54"/>
              <w:snapToGrid w:val="0"/>
              <w:color w:val="auto"/>
              <w:sz w:val="24"/>
            </w:rPr>
            <w:t>三、生态环境现状、保护目标及评价标准</w:t>
          </w:r>
          <w:r>
            <w:rPr>
              <w:color w:val="auto"/>
              <w:sz w:val="24"/>
            </w:rPr>
            <w:tab/>
          </w:r>
          <w:r>
            <w:rPr>
              <w:color w:val="auto"/>
              <w:sz w:val="24"/>
            </w:rPr>
            <w:fldChar w:fldCharType="begin"/>
          </w:r>
          <w:r>
            <w:rPr>
              <w:color w:val="auto"/>
              <w:sz w:val="24"/>
            </w:rPr>
            <w:instrText xml:space="preserve"> PAGEREF _Toc141432014 \h </w:instrText>
          </w:r>
          <w:r>
            <w:rPr>
              <w:color w:val="auto"/>
              <w:sz w:val="24"/>
            </w:rPr>
            <w:fldChar w:fldCharType="separate"/>
          </w:r>
          <w:r>
            <w:rPr>
              <w:color w:val="auto"/>
              <w:sz w:val="24"/>
            </w:rPr>
            <w:t>37</w:t>
          </w:r>
          <w:r>
            <w:rPr>
              <w:color w:val="auto"/>
              <w:sz w:val="24"/>
            </w:rPr>
            <w:fldChar w:fldCharType="end"/>
          </w:r>
          <w:r>
            <w:rPr>
              <w:color w:val="auto"/>
              <w:sz w:val="24"/>
            </w:rPr>
            <w:fldChar w:fldCharType="end"/>
          </w:r>
        </w:p>
        <w:p w14:paraId="15B5AEF6">
          <w:pPr>
            <w:pStyle w:val="29"/>
            <w:tabs>
              <w:tab w:val="right" w:leader="dot" w:pos="8834"/>
            </w:tabs>
            <w:spacing w:line="360" w:lineRule="auto"/>
            <w:rPr>
              <w:rFonts w:cstheme="minorBidi"/>
              <w:color w:val="auto"/>
              <w:sz w:val="24"/>
              <w14:ligatures w14:val="standardContextual"/>
            </w:rPr>
          </w:pPr>
          <w:r>
            <w:rPr>
              <w:color w:val="auto"/>
            </w:rPr>
            <w:fldChar w:fldCharType="begin"/>
          </w:r>
          <w:r>
            <w:rPr>
              <w:color w:val="auto"/>
            </w:rPr>
            <w:instrText xml:space="preserve"> HYPERLINK \l "_Toc141432015" </w:instrText>
          </w:r>
          <w:r>
            <w:rPr>
              <w:color w:val="auto"/>
            </w:rPr>
            <w:fldChar w:fldCharType="separate"/>
          </w:r>
          <w:r>
            <w:rPr>
              <w:rStyle w:val="54"/>
              <w:snapToGrid w:val="0"/>
              <w:color w:val="auto"/>
              <w:sz w:val="24"/>
            </w:rPr>
            <w:t>四、生态环境影响分析</w:t>
          </w:r>
          <w:r>
            <w:rPr>
              <w:color w:val="auto"/>
              <w:sz w:val="24"/>
            </w:rPr>
            <w:tab/>
          </w:r>
          <w:r>
            <w:rPr>
              <w:color w:val="auto"/>
              <w:sz w:val="24"/>
            </w:rPr>
            <w:fldChar w:fldCharType="begin"/>
          </w:r>
          <w:r>
            <w:rPr>
              <w:color w:val="auto"/>
              <w:sz w:val="24"/>
            </w:rPr>
            <w:instrText xml:space="preserve"> PAGEREF _Toc141432015 \h </w:instrText>
          </w:r>
          <w:r>
            <w:rPr>
              <w:color w:val="auto"/>
              <w:sz w:val="24"/>
            </w:rPr>
            <w:fldChar w:fldCharType="separate"/>
          </w:r>
          <w:r>
            <w:rPr>
              <w:color w:val="auto"/>
              <w:sz w:val="24"/>
            </w:rPr>
            <w:t>49</w:t>
          </w:r>
          <w:r>
            <w:rPr>
              <w:color w:val="auto"/>
              <w:sz w:val="24"/>
            </w:rPr>
            <w:fldChar w:fldCharType="end"/>
          </w:r>
          <w:r>
            <w:rPr>
              <w:color w:val="auto"/>
              <w:sz w:val="24"/>
            </w:rPr>
            <w:fldChar w:fldCharType="end"/>
          </w:r>
        </w:p>
        <w:p w14:paraId="4BBA701C">
          <w:pPr>
            <w:pStyle w:val="29"/>
            <w:tabs>
              <w:tab w:val="right" w:leader="dot" w:pos="8834"/>
            </w:tabs>
            <w:spacing w:line="360" w:lineRule="auto"/>
            <w:rPr>
              <w:rFonts w:cstheme="minorBidi"/>
              <w:color w:val="auto"/>
              <w:sz w:val="24"/>
              <w14:ligatures w14:val="standardContextual"/>
            </w:rPr>
          </w:pPr>
          <w:r>
            <w:rPr>
              <w:color w:val="auto"/>
            </w:rPr>
            <w:fldChar w:fldCharType="begin"/>
          </w:r>
          <w:r>
            <w:rPr>
              <w:color w:val="auto"/>
            </w:rPr>
            <w:instrText xml:space="preserve"> HYPERLINK \l "_Toc141432016" </w:instrText>
          </w:r>
          <w:r>
            <w:rPr>
              <w:color w:val="auto"/>
            </w:rPr>
            <w:fldChar w:fldCharType="separate"/>
          </w:r>
          <w:r>
            <w:rPr>
              <w:rStyle w:val="54"/>
              <w:snapToGrid w:val="0"/>
              <w:color w:val="auto"/>
              <w:sz w:val="24"/>
            </w:rPr>
            <w:t>五、主要生态环境保护措施</w:t>
          </w:r>
          <w:r>
            <w:rPr>
              <w:color w:val="auto"/>
              <w:sz w:val="24"/>
            </w:rPr>
            <w:tab/>
          </w:r>
          <w:r>
            <w:rPr>
              <w:color w:val="auto"/>
              <w:sz w:val="24"/>
            </w:rPr>
            <w:fldChar w:fldCharType="begin"/>
          </w:r>
          <w:r>
            <w:rPr>
              <w:color w:val="auto"/>
              <w:sz w:val="24"/>
            </w:rPr>
            <w:instrText xml:space="preserve"> PAGEREF _Toc141432016 \h </w:instrText>
          </w:r>
          <w:r>
            <w:rPr>
              <w:color w:val="auto"/>
              <w:sz w:val="24"/>
            </w:rPr>
            <w:fldChar w:fldCharType="separate"/>
          </w:r>
          <w:r>
            <w:rPr>
              <w:color w:val="auto"/>
              <w:sz w:val="24"/>
            </w:rPr>
            <w:t>64</w:t>
          </w:r>
          <w:r>
            <w:rPr>
              <w:color w:val="auto"/>
              <w:sz w:val="24"/>
            </w:rPr>
            <w:fldChar w:fldCharType="end"/>
          </w:r>
          <w:r>
            <w:rPr>
              <w:color w:val="auto"/>
              <w:sz w:val="24"/>
            </w:rPr>
            <w:fldChar w:fldCharType="end"/>
          </w:r>
        </w:p>
        <w:p w14:paraId="54333895">
          <w:pPr>
            <w:pStyle w:val="29"/>
            <w:tabs>
              <w:tab w:val="right" w:leader="dot" w:pos="8834"/>
            </w:tabs>
            <w:spacing w:line="360" w:lineRule="auto"/>
            <w:rPr>
              <w:rFonts w:cstheme="minorBidi"/>
              <w:color w:val="auto"/>
              <w:sz w:val="24"/>
              <w14:ligatures w14:val="standardContextual"/>
            </w:rPr>
          </w:pPr>
          <w:r>
            <w:rPr>
              <w:color w:val="auto"/>
            </w:rPr>
            <w:fldChar w:fldCharType="begin"/>
          </w:r>
          <w:r>
            <w:rPr>
              <w:color w:val="auto"/>
            </w:rPr>
            <w:instrText xml:space="preserve"> HYPERLINK \l "_Toc141432017" </w:instrText>
          </w:r>
          <w:r>
            <w:rPr>
              <w:color w:val="auto"/>
            </w:rPr>
            <w:fldChar w:fldCharType="separate"/>
          </w:r>
          <w:r>
            <w:rPr>
              <w:rStyle w:val="54"/>
              <w:snapToGrid w:val="0"/>
              <w:color w:val="auto"/>
              <w:sz w:val="24"/>
            </w:rPr>
            <w:t>六、生态环境保护措施监督检查清单</w:t>
          </w:r>
          <w:r>
            <w:rPr>
              <w:color w:val="auto"/>
              <w:sz w:val="24"/>
            </w:rPr>
            <w:tab/>
          </w:r>
          <w:r>
            <w:rPr>
              <w:color w:val="auto"/>
              <w:sz w:val="24"/>
            </w:rPr>
            <w:fldChar w:fldCharType="begin"/>
          </w:r>
          <w:r>
            <w:rPr>
              <w:color w:val="auto"/>
              <w:sz w:val="24"/>
            </w:rPr>
            <w:instrText xml:space="preserve"> PAGEREF _Toc141432017 \h </w:instrText>
          </w:r>
          <w:r>
            <w:rPr>
              <w:color w:val="auto"/>
              <w:sz w:val="24"/>
            </w:rPr>
            <w:fldChar w:fldCharType="separate"/>
          </w:r>
          <w:r>
            <w:rPr>
              <w:color w:val="auto"/>
              <w:sz w:val="24"/>
            </w:rPr>
            <w:t>72</w:t>
          </w:r>
          <w:r>
            <w:rPr>
              <w:color w:val="auto"/>
              <w:sz w:val="24"/>
            </w:rPr>
            <w:fldChar w:fldCharType="end"/>
          </w:r>
          <w:r>
            <w:rPr>
              <w:color w:val="auto"/>
              <w:sz w:val="24"/>
            </w:rPr>
            <w:fldChar w:fldCharType="end"/>
          </w:r>
        </w:p>
        <w:p w14:paraId="4DD0FEE0">
          <w:pPr>
            <w:pStyle w:val="29"/>
            <w:tabs>
              <w:tab w:val="right" w:leader="dot" w:pos="8834"/>
            </w:tabs>
            <w:spacing w:line="360" w:lineRule="auto"/>
            <w:rPr>
              <w:rFonts w:cstheme="minorBidi"/>
              <w:color w:val="auto"/>
              <w:sz w:val="24"/>
              <w14:ligatures w14:val="standardContextual"/>
            </w:rPr>
          </w:pPr>
          <w:r>
            <w:rPr>
              <w:color w:val="auto"/>
            </w:rPr>
            <w:fldChar w:fldCharType="begin"/>
          </w:r>
          <w:r>
            <w:rPr>
              <w:color w:val="auto"/>
            </w:rPr>
            <w:instrText xml:space="preserve"> HYPERLINK \l "_Toc141432018" </w:instrText>
          </w:r>
          <w:r>
            <w:rPr>
              <w:color w:val="auto"/>
            </w:rPr>
            <w:fldChar w:fldCharType="separate"/>
          </w:r>
          <w:r>
            <w:rPr>
              <w:rStyle w:val="54"/>
              <w:snapToGrid w:val="0"/>
              <w:color w:val="auto"/>
              <w:sz w:val="24"/>
            </w:rPr>
            <w:t>七、结论</w:t>
          </w:r>
          <w:r>
            <w:rPr>
              <w:color w:val="auto"/>
              <w:sz w:val="24"/>
            </w:rPr>
            <w:tab/>
          </w:r>
          <w:r>
            <w:rPr>
              <w:color w:val="auto"/>
              <w:sz w:val="24"/>
            </w:rPr>
            <w:fldChar w:fldCharType="begin"/>
          </w:r>
          <w:r>
            <w:rPr>
              <w:color w:val="auto"/>
              <w:sz w:val="24"/>
            </w:rPr>
            <w:instrText xml:space="preserve"> PAGEREF _Toc141432018 \h </w:instrText>
          </w:r>
          <w:r>
            <w:rPr>
              <w:color w:val="auto"/>
              <w:sz w:val="24"/>
            </w:rPr>
            <w:fldChar w:fldCharType="separate"/>
          </w:r>
          <w:r>
            <w:rPr>
              <w:color w:val="auto"/>
              <w:sz w:val="24"/>
            </w:rPr>
            <w:t>74</w:t>
          </w:r>
          <w:r>
            <w:rPr>
              <w:color w:val="auto"/>
              <w:sz w:val="24"/>
            </w:rPr>
            <w:fldChar w:fldCharType="end"/>
          </w:r>
          <w:r>
            <w:rPr>
              <w:color w:val="auto"/>
              <w:sz w:val="24"/>
            </w:rPr>
            <w:fldChar w:fldCharType="end"/>
          </w:r>
        </w:p>
        <w:p w14:paraId="2A1E939C">
          <w:pPr>
            <w:adjustRightInd w:val="0"/>
            <w:snapToGrid w:val="0"/>
            <w:spacing w:line="360" w:lineRule="auto"/>
            <w:rPr>
              <w:rFonts w:hint="default" w:ascii="Times New Roman" w:hAnsi="Times New Roman" w:eastAsia="宋体" w:cs="Times New Roman"/>
              <w:color w:val="auto"/>
              <w:sz w:val="24"/>
              <w:lang w:val="en-US" w:eastAsia="zh-CN"/>
            </w:rPr>
          </w:pPr>
          <w:r>
            <w:rPr>
              <w:b/>
              <w:bCs/>
              <w:color w:val="auto"/>
              <w:lang w:val="zh-CN"/>
            </w:rPr>
            <w:fldChar w:fldCharType="end"/>
          </w:r>
        </w:p>
      </w:sdtContent>
    </w:sdt>
    <w:p w14:paraId="066DD33E">
      <w:pPr>
        <w:adjustRightInd w:val="0"/>
        <w:snapToGrid w:val="0"/>
        <w:spacing w:line="360" w:lineRule="auto"/>
        <w:rPr>
          <w:rFonts w:hint="eastAsia"/>
          <w:color w:val="auto"/>
          <w:sz w:val="24"/>
        </w:rPr>
      </w:pPr>
      <w:r>
        <w:rPr>
          <w:rFonts w:hint="eastAsia"/>
          <w:color w:val="auto"/>
          <w:sz w:val="24"/>
        </w:rPr>
        <w:br w:type="page"/>
      </w:r>
    </w:p>
    <w:p w14:paraId="7B9EDC5C">
      <w:pPr>
        <w:adjustRightInd w:val="0"/>
        <w:snapToGrid w:val="0"/>
        <w:spacing w:line="288" w:lineRule="auto"/>
        <w:ind w:firstLine="1040"/>
        <w:rPr>
          <w:color w:val="auto"/>
          <w:sz w:val="36"/>
          <w:szCs w:val="36"/>
        </w:rPr>
        <w:sectPr>
          <w:footerReference r:id="rId3" w:type="default"/>
          <w:pgSz w:w="11906" w:h="16838"/>
          <w:pgMar w:top="1701" w:right="1531" w:bottom="1701" w:left="1531" w:header="851" w:footer="1077" w:gutter="0"/>
          <w:pgNumType w:start="21"/>
          <w:cols w:space="720" w:num="1"/>
          <w:docGrid w:linePitch="312" w:charSpace="0"/>
        </w:sectPr>
      </w:pPr>
    </w:p>
    <w:p w14:paraId="128E7553">
      <w:pPr>
        <w:pStyle w:val="41"/>
        <w:jc w:val="center"/>
        <w:outlineLvl w:val="0"/>
        <w:rPr>
          <w:rFonts w:ascii="Times New Roman" w:hAnsi="Times New Roman"/>
          <w:snapToGrid w:val="0"/>
          <w:color w:val="auto"/>
          <w:sz w:val="30"/>
          <w:szCs w:val="30"/>
        </w:rPr>
      </w:pPr>
      <w:bookmarkStart w:id="2" w:name="_Toc141432012"/>
      <w:r>
        <w:rPr>
          <w:rFonts w:hint="eastAsia" w:ascii="Times New Roman" w:hAnsi="Times New Roman"/>
          <w:snapToGrid w:val="0"/>
          <w:color w:val="auto"/>
          <w:sz w:val="30"/>
          <w:szCs w:val="30"/>
        </w:rPr>
        <w:t>一、建设项目基本情况</w:t>
      </w:r>
      <w:bookmarkEnd w:id="2"/>
    </w:p>
    <w:tbl>
      <w:tblPr>
        <w:tblStyle w:val="46"/>
        <w:tblW w:w="91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3"/>
        <w:gridCol w:w="2263"/>
        <w:gridCol w:w="2582"/>
        <w:gridCol w:w="9"/>
        <w:gridCol w:w="3159"/>
      </w:tblGrid>
      <w:tr w14:paraId="43E7D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03" w:type="dxa"/>
            <w:tcMar>
              <w:top w:w="16" w:type="dxa"/>
              <w:left w:w="16" w:type="dxa"/>
              <w:right w:w="16" w:type="dxa"/>
            </w:tcMar>
            <w:vAlign w:val="center"/>
          </w:tcPr>
          <w:p w14:paraId="720A52C1">
            <w:pPr>
              <w:adjustRightInd w:val="0"/>
              <w:snapToGrid w:val="0"/>
              <w:spacing w:line="276" w:lineRule="auto"/>
              <w:jc w:val="center"/>
              <w:rPr>
                <w:rFonts w:cs="宋体"/>
                <w:color w:val="auto"/>
                <w:sz w:val="24"/>
              </w:rPr>
            </w:pPr>
            <w:r>
              <w:rPr>
                <w:rFonts w:hint="eastAsia" w:cs="宋体"/>
                <w:color w:val="auto"/>
                <w:sz w:val="24"/>
              </w:rPr>
              <w:t>建设项目名称</w:t>
            </w:r>
          </w:p>
        </w:tc>
        <w:tc>
          <w:tcPr>
            <w:tcW w:w="8013" w:type="dxa"/>
            <w:gridSpan w:val="4"/>
            <w:vAlign w:val="center"/>
          </w:tcPr>
          <w:p w14:paraId="1211BA10">
            <w:pPr>
              <w:adjustRightInd w:val="0"/>
              <w:snapToGrid w:val="0"/>
              <w:spacing w:line="276" w:lineRule="auto"/>
              <w:jc w:val="center"/>
              <w:rPr>
                <w:rFonts w:hint="eastAsia" w:eastAsia="宋体" w:cs="宋体"/>
                <w:color w:val="auto"/>
                <w:sz w:val="24"/>
                <w:lang w:eastAsia="zh-CN"/>
              </w:rPr>
            </w:pPr>
            <w:r>
              <w:rPr>
                <w:rFonts w:hint="eastAsia" w:cs="宋体"/>
                <w:color w:val="auto"/>
                <w:sz w:val="24"/>
                <w:lang w:eastAsia="zh-CN"/>
              </w:rPr>
              <w:t>广西沿海铁路股份有限公司云约站铁路物流园（铁路货场）工程</w:t>
            </w:r>
          </w:p>
        </w:tc>
      </w:tr>
      <w:tr w14:paraId="635DC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03" w:type="dxa"/>
            <w:tcMar>
              <w:top w:w="16" w:type="dxa"/>
              <w:left w:w="16" w:type="dxa"/>
              <w:right w:w="16" w:type="dxa"/>
            </w:tcMar>
            <w:vAlign w:val="center"/>
          </w:tcPr>
          <w:p w14:paraId="6ACDFB0E">
            <w:pPr>
              <w:adjustRightInd w:val="0"/>
              <w:snapToGrid w:val="0"/>
              <w:spacing w:line="276" w:lineRule="auto"/>
              <w:jc w:val="center"/>
              <w:rPr>
                <w:rFonts w:cs="宋体"/>
                <w:color w:val="auto"/>
                <w:sz w:val="24"/>
              </w:rPr>
            </w:pPr>
            <w:r>
              <w:rPr>
                <w:rFonts w:hint="eastAsia" w:cs="宋体"/>
                <w:color w:val="auto"/>
                <w:sz w:val="24"/>
              </w:rPr>
              <w:t>项目代码</w:t>
            </w:r>
          </w:p>
        </w:tc>
        <w:tc>
          <w:tcPr>
            <w:tcW w:w="8013" w:type="dxa"/>
            <w:gridSpan w:val="4"/>
            <w:vAlign w:val="center"/>
          </w:tcPr>
          <w:p w14:paraId="6230C623">
            <w:pPr>
              <w:adjustRightInd w:val="0"/>
              <w:snapToGrid w:val="0"/>
              <w:spacing w:line="276" w:lineRule="auto"/>
              <w:jc w:val="center"/>
              <w:rPr>
                <w:rFonts w:hint="default" w:eastAsia="宋体" w:cs="宋体"/>
                <w:color w:val="auto"/>
                <w:sz w:val="24"/>
                <w:lang w:val="en-US" w:eastAsia="zh-CN"/>
              </w:rPr>
            </w:pPr>
            <w:r>
              <w:rPr>
                <w:rFonts w:hint="eastAsia" w:cs="宋体"/>
                <w:color w:val="auto"/>
                <w:sz w:val="24"/>
              </w:rPr>
              <w:t>2</w:t>
            </w:r>
            <w:r>
              <w:rPr>
                <w:rFonts w:hint="eastAsia" w:cs="宋体"/>
                <w:color w:val="auto"/>
                <w:sz w:val="24"/>
                <w:lang w:val="en-US" w:eastAsia="zh-CN"/>
              </w:rPr>
              <w:t>512</w:t>
            </w:r>
            <w:r>
              <w:rPr>
                <w:rFonts w:hint="eastAsia" w:cs="宋体"/>
                <w:color w:val="auto"/>
                <w:sz w:val="24"/>
              </w:rPr>
              <w:t>-450602-04-0</w:t>
            </w:r>
            <w:r>
              <w:rPr>
                <w:rFonts w:hint="eastAsia" w:cs="宋体"/>
                <w:color w:val="auto"/>
                <w:sz w:val="24"/>
                <w:lang w:val="en-US" w:eastAsia="zh-CN"/>
              </w:rPr>
              <w:t>1</w:t>
            </w:r>
            <w:r>
              <w:rPr>
                <w:rFonts w:hint="eastAsia" w:cs="宋体"/>
                <w:color w:val="auto"/>
                <w:sz w:val="24"/>
              </w:rPr>
              <w:t>-</w:t>
            </w:r>
            <w:r>
              <w:rPr>
                <w:rFonts w:hint="eastAsia" w:cs="宋体"/>
                <w:color w:val="auto"/>
                <w:sz w:val="24"/>
                <w:lang w:val="en-US" w:eastAsia="zh-CN"/>
              </w:rPr>
              <w:t>252598</w:t>
            </w:r>
          </w:p>
        </w:tc>
      </w:tr>
      <w:tr w14:paraId="29902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03" w:type="dxa"/>
            <w:tcMar>
              <w:top w:w="16" w:type="dxa"/>
              <w:left w:w="16" w:type="dxa"/>
              <w:right w:w="16" w:type="dxa"/>
            </w:tcMar>
            <w:vAlign w:val="center"/>
          </w:tcPr>
          <w:p w14:paraId="675E2AC1">
            <w:pPr>
              <w:adjustRightInd w:val="0"/>
              <w:snapToGrid w:val="0"/>
              <w:spacing w:line="276" w:lineRule="auto"/>
              <w:jc w:val="center"/>
              <w:rPr>
                <w:rFonts w:cs="宋体"/>
                <w:color w:val="auto"/>
                <w:sz w:val="24"/>
              </w:rPr>
            </w:pPr>
            <w:r>
              <w:rPr>
                <w:rFonts w:hint="eastAsia" w:cs="宋体"/>
                <w:color w:val="auto"/>
                <w:sz w:val="24"/>
              </w:rPr>
              <w:t>建设单位联系人</w:t>
            </w:r>
          </w:p>
        </w:tc>
        <w:tc>
          <w:tcPr>
            <w:tcW w:w="2263" w:type="dxa"/>
            <w:vAlign w:val="center"/>
          </w:tcPr>
          <w:p w14:paraId="6CC21275">
            <w:pPr>
              <w:adjustRightInd w:val="0"/>
              <w:snapToGrid w:val="0"/>
              <w:spacing w:line="276" w:lineRule="auto"/>
              <w:jc w:val="center"/>
              <w:rPr>
                <w:rFonts w:hint="eastAsia" w:cs="宋体"/>
                <w:color w:val="auto"/>
                <w:sz w:val="24"/>
              </w:rPr>
            </w:pPr>
            <w:r>
              <w:rPr>
                <w:rFonts w:hint="eastAsia" w:cs="宋体"/>
                <w:color w:val="auto"/>
                <w:sz w:val="24"/>
                <w:lang w:val="en-US" w:eastAsia="zh-CN"/>
              </w:rPr>
              <w:t>陈春</w:t>
            </w:r>
          </w:p>
        </w:tc>
        <w:tc>
          <w:tcPr>
            <w:tcW w:w="2591" w:type="dxa"/>
            <w:gridSpan w:val="2"/>
            <w:vAlign w:val="center"/>
          </w:tcPr>
          <w:p w14:paraId="0D6335A5">
            <w:pPr>
              <w:adjustRightInd w:val="0"/>
              <w:snapToGrid w:val="0"/>
              <w:spacing w:line="276" w:lineRule="auto"/>
              <w:jc w:val="center"/>
              <w:rPr>
                <w:rFonts w:hint="eastAsia" w:cs="宋体"/>
                <w:color w:val="auto"/>
                <w:sz w:val="24"/>
              </w:rPr>
            </w:pPr>
            <w:r>
              <w:rPr>
                <w:rFonts w:hint="eastAsia" w:cs="宋体"/>
                <w:color w:val="auto"/>
                <w:sz w:val="24"/>
              </w:rPr>
              <w:t>联系方式</w:t>
            </w:r>
          </w:p>
        </w:tc>
        <w:tc>
          <w:tcPr>
            <w:tcW w:w="3159" w:type="dxa"/>
            <w:vAlign w:val="center"/>
          </w:tcPr>
          <w:p w14:paraId="042A0EFD">
            <w:pPr>
              <w:adjustRightInd w:val="0"/>
              <w:snapToGrid w:val="0"/>
              <w:spacing w:line="276" w:lineRule="auto"/>
              <w:jc w:val="center"/>
              <w:rPr>
                <w:rFonts w:hint="default" w:cs="宋体"/>
                <w:color w:val="auto"/>
                <w:sz w:val="24"/>
                <w:lang w:val="en-US"/>
              </w:rPr>
            </w:pPr>
            <w:r>
              <w:rPr>
                <w:rFonts w:hint="eastAsia" w:cs="宋体"/>
                <w:color w:val="auto"/>
                <w:sz w:val="24"/>
                <w:lang w:val="en-US" w:eastAsia="zh-CN"/>
              </w:rPr>
              <w:t>15007772046</w:t>
            </w:r>
          </w:p>
        </w:tc>
      </w:tr>
      <w:tr w14:paraId="6B405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03" w:type="dxa"/>
            <w:tcMar>
              <w:top w:w="16" w:type="dxa"/>
              <w:left w:w="16" w:type="dxa"/>
              <w:right w:w="16" w:type="dxa"/>
            </w:tcMar>
            <w:vAlign w:val="center"/>
          </w:tcPr>
          <w:p w14:paraId="467E67BC">
            <w:pPr>
              <w:adjustRightInd w:val="0"/>
              <w:snapToGrid w:val="0"/>
              <w:spacing w:line="276" w:lineRule="auto"/>
              <w:jc w:val="center"/>
              <w:rPr>
                <w:rFonts w:cs="宋体"/>
                <w:color w:val="auto"/>
                <w:sz w:val="24"/>
              </w:rPr>
            </w:pPr>
            <w:r>
              <w:rPr>
                <w:rFonts w:hint="eastAsia" w:cs="宋体"/>
                <w:color w:val="auto"/>
                <w:sz w:val="24"/>
              </w:rPr>
              <w:t>建设地点</w:t>
            </w:r>
          </w:p>
        </w:tc>
        <w:tc>
          <w:tcPr>
            <w:tcW w:w="8013" w:type="dxa"/>
            <w:gridSpan w:val="4"/>
            <w:vAlign w:val="center"/>
          </w:tcPr>
          <w:p w14:paraId="34A2C962">
            <w:pPr>
              <w:keepNext w:val="0"/>
              <w:keepLines w:val="0"/>
              <w:widowControl/>
              <w:suppressLineNumbers w:val="0"/>
              <w:jc w:val="center"/>
              <w:rPr>
                <w:rFonts w:hint="default" w:cs="宋体"/>
                <w:color w:val="auto"/>
                <w:sz w:val="24"/>
                <w:lang w:val="en-US"/>
              </w:rPr>
            </w:pPr>
            <w:r>
              <w:rPr>
                <w:rFonts w:hint="eastAsia" w:cs="宋体"/>
                <w:color w:val="auto"/>
                <w:sz w:val="24"/>
              </w:rPr>
              <w:t>广西壮族自治区防城港市港口区</w:t>
            </w:r>
            <w:r>
              <w:rPr>
                <w:rFonts w:hint="eastAsia" w:ascii="宋体" w:hAnsi="宋体" w:cs="宋体"/>
                <w:color w:val="auto"/>
                <w:kern w:val="0"/>
                <w:sz w:val="24"/>
                <w:szCs w:val="24"/>
                <w:lang w:val="en-US" w:eastAsia="zh-CN" w:bidi="ar"/>
              </w:rPr>
              <w:t>云约站铁路货场内</w:t>
            </w:r>
          </w:p>
        </w:tc>
      </w:tr>
      <w:tr w14:paraId="65C73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03" w:type="dxa"/>
            <w:tcMar>
              <w:top w:w="16" w:type="dxa"/>
              <w:left w:w="16" w:type="dxa"/>
              <w:right w:w="16" w:type="dxa"/>
            </w:tcMar>
            <w:vAlign w:val="center"/>
          </w:tcPr>
          <w:p w14:paraId="36F92AB5">
            <w:pPr>
              <w:adjustRightInd w:val="0"/>
              <w:snapToGrid w:val="0"/>
              <w:spacing w:line="276" w:lineRule="auto"/>
              <w:jc w:val="center"/>
              <w:rPr>
                <w:rFonts w:cs="宋体"/>
                <w:color w:val="auto"/>
                <w:sz w:val="24"/>
              </w:rPr>
            </w:pPr>
            <w:r>
              <w:rPr>
                <w:rFonts w:hint="eastAsia" w:cs="宋体"/>
                <w:color w:val="auto"/>
                <w:sz w:val="24"/>
              </w:rPr>
              <w:t>地理坐标</w:t>
            </w:r>
          </w:p>
        </w:tc>
        <w:tc>
          <w:tcPr>
            <w:tcW w:w="8013" w:type="dxa"/>
            <w:gridSpan w:val="4"/>
            <w:vAlign w:val="center"/>
          </w:tcPr>
          <w:p w14:paraId="344FD8C5">
            <w:pPr>
              <w:pStyle w:val="2"/>
              <w:spacing w:after="0"/>
              <w:ind w:left="0" w:leftChars="0" w:firstLine="0" w:firstLineChars="0"/>
              <w:jc w:val="left"/>
              <w:rPr>
                <w:rFonts w:hint="eastAsia" w:cs="宋体"/>
                <w:color w:val="auto"/>
                <w:sz w:val="24"/>
                <w:szCs w:val="24"/>
              </w:rPr>
            </w:pPr>
            <w:r>
              <w:rPr>
                <w:rFonts w:hint="eastAsia" w:cs="宋体"/>
                <w:color w:val="auto"/>
                <w:sz w:val="24"/>
                <w:szCs w:val="24"/>
                <w:lang w:val="en-US" w:eastAsia="zh-CN"/>
              </w:rPr>
              <w:t>集装箱堆场中心坐标：</w:t>
            </w:r>
            <w:r>
              <w:rPr>
                <w:rFonts w:hint="eastAsia" w:cs="宋体"/>
                <w:color w:val="auto"/>
                <w:sz w:val="24"/>
                <w:szCs w:val="24"/>
              </w:rPr>
              <w:t>（</w:t>
            </w:r>
            <w:r>
              <w:rPr>
                <w:rFonts w:cs="宋体"/>
                <w:color w:val="auto"/>
                <w:sz w:val="24"/>
                <w:szCs w:val="24"/>
                <w:u w:val="single"/>
              </w:rPr>
              <w:t>10</w:t>
            </w:r>
            <w:r>
              <w:rPr>
                <w:rFonts w:hint="eastAsia" w:cs="宋体"/>
                <w:color w:val="auto"/>
                <w:sz w:val="24"/>
                <w:szCs w:val="24"/>
                <w:u w:val="single"/>
                <w:lang w:val="en-US" w:eastAsia="zh-CN"/>
              </w:rPr>
              <w:t>8</w:t>
            </w:r>
            <w:r>
              <w:rPr>
                <w:rFonts w:hint="eastAsia" w:cs="宋体"/>
                <w:color w:val="auto"/>
                <w:sz w:val="24"/>
                <w:szCs w:val="24"/>
              </w:rPr>
              <w:t>度</w:t>
            </w:r>
            <w:r>
              <w:rPr>
                <w:rFonts w:hint="eastAsia" w:cs="宋体"/>
                <w:color w:val="auto"/>
                <w:sz w:val="24"/>
                <w:szCs w:val="24"/>
                <w:u w:val="single"/>
                <w:lang w:val="en-US" w:eastAsia="zh-CN"/>
              </w:rPr>
              <w:t>27</w:t>
            </w:r>
            <w:r>
              <w:rPr>
                <w:rFonts w:hint="eastAsia" w:cs="宋体"/>
                <w:color w:val="auto"/>
                <w:sz w:val="24"/>
                <w:szCs w:val="24"/>
              </w:rPr>
              <w:t>分</w:t>
            </w:r>
            <w:r>
              <w:rPr>
                <w:rFonts w:hint="eastAsia" w:cs="宋体"/>
                <w:color w:val="auto"/>
                <w:sz w:val="24"/>
                <w:szCs w:val="24"/>
                <w:u w:val="single"/>
                <w:lang w:val="en-US" w:eastAsia="zh-CN"/>
              </w:rPr>
              <w:t>38.131</w:t>
            </w:r>
            <w:r>
              <w:rPr>
                <w:rFonts w:hint="eastAsia" w:cs="宋体"/>
                <w:color w:val="auto"/>
                <w:sz w:val="24"/>
                <w:szCs w:val="24"/>
              </w:rPr>
              <w:t>秒，</w:t>
            </w:r>
            <w:r>
              <w:rPr>
                <w:rFonts w:cs="宋体"/>
                <w:color w:val="auto"/>
                <w:sz w:val="24"/>
                <w:szCs w:val="24"/>
                <w:u w:val="single"/>
              </w:rPr>
              <w:t>2</w:t>
            </w:r>
            <w:r>
              <w:rPr>
                <w:rFonts w:hint="eastAsia" w:cs="宋体"/>
                <w:color w:val="auto"/>
                <w:sz w:val="24"/>
                <w:szCs w:val="24"/>
                <w:u w:val="single"/>
                <w:lang w:val="en-US" w:eastAsia="zh-CN"/>
              </w:rPr>
              <w:t>1</w:t>
            </w:r>
            <w:r>
              <w:rPr>
                <w:rFonts w:hint="eastAsia" w:cs="宋体"/>
                <w:color w:val="auto"/>
                <w:sz w:val="24"/>
                <w:szCs w:val="24"/>
              </w:rPr>
              <w:t>度</w:t>
            </w:r>
            <w:r>
              <w:rPr>
                <w:rFonts w:hint="eastAsia" w:cs="宋体"/>
                <w:color w:val="auto"/>
                <w:sz w:val="24"/>
                <w:szCs w:val="24"/>
                <w:u w:val="single"/>
                <w:lang w:val="en-US" w:eastAsia="zh-CN"/>
              </w:rPr>
              <w:t>36</w:t>
            </w:r>
            <w:r>
              <w:rPr>
                <w:rFonts w:hint="eastAsia" w:cs="宋体"/>
                <w:color w:val="auto"/>
                <w:sz w:val="24"/>
                <w:szCs w:val="24"/>
              </w:rPr>
              <w:t>分</w:t>
            </w:r>
            <w:r>
              <w:rPr>
                <w:rFonts w:hint="eastAsia" w:cs="宋体"/>
                <w:color w:val="auto"/>
                <w:sz w:val="24"/>
                <w:szCs w:val="24"/>
                <w:u w:val="single"/>
                <w:lang w:val="en-US" w:eastAsia="zh-CN"/>
              </w:rPr>
              <w:t>34.938</w:t>
            </w:r>
            <w:r>
              <w:rPr>
                <w:rFonts w:hint="eastAsia" w:cs="宋体"/>
                <w:color w:val="auto"/>
                <w:sz w:val="24"/>
                <w:szCs w:val="24"/>
              </w:rPr>
              <w:t>秒）</w:t>
            </w:r>
          </w:p>
          <w:p w14:paraId="109D9EBD">
            <w:pPr>
              <w:pStyle w:val="2"/>
              <w:spacing w:after="0"/>
              <w:ind w:left="0" w:leftChars="0" w:firstLine="0" w:firstLineChars="0"/>
              <w:jc w:val="left"/>
              <w:rPr>
                <w:rFonts w:hint="eastAsia" w:cs="宋体"/>
                <w:color w:val="auto"/>
                <w:sz w:val="24"/>
                <w:szCs w:val="24"/>
              </w:rPr>
            </w:pPr>
            <w:r>
              <w:rPr>
                <w:rFonts w:hint="eastAsia" w:cs="宋体"/>
                <w:color w:val="auto"/>
                <w:sz w:val="24"/>
                <w:szCs w:val="24"/>
                <w:lang w:val="en-US" w:eastAsia="zh-CN"/>
              </w:rPr>
              <w:t>专用线起点：</w:t>
            </w:r>
            <w:r>
              <w:rPr>
                <w:rFonts w:hint="eastAsia" w:cs="宋体"/>
                <w:color w:val="auto"/>
                <w:sz w:val="24"/>
                <w:szCs w:val="24"/>
              </w:rPr>
              <w:t>（</w:t>
            </w:r>
            <w:r>
              <w:rPr>
                <w:rFonts w:cs="宋体"/>
                <w:color w:val="auto"/>
                <w:sz w:val="24"/>
                <w:szCs w:val="24"/>
                <w:u w:val="single"/>
              </w:rPr>
              <w:t>10</w:t>
            </w:r>
            <w:r>
              <w:rPr>
                <w:rFonts w:hint="eastAsia" w:cs="宋体"/>
                <w:color w:val="auto"/>
                <w:sz w:val="24"/>
                <w:szCs w:val="24"/>
                <w:u w:val="single"/>
                <w:lang w:val="en-US" w:eastAsia="zh-CN"/>
              </w:rPr>
              <w:t>8</w:t>
            </w:r>
            <w:r>
              <w:rPr>
                <w:rFonts w:hint="eastAsia" w:cs="宋体"/>
                <w:color w:val="auto"/>
                <w:sz w:val="24"/>
                <w:szCs w:val="24"/>
              </w:rPr>
              <w:t>度</w:t>
            </w:r>
            <w:r>
              <w:rPr>
                <w:rFonts w:hint="eastAsia" w:cs="宋体"/>
                <w:color w:val="auto"/>
                <w:sz w:val="24"/>
                <w:szCs w:val="24"/>
                <w:u w:val="single"/>
                <w:lang w:val="en-US" w:eastAsia="zh-CN"/>
              </w:rPr>
              <w:t>27</w:t>
            </w:r>
            <w:r>
              <w:rPr>
                <w:rFonts w:hint="eastAsia" w:cs="宋体"/>
                <w:color w:val="auto"/>
                <w:sz w:val="24"/>
                <w:szCs w:val="24"/>
              </w:rPr>
              <w:t>分</w:t>
            </w:r>
            <w:r>
              <w:rPr>
                <w:rFonts w:hint="eastAsia" w:cs="宋体"/>
                <w:color w:val="auto"/>
                <w:sz w:val="24"/>
                <w:szCs w:val="24"/>
                <w:u w:val="single"/>
                <w:lang w:val="en-US" w:eastAsia="zh-CN"/>
              </w:rPr>
              <w:t>40.604</w:t>
            </w:r>
            <w:r>
              <w:rPr>
                <w:rFonts w:hint="eastAsia" w:cs="宋体"/>
                <w:color w:val="auto"/>
                <w:sz w:val="24"/>
                <w:szCs w:val="24"/>
              </w:rPr>
              <w:t>秒，</w:t>
            </w:r>
            <w:r>
              <w:rPr>
                <w:rFonts w:cs="宋体"/>
                <w:color w:val="auto"/>
                <w:sz w:val="24"/>
                <w:szCs w:val="24"/>
                <w:u w:val="single"/>
              </w:rPr>
              <w:t>2</w:t>
            </w:r>
            <w:r>
              <w:rPr>
                <w:rFonts w:hint="eastAsia" w:cs="宋体"/>
                <w:color w:val="auto"/>
                <w:sz w:val="24"/>
                <w:szCs w:val="24"/>
                <w:u w:val="single"/>
                <w:lang w:val="en-US" w:eastAsia="zh-CN"/>
              </w:rPr>
              <w:t>1</w:t>
            </w:r>
            <w:r>
              <w:rPr>
                <w:rFonts w:hint="eastAsia" w:cs="宋体"/>
                <w:color w:val="auto"/>
                <w:sz w:val="24"/>
                <w:szCs w:val="24"/>
              </w:rPr>
              <w:t>度</w:t>
            </w:r>
            <w:r>
              <w:rPr>
                <w:rFonts w:hint="eastAsia" w:cs="宋体"/>
                <w:color w:val="auto"/>
                <w:sz w:val="24"/>
                <w:szCs w:val="24"/>
                <w:u w:val="single"/>
                <w:lang w:val="en-US" w:eastAsia="zh-CN"/>
              </w:rPr>
              <w:t>36</w:t>
            </w:r>
            <w:r>
              <w:rPr>
                <w:rFonts w:hint="eastAsia" w:cs="宋体"/>
                <w:color w:val="auto"/>
                <w:sz w:val="24"/>
                <w:szCs w:val="24"/>
              </w:rPr>
              <w:t>分</w:t>
            </w:r>
            <w:r>
              <w:rPr>
                <w:rFonts w:hint="eastAsia" w:cs="宋体"/>
                <w:color w:val="auto"/>
                <w:sz w:val="24"/>
                <w:szCs w:val="24"/>
                <w:u w:val="single"/>
                <w:lang w:val="en-US" w:eastAsia="zh-CN"/>
              </w:rPr>
              <w:t>58.486</w:t>
            </w:r>
            <w:r>
              <w:rPr>
                <w:rFonts w:hint="eastAsia" w:cs="宋体"/>
                <w:color w:val="auto"/>
                <w:sz w:val="24"/>
                <w:szCs w:val="24"/>
              </w:rPr>
              <w:t>秒）</w:t>
            </w:r>
          </w:p>
          <w:p w14:paraId="2D25379C">
            <w:pPr>
              <w:pStyle w:val="2"/>
              <w:spacing w:after="0"/>
              <w:ind w:left="0" w:leftChars="0" w:firstLine="0" w:firstLineChars="0"/>
              <w:jc w:val="left"/>
              <w:rPr>
                <w:rFonts w:hint="default" w:eastAsia="宋体"/>
                <w:color w:val="auto"/>
                <w:lang w:val="en-US" w:eastAsia="zh-CN"/>
              </w:rPr>
            </w:pPr>
            <w:r>
              <w:rPr>
                <w:rFonts w:hint="eastAsia" w:cs="宋体"/>
                <w:color w:val="auto"/>
                <w:sz w:val="24"/>
                <w:szCs w:val="24"/>
                <w:lang w:val="en-US" w:eastAsia="zh-CN"/>
              </w:rPr>
              <w:t>专用线终点：</w:t>
            </w:r>
            <w:r>
              <w:rPr>
                <w:rFonts w:hint="eastAsia" w:cs="宋体"/>
                <w:color w:val="auto"/>
                <w:sz w:val="24"/>
                <w:szCs w:val="24"/>
              </w:rPr>
              <w:t>（</w:t>
            </w:r>
            <w:r>
              <w:rPr>
                <w:rFonts w:cs="宋体"/>
                <w:color w:val="auto"/>
                <w:sz w:val="24"/>
                <w:szCs w:val="24"/>
                <w:u w:val="single"/>
              </w:rPr>
              <w:t>10</w:t>
            </w:r>
            <w:r>
              <w:rPr>
                <w:rFonts w:hint="eastAsia" w:cs="宋体"/>
                <w:color w:val="auto"/>
                <w:sz w:val="24"/>
                <w:szCs w:val="24"/>
                <w:u w:val="single"/>
                <w:lang w:val="en-US" w:eastAsia="zh-CN"/>
              </w:rPr>
              <w:t>8</w:t>
            </w:r>
            <w:r>
              <w:rPr>
                <w:rFonts w:hint="eastAsia" w:cs="宋体"/>
                <w:color w:val="auto"/>
                <w:sz w:val="24"/>
                <w:szCs w:val="24"/>
              </w:rPr>
              <w:t>度</w:t>
            </w:r>
            <w:r>
              <w:rPr>
                <w:rFonts w:hint="eastAsia" w:cs="宋体"/>
                <w:color w:val="auto"/>
                <w:sz w:val="24"/>
                <w:szCs w:val="24"/>
                <w:u w:val="single"/>
                <w:lang w:val="en-US" w:eastAsia="zh-CN"/>
              </w:rPr>
              <w:t>27</w:t>
            </w:r>
            <w:r>
              <w:rPr>
                <w:rFonts w:hint="eastAsia" w:cs="宋体"/>
                <w:color w:val="auto"/>
                <w:sz w:val="24"/>
                <w:szCs w:val="24"/>
              </w:rPr>
              <w:t>分</w:t>
            </w:r>
            <w:r>
              <w:rPr>
                <w:rFonts w:hint="eastAsia" w:cs="宋体"/>
                <w:color w:val="auto"/>
                <w:sz w:val="24"/>
                <w:szCs w:val="24"/>
                <w:u w:val="single"/>
                <w:lang w:val="en-US" w:eastAsia="zh-CN"/>
              </w:rPr>
              <w:t>40.280</w:t>
            </w:r>
            <w:r>
              <w:rPr>
                <w:rFonts w:hint="eastAsia" w:cs="宋体"/>
                <w:color w:val="auto"/>
                <w:sz w:val="24"/>
                <w:szCs w:val="24"/>
              </w:rPr>
              <w:t>秒，</w:t>
            </w:r>
            <w:r>
              <w:rPr>
                <w:rFonts w:cs="宋体"/>
                <w:color w:val="auto"/>
                <w:sz w:val="24"/>
                <w:szCs w:val="24"/>
                <w:u w:val="single"/>
              </w:rPr>
              <w:t>2</w:t>
            </w:r>
            <w:r>
              <w:rPr>
                <w:rFonts w:hint="eastAsia" w:cs="宋体"/>
                <w:color w:val="auto"/>
                <w:sz w:val="24"/>
                <w:szCs w:val="24"/>
                <w:u w:val="single"/>
                <w:lang w:val="en-US" w:eastAsia="zh-CN"/>
              </w:rPr>
              <w:t>1</w:t>
            </w:r>
            <w:r>
              <w:rPr>
                <w:rFonts w:hint="eastAsia" w:cs="宋体"/>
                <w:color w:val="auto"/>
                <w:sz w:val="24"/>
                <w:szCs w:val="24"/>
              </w:rPr>
              <w:t>度</w:t>
            </w:r>
            <w:r>
              <w:rPr>
                <w:rFonts w:hint="eastAsia" w:cs="宋体"/>
                <w:color w:val="auto"/>
                <w:sz w:val="24"/>
                <w:szCs w:val="24"/>
                <w:u w:val="single"/>
                <w:lang w:val="en-US" w:eastAsia="zh-CN"/>
              </w:rPr>
              <w:t>36</w:t>
            </w:r>
            <w:r>
              <w:rPr>
                <w:rFonts w:hint="eastAsia" w:cs="宋体"/>
                <w:color w:val="auto"/>
                <w:sz w:val="24"/>
                <w:szCs w:val="24"/>
              </w:rPr>
              <w:t>分</w:t>
            </w:r>
            <w:r>
              <w:rPr>
                <w:rFonts w:hint="eastAsia" w:cs="宋体"/>
                <w:color w:val="auto"/>
                <w:sz w:val="24"/>
                <w:szCs w:val="24"/>
                <w:u w:val="single"/>
                <w:lang w:val="en-US" w:eastAsia="zh-CN"/>
              </w:rPr>
              <w:t>9.468</w:t>
            </w:r>
            <w:r>
              <w:rPr>
                <w:rFonts w:hint="eastAsia" w:cs="宋体"/>
                <w:color w:val="auto"/>
                <w:sz w:val="24"/>
                <w:szCs w:val="24"/>
              </w:rPr>
              <w:t>秒）</w:t>
            </w:r>
          </w:p>
        </w:tc>
      </w:tr>
      <w:tr w14:paraId="5046B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103" w:type="dxa"/>
            <w:tcMar>
              <w:top w:w="16" w:type="dxa"/>
              <w:left w:w="16" w:type="dxa"/>
              <w:right w:w="16" w:type="dxa"/>
            </w:tcMar>
            <w:vAlign w:val="center"/>
          </w:tcPr>
          <w:p w14:paraId="065BB0C3">
            <w:pPr>
              <w:adjustRightInd w:val="0"/>
              <w:snapToGrid w:val="0"/>
              <w:spacing w:line="276" w:lineRule="auto"/>
              <w:jc w:val="center"/>
              <w:rPr>
                <w:rFonts w:cs="宋体"/>
                <w:color w:val="auto"/>
                <w:sz w:val="24"/>
              </w:rPr>
            </w:pPr>
            <w:r>
              <w:rPr>
                <w:rFonts w:hint="eastAsia" w:cs="宋体"/>
                <w:color w:val="auto"/>
                <w:sz w:val="24"/>
              </w:rPr>
              <w:t>建设项目</w:t>
            </w:r>
          </w:p>
          <w:p w14:paraId="517F61D1">
            <w:pPr>
              <w:adjustRightInd w:val="0"/>
              <w:snapToGrid w:val="0"/>
              <w:spacing w:line="276" w:lineRule="auto"/>
              <w:jc w:val="center"/>
              <w:rPr>
                <w:rFonts w:cs="宋体"/>
                <w:color w:val="auto"/>
                <w:sz w:val="24"/>
              </w:rPr>
            </w:pPr>
            <w:r>
              <w:rPr>
                <w:rFonts w:hint="eastAsia" w:cs="宋体"/>
                <w:color w:val="auto"/>
                <w:sz w:val="24"/>
              </w:rPr>
              <w:t>行业类别</w:t>
            </w:r>
          </w:p>
        </w:tc>
        <w:tc>
          <w:tcPr>
            <w:tcW w:w="2263" w:type="dxa"/>
            <w:vAlign w:val="center"/>
          </w:tcPr>
          <w:p w14:paraId="67CC9270">
            <w:pPr>
              <w:widowControl/>
              <w:adjustRightInd w:val="0"/>
              <w:snapToGrid w:val="0"/>
              <w:spacing w:line="276" w:lineRule="auto"/>
              <w:jc w:val="left"/>
              <w:rPr>
                <w:rFonts w:hint="eastAsia"/>
                <w:color w:val="auto"/>
                <w:lang w:eastAsia="zh-CN"/>
              </w:rPr>
            </w:pPr>
            <w:r>
              <w:rPr>
                <w:rFonts w:hint="eastAsia" w:cs="宋体"/>
                <w:color w:val="auto"/>
                <w:sz w:val="24"/>
              </w:rPr>
              <w:t>五十二、交通运输业、管道运输业</w:t>
            </w:r>
            <w:r>
              <w:rPr>
                <w:rFonts w:cs="宋体"/>
                <w:color w:val="auto"/>
                <w:sz w:val="24"/>
              </w:rPr>
              <w:t>-</w:t>
            </w:r>
            <w:r>
              <w:rPr>
                <w:rFonts w:hint="eastAsia" w:cs="宋体"/>
                <w:color w:val="auto"/>
                <w:sz w:val="24"/>
              </w:rPr>
              <w:t>13</w:t>
            </w:r>
            <w:r>
              <w:rPr>
                <w:rFonts w:hint="eastAsia" w:cs="宋体"/>
                <w:color w:val="auto"/>
                <w:sz w:val="24"/>
                <w:lang w:val="en-US" w:eastAsia="zh-CN"/>
              </w:rPr>
              <w:t>2</w:t>
            </w:r>
            <w:r>
              <w:rPr>
                <w:rFonts w:hint="eastAsia" w:cs="宋体"/>
                <w:color w:val="auto"/>
                <w:sz w:val="24"/>
              </w:rPr>
              <w:t>.新建、增建铁路</w:t>
            </w:r>
          </w:p>
        </w:tc>
        <w:tc>
          <w:tcPr>
            <w:tcW w:w="2582" w:type="dxa"/>
            <w:vAlign w:val="center"/>
          </w:tcPr>
          <w:p w14:paraId="37B35F29">
            <w:pPr>
              <w:adjustRightInd w:val="0"/>
              <w:snapToGrid w:val="0"/>
              <w:spacing w:line="276" w:lineRule="auto"/>
              <w:jc w:val="center"/>
              <w:rPr>
                <w:rFonts w:cs="宋体"/>
                <w:color w:val="auto"/>
                <w:sz w:val="24"/>
              </w:rPr>
            </w:pPr>
            <w:r>
              <w:rPr>
                <w:rFonts w:hint="eastAsia" w:cs="宋体"/>
                <w:color w:val="auto"/>
                <w:sz w:val="24"/>
              </w:rPr>
              <w:t>用地（用海）面积（</w:t>
            </w:r>
            <w:r>
              <w:rPr>
                <w:rFonts w:cs="宋体"/>
                <w:color w:val="auto"/>
                <w:sz w:val="24"/>
              </w:rPr>
              <w:t>m</w:t>
            </w:r>
            <w:r>
              <w:rPr>
                <w:rFonts w:cs="宋体"/>
                <w:color w:val="auto"/>
                <w:sz w:val="24"/>
                <w:vertAlign w:val="superscript"/>
              </w:rPr>
              <w:t>2</w:t>
            </w:r>
            <w:r>
              <w:rPr>
                <w:rFonts w:hint="eastAsia" w:cs="宋体"/>
                <w:color w:val="auto"/>
                <w:sz w:val="24"/>
              </w:rPr>
              <w:t>）</w:t>
            </w:r>
            <w:r>
              <w:rPr>
                <w:rFonts w:cs="宋体"/>
                <w:color w:val="auto"/>
                <w:sz w:val="24"/>
              </w:rPr>
              <w:t>/</w:t>
            </w:r>
            <w:r>
              <w:rPr>
                <w:rFonts w:hint="eastAsia" w:cs="宋体"/>
                <w:color w:val="auto"/>
                <w:sz w:val="24"/>
              </w:rPr>
              <w:t>长度（</w:t>
            </w:r>
            <w:r>
              <w:rPr>
                <w:rFonts w:cs="宋体"/>
                <w:color w:val="auto"/>
                <w:sz w:val="24"/>
              </w:rPr>
              <w:t>km</w:t>
            </w:r>
            <w:r>
              <w:rPr>
                <w:rFonts w:hint="eastAsia" w:cs="宋体"/>
                <w:color w:val="auto"/>
                <w:sz w:val="24"/>
              </w:rPr>
              <w:t>）</w:t>
            </w:r>
          </w:p>
        </w:tc>
        <w:tc>
          <w:tcPr>
            <w:tcW w:w="3168" w:type="dxa"/>
            <w:gridSpan w:val="2"/>
            <w:vAlign w:val="center"/>
          </w:tcPr>
          <w:p w14:paraId="722366F8">
            <w:pPr>
              <w:adjustRightInd w:val="0"/>
              <w:snapToGrid w:val="0"/>
              <w:spacing w:line="276" w:lineRule="auto"/>
              <w:jc w:val="center"/>
              <w:rPr>
                <w:rFonts w:hint="default" w:eastAsia="宋体" w:cs="宋体"/>
                <w:color w:val="auto"/>
                <w:sz w:val="24"/>
                <w:lang w:val="en-US" w:eastAsia="zh-CN"/>
              </w:rPr>
            </w:pPr>
            <w:r>
              <w:rPr>
                <w:rFonts w:hint="eastAsia" w:cs="宋体"/>
                <w:color w:val="auto"/>
                <w:sz w:val="24"/>
                <w:lang w:val="en-US" w:eastAsia="zh-CN"/>
              </w:rPr>
              <w:t>376000</w:t>
            </w:r>
            <w:r>
              <w:rPr>
                <w:rFonts w:hint="eastAsia"/>
                <w:color w:val="auto"/>
                <w:lang w:val="en-US" w:eastAsia="zh-CN"/>
              </w:rPr>
              <w:t>m</w:t>
            </w:r>
            <w:r>
              <w:rPr>
                <w:rFonts w:hint="eastAsia"/>
                <w:color w:val="auto"/>
                <w:vertAlign w:val="superscript"/>
                <w:lang w:val="en-US" w:eastAsia="zh-CN"/>
              </w:rPr>
              <w:t>2</w:t>
            </w:r>
            <w:r>
              <w:rPr>
                <w:rFonts w:hint="eastAsia"/>
                <w:color w:val="auto"/>
                <w:lang w:eastAsia="zh-CN"/>
              </w:rPr>
              <w:t>，</w:t>
            </w:r>
            <w:r>
              <w:rPr>
                <w:rFonts w:hint="eastAsia"/>
                <w:color w:val="auto"/>
                <w:sz w:val="24"/>
                <w:szCs w:val="32"/>
                <w:lang w:val="en-US" w:eastAsia="zh-CN"/>
              </w:rPr>
              <w:t>装卸有效长度770m</w:t>
            </w:r>
          </w:p>
        </w:tc>
      </w:tr>
      <w:tr w14:paraId="7DAAC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103" w:type="dxa"/>
            <w:tcMar>
              <w:top w:w="16" w:type="dxa"/>
              <w:left w:w="16" w:type="dxa"/>
              <w:right w:w="16" w:type="dxa"/>
            </w:tcMar>
            <w:vAlign w:val="center"/>
          </w:tcPr>
          <w:p w14:paraId="16C50DAF">
            <w:pPr>
              <w:adjustRightInd w:val="0"/>
              <w:snapToGrid w:val="0"/>
              <w:spacing w:line="276" w:lineRule="auto"/>
              <w:jc w:val="center"/>
              <w:rPr>
                <w:rFonts w:cs="宋体"/>
                <w:color w:val="auto"/>
                <w:sz w:val="24"/>
              </w:rPr>
            </w:pPr>
            <w:r>
              <w:rPr>
                <w:rFonts w:hint="eastAsia" w:cs="宋体"/>
                <w:color w:val="auto"/>
                <w:sz w:val="24"/>
              </w:rPr>
              <w:t>建设性质</w:t>
            </w:r>
          </w:p>
        </w:tc>
        <w:tc>
          <w:tcPr>
            <w:tcW w:w="2263" w:type="dxa"/>
            <w:vAlign w:val="center"/>
          </w:tcPr>
          <w:p w14:paraId="4D32E49B">
            <w:pPr>
              <w:adjustRightInd w:val="0"/>
              <w:snapToGrid w:val="0"/>
              <w:spacing w:line="276" w:lineRule="auto"/>
              <w:rPr>
                <w:rFonts w:cs="宋体"/>
                <w:color w:val="auto"/>
                <w:sz w:val="24"/>
              </w:rPr>
            </w:pPr>
            <w:r>
              <w:rPr>
                <w:rFonts w:hint="eastAsia" w:cs="宋体"/>
                <w:color w:val="auto"/>
                <w:sz w:val="24"/>
                <w:lang w:eastAsia="zh-CN"/>
              </w:rPr>
              <w:t>☑</w:t>
            </w:r>
            <w:r>
              <w:rPr>
                <w:rFonts w:hint="eastAsia" w:cs="宋体"/>
                <w:color w:val="auto"/>
                <w:sz w:val="24"/>
              </w:rPr>
              <w:t>新建（迁建）</w:t>
            </w:r>
          </w:p>
          <w:p w14:paraId="3ECCFC50">
            <w:pPr>
              <w:adjustRightInd w:val="0"/>
              <w:snapToGrid w:val="0"/>
              <w:spacing w:line="276" w:lineRule="auto"/>
              <w:rPr>
                <w:rFonts w:cs="宋体"/>
                <w:color w:val="auto"/>
                <w:sz w:val="24"/>
              </w:rPr>
            </w:pPr>
            <w:r>
              <w:rPr>
                <w:color w:val="auto"/>
                <w:sz w:val="24"/>
              </w:rPr>
              <w:sym w:font="Wingdings 2" w:char="00A3"/>
            </w:r>
            <w:r>
              <w:rPr>
                <w:rFonts w:hint="eastAsia" w:cs="宋体"/>
                <w:color w:val="auto"/>
                <w:sz w:val="24"/>
              </w:rPr>
              <w:t>改建</w:t>
            </w:r>
          </w:p>
          <w:p w14:paraId="172F6E07">
            <w:pPr>
              <w:adjustRightInd w:val="0"/>
              <w:snapToGrid w:val="0"/>
              <w:spacing w:line="276" w:lineRule="auto"/>
              <w:rPr>
                <w:rFonts w:cs="宋体"/>
                <w:color w:val="auto"/>
                <w:sz w:val="24"/>
              </w:rPr>
            </w:pPr>
            <w:r>
              <w:rPr>
                <w:rFonts w:hint="eastAsia" w:cs="宋体"/>
                <w:color w:val="auto"/>
                <w:sz w:val="24"/>
              </w:rPr>
              <w:t>□扩建</w:t>
            </w:r>
          </w:p>
          <w:p w14:paraId="5DC635E2">
            <w:pPr>
              <w:adjustRightInd w:val="0"/>
              <w:snapToGrid w:val="0"/>
              <w:spacing w:line="276" w:lineRule="auto"/>
              <w:rPr>
                <w:rFonts w:cs="宋体"/>
                <w:color w:val="auto"/>
                <w:sz w:val="24"/>
              </w:rPr>
            </w:pPr>
            <w:r>
              <w:rPr>
                <w:rFonts w:hint="eastAsia" w:cs="宋体"/>
                <w:color w:val="auto"/>
                <w:sz w:val="24"/>
              </w:rPr>
              <w:t>□技术改造</w:t>
            </w:r>
          </w:p>
        </w:tc>
        <w:tc>
          <w:tcPr>
            <w:tcW w:w="2582" w:type="dxa"/>
            <w:vAlign w:val="center"/>
          </w:tcPr>
          <w:p w14:paraId="73AE9810">
            <w:pPr>
              <w:adjustRightInd w:val="0"/>
              <w:snapToGrid w:val="0"/>
              <w:spacing w:line="276" w:lineRule="auto"/>
              <w:jc w:val="center"/>
              <w:rPr>
                <w:rFonts w:cs="宋体"/>
                <w:color w:val="auto"/>
                <w:sz w:val="24"/>
              </w:rPr>
            </w:pPr>
            <w:r>
              <w:rPr>
                <w:rFonts w:hint="eastAsia" w:cs="宋体"/>
                <w:color w:val="auto"/>
                <w:sz w:val="24"/>
              </w:rPr>
              <w:t>建设项目</w:t>
            </w:r>
          </w:p>
          <w:p w14:paraId="1C0C725F">
            <w:pPr>
              <w:adjustRightInd w:val="0"/>
              <w:snapToGrid w:val="0"/>
              <w:spacing w:line="276" w:lineRule="auto"/>
              <w:jc w:val="center"/>
              <w:rPr>
                <w:rFonts w:cs="宋体"/>
                <w:color w:val="auto"/>
                <w:sz w:val="24"/>
              </w:rPr>
            </w:pPr>
            <w:r>
              <w:rPr>
                <w:rFonts w:hint="eastAsia" w:cs="宋体"/>
                <w:color w:val="auto"/>
                <w:sz w:val="24"/>
              </w:rPr>
              <w:t>申报情形</w:t>
            </w:r>
          </w:p>
        </w:tc>
        <w:tc>
          <w:tcPr>
            <w:tcW w:w="3168" w:type="dxa"/>
            <w:gridSpan w:val="2"/>
            <w:vAlign w:val="center"/>
          </w:tcPr>
          <w:p w14:paraId="6350F7B9">
            <w:pPr>
              <w:adjustRightInd w:val="0"/>
              <w:snapToGrid w:val="0"/>
              <w:spacing w:line="276" w:lineRule="auto"/>
              <w:rPr>
                <w:rFonts w:cs="宋体"/>
                <w:color w:val="auto"/>
                <w:sz w:val="24"/>
              </w:rPr>
            </w:pPr>
            <w:r>
              <w:rPr>
                <w:color w:val="auto"/>
                <w:sz w:val="24"/>
              </w:rPr>
              <w:sym w:font="Wingdings 2" w:char="0052"/>
            </w:r>
            <w:r>
              <w:rPr>
                <w:rFonts w:hint="eastAsia" w:cs="宋体"/>
                <w:color w:val="auto"/>
                <w:sz w:val="24"/>
              </w:rPr>
              <w:t>首次申报项目</w:t>
            </w:r>
          </w:p>
          <w:p w14:paraId="78F9F271">
            <w:pPr>
              <w:adjustRightInd w:val="0"/>
              <w:snapToGrid w:val="0"/>
              <w:spacing w:line="276" w:lineRule="auto"/>
              <w:rPr>
                <w:rFonts w:cs="宋体"/>
                <w:color w:val="auto"/>
                <w:sz w:val="24"/>
              </w:rPr>
            </w:pPr>
            <w:r>
              <w:rPr>
                <w:rFonts w:hint="eastAsia" w:cs="宋体"/>
                <w:color w:val="auto"/>
                <w:sz w:val="24"/>
              </w:rPr>
              <w:t>□不予批准后再次申报项目</w:t>
            </w:r>
          </w:p>
          <w:p w14:paraId="01D16363">
            <w:pPr>
              <w:adjustRightInd w:val="0"/>
              <w:snapToGrid w:val="0"/>
              <w:spacing w:line="276" w:lineRule="auto"/>
              <w:rPr>
                <w:rFonts w:cs="宋体"/>
                <w:color w:val="auto"/>
                <w:sz w:val="24"/>
              </w:rPr>
            </w:pPr>
            <w:r>
              <w:rPr>
                <w:rFonts w:hint="eastAsia" w:cs="宋体"/>
                <w:color w:val="auto"/>
                <w:sz w:val="24"/>
              </w:rPr>
              <w:t>□超五年重新审核项目</w:t>
            </w:r>
          </w:p>
          <w:p w14:paraId="22F2A78C">
            <w:pPr>
              <w:adjustRightInd w:val="0"/>
              <w:snapToGrid w:val="0"/>
              <w:spacing w:line="276" w:lineRule="auto"/>
              <w:rPr>
                <w:rFonts w:cs="宋体"/>
                <w:color w:val="auto"/>
                <w:sz w:val="24"/>
              </w:rPr>
            </w:pPr>
            <w:r>
              <w:rPr>
                <w:rFonts w:hint="eastAsia" w:cs="宋体"/>
                <w:color w:val="auto"/>
                <w:sz w:val="24"/>
              </w:rPr>
              <w:t>□重大变动重新报批项目</w:t>
            </w:r>
          </w:p>
        </w:tc>
      </w:tr>
      <w:tr w14:paraId="13E4A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103" w:type="dxa"/>
            <w:tcMar>
              <w:top w:w="16" w:type="dxa"/>
              <w:left w:w="16" w:type="dxa"/>
              <w:right w:w="16" w:type="dxa"/>
            </w:tcMar>
            <w:vAlign w:val="center"/>
          </w:tcPr>
          <w:p w14:paraId="581E2BB9">
            <w:pPr>
              <w:adjustRightInd w:val="0"/>
              <w:snapToGrid w:val="0"/>
              <w:spacing w:line="276" w:lineRule="auto"/>
              <w:jc w:val="center"/>
              <w:rPr>
                <w:rFonts w:cs="宋体"/>
                <w:color w:val="auto"/>
                <w:sz w:val="24"/>
              </w:rPr>
            </w:pPr>
            <w:r>
              <w:rPr>
                <w:rFonts w:hint="eastAsia" w:cs="宋体"/>
                <w:color w:val="auto"/>
                <w:sz w:val="24"/>
              </w:rPr>
              <w:t>项目审批（核准</w:t>
            </w:r>
            <w:r>
              <w:rPr>
                <w:rFonts w:cs="宋体"/>
                <w:color w:val="auto"/>
                <w:sz w:val="24"/>
              </w:rPr>
              <w:t>/</w:t>
            </w:r>
          </w:p>
          <w:p w14:paraId="49D5CC00">
            <w:pPr>
              <w:adjustRightInd w:val="0"/>
              <w:snapToGrid w:val="0"/>
              <w:spacing w:line="276" w:lineRule="auto"/>
              <w:jc w:val="center"/>
              <w:rPr>
                <w:rFonts w:cs="宋体"/>
                <w:color w:val="auto"/>
                <w:sz w:val="24"/>
              </w:rPr>
            </w:pPr>
            <w:r>
              <w:rPr>
                <w:rFonts w:hint="eastAsia" w:cs="宋体"/>
                <w:color w:val="auto"/>
                <w:sz w:val="24"/>
              </w:rPr>
              <w:t>备案）部门（选填）</w:t>
            </w:r>
          </w:p>
        </w:tc>
        <w:tc>
          <w:tcPr>
            <w:tcW w:w="2263" w:type="dxa"/>
            <w:vAlign w:val="center"/>
          </w:tcPr>
          <w:p w14:paraId="495055BF">
            <w:pPr>
              <w:widowControl/>
              <w:adjustRightInd/>
              <w:snapToGrid/>
              <w:spacing w:line="240" w:lineRule="auto"/>
              <w:jc w:val="center"/>
              <w:rPr>
                <w:rFonts w:hint="default" w:cs="宋体"/>
                <w:color w:val="auto"/>
                <w:sz w:val="24"/>
                <w:lang w:val="en-US"/>
              </w:rPr>
            </w:pPr>
            <w:r>
              <w:rPr>
                <w:rFonts w:hint="eastAsia" w:ascii="宋体" w:hAnsi="宋体" w:cs="宋体"/>
                <w:color w:val="auto"/>
                <w:kern w:val="0"/>
                <w:sz w:val="24"/>
                <w:szCs w:val="24"/>
                <w:lang w:val="en-US" w:eastAsia="zh-CN" w:bidi="ar"/>
              </w:rPr>
              <w:t>防城港市港口区发展和改革局</w:t>
            </w:r>
          </w:p>
        </w:tc>
        <w:tc>
          <w:tcPr>
            <w:tcW w:w="2582" w:type="dxa"/>
            <w:vAlign w:val="center"/>
          </w:tcPr>
          <w:p w14:paraId="085E00CF">
            <w:pPr>
              <w:adjustRightInd w:val="0"/>
              <w:snapToGrid w:val="0"/>
              <w:spacing w:line="276" w:lineRule="auto"/>
              <w:jc w:val="center"/>
              <w:rPr>
                <w:rFonts w:cs="宋体"/>
                <w:color w:val="auto"/>
                <w:sz w:val="24"/>
              </w:rPr>
            </w:pPr>
            <w:r>
              <w:rPr>
                <w:rFonts w:hint="eastAsia" w:cs="宋体"/>
                <w:color w:val="auto"/>
                <w:sz w:val="24"/>
              </w:rPr>
              <w:t>项目审批（核准</w:t>
            </w:r>
            <w:r>
              <w:rPr>
                <w:rFonts w:cs="宋体"/>
                <w:color w:val="auto"/>
                <w:sz w:val="24"/>
              </w:rPr>
              <w:t>/</w:t>
            </w:r>
          </w:p>
          <w:p w14:paraId="315D6822">
            <w:pPr>
              <w:adjustRightInd w:val="0"/>
              <w:snapToGrid w:val="0"/>
              <w:spacing w:line="276" w:lineRule="auto"/>
              <w:jc w:val="center"/>
              <w:rPr>
                <w:rFonts w:cs="宋体"/>
                <w:color w:val="auto"/>
                <w:sz w:val="24"/>
              </w:rPr>
            </w:pPr>
            <w:r>
              <w:rPr>
                <w:rFonts w:hint="eastAsia" w:cs="宋体"/>
                <w:color w:val="auto"/>
                <w:sz w:val="24"/>
              </w:rPr>
              <w:t>备案）文号（选填）</w:t>
            </w:r>
          </w:p>
        </w:tc>
        <w:tc>
          <w:tcPr>
            <w:tcW w:w="3168" w:type="dxa"/>
            <w:gridSpan w:val="2"/>
            <w:vAlign w:val="center"/>
          </w:tcPr>
          <w:p w14:paraId="4AB1F0A2">
            <w:pPr>
              <w:adjustRightInd w:val="0"/>
              <w:snapToGrid w:val="0"/>
              <w:spacing w:line="276" w:lineRule="auto"/>
              <w:jc w:val="center"/>
              <w:rPr>
                <w:rFonts w:cs="宋体"/>
                <w:color w:val="auto"/>
                <w:sz w:val="24"/>
              </w:rPr>
            </w:pPr>
            <w:r>
              <w:rPr>
                <w:rFonts w:hint="eastAsia" w:cs="宋体"/>
                <w:color w:val="auto"/>
                <w:sz w:val="24"/>
              </w:rPr>
              <w:t>/</w:t>
            </w:r>
          </w:p>
        </w:tc>
      </w:tr>
      <w:tr w14:paraId="7D3771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03" w:type="dxa"/>
            <w:tcMar>
              <w:top w:w="16" w:type="dxa"/>
              <w:left w:w="16" w:type="dxa"/>
              <w:right w:w="16" w:type="dxa"/>
            </w:tcMar>
            <w:vAlign w:val="center"/>
          </w:tcPr>
          <w:p w14:paraId="25B43CA0">
            <w:pPr>
              <w:adjustRightInd w:val="0"/>
              <w:snapToGrid w:val="0"/>
              <w:spacing w:line="276" w:lineRule="auto"/>
              <w:jc w:val="center"/>
              <w:rPr>
                <w:rFonts w:cs="宋体"/>
                <w:color w:val="auto"/>
                <w:sz w:val="24"/>
                <w:highlight w:val="none"/>
              </w:rPr>
            </w:pPr>
            <w:r>
              <w:rPr>
                <w:rFonts w:hint="eastAsia" w:cs="宋体"/>
                <w:color w:val="auto"/>
                <w:sz w:val="24"/>
                <w:highlight w:val="none"/>
              </w:rPr>
              <w:t>总投资（万元）</w:t>
            </w:r>
          </w:p>
        </w:tc>
        <w:tc>
          <w:tcPr>
            <w:tcW w:w="2263" w:type="dxa"/>
            <w:vAlign w:val="center"/>
          </w:tcPr>
          <w:p w14:paraId="14E1CFD8">
            <w:pPr>
              <w:adjustRightInd w:val="0"/>
              <w:snapToGrid w:val="0"/>
              <w:spacing w:line="276" w:lineRule="auto"/>
              <w:jc w:val="center"/>
              <w:rPr>
                <w:rFonts w:hint="default" w:eastAsia="宋体" w:cs="宋体"/>
                <w:color w:val="auto"/>
                <w:sz w:val="24"/>
                <w:highlight w:val="none"/>
                <w:lang w:val="en-US" w:eastAsia="zh-CN"/>
              </w:rPr>
            </w:pPr>
            <w:r>
              <w:rPr>
                <w:rFonts w:hint="eastAsia" w:cs="宋体"/>
                <w:color w:val="auto"/>
                <w:sz w:val="24"/>
                <w:highlight w:val="none"/>
                <w:lang w:val="en-US" w:eastAsia="zh-CN"/>
              </w:rPr>
              <w:t>9866</w:t>
            </w:r>
          </w:p>
        </w:tc>
        <w:tc>
          <w:tcPr>
            <w:tcW w:w="2582" w:type="dxa"/>
            <w:tcMar>
              <w:top w:w="16" w:type="dxa"/>
              <w:left w:w="16" w:type="dxa"/>
              <w:right w:w="16" w:type="dxa"/>
            </w:tcMar>
            <w:vAlign w:val="center"/>
          </w:tcPr>
          <w:p w14:paraId="65117F4E">
            <w:pPr>
              <w:adjustRightInd w:val="0"/>
              <w:snapToGrid w:val="0"/>
              <w:spacing w:line="276" w:lineRule="auto"/>
              <w:jc w:val="center"/>
              <w:rPr>
                <w:rFonts w:cs="宋体"/>
                <w:color w:val="auto"/>
                <w:sz w:val="24"/>
                <w:highlight w:val="none"/>
              </w:rPr>
            </w:pPr>
            <w:r>
              <w:rPr>
                <w:rFonts w:hint="eastAsia" w:cs="宋体"/>
                <w:color w:val="auto"/>
                <w:sz w:val="24"/>
                <w:highlight w:val="none"/>
              </w:rPr>
              <w:t>环保投资（万元）</w:t>
            </w:r>
          </w:p>
        </w:tc>
        <w:tc>
          <w:tcPr>
            <w:tcW w:w="3168" w:type="dxa"/>
            <w:gridSpan w:val="2"/>
            <w:vAlign w:val="center"/>
          </w:tcPr>
          <w:p w14:paraId="3C058155">
            <w:pPr>
              <w:adjustRightInd w:val="0"/>
              <w:snapToGrid w:val="0"/>
              <w:spacing w:line="276" w:lineRule="auto"/>
              <w:jc w:val="center"/>
              <w:rPr>
                <w:rFonts w:hint="default" w:eastAsia="宋体" w:cs="宋体"/>
                <w:color w:val="auto"/>
                <w:sz w:val="24"/>
                <w:highlight w:val="none"/>
                <w:lang w:val="en-US" w:eastAsia="zh-CN"/>
              </w:rPr>
            </w:pPr>
            <w:r>
              <w:rPr>
                <w:rFonts w:hint="eastAsia" w:cs="宋体"/>
                <w:color w:val="auto"/>
                <w:sz w:val="24"/>
                <w:highlight w:val="none"/>
                <w:lang w:val="en-US" w:eastAsia="zh-CN"/>
              </w:rPr>
              <w:t>267</w:t>
            </w:r>
          </w:p>
        </w:tc>
      </w:tr>
      <w:tr w14:paraId="52BD8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03" w:type="dxa"/>
            <w:tcMar>
              <w:top w:w="16" w:type="dxa"/>
              <w:left w:w="16" w:type="dxa"/>
              <w:right w:w="16" w:type="dxa"/>
            </w:tcMar>
            <w:vAlign w:val="center"/>
          </w:tcPr>
          <w:p w14:paraId="1BB60220">
            <w:pPr>
              <w:adjustRightInd w:val="0"/>
              <w:snapToGrid w:val="0"/>
              <w:spacing w:line="276" w:lineRule="auto"/>
              <w:jc w:val="center"/>
              <w:rPr>
                <w:rFonts w:cs="宋体"/>
                <w:color w:val="auto"/>
                <w:sz w:val="24"/>
                <w:highlight w:val="none"/>
              </w:rPr>
            </w:pPr>
            <w:r>
              <w:rPr>
                <w:rFonts w:hint="eastAsia" w:cs="宋体"/>
                <w:color w:val="auto"/>
                <w:sz w:val="24"/>
                <w:highlight w:val="none"/>
              </w:rPr>
              <w:t>环保投资占比（</w:t>
            </w:r>
            <w:r>
              <w:rPr>
                <w:rFonts w:cs="宋体"/>
                <w:color w:val="auto"/>
                <w:sz w:val="24"/>
                <w:highlight w:val="none"/>
              </w:rPr>
              <w:t>%</w:t>
            </w:r>
            <w:r>
              <w:rPr>
                <w:rFonts w:hint="eastAsia" w:cs="宋体"/>
                <w:color w:val="auto"/>
                <w:sz w:val="24"/>
                <w:highlight w:val="none"/>
              </w:rPr>
              <w:t>）</w:t>
            </w:r>
          </w:p>
        </w:tc>
        <w:tc>
          <w:tcPr>
            <w:tcW w:w="2263" w:type="dxa"/>
            <w:vAlign w:val="center"/>
          </w:tcPr>
          <w:p w14:paraId="1D9E138B">
            <w:pPr>
              <w:adjustRightInd w:val="0"/>
              <w:snapToGrid w:val="0"/>
              <w:spacing w:line="276" w:lineRule="auto"/>
              <w:jc w:val="center"/>
              <w:rPr>
                <w:rFonts w:hint="default" w:eastAsia="宋体" w:cs="宋体"/>
                <w:color w:val="auto"/>
                <w:sz w:val="24"/>
                <w:highlight w:val="none"/>
                <w:lang w:val="en-US" w:eastAsia="zh-CN"/>
              </w:rPr>
            </w:pPr>
            <w:r>
              <w:rPr>
                <w:rFonts w:hint="eastAsia" w:cs="宋体"/>
                <w:color w:val="auto"/>
                <w:sz w:val="24"/>
                <w:highlight w:val="none"/>
                <w:lang w:val="en-US" w:eastAsia="zh-CN"/>
              </w:rPr>
              <w:t>2.7</w:t>
            </w:r>
          </w:p>
        </w:tc>
        <w:tc>
          <w:tcPr>
            <w:tcW w:w="2582" w:type="dxa"/>
            <w:tcMar>
              <w:top w:w="16" w:type="dxa"/>
              <w:left w:w="16" w:type="dxa"/>
              <w:right w:w="16" w:type="dxa"/>
            </w:tcMar>
            <w:vAlign w:val="center"/>
          </w:tcPr>
          <w:p w14:paraId="3283B50B">
            <w:pPr>
              <w:adjustRightInd w:val="0"/>
              <w:snapToGrid w:val="0"/>
              <w:spacing w:line="276" w:lineRule="auto"/>
              <w:jc w:val="center"/>
              <w:rPr>
                <w:rFonts w:cs="宋体"/>
                <w:color w:val="auto"/>
                <w:sz w:val="24"/>
                <w:highlight w:val="none"/>
              </w:rPr>
            </w:pPr>
            <w:r>
              <w:rPr>
                <w:rFonts w:hint="eastAsia" w:cs="宋体"/>
                <w:color w:val="auto"/>
                <w:sz w:val="24"/>
                <w:highlight w:val="none"/>
              </w:rPr>
              <w:t>施工工期</w:t>
            </w:r>
          </w:p>
        </w:tc>
        <w:tc>
          <w:tcPr>
            <w:tcW w:w="3168" w:type="dxa"/>
            <w:gridSpan w:val="2"/>
            <w:vAlign w:val="center"/>
          </w:tcPr>
          <w:p w14:paraId="40083E07">
            <w:pPr>
              <w:adjustRightInd w:val="0"/>
              <w:snapToGrid w:val="0"/>
              <w:spacing w:line="276" w:lineRule="auto"/>
              <w:jc w:val="center"/>
              <w:rPr>
                <w:rFonts w:cs="宋体"/>
                <w:color w:val="auto"/>
                <w:sz w:val="24"/>
                <w:highlight w:val="none"/>
              </w:rPr>
            </w:pPr>
            <w:r>
              <w:rPr>
                <w:rFonts w:hint="eastAsia" w:cs="宋体"/>
                <w:color w:val="auto"/>
                <w:sz w:val="24"/>
                <w:highlight w:val="none"/>
                <w:lang w:val="en-US" w:eastAsia="zh-CN"/>
              </w:rPr>
              <w:t>12</w:t>
            </w:r>
            <w:r>
              <w:rPr>
                <w:rFonts w:hint="eastAsia" w:cs="宋体"/>
                <w:color w:val="auto"/>
                <w:sz w:val="24"/>
                <w:highlight w:val="none"/>
              </w:rPr>
              <w:t>个月</w:t>
            </w:r>
          </w:p>
        </w:tc>
      </w:tr>
      <w:tr w14:paraId="3D847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03" w:type="dxa"/>
            <w:tcMar>
              <w:top w:w="16" w:type="dxa"/>
              <w:left w:w="16" w:type="dxa"/>
              <w:right w:w="16" w:type="dxa"/>
            </w:tcMar>
            <w:vAlign w:val="center"/>
          </w:tcPr>
          <w:p w14:paraId="2E7CB03A">
            <w:pPr>
              <w:adjustRightInd w:val="0"/>
              <w:snapToGrid w:val="0"/>
              <w:spacing w:line="276" w:lineRule="auto"/>
              <w:jc w:val="center"/>
              <w:rPr>
                <w:rFonts w:cs="宋体"/>
                <w:color w:val="auto"/>
                <w:sz w:val="24"/>
              </w:rPr>
            </w:pPr>
            <w:r>
              <w:rPr>
                <w:rFonts w:hint="eastAsia" w:cs="宋体"/>
                <w:color w:val="auto"/>
                <w:sz w:val="24"/>
              </w:rPr>
              <w:t>是否开工建设</w:t>
            </w:r>
          </w:p>
        </w:tc>
        <w:tc>
          <w:tcPr>
            <w:tcW w:w="8013" w:type="dxa"/>
            <w:gridSpan w:val="4"/>
            <w:vAlign w:val="center"/>
          </w:tcPr>
          <w:p w14:paraId="7936DE8C">
            <w:pPr>
              <w:adjustRightInd w:val="0"/>
              <w:snapToGrid w:val="0"/>
              <w:spacing w:line="276" w:lineRule="auto"/>
              <w:ind w:firstLine="105"/>
              <w:jc w:val="both"/>
              <w:rPr>
                <w:rFonts w:cs="宋体"/>
                <w:color w:val="auto"/>
                <w:sz w:val="24"/>
              </w:rPr>
            </w:pPr>
            <w:r>
              <w:rPr>
                <w:color w:val="auto"/>
                <w:sz w:val="24"/>
              </w:rPr>
              <w:sym w:font="Wingdings 2" w:char="0052"/>
            </w:r>
            <w:r>
              <w:rPr>
                <w:rFonts w:hint="eastAsia" w:cs="宋体"/>
                <w:color w:val="auto"/>
                <w:sz w:val="24"/>
              </w:rPr>
              <w:t>否</w:t>
            </w:r>
          </w:p>
          <w:p w14:paraId="13F655A3">
            <w:pPr>
              <w:adjustRightInd w:val="0"/>
              <w:snapToGrid w:val="0"/>
              <w:spacing w:line="276" w:lineRule="auto"/>
              <w:ind w:firstLine="92"/>
              <w:jc w:val="both"/>
              <w:rPr>
                <w:rFonts w:cs="宋体"/>
                <w:color w:val="auto"/>
                <w:sz w:val="24"/>
              </w:rPr>
            </w:pPr>
            <w:r>
              <w:rPr>
                <w:rFonts w:hint="eastAsia" w:cs="宋体"/>
                <w:color w:val="auto"/>
                <w:sz w:val="24"/>
              </w:rPr>
              <w:t>□是：</w:t>
            </w:r>
          </w:p>
        </w:tc>
      </w:tr>
      <w:tr w14:paraId="06A06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03" w:type="dxa"/>
            <w:tcMar>
              <w:top w:w="16" w:type="dxa"/>
              <w:left w:w="16" w:type="dxa"/>
              <w:right w:w="16" w:type="dxa"/>
            </w:tcMar>
            <w:vAlign w:val="center"/>
          </w:tcPr>
          <w:p w14:paraId="6FB51E9C">
            <w:pPr>
              <w:autoSpaceDE w:val="0"/>
              <w:autoSpaceDN w:val="0"/>
              <w:adjustRightInd w:val="0"/>
              <w:snapToGrid w:val="0"/>
              <w:spacing w:line="276" w:lineRule="auto"/>
              <w:jc w:val="center"/>
              <w:rPr>
                <w:rFonts w:cs="宋体"/>
                <w:color w:val="auto"/>
                <w:kern w:val="0"/>
                <w:sz w:val="24"/>
              </w:rPr>
            </w:pPr>
            <w:r>
              <w:rPr>
                <w:rFonts w:hint="eastAsia" w:cs="宋体"/>
                <w:color w:val="auto"/>
                <w:kern w:val="0"/>
                <w:sz w:val="24"/>
              </w:rPr>
              <w:t>专项评价设置情况</w:t>
            </w:r>
          </w:p>
        </w:tc>
        <w:tc>
          <w:tcPr>
            <w:tcW w:w="8013" w:type="dxa"/>
            <w:gridSpan w:val="4"/>
            <w:tcMar>
              <w:top w:w="16" w:type="dxa"/>
              <w:left w:w="16" w:type="dxa"/>
              <w:right w:w="16" w:type="dxa"/>
            </w:tcMar>
            <w:vAlign w:val="center"/>
          </w:tcPr>
          <w:p w14:paraId="1B8477E9">
            <w:pPr>
              <w:pStyle w:val="349"/>
              <w:spacing w:before="47" w:line="344" w:lineRule="auto"/>
              <w:ind w:left="110" w:right="102" w:firstLine="480"/>
              <w:rPr>
                <w:color w:val="auto"/>
                <w:spacing w:val="-1"/>
              </w:rPr>
            </w:pPr>
            <w:r>
              <w:rPr>
                <w:color w:val="auto"/>
              </w:rPr>
              <w:t>根据《建设项目环境影响报告表编制技术指南（</w:t>
            </w:r>
            <w:r>
              <w:rPr>
                <w:rFonts w:hint="eastAsia"/>
                <w:color w:val="auto"/>
                <w:lang w:val="en-US" w:eastAsia="zh-CN"/>
              </w:rPr>
              <w:t>生态影响</w:t>
            </w:r>
            <w:r>
              <w:rPr>
                <w:color w:val="auto"/>
                <w:spacing w:val="-1"/>
              </w:rPr>
              <w:t>类）》中表</w:t>
            </w:r>
            <w:r>
              <w:rPr>
                <w:rFonts w:ascii="Times New Roman" w:hAnsi="Times New Roman" w:eastAsia="Times New Roman" w:cs="Times New Roman"/>
                <w:color w:val="auto"/>
                <w:spacing w:val="-1"/>
              </w:rPr>
              <w:t>1</w:t>
            </w:r>
            <w:r>
              <w:rPr>
                <w:color w:val="auto"/>
                <w:spacing w:val="-1"/>
              </w:rPr>
              <w:t>专项评价设置原则表。</w:t>
            </w:r>
          </w:p>
          <w:p w14:paraId="6539CE94">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cs="Times New Roman"/>
                <w:b/>
                <w:bCs/>
                <w:color w:val="auto"/>
                <w:spacing w:val="7"/>
                <w:sz w:val="21"/>
                <w:szCs w:val="21"/>
              </w:rPr>
            </w:pPr>
          </w:p>
          <w:p w14:paraId="77C3729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cs="Times New Roman"/>
                <w:b/>
                <w:bCs/>
                <w:color w:val="auto"/>
                <w:spacing w:val="7"/>
                <w:sz w:val="21"/>
                <w:szCs w:val="21"/>
              </w:rPr>
            </w:pPr>
            <w:r>
              <w:rPr>
                <w:rFonts w:ascii="Times New Roman" w:hAnsi="Times New Roman" w:cs="Times New Roman"/>
                <w:b/>
                <w:bCs/>
                <w:color w:val="auto"/>
                <w:spacing w:val="7"/>
                <w:sz w:val="24"/>
                <w:szCs w:val="24"/>
              </w:rPr>
              <w:t>表1</w:t>
            </w:r>
            <w:r>
              <w:rPr>
                <w:rFonts w:hint="eastAsia" w:ascii="Times New Roman" w:hAnsi="Times New Roman" w:cs="Times New Roman"/>
                <w:b/>
                <w:bCs/>
                <w:color w:val="auto"/>
                <w:spacing w:val="7"/>
                <w:sz w:val="24"/>
                <w:szCs w:val="24"/>
                <w:lang w:val="en-US" w:eastAsia="zh-CN"/>
              </w:rPr>
              <w:t>-1</w:t>
            </w:r>
            <w:r>
              <w:rPr>
                <w:rFonts w:ascii="Times New Roman" w:hAnsi="Times New Roman" w:cs="Times New Roman"/>
                <w:color w:val="auto"/>
                <w:spacing w:val="7"/>
                <w:sz w:val="24"/>
                <w:szCs w:val="24"/>
              </w:rPr>
              <w:t xml:space="preserve"> </w:t>
            </w:r>
            <w:r>
              <w:rPr>
                <w:rFonts w:ascii="Times New Roman" w:hAnsi="Times New Roman" w:cs="Times New Roman"/>
                <w:b/>
                <w:bCs/>
                <w:color w:val="auto"/>
                <w:spacing w:val="7"/>
                <w:sz w:val="24"/>
                <w:szCs w:val="24"/>
              </w:rPr>
              <w:t>专项评价设置原则表</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4667"/>
              <w:gridCol w:w="1930"/>
            </w:tblGrid>
            <w:tr w14:paraId="3284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vAlign w:val="center"/>
                </w:tcPr>
                <w:p w14:paraId="33A9DBF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auto"/>
                      <w:spacing w:val="0"/>
                      <w:sz w:val="21"/>
                      <w:szCs w:val="21"/>
                      <w:vertAlign w:val="baseline"/>
                    </w:rPr>
                  </w:pPr>
                  <w:r>
                    <w:rPr>
                      <w:rFonts w:ascii="Times New Roman" w:hAnsi="Times New Roman" w:eastAsia="宋体" w:cs="Times New Roman"/>
                      <w:color w:val="auto"/>
                      <w:spacing w:val="0"/>
                      <w:sz w:val="21"/>
                      <w:szCs w:val="21"/>
                    </w:rPr>
                    <w:t>专项评价的类别</w:t>
                  </w:r>
                </w:p>
              </w:tc>
              <w:tc>
                <w:tcPr>
                  <w:tcW w:w="2928" w:type="pct"/>
                  <w:vAlign w:val="center"/>
                </w:tcPr>
                <w:p w14:paraId="7C09EB6D">
                  <w:pPr>
                    <w:pStyle w:val="349"/>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cs="Times New Roman"/>
                      <w:b/>
                      <w:bCs/>
                      <w:color w:val="auto"/>
                      <w:spacing w:val="0"/>
                      <w:sz w:val="21"/>
                      <w:szCs w:val="21"/>
                      <w:vertAlign w:val="baseline"/>
                    </w:rPr>
                  </w:pPr>
                  <w:r>
                    <w:rPr>
                      <w:rFonts w:ascii="Times New Roman" w:hAnsi="Times New Roman" w:eastAsia="宋体" w:cs="Times New Roman"/>
                      <w:color w:val="auto"/>
                      <w:spacing w:val="0"/>
                      <w:sz w:val="21"/>
                      <w:szCs w:val="21"/>
                    </w:rPr>
                    <w:t>设置原则</w:t>
                  </w:r>
                </w:p>
              </w:tc>
              <w:tc>
                <w:tcPr>
                  <w:tcW w:w="1211" w:type="pct"/>
                  <w:vAlign w:val="center"/>
                </w:tcPr>
                <w:p w14:paraId="31BDD292">
                  <w:pPr>
                    <w:pStyle w:val="349"/>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cs="Times New Roman"/>
                      <w:b/>
                      <w:bCs/>
                      <w:color w:val="auto"/>
                      <w:spacing w:val="0"/>
                      <w:sz w:val="21"/>
                      <w:szCs w:val="21"/>
                      <w:vertAlign w:val="baseline"/>
                    </w:rPr>
                  </w:pPr>
                  <w:r>
                    <w:rPr>
                      <w:rFonts w:ascii="Times New Roman" w:hAnsi="Times New Roman" w:eastAsia="宋体" w:cs="Times New Roman"/>
                      <w:color w:val="auto"/>
                      <w:spacing w:val="0"/>
                      <w:sz w:val="21"/>
                      <w:szCs w:val="21"/>
                    </w:rPr>
                    <w:t>本项目情况</w:t>
                  </w:r>
                </w:p>
              </w:tc>
            </w:tr>
            <w:tr w14:paraId="107C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vAlign w:val="center"/>
                </w:tcPr>
                <w:p w14:paraId="5155AB04">
                  <w:pPr>
                    <w:jc w:val="center"/>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地表水</w:t>
                  </w:r>
                </w:p>
              </w:tc>
              <w:tc>
                <w:tcPr>
                  <w:tcW w:w="2928" w:type="pct"/>
                  <w:vAlign w:val="center"/>
                </w:tcPr>
                <w:p w14:paraId="18F14EF4">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水力发电</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引水式发电、涉及调峰发电的项目</w:t>
                  </w:r>
                  <w:r>
                    <w:rPr>
                      <w:rFonts w:hint="eastAsia" w:ascii="Times New Roman" w:hAnsi="Times New Roman" w:eastAsia="宋体"/>
                      <w:color w:val="auto"/>
                      <w:spacing w:val="0"/>
                      <w:sz w:val="21"/>
                      <w:szCs w:val="21"/>
                      <w:lang w:eastAsia="zh-CN"/>
                    </w:rPr>
                    <w:t>；</w:t>
                  </w:r>
                </w:p>
                <w:p w14:paraId="5FEAF9A7">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人工湖、人工湿地</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r>
                    <w:rPr>
                      <w:rFonts w:hint="eastAsia" w:ascii="Times New Roman" w:hAnsi="Times New Roman" w:eastAsia="宋体"/>
                      <w:color w:val="auto"/>
                      <w:spacing w:val="0"/>
                      <w:sz w:val="21"/>
                      <w:szCs w:val="21"/>
                      <w:lang w:eastAsia="zh-CN"/>
                    </w:rPr>
                    <w:t>；</w:t>
                  </w:r>
                </w:p>
                <w:p w14:paraId="0A412449">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水库</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r>
                    <w:rPr>
                      <w:rFonts w:hint="eastAsia" w:ascii="Times New Roman" w:hAnsi="Times New Roman" w:eastAsia="宋体"/>
                      <w:color w:val="auto"/>
                      <w:spacing w:val="0"/>
                      <w:sz w:val="21"/>
                      <w:szCs w:val="21"/>
                      <w:lang w:eastAsia="zh-CN"/>
                    </w:rPr>
                    <w:t>；</w:t>
                  </w:r>
                </w:p>
                <w:p w14:paraId="328E6BC7">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引水工程</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r>
                    <w:rPr>
                      <w:rFonts w:hint="eastAsia" w:ascii="宋体" w:hAnsi="宋体" w:eastAsia="宋体" w:cs="宋体"/>
                      <w:color w:val="auto"/>
                      <w:spacing w:val="0"/>
                      <w:sz w:val="21"/>
                      <w:szCs w:val="21"/>
                    </w:rPr>
                    <w:t>(</w:t>
                  </w:r>
                  <w:r>
                    <w:rPr>
                      <w:rFonts w:hint="eastAsia" w:ascii="Times New Roman" w:hAnsi="Times New Roman" w:eastAsia="宋体"/>
                      <w:color w:val="auto"/>
                      <w:spacing w:val="0"/>
                      <w:sz w:val="21"/>
                      <w:szCs w:val="21"/>
                    </w:rPr>
                    <w:t>配套的管线工程等除外</w:t>
                  </w:r>
                  <w:r>
                    <w:rPr>
                      <w:rFonts w:hint="eastAsia" w:ascii="宋体" w:hAnsi="宋体" w:eastAsia="宋体" w:cs="宋体"/>
                      <w:color w:val="auto"/>
                      <w:spacing w:val="0"/>
                      <w:sz w:val="21"/>
                      <w:szCs w:val="21"/>
                    </w:rPr>
                    <w:t>)</w:t>
                  </w:r>
                  <w:r>
                    <w:rPr>
                      <w:rFonts w:hint="eastAsia" w:ascii="Times New Roman" w:hAnsi="Times New Roman" w:eastAsia="宋体"/>
                      <w:color w:val="auto"/>
                      <w:spacing w:val="0"/>
                      <w:sz w:val="21"/>
                      <w:szCs w:val="21"/>
                      <w:lang w:eastAsia="zh-CN"/>
                    </w:rPr>
                    <w:t>；</w:t>
                  </w:r>
                </w:p>
                <w:p w14:paraId="7E18737B">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防洪除涝工程</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包含水库的项目</w:t>
                  </w:r>
                  <w:r>
                    <w:rPr>
                      <w:rFonts w:hint="eastAsia" w:ascii="Times New Roman" w:hAnsi="Times New Roman" w:eastAsia="宋体"/>
                      <w:color w:val="auto"/>
                      <w:spacing w:val="0"/>
                      <w:sz w:val="21"/>
                      <w:szCs w:val="21"/>
                      <w:lang w:eastAsia="zh-CN"/>
                    </w:rPr>
                    <w:t>；</w:t>
                  </w:r>
                </w:p>
                <w:p w14:paraId="13841399">
                  <w:pPr>
                    <w:jc w:val="both"/>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河湖整治</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涉及清淤且底泥存在重金属污染的项目</w:t>
                  </w:r>
                  <w:r>
                    <w:rPr>
                      <w:rFonts w:hint="eastAsia" w:ascii="Times New Roman" w:hAnsi="Times New Roman" w:eastAsia="宋体"/>
                      <w:color w:val="auto"/>
                      <w:spacing w:val="0"/>
                      <w:sz w:val="21"/>
                      <w:szCs w:val="21"/>
                      <w:lang w:eastAsia="zh-CN"/>
                    </w:rPr>
                    <w:t>。</w:t>
                  </w:r>
                </w:p>
              </w:tc>
              <w:tc>
                <w:tcPr>
                  <w:tcW w:w="1211" w:type="pct"/>
                  <w:vAlign w:val="center"/>
                </w:tcPr>
                <w:p w14:paraId="1FAD4D8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auto"/>
                      <w:spacing w:val="0"/>
                      <w:sz w:val="21"/>
                      <w:szCs w:val="21"/>
                      <w:vertAlign w:val="baseline"/>
                    </w:rPr>
                  </w:pPr>
                  <w:r>
                    <w:rPr>
                      <w:rFonts w:ascii="Times New Roman" w:hAnsi="Times New Roman" w:eastAsia="宋体"/>
                      <w:color w:val="auto"/>
                      <w:spacing w:val="0"/>
                      <w:sz w:val="21"/>
                      <w:szCs w:val="21"/>
                    </w:rPr>
                    <w:t>不涉及</w:t>
                  </w:r>
                </w:p>
              </w:tc>
            </w:tr>
            <w:tr w14:paraId="4E35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vAlign w:val="center"/>
                </w:tcPr>
                <w:p w14:paraId="00A70843">
                  <w:pPr>
                    <w:jc w:val="center"/>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地下水</w:t>
                  </w:r>
                </w:p>
              </w:tc>
              <w:tc>
                <w:tcPr>
                  <w:tcW w:w="2928" w:type="pct"/>
                  <w:vAlign w:val="center"/>
                </w:tcPr>
                <w:p w14:paraId="5800D7C1">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陆地石油和天然气开采</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r>
                    <w:rPr>
                      <w:rFonts w:hint="eastAsia" w:ascii="Times New Roman" w:hAnsi="Times New Roman" w:eastAsia="宋体"/>
                      <w:color w:val="auto"/>
                      <w:spacing w:val="0"/>
                      <w:sz w:val="21"/>
                      <w:szCs w:val="21"/>
                      <w:lang w:eastAsia="zh-CN"/>
                    </w:rPr>
                    <w:t>；</w:t>
                  </w:r>
                </w:p>
                <w:p w14:paraId="3B7053A9">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地下水</w:t>
                  </w:r>
                  <w:r>
                    <w:rPr>
                      <w:rFonts w:hint="eastAsia" w:ascii="宋体" w:hAnsi="宋体" w:eastAsia="宋体" w:cs="宋体"/>
                      <w:color w:val="auto"/>
                      <w:spacing w:val="0"/>
                      <w:sz w:val="21"/>
                      <w:szCs w:val="21"/>
                    </w:rPr>
                    <w:t>(</w:t>
                  </w:r>
                  <w:r>
                    <w:rPr>
                      <w:rFonts w:hint="eastAsia" w:ascii="Times New Roman" w:hAnsi="Times New Roman" w:eastAsia="宋体"/>
                      <w:color w:val="auto"/>
                      <w:spacing w:val="0"/>
                      <w:sz w:val="21"/>
                      <w:szCs w:val="21"/>
                    </w:rPr>
                    <w:t>含矿泉水</w:t>
                  </w:r>
                  <w:r>
                    <w:rPr>
                      <w:rFonts w:hint="eastAsia" w:ascii="宋体" w:hAnsi="宋体" w:eastAsia="宋体" w:cs="宋体"/>
                      <w:color w:val="auto"/>
                      <w:spacing w:val="0"/>
                      <w:sz w:val="21"/>
                      <w:szCs w:val="21"/>
                    </w:rPr>
                    <w:t>)</w:t>
                  </w:r>
                  <w:r>
                    <w:rPr>
                      <w:rFonts w:hint="eastAsia" w:ascii="Times New Roman" w:hAnsi="Times New Roman" w:eastAsia="宋体"/>
                      <w:color w:val="auto"/>
                      <w:spacing w:val="0"/>
                      <w:sz w:val="21"/>
                      <w:szCs w:val="21"/>
                    </w:rPr>
                    <w:t>开采</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r>
                    <w:rPr>
                      <w:rFonts w:hint="eastAsia" w:ascii="Times New Roman" w:hAnsi="Times New Roman" w:eastAsia="宋体"/>
                      <w:color w:val="auto"/>
                      <w:spacing w:val="0"/>
                      <w:sz w:val="21"/>
                      <w:szCs w:val="21"/>
                      <w:lang w:eastAsia="zh-CN"/>
                    </w:rPr>
                    <w:t>；</w:t>
                  </w:r>
                </w:p>
                <w:p w14:paraId="0880350E">
                  <w:pPr>
                    <w:jc w:val="both"/>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水利、水电、交通等</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含穿越可溶岩地层隧道的项目</w:t>
                  </w:r>
                </w:p>
              </w:tc>
              <w:tc>
                <w:tcPr>
                  <w:tcW w:w="1211" w:type="pct"/>
                  <w:vAlign w:val="center"/>
                </w:tcPr>
                <w:p w14:paraId="7F66544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auto"/>
                      <w:spacing w:val="0"/>
                      <w:sz w:val="21"/>
                      <w:szCs w:val="21"/>
                      <w:vertAlign w:val="baseline"/>
                    </w:rPr>
                  </w:pPr>
                  <w:r>
                    <w:rPr>
                      <w:rFonts w:ascii="Times New Roman" w:hAnsi="Times New Roman" w:eastAsia="宋体"/>
                      <w:color w:val="auto"/>
                      <w:spacing w:val="0"/>
                      <w:sz w:val="21"/>
                      <w:szCs w:val="21"/>
                    </w:rPr>
                    <w:t>不涉及</w:t>
                  </w:r>
                </w:p>
              </w:tc>
            </w:tr>
            <w:tr w14:paraId="48DF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vAlign w:val="center"/>
                </w:tcPr>
                <w:p w14:paraId="4B070D68">
                  <w:pPr>
                    <w:jc w:val="center"/>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生态</w:t>
                  </w:r>
                </w:p>
              </w:tc>
              <w:tc>
                <w:tcPr>
                  <w:tcW w:w="2928" w:type="pct"/>
                  <w:vAlign w:val="center"/>
                </w:tcPr>
                <w:p w14:paraId="74B9FD26">
                  <w:pPr>
                    <w:jc w:val="both"/>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涉及环境敏感区</w:t>
                  </w:r>
                  <w:r>
                    <w:rPr>
                      <w:rFonts w:hint="eastAsia" w:ascii="宋体" w:hAnsi="宋体" w:eastAsia="宋体" w:cs="宋体"/>
                      <w:color w:val="auto"/>
                      <w:spacing w:val="0"/>
                      <w:sz w:val="21"/>
                      <w:szCs w:val="21"/>
                    </w:rPr>
                    <w:t>(</w:t>
                  </w:r>
                  <w:r>
                    <w:rPr>
                      <w:rFonts w:hint="eastAsia" w:ascii="Times New Roman" w:hAnsi="Times New Roman" w:eastAsia="宋体"/>
                      <w:color w:val="auto"/>
                      <w:spacing w:val="0"/>
                      <w:sz w:val="21"/>
                      <w:szCs w:val="21"/>
                    </w:rPr>
                    <w:t>不包括饮用水水源保护区，以居住、医疗卫生、文化教育科研、行政办公为主要功能的区域，以及文物保护单位</w:t>
                  </w:r>
                  <w:r>
                    <w:rPr>
                      <w:rFonts w:hint="eastAsia" w:ascii="宋体" w:hAnsi="宋体" w:eastAsia="宋体" w:cs="宋体"/>
                      <w:color w:val="auto"/>
                      <w:spacing w:val="0"/>
                      <w:sz w:val="21"/>
                      <w:szCs w:val="21"/>
                    </w:rPr>
                    <w:t>)</w:t>
                  </w:r>
                  <w:r>
                    <w:rPr>
                      <w:rFonts w:hint="eastAsia" w:ascii="Times New Roman" w:hAnsi="Times New Roman" w:eastAsia="宋体"/>
                      <w:color w:val="auto"/>
                      <w:spacing w:val="0"/>
                      <w:sz w:val="21"/>
                      <w:szCs w:val="21"/>
                    </w:rPr>
                    <w:t>的项目</w:t>
                  </w:r>
                </w:p>
              </w:tc>
              <w:tc>
                <w:tcPr>
                  <w:tcW w:w="1211" w:type="pct"/>
                  <w:vAlign w:val="center"/>
                </w:tcPr>
                <w:p w14:paraId="2489EF3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auto"/>
                      <w:spacing w:val="0"/>
                      <w:sz w:val="21"/>
                      <w:szCs w:val="21"/>
                      <w:vertAlign w:val="baseline"/>
                    </w:rPr>
                  </w:pPr>
                  <w:r>
                    <w:rPr>
                      <w:rFonts w:ascii="Times New Roman" w:hAnsi="Times New Roman" w:eastAsia="宋体"/>
                      <w:color w:val="auto"/>
                      <w:spacing w:val="0"/>
                      <w:sz w:val="21"/>
                      <w:szCs w:val="21"/>
                    </w:rPr>
                    <w:t>不涉及</w:t>
                  </w:r>
                </w:p>
              </w:tc>
            </w:tr>
            <w:tr w14:paraId="3A9A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vAlign w:val="center"/>
                </w:tcPr>
                <w:p w14:paraId="33339B0E">
                  <w:pPr>
                    <w:jc w:val="center"/>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大气</w:t>
                  </w:r>
                </w:p>
              </w:tc>
              <w:tc>
                <w:tcPr>
                  <w:tcW w:w="2928" w:type="pct"/>
                  <w:vAlign w:val="center"/>
                </w:tcPr>
                <w:p w14:paraId="6B5DDDAC">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油气、液体化工码头</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r>
                    <w:rPr>
                      <w:rFonts w:hint="eastAsia" w:ascii="Times New Roman" w:hAnsi="Times New Roman" w:eastAsia="宋体"/>
                      <w:color w:val="auto"/>
                      <w:spacing w:val="0"/>
                      <w:sz w:val="21"/>
                      <w:szCs w:val="21"/>
                      <w:lang w:eastAsia="zh-CN"/>
                    </w:rPr>
                    <w:t>；</w:t>
                  </w:r>
                </w:p>
                <w:p w14:paraId="517C9077">
                  <w:pPr>
                    <w:jc w:val="both"/>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干散货</w:t>
                  </w:r>
                  <w:r>
                    <w:rPr>
                      <w:rFonts w:hint="eastAsia" w:ascii="宋体" w:hAnsi="宋体" w:eastAsia="宋体" w:cs="宋体"/>
                      <w:color w:val="auto"/>
                      <w:spacing w:val="0"/>
                      <w:sz w:val="21"/>
                      <w:szCs w:val="21"/>
                    </w:rPr>
                    <w:t>(</w:t>
                  </w:r>
                  <w:r>
                    <w:rPr>
                      <w:rFonts w:hint="eastAsia" w:ascii="Times New Roman" w:hAnsi="Times New Roman" w:eastAsia="宋体"/>
                      <w:color w:val="auto"/>
                      <w:spacing w:val="0"/>
                      <w:sz w:val="21"/>
                      <w:szCs w:val="21"/>
                    </w:rPr>
                    <w:t>含煤炭、矿石</w:t>
                  </w:r>
                  <w:r>
                    <w:rPr>
                      <w:rFonts w:hint="eastAsia" w:ascii="宋体" w:hAnsi="宋体" w:eastAsia="宋体" w:cs="宋体"/>
                      <w:color w:val="auto"/>
                      <w:spacing w:val="0"/>
                      <w:sz w:val="21"/>
                      <w:szCs w:val="21"/>
                    </w:rPr>
                    <w:t>)</w:t>
                  </w:r>
                  <w:r>
                    <w:rPr>
                      <w:rFonts w:hint="eastAsia" w:ascii="Times New Roman" w:hAnsi="Times New Roman" w:eastAsia="宋体"/>
                      <w:color w:val="auto"/>
                      <w:spacing w:val="0"/>
                      <w:sz w:val="21"/>
                      <w:szCs w:val="21"/>
                    </w:rPr>
                    <w:t>、件杂、多用途、通用码头</w:t>
                  </w:r>
                  <w:r>
                    <w:rPr>
                      <w:rFonts w:hint="eastAsia" w:ascii="宋体" w:hAnsi="宋体" w:eastAsia="宋体" w:cs="宋体"/>
                      <w:color w:val="auto"/>
                      <w:spacing w:val="0"/>
                      <w:sz w:val="21"/>
                      <w:szCs w:val="21"/>
                    </w:rPr>
                    <w:t>:</w:t>
                  </w:r>
                  <w:r>
                    <w:rPr>
                      <w:rFonts w:hint="eastAsia" w:ascii="Times New Roman" w:hAnsi="Times New Roman" w:eastAsia="宋体"/>
                      <w:color w:val="auto"/>
                      <w:spacing w:val="0"/>
                      <w:sz w:val="21"/>
                      <w:szCs w:val="21"/>
                    </w:rPr>
                    <w:t>涉及粉尘、挥发性有机物排放的项目</w:t>
                  </w:r>
                </w:p>
              </w:tc>
              <w:tc>
                <w:tcPr>
                  <w:tcW w:w="1211" w:type="pct"/>
                  <w:vAlign w:val="center"/>
                </w:tcPr>
                <w:p w14:paraId="1A9765B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auto"/>
                      <w:spacing w:val="0"/>
                      <w:sz w:val="21"/>
                      <w:szCs w:val="21"/>
                      <w:vertAlign w:val="baseline"/>
                    </w:rPr>
                  </w:pPr>
                  <w:r>
                    <w:rPr>
                      <w:rFonts w:ascii="Times New Roman" w:hAnsi="Times New Roman" w:eastAsia="宋体"/>
                      <w:color w:val="auto"/>
                      <w:spacing w:val="0"/>
                      <w:sz w:val="21"/>
                      <w:szCs w:val="21"/>
                    </w:rPr>
                    <w:t>不涉及</w:t>
                  </w:r>
                </w:p>
              </w:tc>
            </w:tr>
            <w:tr w14:paraId="7481F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vAlign w:val="center"/>
                </w:tcPr>
                <w:p w14:paraId="2510FE89">
                  <w:pPr>
                    <w:jc w:val="center"/>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噪声</w:t>
                  </w:r>
                </w:p>
              </w:tc>
              <w:tc>
                <w:tcPr>
                  <w:tcW w:w="2928" w:type="pct"/>
                  <w:vAlign w:val="center"/>
                </w:tcPr>
                <w:p w14:paraId="0302440F">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公路、铁路、机场等交通运输业涉及环境敏感区</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以居住、医疗卫生、文化教育、科研、行政办公为主要功能的区域</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的项目</w:t>
                  </w:r>
                  <w:r>
                    <w:rPr>
                      <w:rFonts w:hint="eastAsia" w:ascii="Times New Roman" w:hAnsi="Times New Roman" w:eastAsia="宋体"/>
                      <w:color w:val="auto"/>
                      <w:spacing w:val="0"/>
                      <w:sz w:val="21"/>
                      <w:szCs w:val="21"/>
                      <w:lang w:eastAsia="zh-CN"/>
                    </w:rPr>
                    <w:t>；</w:t>
                  </w:r>
                </w:p>
                <w:p w14:paraId="6CE94BB8">
                  <w:pPr>
                    <w:jc w:val="both"/>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城市道路</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不含维护，不含支路、人行天桥、人行地道</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p>
              </w:tc>
              <w:tc>
                <w:tcPr>
                  <w:tcW w:w="1211" w:type="pct"/>
                  <w:vAlign w:val="center"/>
                </w:tcPr>
                <w:p w14:paraId="2337B7B9">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0"/>
                      <w:sz w:val="21"/>
                      <w:szCs w:val="21"/>
                      <w:vertAlign w:val="baseline"/>
                      <w:lang w:val="en-US"/>
                    </w:rPr>
                  </w:pPr>
                  <w:r>
                    <w:rPr>
                      <w:rFonts w:hint="default" w:ascii="Times New Roman" w:hAnsi="Times New Roman" w:eastAsia="宋体" w:cs="Times New Roman"/>
                      <w:color w:val="auto"/>
                      <w:spacing w:val="0"/>
                      <w:sz w:val="21"/>
                      <w:szCs w:val="21"/>
                      <w:lang w:val="en-US" w:eastAsia="zh-CN"/>
                    </w:rPr>
                    <w:t>本项目</w:t>
                  </w:r>
                  <w:r>
                    <w:rPr>
                      <w:rFonts w:hint="eastAsia" w:ascii="Times New Roman" w:hAnsi="Times New Roman" w:cs="Times New Roman"/>
                      <w:color w:val="auto"/>
                      <w:spacing w:val="0"/>
                      <w:sz w:val="21"/>
                      <w:szCs w:val="21"/>
                      <w:lang w:val="en-US" w:eastAsia="zh-CN"/>
                    </w:rPr>
                    <w:t>评价范围</w:t>
                  </w:r>
                  <w:r>
                    <w:rPr>
                      <w:rFonts w:hint="default" w:ascii="Times New Roman" w:hAnsi="Times New Roman" w:eastAsia="宋体" w:cs="Times New Roman"/>
                      <w:color w:val="auto"/>
                      <w:spacing w:val="0"/>
                      <w:sz w:val="21"/>
                      <w:szCs w:val="21"/>
                      <w:lang w:val="en-US" w:eastAsia="zh-CN"/>
                    </w:rPr>
                    <w:t>200m范围内</w:t>
                  </w:r>
                  <w:r>
                    <w:rPr>
                      <w:rFonts w:hint="eastAsia" w:ascii="Times New Roman" w:hAnsi="Times New Roman" w:cs="Times New Roman"/>
                      <w:color w:val="auto"/>
                      <w:spacing w:val="0"/>
                      <w:sz w:val="21"/>
                      <w:szCs w:val="21"/>
                      <w:lang w:val="en-US" w:eastAsia="zh-CN"/>
                    </w:rPr>
                    <w:t>存在居民点</w:t>
                  </w:r>
                </w:p>
              </w:tc>
            </w:tr>
            <w:tr w14:paraId="775D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0" w:type="pct"/>
                  <w:vAlign w:val="center"/>
                </w:tcPr>
                <w:p w14:paraId="4C71B67C">
                  <w:pPr>
                    <w:jc w:val="center"/>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环境风险</w:t>
                  </w:r>
                </w:p>
              </w:tc>
              <w:tc>
                <w:tcPr>
                  <w:tcW w:w="2928" w:type="pct"/>
                  <w:vAlign w:val="center"/>
                </w:tcPr>
                <w:p w14:paraId="7CCC8BBC">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石油和天然气开采</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r>
                    <w:rPr>
                      <w:rFonts w:hint="eastAsia" w:ascii="Times New Roman" w:hAnsi="Times New Roman" w:eastAsia="宋体"/>
                      <w:color w:val="auto"/>
                      <w:spacing w:val="0"/>
                      <w:sz w:val="21"/>
                      <w:szCs w:val="21"/>
                      <w:lang w:eastAsia="zh-CN"/>
                    </w:rPr>
                    <w:t>；</w:t>
                  </w:r>
                </w:p>
                <w:p w14:paraId="37C6F9F1">
                  <w:pPr>
                    <w:jc w:val="both"/>
                    <w:rPr>
                      <w:rFonts w:hint="eastAsia" w:ascii="Times New Roman" w:hAnsi="Times New Roman" w:eastAsia="宋体"/>
                      <w:color w:val="auto"/>
                      <w:spacing w:val="0"/>
                      <w:sz w:val="21"/>
                      <w:szCs w:val="21"/>
                      <w:lang w:eastAsia="zh-CN"/>
                    </w:rPr>
                  </w:pPr>
                  <w:r>
                    <w:rPr>
                      <w:rFonts w:hint="eastAsia" w:ascii="Times New Roman" w:hAnsi="Times New Roman" w:eastAsia="宋体"/>
                      <w:color w:val="auto"/>
                      <w:spacing w:val="0"/>
                      <w:sz w:val="21"/>
                      <w:szCs w:val="21"/>
                    </w:rPr>
                    <w:t>油气、液体化工码头</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r>
                    <w:rPr>
                      <w:rFonts w:hint="eastAsia" w:ascii="Times New Roman" w:hAnsi="Times New Roman" w:eastAsia="宋体"/>
                      <w:color w:val="auto"/>
                      <w:spacing w:val="0"/>
                      <w:sz w:val="21"/>
                      <w:szCs w:val="21"/>
                      <w:lang w:eastAsia="zh-CN"/>
                    </w:rPr>
                    <w:t>；</w:t>
                  </w:r>
                </w:p>
                <w:p w14:paraId="23276150">
                  <w:pPr>
                    <w:jc w:val="both"/>
                    <w:rPr>
                      <w:rFonts w:ascii="Times New Roman" w:hAnsi="Times New Roman" w:eastAsia="宋体" w:cs="Times New Roman"/>
                      <w:b/>
                      <w:bCs/>
                      <w:color w:val="auto"/>
                      <w:spacing w:val="0"/>
                      <w:sz w:val="21"/>
                      <w:szCs w:val="21"/>
                      <w:vertAlign w:val="baseline"/>
                    </w:rPr>
                  </w:pPr>
                  <w:r>
                    <w:rPr>
                      <w:rFonts w:hint="eastAsia" w:ascii="Times New Roman" w:hAnsi="Times New Roman" w:eastAsia="宋体"/>
                      <w:color w:val="auto"/>
                      <w:spacing w:val="0"/>
                      <w:sz w:val="21"/>
                      <w:szCs w:val="21"/>
                    </w:rPr>
                    <w:t>原油、成品油、天然气管线</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不含城镇天然气管线、企业厂区内管线</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，危险化学品输送管线</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不含企业厂区内管线</w:t>
                  </w:r>
                  <w:r>
                    <w:rPr>
                      <w:rFonts w:hint="eastAsia" w:ascii="Times New Roman" w:hAnsi="Times New Roman" w:eastAsia="宋体"/>
                      <w:color w:val="auto"/>
                      <w:spacing w:val="0"/>
                      <w:sz w:val="21"/>
                      <w:szCs w:val="21"/>
                      <w:lang w:eastAsia="zh-CN"/>
                    </w:rPr>
                    <w:t>）：</w:t>
                  </w:r>
                  <w:r>
                    <w:rPr>
                      <w:rFonts w:hint="eastAsia" w:ascii="Times New Roman" w:hAnsi="Times New Roman" w:eastAsia="宋体"/>
                      <w:color w:val="auto"/>
                      <w:spacing w:val="0"/>
                      <w:sz w:val="21"/>
                      <w:szCs w:val="21"/>
                    </w:rPr>
                    <w:t>全部</w:t>
                  </w:r>
                </w:p>
              </w:tc>
              <w:tc>
                <w:tcPr>
                  <w:tcW w:w="1211" w:type="pct"/>
                  <w:vAlign w:val="center"/>
                </w:tcPr>
                <w:p w14:paraId="516460E4">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Times New Roman"/>
                      <w:b/>
                      <w:bCs/>
                      <w:color w:val="auto"/>
                      <w:spacing w:val="0"/>
                      <w:sz w:val="21"/>
                      <w:szCs w:val="21"/>
                      <w:vertAlign w:val="baseline"/>
                    </w:rPr>
                  </w:pPr>
                  <w:r>
                    <w:rPr>
                      <w:rFonts w:ascii="Times New Roman" w:hAnsi="Times New Roman" w:eastAsia="宋体"/>
                      <w:color w:val="auto"/>
                      <w:spacing w:val="0"/>
                      <w:sz w:val="21"/>
                      <w:szCs w:val="21"/>
                    </w:rPr>
                    <w:t>不涉及</w:t>
                  </w:r>
                </w:p>
              </w:tc>
            </w:tr>
          </w:tbl>
          <w:p w14:paraId="67A4BD8F">
            <w:pPr>
              <w:pStyle w:val="349"/>
              <w:spacing w:before="47" w:line="344" w:lineRule="auto"/>
              <w:ind w:left="110" w:right="102" w:firstLine="480"/>
              <w:rPr>
                <w:b/>
                <w:bCs/>
                <w:color w:val="auto"/>
                <w:spacing w:val="7"/>
                <w:sz w:val="20"/>
                <w:szCs w:val="20"/>
              </w:rPr>
            </w:pPr>
            <w:r>
              <w:rPr>
                <w:color w:val="auto"/>
                <w:spacing w:val="-1"/>
              </w:rPr>
              <w:t>综上，本项目须设置</w:t>
            </w:r>
            <w:r>
              <w:rPr>
                <w:rFonts w:hint="eastAsia"/>
                <w:color w:val="auto"/>
                <w:spacing w:val="-1"/>
              </w:rPr>
              <w:t>噪声</w:t>
            </w:r>
            <w:r>
              <w:rPr>
                <w:color w:val="auto"/>
                <w:spacing w:val="-1"/>
              </w:rPr>
              <w:t>专项评价。</w:t>
            </w:r>
          </w:p>
          <w:p w14:paraId="78277F84">
            <w:pPr>
              <w:autoSpaceDE w:val="0"/>
              <w:autoSpaceDN w:val="0"/>
              <w:adjustRightInd w:val="0"/>
              <w:snapToGrid w:val="0"/>
              <w:spacing w:line="360" w:lineRule="auto"/>
              <w:rPr>
                <w:rFonts w:hint="eastAsia" w:eastAsia="宋体" w:cs="宋体"/>
                <w:color w:val="auto"/>
                <w:kern w:val="0"/>
                <w:sz w:val="24"/>
                <w:lang w:eastAsia="zh-CN"/>
              </w:rPr>
            </w:pPr>
          </w:p>
        </w:tc>
      </w:tr>
      <w:tr w14:paraId="621FD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03" w:type="dxa"/>
            <w:tcMar>
              <w:top w:w="16" w:type="dxa"/>
              <w:left w:w="16" w:type="dxa"/>
              <w:right w:w="16" w:type="dxa"/>
            </w:tcMar>
            <w:vAlign w:val="center"/>
          </w:tcPr>
          <w:p w14:paraId="454BCDFF">
            <w:pPr>
              <w:autoSpaceDE w:val="0"/>
              <w:autoSpaceDN w:val="0"/>
              <w:adjustRightInd w:val="0"/>
              <w:snapToGrid w:val="0"/>
              <w:spacing w:line="276" w:lineRule="auto"/>
              <w:jc w:val="center"/>
              <w:rPr>
                <w:rFonts w:cs="宋体"/>
                <w:color w:val="auto"/>
                <w:kern w:val="0"/>
                <w:sz w:val="24"/>
              </w:rPr>
            </w:pPr>
            <w:r>
              <w:rPr>
                <w:rFonts w:hint="eastAsia" w:cs="宋体"/>
                <w:color w:val="auto"/>
                <w:sz w:val="24"/>
              </w:rPr>
              <w:t>规划情况</w:t>
            </w:r>
          </w:p>
        </w:tc>
        <w:tc>
          <w:tcPr>
            <w:tcW w:w="8013" w:type="dxa"/>
            <w:gridSpan w:val="4"/>
            <w:tcMar>
              <w:top w:w="16" w:type="dxa"/>
              <w:left w:w="16" w:type="dxa"/>
              <w:right w:w="16" w:type="dxa"/>
            </w:tcMar>
            <w:vAlign w:val="center"/>
          </w:tcPr>
          <w:p w14:paraId="60415D1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w:t>
            </w:r>
            <w:r>
              <w:rPr>
                <w:rFonts w:hint="eastAsia" w:cs="宋体"/>
                <w:color w:val="auto"/>
                <w:kern w:val="0"/>
                <w:sz w:val="24"/>
                <w:szCs w:val="24"/>
                <w:lang w:val="en-US" w:eastAsia="zh-CN" w:bidi="ar-SA"/>
              </w:rPr>
              <w:t>1</w:t>
            </w:r>
            <w:r>
              <w:rPr>
                <w:rFonts w:hint="eastAsia" w:ascii="Times New Roman" w:hAnsi="Times New Roman" w:eastAsia="宋体" w:cs="宋体"/>
                <w:color w:val="auto"/>
                <w:kern w:val="0"/>
                <w:sz w:val="24"/>
                <w:szCs w:val="24"/>
                <w:lang w:val="en-US" w:eastAsia="zh-CN" w:bidi="ar-SA"/>
              </w:rPr>
              <w:t>）防城港经济技术开发区总体规划（2023-2025）（已公示）</w:t>
            </w:r>
          </w:p>
          <w:p w14:paraId="11604DB1">
            <w:pPr>
              <w:pStyle w:val="2"/>
              <w:keepNext w:val="0"/>
              <w:keepLines w:val="0"/>
              <w:pageBreakBefore w:val="0"/>
              <w:widowControl w:val="0"/>
              <w:numPr>
                <w:ilvl w:val="0"/>
                <w:numId w:val="0"/>
              </w:numPr>
              <w:kinsoku/>
              <w:wordWrap/>
              <w:overflowPunct/>
              <w:topLinePunct w:val="0"/>
              <w:bidi w:val="0"/>
              <w:spacing w:after="0" w:line="360" w:lineRule="auto"/>
              <w:ind w:left="0" w:leftChars="0" w:firstLine="480" w:firstLineChars="200"/>
              <w:textAlignment w:val="auto"/>
              <w:rPr>
                <w:color w:val="auto"/>
              </w:rPr>
            </w:pPr>
            <w:r>
              <w:rPr>
                <w:rFonts w:hint="eastAsia" w:ascii="Times New Roman" w:hAnsi="Times New Roman" w:eastAsia="宋体" w:cs="宋体"/>
                <w:color w:val="auto"/>
                <w:kern w:val="0"/>
                <w:sz w:val="24"/>
                <w:szCs w:val="24"/>
                <w:lang w:val="en-US" w:eastAsia="zh-CN" w:bidi="ar-SA"/>
              </w:rPr>
              <w:t>（</w:t>
            </w:r>
            <w:r>
              <w:rPr>
                <w:rFonts w:hint="eastAsia" w:cs="宋体"/>
                <w:color w:val="auto"/>
                <w:kern w:val="0"/>
                <w:sz w:val="24"/>
                <w:szCs w:val="24"/>
                <w:lang w:val="en-US" w:eastAsia="zh-CN" w:bidi="ar-SA"/>
              </w:rPr>
              <w:t>2</w:t>
            </w:r>
            <w:r>
              <w:rPr>
                <w:rFonts w:hint="eastAsia" w:ascii="Times New Roman" w:hAnsi="Times New Roman" w:eastAsia="宋体" w:cs="宋体"/>
                <w:color w:val="auto"/>
                <w:kern w:val="0"/>
                <w:sz w:val="24"/>
                <w:szCs w:val="24"/>
                <w:lang w:val="en-US" w:eastAsia="zh-CN" w:bidi="ar-SA"/>
              </w:rPr>
              <w:t>）防城港铁路枢纽总图规划（2016～</w:t>
            </w:r>
            <w:r>
              <w:rPr>
                <w:rFonts w:hint="default" w:ascii="Times New Roman" w:hAnsi="Times New Roman" w:eastAsia="宋体" w:cs="宋体"/>
                <w:color w:val="auto"/>
                <w:kern w:val="0"/>
                <w:sz w:val="24"/>
                <w:szCs w:val="24"/>
                <w:lang w:val="en-US" w:eastAsia="zh-CN" w:bidi="ar-SA"/>
              </w:rPr>
              <w:t xml:space="preserve">2030 </w:t>
            </w:r>
            <w:r>
              <w:rPr>
                <w:rFonts w:hint="eastAsia" w:ascii="Times New Roman" w:hAnsi="Times New Roman" w:eastAsia="宋体" w:cs="宋体"/>
                <w:color w:val="auto"/>
                <w:kern w:val="0"/>
                <w:sz w:val="24"/>
                <w:szCs w:val="24"/>
                <w:lang w:val="en-US" w:eastAsia="zh-CN" w:bidi="ar-SA"/>
              </w:rPr>
              <w:t>年）</w:t>
            </w:r>
          </w:p>
        </w:tc>
      </w:tr>
      <w:tr w14:paraId="4F655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03" w:type="dxa"/>
            <w:tcMar>
              <w:top w:w="16" w:type="dxa"/>
              <w:left w:w="16" w:type="dxa"/>
              <w:right w:w="16" w:type="dxa"/>
            </w:tcMar>
            <w:vAlign w:val="center"/>
          </w:tcPr>
          <w:p w14:paraId="58C4F0A7">
            <w:pPr>
              <w:autoSpaceDE w:val="0"/>
              <w:autoSpaceDN w:val="0"/>
              <w:adjustRightInd w:val="0"/>
              <w:snapToGrid w:val="0"/>
              <w:spacing w:line="276" w:lineRule="auto"/>
              <w:jc w:val="center"/>
              <w:rPr>
                <w:rFonts w:cs="宋体"/>
                <w:color w:val="auto"/>
                <w:sz w:val="24"/>
              </w:rPr>
            </w:pPr>
            <w:r>
              <w:rPr>
                <w:rFonts w:hint="eastAsia" w:cs="宋体"/>
                <w:color w:val="auto"/>
                <w:sz w:val="24"/>
              </w:rPr>
              <w:t>规划环境影响</w:t>
            </w:r>
          </w:p>
          <w:p w14:paraId="1099A30C">
            <w:pPr>
              <w:autoSpaceDE w:val="0"/>
              <w:autoSpaceDN w:val="0"/>
              <w:adjustRightInd w:val="0"/>
              <w:snapToGrid w:val="0"/>
              <w:spacing w:line="276" w:lineRule="auto"/>
              <w:jc w:val="center"/>
              <w:rPr>
                <w:rFonts w:cs="宋体"/>
                <w:color w:val="auto"/>
                <w:kern w:val="0"/>
                <w:sz w:val="24"/>
              </w:rPr>
            </w:pPr>
            <w:r>
              <w:rPr>
                <w:rFonts w:hint="eastAsia" w:cs="宋体"/>
                <w:color w:val="auto"/>
                <w:sz w:val="24"/>
              </w:rPr>
              <w:t>评价情况</w:t>
            </w:r>
          </w:p>
        </w:tc>
        <w:tc>
          <w:tcPr>
            <w:tcW w:w="8013" w:type="dxa"/>
            <w:gridSpan w:val="4"/>
            <w:tcMar>
              <w:top w:w="16" w:type="dxa"/>
              <w:left w:w="16" w:type="dxa"/>
              <w:right w:w="16" w:type="dxa"/>
            </w:tcMar>
            <w:vAlign w:val="center"/>
          </w:tcPr>
          <w:p w14:paraId="4DC81D8F">
            <w:pPr>
              <w:numPr>
                <w:ilvl w:val="0"/>
                <w:numId w:val="0"/>
              </w:numPr>
              <w:spacing w:line="360" w:lineRule="auto"/>
              <w:ind w:left="0" w:leftChars="0" w:firstLine="480" w:firstLineChars="200"/>
              <w:rPr>
                <w:rFonts w:hint="eastAsia" w:ascii="Times New Roman" w:hAnsi="Times New Roman" w:eastAsia="宋体" w:cs="Times New Roman"/>
                <w:color w:val="auto"/>
                <w:spacing w:val="0"/>
                <w:sz w:val="24"/>
                <w:szCs w:val="24"/>
                <w:highlight w:val="none"/>
                <w:u w:val="none" w:color="auto"/>
              </w:rPr>
            </w:pPr>
            <w:r>
              <w:rPr>
                <w:rFonts w:hint="eastAsia" w:ascii="Times New Roman" w:hAnsi="Times New Roman" w:eastAsia="宋体" w:cs="Times New Roman"/>
                <w:color w:val="auto"/>
                <w:spacing w:val="0"/>
                <w:sz w:val="24"/>
                <w:szCs w:val="24"/>
                <w:highlight w:val="none"/>
                <w:u w:val="none" w:color="auto"/>
                <w:lang w:val="en-US" w:eastAsia="zh-CN"/>
              </w:rPr>
              <w:t>规划名称：</w:t>
            </w:r>
            <w:r>
              <w:rPr>
                <w:rFonts w:hint="eastAsia" w:ascii="Times New Roman" w:hAnsi="Times New Roman" w:eastAsia="宋体" w:cs="宋体"/>
                <w:color w:val="auto"/>
                <w:kern w:val="0"/>
                <w:sz w:val="24"/>
                <w:lang w:val="en-US" w:eastAsia="zh-CN"/>
              </w:rPr>
              <w:t>《防城港经济技术开发区总体规划环境影响报告书》</w:t>
            </w:r>
            <w:r>
              <w:rPr>
                <w:rFonts w:hint="eastAsia" w:ascii="Times New Roman" w:hAnsi="Times New Roman" w:eastAsia="宋体" w:cs="Times New Roman"/>
                <w:color w:val="auto"/>
                <w:spacing w:val="0"/>
                <w:sz w:val="24"/>
                <w:szCs w:val="24"/>
                <w:highlight w:val="none"/>
                <w:u w:val="none" w:color="auto"/>
                <w:lang w:val="en-US" w:eastAsia="zh-CN"/>
              </w:rPr>
              <w:t xml:space="preserve"> </w:t>
            </w:r>
          </w:p>
          <w:p w14:paraId="1C9A2527">
            <w:pPr>
              <w:numPr>
                <w:ilvl w:val="0"/>
                <w:numId w:val="0"/>
              </w:numPr>
              <w:spacing w:line="360" w:lineRule="auto"/>
              <w:ind w:left="0" w:leftChars="0" w:firstLine="480" w:firstLineChars="200"/>
              <w:rPr>
                <w:rFonts w:hint="eastAsia" w:ascii="Times New Roman" w:hAnsi="Times New Roman" w:eastAsia="宋体" w:cs="Times New Roman"/>
                <w:color w:val="auto"/>
                <w:spacing w:val="0"/>
                <w:sz w:val="24"/>
                <w:szCs w:val="24"/>
                <w:highlight w:val="none"/>
                <w:u w:val="none" w:color="auto"/>
              </w:rPr>
            </w:pPr>
            <w:r>
              <w:rPr>
                <w:rFonts w:hint="eastAsia" w:ascii="Times New Roman" w:hAnsi="Times New Roman" w:eastAsia="宋体" w:cs="Times New Roman"/>
                <w:color w:val="auto"/>
                <w:spacing w:val="0"/>
                <w:sz w:val="24"/>
                <w:szCs w:val="24"/>
                <w:highlight w:val="none"/>
                <w:u w:val="none" w:color="auto"/>
                <w:lang w:val="en-US" w:eastAsia="zh-CN"/>
              </w:rPr>
              <w:t>审查机关：</w:t>
            </w:r>
            <w:r>
              <w:rPr>
                <w:rFonts w:hint="eastAsia" w:ascii="Times New Roman" w:hAnsi="Times New Roman" w:eastAsia="宋体" w:cs="宋体"/>
                <w:color w:val="auto"/>
                <w:kern w:val="0"/>
                <w:sz w:val="24"/>
                <w:lang w:val="en-US" w:eastAsia="zh-CN"/>
              </w:rPr>
              <w:t>原防城港市环境保护局</w:t>
            </w:r>
            <w:r>
              <w:rPr>
                <w:rFonts w:hint="eastAsia" w:ascii="Times New Roman" w:hAnsi="Times New Roman" w:eastAsia="宋体" w:cs="Times New Roman"/>
                <w:color w:val="auto"/>
                <w:spacing w:val="0"/>
                <w:sz w:val="24"/>
                <w:szCs w:val="24"/>
                <w:highlight w:val="none"/>
                <w:u w:val="none" w:color="auto"/>
                <w:lang w:val="en-US" w:eastAsia="zh-CN"/>
              </w:rPr>
              <w:t xml:space="preserve"> </w:t>
            </w:r>
          </w:p>
          <w:p w14:paraId="20E4AE3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cs="宋体"/>
                <w:color w:val="auto"/>
                <w:kern w:val="0"/>
                <w:sz w:val="24"/>
              </w:rPr>
            </w:pPr>
            <w:r>
              <w:rPr>
                <w:rFonts w:hint="eastAsia" w:ascii="Times New Roman" w:hAnsi="Times New Roman" w:eastAsia="宋体" w:cs="Times New Roman"/>
                <w:color w:val="auto"/>
                <w:spacing w:val="0"/>
                <w:sz w:val="24"/>
                <w:szCs w:val="24"/>
                <w:highlight w:val="none"/>
                <w:u w:val="none" w:color="auto"/>
                <w:lang w:val="en-US" w:eastAsia="zh-CN"/>
              </w:rPr>
              <w:t>审查文件名称及文号：</w:t>
            </w:r>
            <w:r>
              <w:rPr>
                <w:rFonts w:hint="eastAsia" w:ascii="Times New Roman" w:hAnsi="Times New Roman" w:eastAsia="宋体" w:cs="宋体"/>
                <w:color w:val="auto"/>
                <w:kern w:val="0"/>
                <w:sz w:val="24"/>
                <w:lang w:val="en-US" w:eastAsia="zh-CN"/>
              </w:rPr>
              <w:t>《关于防城港经济技术开发区总体规划环境影响报告书的审查意见》（防环函〔2018〕106号）</w:t>
            </w:r>
          </w:p>
        </w:tc>
      </w:tr>
      <w:tr w14:paraId="270F0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1103" w:type="dxa"/>
            <w:tcMar>
              <w:top w:w="16" w:type="dxa"/>
              <w:left w:w="16" w:type="dxa"/>
              <w:right w:w="16" w:type="dxa"/>
            </w:tcMar>
            <w:vAlign w:val="center"/>
          </w:tcPr>
          <w:p w14:paraId="1AD133C8">
            <w:pPr>
              <w:autoSpaceDE w:val="0"/>
              <w:autoSpaceDN w:val="0"/>
              <w:adjustRightInd w:val="0"/>
              <w:snapToGrid w:val="0"/>
              <w:spacing w:line="276" w:lineRule="auto"/>
              <w:jc w:val="center"/>
              <w:rPr>
                <w:rFonts w:cs="宋体"/>
                <w:color w:val="auto"/>
                <w:kern w:val="0"/>
                <w:sz w:val="24"/>
              </w:rPr>
            </w:pPr>
            <w:r>
              <w:rPr>
                <w:rFonts w:hint="eastAsia" w:cs="宋体"/>
                <w:color w:val="auto"/>
                <w:kern w:val="0"/>
                <w:sz w:val="24"/>
              </w:rPr>
              <w:t>规划及</w:t>
            </w:r>
            <w:r>
              <w:rPr>
                <w:rFonts w:hint="eastAsia" w:cs="宋体"/>
                <w:color w:val="auto"/>
                <w:sz w:val="24"/>
              </w:rPr>
              <w:t>规划环境影响评价</w:t>
            </w:r>
            <w:r>
              <w:rPr>
                <w:rFonts w:hint="eastAsia" w:cs="宋体"/>
                <w:color w:val="auto"/>
                <w:kern w:val="0"/>
                <w:sz w:val="24"/>
              </w:rPr>
              <w:t>符合性分析</w:t>
            </w:r>
          </w:p>
        </w:tc>
        <w:tc>
          <w:tcPr>
            <w:tcW w:w="8013" w:type="dxa"/>
            <w:gridSpan w:val="4"/>
            <w:tcMar>
              <w:top w:w="16" w:type="dxa"/>
              <w:left w:w="16" w:type="dxa"/>
              <w:right w:w="16" w:type="dxa"/>
            </w:tcMar>
            <w:vAlign w:val="top"/>
          </w:tcPr>
          <w:p w14:paraId="51E1504D">
            <w:pPr>
              <w:numPr>
                <w:ilvl w:val="0"/>
                <w:numId w:val="0"/>
              </w:numPr>
              <w:autoSpaceDE w:val="0"/>
              <w:autoSpaceDN w:val="0"/>
              <w:adjustRightInd w:val="0"/>
              <w:snapToGrid w:val="0"/>
              <w:spacing w:line="360" w:lineRule="auto"/>
              <w:ind w:firstLine="482" w:firstLineChars="200"/>
              <w:jc w:val="both"/>
              <w:rPr>
                <w:rFonts w:hint="eastAsia" w:cs="宋体"/>
                <w:b/>
                <w:bCs/>
                <w:color w:val="auto"/>
                <w:kern w:val="0"/>
                <w:sz w:val="24"/>
              </w:rPr>
            </w:pPr>
            <w:r>
              <w:rPr>
                <w:rFonts w:hint="eastAsia" w:cs="宋体"/>
                <w:b/>
                <w:bCs/>
                <w:color w:val="auto"/>
                <w:kern w:val="0"/>
                <w:sz w:val="24"/>
                <w:szCs w:val="24"/>
                <w:lang w:val="en-US" w:eastAsia="zh-CN" w:bidi="ar-SA"/>
              </w:rPr>
              <w:t>1</w:t>
            </w:r>
            <w:r>
              <w:rPr>
                <w:rFonts w:hint="eastAsia" w:ascii="Times New Roman" w:hAnsi="Times New Roman" w:eastAsia="宋体" w:cs="宋体"/>
                <w:b/>
                <w:bCs/>
                <w:color w:val="auto"/>
                <w:kern w:val="0"/>
                <w:sz w:val="24"/>
                <w:szCs w:val="24"/>
                <w:lang w:val="en-US" w:eastAsia="zh-CN" w:bidi="ar-SA"/>
              </w:rPr>
              <w:t>、</w:t>
            </w:r>
            <w:r>
              <w:rPr>
                <w:rFonts w:hint="eastAsia" w:cs="宋体"/>
                <w:b/>
                <w:bCs/>
                <w:color w:val="auto"/>
                <w:kern w:val="0"/>
                <w:sz w:val="24"/>
                <w:lang w:eastAsia="zh-CN"/>
              </w:rPr>
              <w:t>与《</w:t>
            </w:r>
            <w:r>
              <w:rPr>
                <w:rFonts w:hint="eastAsia" w:ascii="Times New Roman" w:hAnsi="Times New Roman" w:eastAsia="宋体" w:cs="宋体"/>
                <w:b/>
                <w:bCs/>
                <w:color w:val="auto"/>
                <w:kern w:val="0"/>
                <w:sz w:val="24"/>
                <w:szCs w:val="24"/>
                <w:lang w:val="en-US" w:eastAsia="zh-CN" w:bidi="ar-SA"/>
              </w:rPr>
              <w:t>防城港经济技术开发区总体规划</w:t>
            </w:r>
            <w:r>
              <w:rPr>
                <w:rFonts w:hint="eastAsia" w:cs="宋体"/>
                <w:b/>
                <w:bCs/>
                <w:color w:val="auto"/>
                <w:kern w:val="0"/>
                <w:sz w:val="24"/>
                <w:lang w:eastAsia="zh-CN"/>
              </w:rPr>
              <w:t>》</w:t>
            </w:r>
            <w:r>
              <w:rPr>
                <w:rFonts w:hint="eastAsia" w:ascii="Times New Roman" w:hAnsi="Times New Roman" w:eastAsia="宋体" w:cs="宋体"/>
                <w:b/>
                <w:bCs/>
                <w:color w:val="auto"/>
                <w:kern w:val="0"/>
                <w:sz w:val="24"/>
                <w:szCs w:val="24"/>
                <w:lang w:val="en-US" w:eastAsia="zh-CN" w:bidi="ar-SA"/>
              </w:rPr>
              <w:t>（2023-2025）</w:t>
            </w:r>
            <w:r>
              <w:rPr>
                <w:rFonts w:hint="eastAsia" w:cs="宋体"/>
                <w:b/>
                <w:bCs/>
                <w:color w:val="auto"/>
                <w:kern w:val="0"/>
                <w:sz w:val="24"/>
              </w:rPr>
              <w:t>相符性分析</w:t>
            </w:r>
          </w:p>
          <w:p w14:paraId="174ED4C1">
            <w:pPr>
              <w:autoSpaceDE w:val="0"/>
              <w:autoSpaceDN w:val="0"/>
              <w:adjustRightInd w:val="0"/>
              <w:snapToGrid w:val="0"/>
              <w:spacing w:line="360" w:lineRule="auto"/>
              <w:ind w:firstLine="480" w:firstLineChars="200"/>
              <w:jc w:val="both"/>
              <w:rPr>
                <w:rFonts w:hint="eastAsia" w:ascii="Times New Roman" w:hAnsi="Times New Roman" w:eastAsia="宋体" w:cs="宋体"/>
                <w:b w:val="0"/>
                <w:bCs w:val="0"/>
                <w:color w:val="auto"/>
                <w:kern w:val="0"/>
                <w:sz w:val="24"/>
                <w:szCs w:val="24"/>
                <w:lang w:val="en-US" w:eastAsia="zh-CN" w:bidi="ar-SA"/>
              </w:rPr>
            </w:pPr>
            <w:r>
              <w:rPr>
                <w:rFonts w:hint="eastAsia" w:ascii="Times New Roman" w:hAnsi="Times New Roman" w:eastAsia="宋体" w:cs="宋体"/>
                <w:color w:val="auto"/>
                <w:kern w:val="0"/>
                <w:sz w:val="24"/>
                <w:lang w:eastAsia="zh-CN"/>
              </w:rPr>
              <w:t>根据《</w:t>
            </w:r>
            <w:r>
              <w:rPr>
                <w:rFonts w:hint="eastAsia" w:ascii="Times New Roman" w:hAnsi="Times New Roman" w:eastAsia="宋体" w:cs="宋体"/>
                <w:color w:val="auto"/>
                <w:kern w:val="0"/>
                <w:sz w:val="24"/>
                <w:lang w:val="en-US" w:eastAsia="zh-CN"/>
              </w:rPr>
              <w:t>防城港经济技术开发区总体规划</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（2023-2025）</w:t>
            </w:r>
            <w:r>
              <w:rPr>
                <w:rFonts w:hint="eastAsia" w:cs="宋体"/>
                <w:color w:val="auto"/>
                <w:kern w:val="0"/>
                <w:sz w:val="24"/>
                <w:lang w:val="en-US" w:eastAsia="zh-CN"/>
              </w:rPr>
              <w:t>中：“外部交通规划</w:t>
            </w:r>
            <w:r>
              <w:rPr>
                <w:rFonts w:hint="eastAsia" w:ascii="Times New Roman" w:hAnsi="Times New Roman" w:eastAsia="宋体" w:cs="宋体"/>
                <w:color w:val="auto"/>
                <w:kern w:val="0"/>
                <w:sz w:val="24"/>
                <w:lang w:val="en-US" w:eastAsia="zh-CN"/>
              </w:rPr>
              <w:t>：</w:t>
            </w:r>
            <w:r>
              <w:rPr>
                <w:rFonts w:hint="eastAsia" w:ascii="Times New Roman" w:hAnsi="Times New Roman" w:eastAsia="宋体" w:cs="宋体"/>
                <w:b w:val="0"/>
                <w:bCs w:val="0"/>
                <w:color w:val="auto"/>
                <w:kern w:val="0"/>
                <w:sz w:val="24"/>
                <w:lang w:val="en-US" w:eastAsia="zh-CN"/>
              </w:rPr>
              <w:t>加强铁路交通运输能力。推进防城港市茅岭至皇城坳铁路支线、防城港云约江作业区铁路支线、企沙南作业区铁路支线、广西华昇物流铁路专线等铁路支专线项目建设，规划新建云约货运站和企沙南车场。</w:t>
            </w:r>
            <w:r>
              <w:rPr>
                <w:rFonts w:hint="eastAsia" w:ascii="Times New Roman" w:hAnsi="Times New Roman" w:eastAsia="宋体" w:cs="宋体"/>
                <w:b w:val="0"/>
                <w:bCs w:val="0"/>
                <w:color w:val="auto"/>
                <w:kern w:val="0"/>
                <w:sz w:val="24"/>
                <w:szCs w:val="24"/>
                <w:lang w:val="en-US" w:eastAsia="zh-CN" w:bidi="ar-SA"/>
              </w:rPr>
              <w:t>”根据项目与产业空间布局位置关系图（附图</w:t>
            </w:r>
            <w:r>
              <w:rPr>
                <w:rFonts w:hint="eastAsia" w:cs="宋体"/>
                <w:b w:val="0"/>
                <w:bCs w:val="0"/>
                <w:color w:val="auto"/>
                <w:kern w:val="0"/>
                <w:sz w:val="24"/>
                <w:szCs w:val="24"/>
                <w:lang w:val="en-US" w:eastAsia="zh-CN" w:bidi="ar-SA"/>
              </w:rPr>
              <w:t>4</w:t>
            </w:r>
            <w:r>
              <w:rPr>
                <w:rFonts w:hint="eastAsia" w:ascii="Times New Roman" w:hAnsi="Times New Roman" w:eastAsia="宋体" w:cs="宋体"/>
                <w:b w:val="0"/>
                <w:bCs w:val="0"/>
                <w:color w:val="auto"/>
                <w:kern w:val="0"/>
                <w:sz w:val="24"/>
                <w:szCs w:val="24"/>
                <w:lang w:val="en-US" w:eastAsia="zh-CN" w:bidi="ar-SA"/>
              </w:rPr>
              <w:t>）。</w:t>
            </w:r>
          </w:p>
          <w:p w14:paraId="562AC608">
            <w:pPr>
              <w:autoSpaceDE w:val="0"/>
              <w:autoSpaceDN w:val="0"/>
              <w:adjustRightInd w:val="0"/>
              <w:snapToGrid w:val="0"/>
              <w:spacing w:line="360" w:lineRule="auto"/>
              <w:ind w:firstLine="480" w:firstLineChars="200"/>
              <w:jc w:val="both"/>
              <w:rPr>
                <w:rFonts w:hint="eastAsia" w:cs="宋体"/>
                <w:color w:val="auto"/>
                <w:kern w:val="0"/>
                <w:sz w:val="24"/>
              </w:rPr>
            </w:pPr>
            <w:r>
              <w:rPr>
                <w:rFonts w:hint="eastAsia" w:ascii="Times New Roman" w:hAnsi="Times New Roman"/>
                <w:color w:val="auto"/>
                <w:sz w:val="24"/>
              </w:rPr>
              <w:t>本项目作为防城港企沙港区及企沙工业区的重要基础设施，</w:t>
            </w:r>
            <w:r>
              <w:rPr>
                <w:rFonts w:hint="eastAsia" w:cs="宋体"/>
                <w:color w:val="auto"/>
                <w:kern w:val="0"/>
                <w:sz w:val="24"/>
                <w:lang w:eastAsia="zh-CN"/>
              </w:rPr>
              <w:t>为服务防城港</w:t>
            </w:r>
            <w:r>
              <w:rPr>
                <w:rFonts w:hint="eastAsia" w:ascii="Times New Roman" w:hAnsi="Times New Roman"/>
                <w:color w:val="auto"/>
                <w:sz w:val="24"/>
              </w:rPr>
              <w:t>临港企业原材料和产成品的运输</w:t>
            </w:r>
            <w:r>
              <w:rPr>
                <w:rFonts w:hint="eastAsia" w:cs="宋体"/>
                <w:color w:val="auto"/>
                <w:kern w:val="0"/>
                <w:sz w:val="24"/>
                <w:lang w:eastAsia="zh-CN"/>
              </w:rPr>
              <w:t>的铁路专用线工程和集装箱堆场建设。</w:t>
            </w:r>
            <w:r>
              <w:rPr>
                <w:rFonts w:hint="eastAsia" w:cs="宋体"/>
                <w:color w:val="auto"/>
                <w:kern w:val="0"/>
                <w:sz w:val="24"/>
              </w:rPr>
              <w:t>因此，项目建设符合</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防城港经济技术开发区总体规划</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（2023-2025）</w:t>
            </w:r>
            <w:r>
              <w:rPr>
                <w:rFonts w:hint="eastAsia" w:cs="宋体"/>
                <w:color w:val="auto"/>
                <w:kern w:val="0"/>
                <w:sz w:val="24"/>
              </w:rPr>
              <w:t>相关要求。</w:t>
            </w:r>
          </w:p>
          <w:p w14:paraId="5275F009">
            <w:pPr>
              <w:numPr>
                <w:ilvl w:val="0"/>
                <w:numId w:val="0"/>
              </w:numPr>
              <w:autoSpaceDE w:val="0"/>
              <w:autoSpaceDN w:val="0"/>
              <w:adjustRightInd w:val="0"/>
              <w:snapToGrid w:val="0"/>
              <w:spacing w:line="360" w:lineRule="auto"/>
              <w:ind w:firstLine="482" w:firstLineChars="200"/>
              <w:jc w:val="both"/>
              <w:rPr>
                <w:rFonts w:hint="eastAsia" w:cs="宋体"/>
                <w:b/>
                <w:bCs/>
                <w:color w:val="auto"/>
                <w:kern w:val="0"/>
                <w:sz w:val="24"/>
              </w:rPr>
            </w:pPr>
            <w:r>
              <w:rPr>
                <w:rFonts w:hint="eastAsia" w:cs="宋体"/>
                <w:b/>
                <w:bCs/>
                <w:color w:val="auto"/>
                <w:kern w:val="0"/>
                <w:sz w:val="24"/>
                <w:szCs w:val="24"/>
                <w:lang w:val="en-US" w:eastAsia="zh-CN" w:bidi="ar-SA"/>
              </w:rPr>
              <w:t>2</w:t>
            </w:r>
            <w:r>
              <w:rPr>
                <w:rFonts w:hint="eastAsia" w:ascii="Times New Roman" w:hAnsi="Times New Roman" w:eastAsia="宋体" w:cs="宋体"/>
                <w:b/>
                <w:bCs/>
                <w:color w:val="auto"/>
                <w:kern w:val="0"/>
                <w:sz w:val="24"/>
                <w:szCs w:val="24"/>
                <w:lang w:val="en-US" w:eastAsia="zh-CN" w:bidi="ar-SA"/>
              </w:rPr>
              <w:t>、</w:t>
            </w:r>
            <w:r>
              <w:rPr>
                <w:rFonts w:hint="eastAsia" w:ascii="Times New Roman" w:hAnsi="Times New Roman" w:eastAsia="宋体" w:cs="宋体"/>
                <w:b/>
                <w:bCs/>
                <w:color w:val="auto"/>
                <w:kern w:val="0"/>
                <w:sz w:val="24"/>
                <w:lang w:val="en-US" w:eastAsia="zh-CN"/>
              </w:rPr>
              <w:t>与《防城港经济技术开发区总体规划环境影响报告书》</w:t>
            </w:r>
            <w:r>
              <w:rPr>
                <w:rFonts w:hint="eastAsia" w:cs="宋体"/>
                <w:b/>
                <w:bCs/>
                <w:color w:val="auto"/>
                <w:kern w:val="0"/>
                <w:sz w:val="24"/>
              </w:rPr>
              <w:t>相符性分析</w:t>
            </w:r>
          </w:p>
          <w:p w14:paraId="7DDAD99D">
            <w:pPr>
              <w:autoSpaceDE w:val="0"/>
              <w:autoSpaceDN w:val="0"/>
              <w:adjustRightInd w:val="0"/>
              <w:snapToGrid w:val="0"/>
              <w:spacing w:line="360" w:lineRule="auto"/>
              <w:ind w:firstLine="480" w:firstLineChars="200"/>
              <w:jc w:val="both"/>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根据《防城港市经济技术开发区总体规划环境影响报告书》及其审查意见（防环函〔</w:t>
            </w:r>
            <w:r>
              <w:rPr>
                <w:rFonts w:hint="default" w:ascii="Times New Roman" w:hAnsi="Times New Roman" w:eastAsia="宋体" w:cs="宋体"/>
                <w:color w:val="auto"/>
                <w:kern w:val="0"/>
                <w:sz w:val="24"/>
                <w:lang w:val="en-US" w:eastAsia="zh-CN"/>
              </w:rPr>
              <w:t>2018</w:t>
            </w:r>
            <w:r>
              <w:rPr>
                <w:rFonts w:hint="eastAsia" w:ascii="Times New Roman" w:hAnsi="Times New Roman" w:eastAsia="宋体" w:cs="宋体"/>
                <w:color w:val="auto"/>
                <w:kern w:val="0"/>
                <w:sz w:val="24"/>
                <w:lang w:val="en-US" w:eastAsia="zh-CN"/>
              </w:rPr>
              <w:t>〕</w:t>
            </w:r>
            <w:r>
              <w:rPr>
                <w:rFonts w:hint="default" w:ascii="Times New Roman" w:hAnsi="Times New Roman" w:eastAsia="宋体" w:cs="宋体"/>
                <w:color w:val="auto"/>
                <w:kern w:val="0"/>
                <w:sz w:val="24"/>
                <w:lang w:val="en-US" w:eastAsia="zh-CN"/>
              </w:rPr>
              <w:t>106</w:t>
            </w:r>
            <w:r>
              <w:rPr>
                <w:rFonts w:hint="eastAsia" w:ascii="Times New Roman" w:hAnsi="Times New Roman" w:eastAsia="宋体" w:cs="宋体"/>
                <w:color w:val="auto"/>
                <w:kern w:val="0"/>
                <w:sz w:val="24"/>
                <w:lang w:val="en-US" w:eastAsia="zh-CN"/>
              </w:rPr>
              <w:t>号）：</w:t>
            </w:r>
            <w:r>
              <w:rPr>
                <w:rFonts w:hint="eastAsia" w:cs="宋体"/>
                <w:color w:val="auto"/>
                <w:kern w:val="0"/>
                <w:sz w:val="24"/>
                <w:lang w:val="en-US" w:eastAsia="zh-CN"/>
              </w:rPr>
              <w:t>交通运输</w:t>
            </w:r>
            <w:r>
              <w:rPr>
                <w:rFonts w:hint="eastAsia" w:ascii="Times New Roman" w:hAnsi="Times New Roman" w:eastAsia="宋体" w:cs="宋体"/>
                <w:color w:val="auto"/>
                <w:kern w:val="0"/>
                <w:sz w:val="24"/>
                <w:lang w:val="en-US" w:eastAsia="zh-CN"/>
              </w:rPr>
              <w:t>污染防治措施建设要求</w:t>
            </w:r>
            <w:r>
              <w:rPr>
                <w:rFonts w:hint="eastAsia" w:cs="宋体"/>
                <w:color w:val="auto"/>
                <w:kern w:val="0"/>
                <w:sz w:val="24"/>
                <w:lang w:val="en-US" w:eastAsia="zh-CN"/>
              </w:rPr>
              <w:t>为“废气处理措施</w:t>
            </w:r>
            <w:r>
              <w:rPr>
                <w:rFonts w:hint="eastAsia" w:ascii="宋体" w:hAnsi="宋体" w:eastAsia="宋体" w:cs="宋体"/>
                <w:color w:val="auto"/>
                <w:kern w:val="0"/>
                <w:sz w:val="24"/>
                <w:lang w:val="en-US" w:eastAsia="zh-CN"/>
              </w:rPr>
              <w:t>:</w:t>
            </w:r>
            <w:r>
              <w:rPr>
                <w:rFonts w:hint="eastAsia" w:cs="宋体"/>
                <w:color w:val="auto"/>
                <w:kern w:val="0"/>
                <w:sz w:val="24"/>
                <w:lang w:val="en-US" w:eastAsia="zh-CN"/>
              </w:rPr>
              <w:t>采用含硫量较低的柴油，保持通风，使废气能较好扩散。固废处理措施</w:t>
            </w:r>
            <w:r>
              <w:rPr>
                <w:rFonts w:hint="eastAsia" w:ascii="宋体" w:hAnsi="宋体" w:eastAsia="宋体" w:cs="宋体"/>
                <w:color w:val="auto"/>
                <w:kern w:val="0"/>
                <w:sz w:val="24"/>
                <w:lang w:val="en-US" w:eastAsia="zh-CN"/>
              </w:rPr>
              <w:t>:</w:t>
            </w:r>
            <w:r>
              <w:rPr>
                <w:rFonts w:hint="eastAsia" w:cs="宋体"/>
                <w:color w:val="auto"/>
                <w:kern w:val="0"/>
                <w:sz w:val="24"/>
                <w:lang w:val="en-US" w:eastAsia="zh-CN"/>
              </w:rPr>
              <w:t>一般固废交由环卫部门工进行收集处理，危废委托有资质的单位处品置。噪声处理措施:选择低噪声设备，定期维护，对设备隔声、减振、降噪等。”</w:t>
            </w:r>
          </w:p>
          <w:p w14:paraId="78CCC2FC">
            <w:pPr>
              <w:autoSpaceDE w:val="0"/>
              <w:autoSpaceDN w:val="0"/>
              <w:adjustRightInd w:val="0"/>
              <w:snapToGrid w:val="0"/>
              <w:spacing w:line="360" w:lineRule="auto"/>
              <w:ind w:firstLine="480" w:firstLineChars="200"/>
              <w:jc w:val="both"/>
              <w:rPr>
                <w:rFonts w:hint="eastAsia" w:ascii="Times New Roman" w:hAnsi="Times New Roman" w:eastAsia="宋体" w:cs="宋体"/>
                <w:color w:val="auto"/>
                <w:kern w:val="0"/>
                <w:sz w:val="24"/>
              </w:rPr>
            </w:pPr>
            <w:r>
              <w:rPr>
                <w:rFonts w:hint="eastAsia" w:cs="宋体"/>
                <w:color w:val="auto"/>
                <w:kern w:val="0"/>
                <w:sz w:val="24"/>
                <w:lang w:val="en-US" w:eastAsia="zh-CN"/>
              </w:rPr>
              <w:t>本</w:t>
            </w:r>
            <w:r>
              <w:rPr>
                <w:rFonts w:hint="eastAsia" w:ascii="Times New Roman" w:hAnsi="Times New Roman" w:eastAsia="宋体" w:cs="宋体"/>
                <w:color w:val="auto"/>
                <w:kern w:val="0"/>
                <w:sz w:val="24"/>
                <w:lang w:val="en-US" w:eastAsia="zh-CN"/>
              </w:rPr>
              <w:t>项目选址位于防城港经济技术开发区</w:t>
            </w:r>
            <w:r>
              <w:rPr>
                <w:rFonts w:hint="eastAsia" w:cs="宋体"/>
                <w:color w:val="auto"/>
                <w:kern w:val="0"/>
                <w:sz w:val="24"/>
                <w:lang w:val="en-US" w:eastAsia="zh-CN"/>
              </w:rPr>
              <w:t>（研究范围）</w:t>
            </w:r>
            <w:r>
              <w:rPr>
                <w:rFonts w:hint="eastAsia" w:ascii="Times New Roman" w:hAnsi="Times New Roman" w:eastAsia="宋体" w:cs="宋体"/>
                <w:color w:val="auto"/>
                <w:kern w:val="0"/>
                <w:sz w:val="24"/>
                <w:lang w:val="en-US" w:eastAsia="zh-CN"/>
              </w:rPr>
              <w:t>，不涉及生态红线范围，与规划产业、用地规划相符合，符合园区规划</w:t>
            </w:r>
            <w:r>
              <w:rPr>
                <w:rFonts w:hint="eastAsia" w:cs="宋体"/>
                <w:color w:val="auto"/>
                <w:kern w:val="0"/>
                <w:sz w:val="24"/>
                <w:lang w:val="en-US" w:eastAsia="zh-CN"/>
              </w:rPr>
              <w:t>、</w:t>
            </w:r>
            <w:r>
              <w:rPr>
                <w:rFonts w:hint="eastAsia" w:ascii="宋体" w:hAnsi="宋体" w:eastAsia="宋体" w:cs="宋体"/>
                <w:color w:val="auto"/>
                <w:kern w:val="0"/>
                <w:sz w:val="24"/>
                <w:lang w:val="en-US" w:eastAsia="zh-CN"/>
              </w:rPr>
              <w:t>“</w:t>
            </w:r>
            <w:r>
              <w:rPr>
                <w:rFonts w:hint="eastAsia" w:ascii="Times New Roman" w:hAnsi="Times New Roman" w:eastAsia="宋体" w:cs="宋体"/>
                <w:color w:val="auto"/>
                <w:kern w:val="0"/>
                <w:sz w:val="24"/>
                <w:lang w:val="en-US" w:eastAsia="zh-CN"/>
              </w:rPr>
              <w:t>三线一单</w:t>
            </w:r>
            <w:r>
              <w:rPr>
                <w:rFonts w:hint="eastAsia" w:ascii="宋体" w:hAnsi="宋体" w:eastAsia="宋体" w:cs="宋体"/>
                <w:color w:val="auto"/>
                <w:kern w:val="0"/>
                <w:sz w:val="24"/>
                <w:lang w:val="en-US" w:eastAsia="zh-CN"/>
              </w:rPr>
              <w:t>”</w:t>
            </w:r>
            <w:r>
              <w:rPr>
                <w:rFonts w:hint="eastAsia" w:ascii="Times New Roman" w:hAnsi="Times New Roman" w:eastAsia="宋体" w:cs="宋体"/>
                <w:color w:val="auto"/>
                <w:kern w:val="0"/>
                <w:sz w:val="24"/>
                <w:lang w:val="en-US" w:eastAsia="zh-CN"/>
              </w:rPr>
              <w:t>的要求；</w:t>
            </w:r>
            <w:r>
              <w:rPr>
                <w:rFonts w:hint="eastAsia" w:cs="宋体"/>
                <w:color w:val="auto"/>
                <w:kern w:val="0"/>
                <w:sz w:val="24"/>
                <w:lang w:val="en-US" w:eastAsia="zh-CN"/>
              </w:rPr>
              <w:t>项目内燃机采用含硫量较低的柴油，项目场地开阔，废气容易扩散；项目无一般工业固废；通过</w:t>
            </w:r>
            <w:r>
              <w:rPr>
                <w:rFonts w:hint="eastAsia" w:cs="宋体"/>
                <w:color w:val="auto"/>
                <w:kern w:val="0"/>
                <w:sz w:val="24"/>
              </w:rPr>
              <w:t>控制车速，加强专用线保养</w:t>
            </w:r>
            <w:r>
              <w:rPr>
                <w:rFonts w:hint="eastAsia" w:cs="宋体"/>
                <w:color w:val="auto"/>
                <w:kern w:val="0"/>
                <w:sz w:val="24"/>
                <w:lang w:eastAsia="zh-CN"/>
              </w:rPr>
              <w:t>、</w:t>
            </w:r>
            <w:r>
              <w:rPr>
                <w:rFonts w:hint="eastAsia" w:cs="宋体"/>
                <w:color w:val="auto"/>
                <w:kern w:val="0"/>
                <w:sz w:val="24"/>
                <w:lang w:val="en-US" w:eastAsia="zh-CN"/>
              </w:rPr>
              <w:t>使用低噪声设备</w:t>
            </w:r>
            <w:r>
              <w:rPr>
                <w:rFonts w:hint="eastAsia" w:cs="宋体"/>
                <w:color w:val="auto"/>
                <w:kern w:val="0"/>
                <w:sz w:val="24"/>
              </w:rPr>
              <w:t>等措施，降低列车运行噪声</w:t>
            </w:r>
            <w:r>
              <w:rPr>
                <w:rFonts w:hint="eastAsia" w:cs="宋体"/>
                <w:color w:val="auto"/>
                <w:kern w:val="0"/>
                <w:sz w:val="24"/>
                <w:lang w:eastAsia="zh-CN"/>
              </w:rPr>
              <w:t>。</w:t>
            </w:r>
            <w:r>
              <w:rPr>
                <w:rFonts w:hint="eastAsia" w:ascii="Times New Roman" w:hAnsi="Times New Roman" w:eastAsia="宋体" w:cs="宋体"/>
                <w:color w:val="auto"/>
                <w:kern w:val="0"/>
                <w:sz w:val="24"/>
                <w:lang w:val="en-US" w:eastAsia="zh-CN"/>
              </w:rPr>
              <w:t>因此，项目的建设符合园区规划环评及其审查意见中的相关要求。</w:t>
            </w:r>
          </w:p>
          <w:p w14:paraId="120CEDC3">
            <w:pPr>
              <w:numPr>
                <w:ilvl w:val="0"/>
                <w:numId w:val="0"/>
              </w:numPr>
              <w:autoSpaceDE w:val="0"/>
              <w:autoSpaceDN w:val="0"/>
              <w:adjustRightInd w:val="0"/>
              <w:snapToGrid w:val="0"/>
              <w:spacing w:line="360" w:lineRule="auto"/>
              <w:ind w:firstLine="482" w:firstLineChars="200"/>
              <w:jc w:val="both"/>
              <w:rPr>
                <w:rFonts w:hint="eastAsia" w:cs="宋体"/>
                <w:b/>
                <w:bCs/>
                <w:color w:val="auto"/>
                <w:kern w:val="0"/>
                <w:sz w:val="24"/>
              </w:rPr>
            </w:pPr>
            <w:r>
              <w:rPr>
                <w:rFonts w:hint="eastAsia" w:cs="宋体"/>
                <w:b/>
                <w:bCs/>
                <w:color w:val="auto"/>
                <w:kern w:val="0"/>
                <w:sz w:val="24"/>
                <w:szCs w:val="24"/>
                <w:lang w:val="en-US" w:eastAsia="zh-CN" w:bidi="ar-SA"/>
              </w:rPr>
              <w:t>3</w:t>
            </w:r>
            <w:r>
              <w:rPr>
                <w:rFonts w:hint="eastAsia" w:ascii="Times New Roman" w:hAnsi="Times New Roman" w:eastAsia="宋体" w:cs="宋体"/>
                <w:b/>
                <w:bCs/>
                <w:color w:val="auto"/>
                <w:kern w:val="0"/>
                <w:sz w:val="24"/>
                <w:szCs w:val="24"/>
                <w:lang w:val="en-US" w:eastAsia="zh-CN" w:bidi="ar-SA"/>
              </w:rPr>
              <w:t>、与《防城港铁路枢纽总图规划》（2016～</w:t>
            </w:r>
            <w:r>
              <w:rPr>
                <w:rFonts w:hint="default" w:ascii="Times New Roman" w:hAnsi="Times New Roman" w:eastAsia="宋体" w:cs="宋体"/>
                <w:b/>
                <w:bCs/>
                <w:color w:val="auto"/>
                <w:kern w:val="0"/>
                <w:sz w:val="24"/>
                <w:szCs w:val="24"/>
                <w:lang w:val="en-US" w:eastAsia="zh-CN" w:bidi="ar-SA"/>
              </w:rPr>
              <w:t xml:space="preserve">2030 </w:t>
            </w:r>
            <w:r>
              <w:rPr>
                <w:rFonts w:hint="eastAsia" w:ascii="Times New Roman" w:hAnsi="Times New Roman" w:eastAsia="宋体" w:cs="宋体"/>
                <w:b/>
                <w:bCs/>
                <w:color w:val="auto"/>
                <w:kern w:val="0"/>
                <w:sz w:val="24"/>
                <w:szCs w:val="24"/>
                <w:lang w:val="en-US" w:eastAsia="zh-CN" w:bidi="ar-SA"/>
              </w:rPr>
              <w:t>年）</w:t>
            </w:r>
            <w:r>
              <w:rPr>
                <w:rFonts w:hint="eastAsia" w:cs="宋体"/>
                <w:b/>
                <w:bCs/>
                <w:color w:val="auto"/>
                <w:kern w:val="0"/>
                <w:sz w:val="24"/>
              </w:rPr>
              <w:t>相符性分析</w:t>
            </w:r>
          </w:p>
          <w:p w14:paraId="2435B38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s="宋体"/>
                <w:color w:val="auto"/>
                <w:kern w:val="0"/>
                <w:sz w:val="24"/>
              </w:rPr>
            </w:pPr>
            <w:r>
              <w:rPr>
                <w:rFonts w:hint="eastAsia" w:cs="宋体"/>
                <w:color w:val="auto"/>
                <w:kern w:val="0"/>
                <w:sz w:val="24"/>
                <w:lang w:val="en-US" w:eastAsia="zh-CN"/>
              </w:rPr>
              <w:t>根据防城港铁路枢纽总图批复及南防铁路钦州至防城港段增建二线工程审批意见，“防城港枢纽将形成衔接东兴、钦州、崇左等方向，钦防、防东、南防、云桂沿边铁路等线路引入的枢纽格局。货运系统布局：规划茅岭、皇城坳、防城港、云约三级物流基地；云约站主要办理企沙工业园及企沙东港区货运作业。”</w:t>
            </w:r>
          </w:p>
          <w:p w14:paraId="39E4A7FD">
            <w:pPr>
              <w:autoSpaceDE w:val="0"/>
              <w:autoSpaceDN w:val="0"/>
              <w:adjustRightInd w:val="0"/>
              <w:snapToGrid w:val="0"/>
              <w:spacing w:line="360" w:lineRule="auto"/>
              <w:ind w:firstLine="480" w:firstLineChars="200"/>
              <w:jc w:val="both"/>
              <w:rPr>
                <w:rFonts w:hint="eastAsia"/>
                <w:color w:val="auto"/>
                <w:lang w:eastAsia="zh-CN"/>
              </w:rPr>
            </w:pPr>
            <w:r>
              <w:rPr>
                <w:rFonts w:hint="eastAsia" w:ascii="Times New Roman" w:hAnsi="Times New Roman"/>
                <w:color w:val="auto"/>
                <w:sz w:val="24"/>
              </w:rPr>
              <w:t>本项目</w:t>
            </w:r>
            <w:r>
              <w:rPr>
                <w:rFonts w:hint="eastAsia"/>
                <w:color w:val="auto"/>
                <w:sz w:val="24"/>
                <w:lang w:val="en-US" w:eastAsia="zh-CN"/>
              </w:rPr>
              <w:t>为</w:t>
            </w:r>
            <w:r>
              <w:rPr>
                <w:rFonts w:hint="eastAsia" w:ascii="Times New Roman" w:hAnsi="Times New Roman"/>
                <w:color w:val="auto"/>
                <w:sz w:val="24"/>
              </w:rPr>
              <w:t>云约站铁路货场</w:t>
            </w:r>
            <w:r>
              <w:rPr>
                <w:rFonts w:hint="eastAsia" w:ascii="Times New Roman" w:hAnsi="Times New Roman"/>
                <w:color w:val="auto"/>
                <w:sz w:val="24"/>
                <w:lang w:eastAsia="zh-CN"/>
              </w:rPr>
              <w:t>，</w:t>
            </w:r>
            <w:r>
              <w:rPr>
                <w:rFonts w:hint="eastAsia" w:ascii="Times New Roman" w:hAnsi="Times New Roman"/>
                <w:color w:val="auto"/>
                <w:sz w:val="24"/>
              </w:rPr>
              <w:t>作为防城港企沙港区及企沙工业区的重要基础设施，</w:t>
            </w:r>
            <w:r>
              <w:rPr>
                <w:rFonts w:hint="eastAsia" w:cs="宋体"/>
                <w:color w:val="auto"/>
                <w:kern w:val="0"/>
                <w:sz w:val="24"/>
                <w:lang w:eastAsia="zh-CN"/>
              </w:rPr>
              <w:t>为服务防城港</w:t>
            </w:r>
            <w:r>
              <w:rPr>
                <w:rFonts w:hint="eastAsia" w:ascii="Times New Roman" w:hAnsi="Times New Roman"/>
                <w:color w:val="auto"/>
                <w:sz w:val="24"/>
              </w:rPr>
              <w:t>临港企业原材料和产成品的运输</w:t>
            </w:r>
            <w:r>
              <w:rPr>
                <w:rFonts w:hint="eastAsia" w:cs="宋体"/>
                <w:color w:val="auto"/>
                <w:kern w:val="0"/>
                <w:sz w:val="24"/>
                <w:lang w:eastAsia="zh-CN"/>
              </w:rPr>
              <w:t>的铁路专用线工程和集装箱堆场建设。</w:t>
            </w:r>
            <w:r>
              <w:rPr>
                <w:rFonts w:hint="eastAsia" w:cs="宋体"/>
                <w:color w:val="auto"/>
                <w:kern w:val="0"/>
                <w:sz w:val="24"/>
              </w:rPr>
              <w:t>因此，项目建设符合</w:t>
            </w:r>
            <w:r>
              <w:rPr>
                <w:rFonts w:hint="eastAsia" w:ascii="Times New Roman" w:hAnsi="Times New Roman" w:eastAsia="宋体" w:cs="宋体"/>
                <w:color w:val="auto"/>
                <w:kern w:val="0"/>
                <w:sz w:val="24"/>
                <w:lang w:eastAsia="zh-CN"/>
              </w:rPr>
              <w:t>《防城港铁路枢纽总图规划》（2016～2030 年）</w:t>
            </w:r>
            <w:r>
              <w:rPr>
                <w:rFonts w:hint="eastAsia" w:cs="宋体"/>
                <w:color w:val="auto"/>
                <w:kern w:val="0"/>
                <w:sz w:val="24"/>
              </w:rPr>
              <w:t>相关要求。</w:t>
            </w:r>
          </w:p>
        </w:tc>
      </w:tr>
      <w:tr w14:paraId="0AAB7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3" w:type="dxa"/>
            <w:tcMar>
              <w:top w:w="16" w:type="dxa"/>
              <w:left w:w="16" w:type="dxa"/>
              <w:right w:w="16" w:type="dxa"/>
            </w:tcMar>
            <w:vAlign w:val="center"/>
          </w:tcPr>
          <w:p w14:paraId="0F1D9E65">
            <w:pPr>
              <w:autoSpaceDE w:val="0"/>
              <w:autoSpaceDN w:val="0"/>
              <w:adjustRightInd w:val="0"/>
              <w:snapToGrid w:val="0"/>
              <w:spacing w:line="276" w:lineRule="auto"/>
              <w:jc w:val="center"/>
              <w:rPr>
                <w:rFonts w:cs="宋体"/>
                <w:color w:val="auto"/>
                <w:kern w:val="0"/>
                <w:sz w:val="24"/>
              </w:rPr>
            </w:pPr>
            <w:bookmarkStart w:id="3" w:name="_Hlk56690880"/>
            <w:r>
              <w:rPr>
                <w:rFonts w:hint="eastAsia" w:cs="宋体"/>
                <w:color w:val="auto"/>
                <w:kern w:val="0"/>
                <w:sz w:val="24"/>
              </w:rPr>
              <w:t>其他符合性分析</w:t>
            </w:r>
            <w:bookmarkEnd w:id="3"/>
          </w:p>
        </w:tc>
        <w:tc>
          <w:tcPr>
            <w:tcW w:w="8013" w:type="dxa"/>
            <w:gridSpan w:val="4"/>
            <w:tcMar>
              <w:top w:w="16" w:type="dxa"/>
              <w:left w:w="16" w:type="dxa"/>
              <w:right w:w="16" w:type="dxa"/>
            </w:tcMar>
            <w:vAlign w:val="center"/>
          </w:tcPr>
          <w:p w14:paraId="724E93AD">
            <w:pPr>
              <w:autoSpaceDE w:val="0"/>
              <w:autoSpaceDN w:val="0"/>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1、产业政策符合性分析</w:t>
            </w:r>
          </w:p>
          <w:p w14:paraId="2417203C">
            <w:pPr>
              <w:autoSpaceDE w:val="0"/>
              <w:autoSpaceDN w:val="0"/>
              <w:adjustRightInd w:val="0"/>
              <w:snapToGrid w:val="0"/>
              <w:spacing w:line="360" w:lineRule="auto"/>
              <w:ind w:firstLine="480" w:firstLineChars="200"/>
              <w:rPr>
                <w:rFonts w:cs="宋体"/>
                <w:color w:val="auto"/>
                <w:kern w:val="0"/>
                <w:sz w:val="24"/>
              </w:rPr>
            </w:pPr>
            <w:r>
              <w:rPr>
                <w:rFonts w:hint="eastAsia" w:cs="宋体"/>
                <w:color w:val="auto"/>
                <w:kern w:val="0"/>
                <w:sz w:val="24"/>
              </w:rPr>
              <w:t>根据《产业结构调整指导目录（2024年本）》，本项目新建铁路专用线属于第一类鼓励类第二十三铁路项目中“1．铁路建设和改造：铁路专用线”项目，因此项目建设符合国家产业政策要求，是国家产业政策鼓励和支持的产业。</w:t>
            </w:r>
          </w:p>
          <w:p w14:paraId="5F38F3A2">
            <w:pPr>
              <w:autoSpaceDE w:val="0"/>
              <w:autoSpaceDN w:val="0"/>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2、</w:t>
            </w:r>
            <w:r>
              <w:rPr>
                <w:rFonts w:hint="eastAsia" w:cs="宋体"/>
                <w:b/>
                <w:bCs/>
                <w:color w:val="auto"/>
                <w:kern w:val="0"/>
                <w:sz w:val="24"/>
                <w:lang w:val="en-US" w:eastAsia="zh-CN"/>
              </w:rPr>
              <w:t>环境分区管控要求</w:t>
            </w:r>
            <w:r>
              <w:rPr>
                <w:rFonts w:hint="eastAsia" w:cs="宋体"/>
                <w:b/>
                <w:bCs/>
                <w:color w:val="auto"/>
                <w:kern w:val="0"/>
                <w:sz w:val="24"/>
              </w:rPr>
              <w:t>符合性分析</w:t>
            </w:r>
          </w:p>
          <w:p w14:paraId="6B88C968">
            <w:pPr>
              <w:autoSpaceDE w:val="0"/>
              <w:autoSpaceDN w:val="0"/>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（1）生态保护红线</w:t>
            </w:r>
          </w:p>
          <w:p w14:paraId="68AE5DDC">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根据《防城港市生态环境分区管控动态更新成果（</w:t>
            </w:r>
            <w:r>
              <w:rPr>
                <w:rFonts w:hint="default" w:cs="宋体"/>
                <w:color w:val="auto"/>
                <w:kern w:val="0"/>
                <w:sz w:val="24"/>
                <w:lang w:val="en-US" w:eastAsia="zh-CN"/>
              </w:rPr>
              <w:t>2023</w:t>
            </w:r>
            <w:r>
              <w:rPr>
                <w:rFonts w:hint="eastAsia" w:cs="宋体"/>
                <w:color w:val="auto"/>
                <w:kern w:val="0"/>
                <w:sz w:val="24"/>
                <w:lang w:val="en-US" w:eastAsia="zh-CN"/>
              </w:rPr>
              <w:t>年）》，本项目与防城港市生态环境准入及管控要求清单的相符性分析见下表。</w:t>
            </w:r>
          </w:p>
          <w:p w14:paraId="1DE546EA">
            <w:pPr>
              <w:pStyle w:val="365"/>
              <w:keepNext w:val="0"/>
              <w:keepLines w:val="0"/>
              <w:pageBreakBefore w:val="0"/>
              <w:widowControl w:val="0"/>
              <w:kinsoku/>
              <w:wordWrap/>
              <w:overflowPunct/>
              <w:topLinePunct/>
              <w:autoSpaceDE/>
              <w:autoSpaceDN/>
              <w:bidi w:val="0"/>
              <w:adjustRightInd w:val="0"/>
              <w:snapToGrid w:val="0"/>
              <w:spacing w:before="157" w:beforeLines="50" w:line="360" w:lineRule="auto"/>
              <w:ind w:firstLine="0" w:firstLineChars="0"/>
              <w:jc w:val="center"/>
              <w:textAlignment w:val="baseline"/>
              <w:rPr>
                <w:rFonts w:hint="eastAsia" w:ascii="Times New Roman" w:hAnsi="Times New Roman" w:eastAsia="宋体" w:cs="Times New Roman"/>
                <w:b/>
                <w:bCs w:val="0"/>
                <w:color w:val="auto"/>
              </w:rPr>
            </w:pPr>
            <w:r>
              <w:rPr>
                <w:rFonts w:ascii="Times New Roman" w:hAnsi="Times New Roman" w:eastAsia="宋体" w:cs="Times New Roman"/>
                <w:b/>
                <w:bCs w:val="0"/>
                <w:color w:val="auto"/>
              </w:rPr>
              <w:t>表</w:t>
            </w:r>
            <w:r>
              <w:rPr>
                <w:rFonts w:hint="eastAsia" w:cs="Times New Roman"/>
                <w:b/>
                <w:bCs w:val="0"/>
                <w:color w:val="auto"/>
                <w:lang w:val="en-US" w:eastAsia="zh-CN"/>
              </w:rPr>
              <w:t xml:space="preserve">1-1 </w:t>
            </w:r>
            <w:r>
              <w:rPr>
                <w:rFonts w:hint="eastAsia" w:ascii="Times New Roman" w:hAnsi="Times New Roman" w:eastAsia="宋体" w:cs="Times New Roman"/>
                <w:b/>
                <w:bCs w:val="0"/>
                <w:color w:val="auto"/>
                <w:lang w:val="en-US" w:eastAsia="zh-CN"/>
              </w:rPr>
              <w:t xml:space="preserve"> </w:t>
            </w:r>
            <w:r>
              <w:rPr>
                <w:rFonts w:ascii="Times New Roman" w:hAnsi="Times New Roman" w:eastAsia="宋体" w:cs="Times New Roman"/>
                <w:b/>
                <w:bCs w:val="0"/>
                <w:color w:val="auto"/>
              </w:rPr>
              <w:t>项目与《</w:t>
            </w:r>
            <w:r>
              <w:rPr>
                <w:rFonts w:hint="eastAsia" w:ascii="Times New Roman" w:hAnsi="Times New Roman" w:eastAsia="宋体" w:cs="Times New Roman"/>
                <w:b/>
                <w:bCs w:val="0"/>
                <w:color w:val="auto"/>
                <w:lang w:val="en-US" w:eastAsia="zh-CN"/>
              </w:rPr>
              <w:t>防城港</w:t>
            </w:r>
            <w:r>
              <w:rPr>
                <w:rFonts w:hint="eastAsia" w:ascii="Times New Roman" w:hAnsi="Times New Roman" w:eastAsia="宋体" w:cs="Times New Roman"/>
                <w:b/>
                <w:bCs w:val="0"/>
                <w:color w:val="auto"/>
              </w:rPr>
              <w:t>市</w:t>
            </w:r>
            <w:r>
              <w:rPr>
                <w:rFonts w:ascii="Times New Roman" w:hAnsi="Times New Roman" w:eastAsia="宋体" w:cs="Times New Roman"/>
                <w:b/>
                <w:bCs w:val="0"/>
                <w:color w:val="auto"/>
              </w:rPr>
              <w:t>生态环境准入及管控要求》相符性分析</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4770"/>
              <w:gridCol w:w="2531"/>
            </w:tblGrid>
            <w:tr w14:paraId="589A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98" w:type="dxa"/>
                  <w:tcBorders>
                    <w:top w:val="single" w:color="auto" w:sz="4" w:space="0"/>
                  </w:tcBorders>
                  <w:noWrap w:val="0"/>
                  <w:vAlign w:val="center"/>
                </w:tcPr>
                <w:p w14:paraId="7FE681D2">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b/>
                      <w:bCs/>
                      <w:color w:val="auto"/>
                      <w:sz w:val="21"/>
                      <w:szCs w:val="21"/>
                    </w:rPr>
                  </w:pPr>
                  <w:r>
                    <w:rPr>
                      <w:rFonts w:eastAsia="宋体" w:cs="Times New Roman"/>
                      <w:b/>
                      <w:bCs/>
                      <w:color w:val="auto"/>
                      <w:sz w:val="21"/>
                      <w:szCs w:val="21"/>
                    </w:rPr>
                    <w:t>管控类别</w:t>
                  </w:r>
                </w:p>
              </w:tc>
              <w:tc>
                <w:tcPr>
                  <w:tcW w:w="4770" w:type="dxa"/>
                  <w:tcBorders>
                    <w:top w:val="single" w:color="auto" w:sz="4" w:space="0"/>
                  </w:tcBorders>
                  <w:noWrap w:val="0"/>
                  <w:vAlign w:val="center"/>
                </w:tcPr>
                <w:p w14:paraId="7A77F61E">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b/>
                      <w:bCs/>
                      <w:color w:val="auto"/>
                      <w:sz w:val="21"/>
                      <w:szCs w:val="21"/>
                    </w:rPr>
                  </w:pPr>
                  <w:r>
                    <w:rPr>
                      <w:rFonts w:eastAsia="宋体" w:cs="Times New Roman"/>
                      <w:b/>
                      <w:bCs/>
                      <w:color w:val="auto"/>
                      <w:sz w:val="21"/>
                      <w:szCs w:val="21"/>
                    </w:rPr>
                    <w:t>生态环境准入及管控要求</w:t>
                  </w:r>
                </w:p>
              </w:tc>
              <w:tc>
                <w:tcPr>
                  <w:tcW w:w="2531" w:type="dxa"/>
                  <w:tcBorders>
                    <w:top w:val="single" w:color="auto" w:sz="4" w:space="0"/>
                    <w:right w:val="single" w:color="auto" w:sz="4" w:space="0"/>
                  </w:tcBorders>
                  <w:noWrap w:val="0"/>
                  <w:vAlign w:val="center"/>
                </w:tcPr>
                <w:p w14:paraId="3D021FDF">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b/>
                      <w:bCs/>
                      <w:color w:val="auto"/>
                      <w:sz w:val="21"/>
                      <w:szCs w:val="21"/>
                    </w:rPr>
                  </w:pPr>
                  <w:r>
                    <w:rPr>
                      <w:rFonts w:eastAsia="宋体" w:cs="Times New Roman"/>
                      <w:b/>
                      <w:bCs/>
                      <w:color w:val="auto"/>
                      <w:sz w:val="21"/>
                      <w:szCs w:val="21"/>
                    </w:rPr>
                    <w:t>相符性分析</w:t>
                  </w:r>
                </w:p>
              </w:tc>
            </w:tr>
            <w:tr w14:paraId="5585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598" w:type="dxa"/>
                  <w:vMerge w:val="restart"/>
                  <w:tcBorders>
                    <w:left w:val="single" w:color="auto" w:sz="4" w:space="0"/>
                  </w:tcBorders>
                  <w:noWrap w:val="0"/>
                  <w:vAlign w:val="center"/>
                </w:tcPr>
                <w:p w14:paraId="380B3C55">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r>
                    <w:rPr>
                      <w:rFonts w:eastAsia="宋体" w:cs="Times New Roman"/>
                      <w:color w:val="auto"/>
                      <w:sz w:val="21"/>
                      <w:szCs w:val="21"/>
                    </w:rPr>
                    <w:t>空间布局约束</w:t>
                  </w:r>
                </w:p>
              </w:tc>
              <w:tc>
                <w:tcPr>
                  <w:tcW w:w="4770" w:type="dxa"/>
                  <w:noWrap w:val="0"/>
                  <w:vAlign w:val="center"/>
                </w:tcPr>
                <w:p w14:paraId="69EB104A">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1．自然保护区、森林公园、湿地公园、石漠公园、饮用水水源保护区、风景名胜区、公益林、天然林等具有法律地位，有管理条例、规定、办法等的各类保护地，其管控要求原则上按照各类保护地的现行规定进行管理，重叠区域以最严格的要求进行管理。纳入生态保护红线管理的各类自然保护地，还应执行国家、自治区有关生态保护红线内各类开发活动的准入及管控规定和要求。</w:t>
                  </w:r>
                </w:p>
              </w:tc>
              <w:tc>
                <w:tcPr>
                  <w:tcW w:w="2531" w:type="dxa"/>
                  <w:tcBorders>
                    <w:right w:val="single" w:color="auto" w:sz="4" w:space="0"/>
                  </w:tcBorders>
                  <w:noWrap w:val="0"/>
                  <w:vAlign w:val="center"/>
                </w:tcPr>
                <w:p w14:paraId="62E66D7B">
                  <w:pPr>
                    <w:pStyle w:val="367"/>
                    <w:keepNext w:val="0"/>
                    <w:keepLines w:val="0"/>
                    <w:pageBreakBefore w:val="0"/>
                    <w:kinsoku/>
                    <w:wordWrap/>
                    <w:overflowPunct/>
                    <w:topLinePunct w:val="0"/>
                    <w:autoSpaceDE/>
                    <w:autoSpaceDN/>
                    <w:bidi w:val="0"/>
                    <w:spacing w:before="63" w:beforeLines="20" w:after="63" w:afterLines="20" w:line="240" w:lineRule="auto"/>
                    <w:jc w:val="both"/>
                    <w:rPr>
                      <w:rFonts w:eastAsia="宋体" w:cs="Times New Roman"/>
                      <w:color w:val="auto"/>
                      <w:sz w:val="21"/>
                      <w:szCs w:val="21"/>
                    </w:rPr>
                  </w:pPr>
                  <w:r>
                    <w:rPr>
                      <w:rFonts w:eastAsia="宋体" w:cs="Times New Roman"/>
                      <w:color w:val="auto"/>
                      <w:sz w:val="21"/>
                      <w:szCs w:val="21"/>
                    </w:rPr>
                    <w:t>符合。项目</w:t>
                  </w:r>
                  <w:r>
                    <w:rPr>
                      <w:rFonts w:hint="eastAsia" w:eastAsia="宋体" w:cs="Times New Roman"/>
                      <w:color w:val="auto"/>
                      <w:sz w:val="21"/>
                      <w:szCs w:val="21"/>
                    </w:rPr>
                    <w:t>不涉及</w:t>
                  </w:r>
                  <w:r>
                    <w:rPr>
                      <w:rFonts w:hint="eastAsia" w:eastAsia="宋体" w:cs="Times New Roman"/>
                      <w:color w:val="auto"/>
                      <w:sz w:val="21"/>
                      <w:szCs w:val="21"/>
                      <w:lang w:val="en-US" w:eastAsia="zh-CN"/>
                    </w:rPr>
                    <w:t>自然保护区、森林公园、湿地公园、石漠公园、饮用水水源保护区、风景名胜区、公益林、天然林等</w:t>
                  </w:r>
                  <w:r>
                    <w:rPr>
                      <w:rFonts w:hint="eastAsia" w:cs="Times New Roman"/>
                      <w:color w:val="auto"/>
                      <w:sz w:val="21"/>
                      <w:szCs w:val="21"/>
                      <w:lang w:val="en-US" w:eastAsia="zh-CN"/>
                    </w:rPr>
                    <w:t>各类保护地</w:t>
                  </w:r>
                  <w:r>
                    <w:rPr>
                      <w:rFonts w:eastAsia="宋体" w:cs="Times New Roman"/>
                      <w:color w:val="auto"/>
                      <w:sz w:val="21"/>
                      <w:szCs w:val="21"/>
                    </w:rPr>
                    <w:t>。</w:t>
                  </w:r>
                </w:p>
              </w:tc>
            </w:tr>
            <w:tr w14:paraId="513A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598" w:type="dxa"/>
                  <w:vMerge w:val="continue"/>
                  <w:tcBorders>
                    <w:left w:val="single" w:color="auto" w:sz="4" w:space="0"/>
                  </w:tcBorders>
                  <w:noWrap w:val="0"/>
                  <w:vAlign w:val="center"/>
                </w:tcPr>
                <w:p w14:paraId="75C3994C">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6E02EEAA">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2．全市产业布局符合《北钦防一体化产业协同发展限制布局清单》要求。</w:t>
                  </w:r>
                </w:p>
              </w:tc>
              <w:tc>
                <w:tcPr>
                  <w:tcW w:w="2531" w:type="dxa"/>
                  <w:tcBorders>
                    <w:right w:val="single" w:color="auto" w:sz="4" w:space="0"/>
                  </w:tcBorders>
                  <w:noWrap w:val="0"/>
                  <w:vAlign w:val="center"/>
                </w:tcPr>
                <w:p w14:paraId="4B0BD9B4">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符合。本项目</w:t>
                  </w:r>
                  <w:r>
                    <w:rPr>
                      <w:rFonts w:hint="eastAsia" w:ascii="Times New Roman" w:hAnsi="Times New Roman" w:eastAsia="宋体" w:cs="Times New Roman"/>
                      <w:color w:val="auto"/>
                      <w:sz w:val="21"/>
                      <w:szCs w:val="21"/>
                      <w:lang w:val="en-US" w:eastAsia="zh-CN"/>
                    </w:rPr>
                    <w:t>为集装箱堆场及配套专用线建设项目，属于基础设施建设，不涉及《北钦防一体化产业协同发展限制布局清单》中行业</w:t>
                  </w:r>
                  <w:r>
                    <w:rPr>
                      <w:rFonts w:hint="eastAsia" w:ascii="Times New Roman" w:hAnsi="Times New Roman" w:eastAsia="宋体" w:cs="Times New Roman"/>
                      <w:color w:val="auto"/>
                      <w:sz w:val="21"/>
                      <w:szCs w:val="21"/>
                    </w:rPr>
                    <w:t>。</w:t>
                  </w:r>
                </w:p>
              </w:tc>
            </w:tr>
            <w:tr w14:paraId="542E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98" w:type="dxa"/>
                  <w:vMerge w:val="continue"/>
                  <w:tcBorders>
                    <w:left w:val="single" w:color="auto" w:sz="4" w:space="0"/>
                  </w:tcBorders>
                  <w:noWrap w:val="0"/>
                  <w:vAlign w:val="center"/>
                </w:tcPr>
                <w:p w14:paraId="0B123D04">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44ACE12B">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3．城市建成区内的钢铁、石油、化工、有色金属、水泥、砖瓦等行业中的高排放、高污染项目，应当逐步进行搬迁、改造或者转型、退出。加快推进企业入园管理。</w:t>
                  </w:r>
                </w:p>
              </w:tc>
              <w:tc>
                <w:tcPr>
                  <w:tcW w:w="2531" w:type="dxa"/>
                  <w:tcBorders>
                    <w:right w:val="single" w:color="auto" w:sz="4" w:space="0"/>
                  </w:tcBorders>
                  <w:noWrap w:val="0"/>
                  <w:vAlign w:val="center"/>
                </w:tcPr>
                <w:p w14:paraId="62D4D980">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符合。本项目</w:t>
                  </w:r>
                  <w:r>
                    <w:rPr>
                      <w:rFonts w:hint="eastAsia" w:ascii="Times New Roman" w:hAnsi="Times New Roman" w:eastAsia="宋体" w:cs="Times New Roman"/>
                      <w:color w:val="auto"/>
                      <w:sz w:val="21"/>
                      <w:szCs w:val="21"/>
                    </w:rPr>
                    <w:t>不</w:t>
                  </w:r>
                  <w:r>
                    <w:rPr>
                      <w:rFonts w:hint="eastAsia" w:ascii="Times New Roman" w:hAnsi="Times New Roman" w:eastAsia="宋体" w:cs="Times New Roman"/>
                      <w:color w:val="auto"/>
                      <w:sz w:val="21"/>
                      <w:szCs w:val="21"/>
                      <w:lang w:val="en-US" w:eastAsia="zh-CN"/>
                    </w:rPr>
                    <w:t>为钢铁、石油、化工、有色金属、水泥、砖瓦等行业中的高排放、高污染项目</w:t>
                  </w:r>
                  <w:r>
                    <w:rPr>
                      <w:rFonts w:hint="eastAsia" w:ascii="Times New Roman" w:hAnsi="Times New Roman" w:eastAsia="宋体" w:cs="Times New Roman"/>
                      <w:color w:val="auto"/>
                      <w:sz w:val="21"/>
                      <w:szCs w:val="21"/>
                    </w:rPr>
                    <w:t>。</w:t>
                  </w:r>
                </w:p>
              </w:tc>
            </w:tr>
            <w:tr w14:paraId="43D7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598" w:type="dxa"/>
                  <w:vMerge w:val="continue"/>
                  <w:tcBorders>
                    <w:left w:val="single" w:color="auto" w:sz="4" w:space="0"/>
                  </w:tcBorders>
                  <w:noWrap w:val="0"/>
                  <w:vAlign w:val="center"/>
                </w:tcPr>
                <w:p w14:paraId="1E34F016">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5CA85586">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4．上思县须执行重点生态功能区县产业准入负面清单</w:t>
                  </w:r>
                  <w:r>
                    <w:rPr>
                      <w:rFonts w:hint="default" w:ascii="Times New Roman" w:hAnsi="Times New Roman" w:eastAsia="宋体" w:cs="Times New Roman"/>
                      <w:color w:val="auto"/>
                      <w:kern w:val="0"/>
                      <w:sz w:val="21"/>
                      <w:szCs w:val="21"/>
                      <w:lang w:eastAsia="zh-CN" w:bidi="ar"/>
                    </w:rPr>
                    <w:t>。</w:t>
                  </w:r>
                </w:p>
              </w:tc>
              <w:tc>
                <w:tcPr>
                  <w:tcW w:w="2531" w:type="dxa"/>
                  <w:tcBorders>
                    <w:right w:val="single" w:color="auto" w:sz="4" w:space="0"/>
                  </w:tcBorders>
                  <w:noWrap w:val="0"/>
                  <w:vAlign w:val="center"/>
                </w:tcPr>
                <w:p w14:paraId="48CF96D6">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符合。本项目</w:t>
                  </w:r>
                  <w:r>
                    <w:rPr>
                      <w:rFonts w:hint="eastAsia" w:ascii="Times New Roman" w:hAnsi="Times New Roman" w:eastAsia="宋体" w:cs="Times New Roman"/>
                      <w:color w:val="auto"/>
                      <w:sz w:val="21"/>
                      <w:szCs w:val="21"/>
                    </w:rPr>
                    <w:t>不在</w:t>
                  </w:r>
                  <w:r>
                    <w:rPr>
                      <w:rFonts w:hint="eastAsia" w:ascii="Times New Roman" w:hAnsi="Times New Roman" w:eastAsia="宋体" w:cs="Times New Roman"/>
                      <w:color w:val="auto"/>
                      <w:sz w:val="21"/>
                      <w:szCs w:val="21"/>
                      <w:lang w:val="en-US" w:eastAsia="zh-CN"/>
                    </w:rPr>
                    <w:t>上思县</w:t>
                  </w:r>
                  <w:r>
                    <w:rPr>
                      <w:rFonts w:hint="eastAsia" w:ascii="Times New Roman" w:hAnsi="Times New Roman" w:eastAsia="宋体" w:cs="Times New Roman"/>
                      <w:color w:val="auto"/>
                      <w:sz w:val="21"/>
                      <w:szCs w:val="21"/>
                    </w:rPr>
                    <w:t>范围。</w:t>
                  </w:r>
                </w:p>
              </w:tc>
            </w:tr>
            <w:tr w14:paraId="5E0F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98" w:type="dxa"/>
                  <w:vMerge w:val="continue"/>
                  <w:tcBorders>
                    <w:left w:val="single" w:color="auto" w:sz="4" w:space="0"/>
                  </w:tcBorders>
                  <w:noWrap w:val="0"/>
                  <w:vAlign w:val="center"/>
                </w:tcPr>
                <w:p w14:paraId="56BC9FC7">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0EC1C46F">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5．广西北仑河口国家级自然保护区</w:t>
                  </w:r>
                  <w:r>
                    <w:rPr>
                      <w:rFonts w:hint="default" w:ascii="Times New Roman" w:hAnsi="Times New Roman" w:eastAsia="宋体" w:cs="Times New Roman"/>
                      <w:color w:val="auto"/>
                      <w:kern w:val="0"/>
                      <w:sz w:val="21"/>
                      <w:szCs w:val="21"/>
                      <w:lang w:eastAsia="zh-CN" w:bidi="ar"/>
                    </w:rPr>
                    <w:t>还需</w:t>
                  </w:r>
                  <w:r>
                    <w:rPr>
                      <w:rFonts w:ascii="Times New Roman" w:hAnsi="Times New Roman" w:eastAsia="宋体" w:cs="Times New Roman"/>
                      <w:color w:val="auto"/>
                      <w:kern w:val="0"/>
                      <w:sz w:val="21"/>
                      <w:szCs w:val="21"/>
                      <w:lang w:bidi="ar"/>
                    </w:rPr>
                    <w:t>依据《广西壮族自治区山口红树林生态自然保护区和北仑河口国家级自然保护区管理办法》进行管理。</w:t>
                  </w:r>
                </w:p>
              </w:tc>
              <w:tc>
                <w:tcPr>
                  <w:tcW w:w="2531" w:type="dxa"/>
                  <w:tcBorders>
                    <w:right w:val="single" w:color="auto" w:sz="4" w:space="0"/>
                  </w:tcBorders>
                  <w:noWrap w:val="0"/>
                  <w:vAlign w:val="center"/>
                </w:tcPr>
                <w:p w14:paraId="0CCC55FD">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符合。本项目</w:t>
                  </w:r>
                  <w:r>
                    <w:rPr>
                      <w:rFonts w:hint="eastAsia" w:ascii="Times New Roman" w:hAnsi="Times New Roman" w:eastAsia="宋体" w:cs="Times New Roman"/>
                      <w:color w:val="auto"/>
                      <w:sz w:val="21"/>
                      <w:szCs w:val="21"/>
                    </w:rPr>
                    <w:t>不</w:t>
                  </w:r>
                  <w:r>
                    <w:rPr>
                      <w:rFonts w:hint="eastAsia" w:ascii="Times New Roman" w:hAnsi="Times New Roman" w:eastAsia="宋体" w:cs="Times New Roman"/>
                      <w:color w:val="auto"/>
                      <w:sz w:val="21"/>
                      <w:szCs w:val="21"/>
                      <w:lang w:val="en-US" w:eastAsia="zh-CN"/>
                    </w:rPr>
                    <w:t>涉及</w:t>
                  </w:r>
                  <w:r>
                    <w:rPr>
                      <w:rFonts w:hint="eastAsia" w:ascii="Times New Roman" w:hAnsi="Times New Roman" w:eastAsia="宋体" w:cs="Times New Roman"/>
                      <w:color w:val="auto"/>
                      <w:sz w:val="21"/>
                      <w:szCs w:val="21"/>
                    </w:rPr>
                    <w:t>广西北仑河口国家级自然保护区。</w:t>
                  </w:r>
                </w:p>
              </w:tc>
            </w:tr>
            <w:tr w14:paraId="63F4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3E6BE2D3">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1B1D4E68">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6．红树林</w:t>
                  </w:r>
                  <w:r>
                    <w:rPr>
                      <w:rFonts w:hint="default" w:ascii="Times New Roman" w:hAnsi="Times New Roman" w:eastAsia="宋体" w:cs="Times New Roman"/>
                      <w:color w:val="auto"/>
                      <w:kern w:val="0"/>
                      <w:sz w:val="21"/>
                      <w:szCs w:val="21"/>
                      <w:lang w:eastAsia="zh-CN" w:bidi="ar"/>
                    </w:rPr>
                    <w:t>还需</w:t>
                  </w:r>
                  <w:r>
                    <w:rPr>
                      <w:rFonts w:ascii="Times New Roman" w:hAnsi="Times New Roman" w:eastAsia="宋体" w:cs="Times New Roman"/>
                      <w:color w:val="auto"/>
                      <w:kern w:val="0"/>
                      <w:sz w:val="21"/>
                      <w:szCs w:val="21"/>
                      <w:lang w:bidi="ar"/>
                    </w:rPr>
                    <w:t>依据《广西壮族自治区红树林资源保护条例》进行管理。</w:t>
                  </w:r>
                </w:p>
              </w:tc>
              <w:tc>
                <w:tcPr>
                  <w:tcW w:w="2531" w:type="dxa"/>
                  <w:tcBorders>
                    <w:right w:val="single" w:color="auto" w:sz="4" w:space="0"/>
                  </w:tcBorders>
                  <w:noWrap w:val="0"/>
                  <w:vAlign w:val="center"/>
                </w:tcPr>
                <w:p w14:paraId="784B2334">
                  <w:pPr>
                    <w:keepNext w:val="0"/>
                    <w:keepLines w:val="0"/>
                    <w:pageBreakBefore w:val="0"/>
                    <w:kinsoku/>
                    <w:wordWrap/>
                    <w:overflowPunct/>
                    <w:topLinePunct w:val="0"/>
                    <w:autoSpaceDE/>
                    <w:autoSpaceDN/>
                    <w:bidi w:val="0"/>
                    <w:spacing w:before="63" w:beforeLines="20" w:after="63" w:afterLines="20"/>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lang w:val="en-US" w:eastAsia="zh-CN"/>
                    </w:rPr>
                    <w:t>项目用地不涉及红树林。</w:t>
                  </w:r>
                </w:p>
              </w:tc>
            </w:tr>
            <w:tr w14:paraId="19D1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474ABF55">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25563F5F">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7．重要湿地</w:t>
                  </w:r>
                  <w:r>
                    <w:rPr>
                      <w:rFonts w:hint="default" w:ascii="Times New Roman" w:hAnsi="Times New Roman" w:eastAsia="宋体" w:cs="Times New Roman"/>
                      <w:color w:val="auto"/>
                      <w:kern w:val="0"/>
                      <w:sz w:val="21"/>
                      <w:szCs w:val="21"/>
                      <w:lang w:eastAsia="zh-CN" w:bidi="ar"/>
                    </w:rPr>
                    <w:t>还需</w:t>
                  </w:r>
                  <w:r>
                    <w:rPr>
                      <w:rFonts w:ascii="Times New Roman" w:hAnsi="Times New Roman" w:eastAsia="宋体" w:cs="Times New Roman"/>
                      <w:color w:val="auto"/>
                      <w:kern w:val="0"/>
                      <w:sz w:val="21"/>
                      <w:szCs w:val="21"/>
                      <w:lang w:bidi="ar"/>
                    </w:rPr>
                    <w:t>依据《中华人民共和国湿地保护法》《国家湿地公园管理办法》《广西壮族自治区湿地保护条例》进行管理。</w:t>
                  </w:r>
                </w:p>
              </w:tc>
              <w:tc>
                <w:tcPr>
                  <w:tcW w:w="2531" w:type="dxa"/>
                  <w:tcBorders>
                    <w:right w:val="single" w:color="auto" w:sz="4" w:space="0"/>
                  </w:tcBorders>
                  <w:noWrap w:val="0"/>
                  <w:vAlign w:val="center"/>
                </w:tcPr>
                <w:p w14:paraId="29D33C3E">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用地</w:t>
                  </w:r>
                  <w:r>
                    <w:rPr>
                      <w:rFonts w:ascii="Times New Roman" w:hAnsi="Times New Roman" w:eastAsia="宋体" w:cs="Times New Roman"/>
                      <w:color w:val="auto"/>
                      <w:sz w:val="21"/>
                      <w:szCs w:val="21"/>
                    </w:rPr>
                    <w:t>不涉及</w:t>
                  </w:r>
                  <w:r>
                    <w:rPr>
                      <w:rFonts w:hint="eastAsia" w:ascii="Times New Roman" w:hAnsi="Times New Roman" w:eastAsia="宋体" w:cs="Times New Roman"/>
                      <w:color w:val="auto"/>
                      <w:sz w:val="21"/>
                      <w:szCs w:val="21"/>
                      <w:lang w:val="en-US" w:eastAsia="zh-CN"/>
                    </w:rPr>
                    <w:t>重要湿地</w:t>
                  </w:r>
                  <w:r>
                    <w:rPr>
                      <w:rFonts w:hint="eastAsia" w:ascii="Times New Roman" w:hAnsi="Times New Roman" w:eastAsia="宋体" w:cs="Times New Roman"/>
                      <w:color w:val="auto"/>
                      <w:sz w:val="21"/>
                      <w:szCs w:val="21"/>
                    </w:rPr>
                    <w:t>。</w:t>
                  </w:r>
                </w:p>
              </w:tc>
            </w:tr>
            <w:tr w14:paraId="425C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07A42392">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77146833">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8．那沙河、北仑河流入越南境，流域应严格控制布局化工、冶金、印染、水洗等水污染严重的产业；加强城镇生活污染源治理，建立健全生活污水收集、处理体系，确保水环境功能区达标，避免跨境污染。</w:t>
                  </w:r>
                </w:p>
              </w:tc>
              <w:tc>
                <w:tcPr>
                  <w:tcW w:w="2531" w:type="dxa"/>
                  <w:tcBorders>
                    <w:right w:val="single" w:color="auto" w:sz="4" w:space="0"/>
                  </w:tcBorders>
                  <w:noWrap w:val="0"/>
                  <w:vAlign w:val="center"/>
                </w:tcPr>
                <w:p w14:paraId="38C52DEE">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项目不涉及那沙河、北仑河流域</w:t>
                  </w:r>
                  <w:r>
                    <w:rPr>
                      <w:rFonts w:hint="eastAsia" w:ascii="Times New Roman" w:hAnsi="Times New Roman" w:eastAsia="宋体" w:cs="Times New Roman"/>
                      <w:color w:val="auto"/>
                      <w:sz w:val="21"/>
                      <w:szCs w:val="21"/>
                    </w:rPr>
                    <w:t>。</w:t>
                  </w:r>
                </w:p>
              </w:tc>
            </w:tr>
            <w:tr w14:paraId="0DC8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4F17FA81">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4F40F46B">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default" w:ascii="Times New Roman" w:hAnsi="Times New Roman" w:eastAsia="宋体" w:cs="Times New Roman"/>
                      <w:color w:val="auto"/>
                      <w:kern w:val="0"/>
                      <w:sz w:val="21"/>
                      <w:szCs w:val="21"/>
                      <w:lang w:val="en-US" w:eastAsia="zh-CN" w:bidi="ar"/>
                    </w:rPr>
                  </w:pPr>
                  <w:r>
                    <w:rPr>
                      <w:rFonts w:eastAsia="宋体"/>
                      <w:color w:val="auto"/>
                      <w:sz w:val="21"/>
                      <w:szCs w:val="21"/>
                      <w:highlight w:val="none"/>
                      <w:u w:val="none"/>
                    </w:rPr>
                    <w:t>9</w:t>
                  </w:r>
                  <w:r>
                    <w:rPr>
                      <w:rFonts w:hAnsi="Times New Roman" w:eastAsia="宋体"/>
                      <w:color w:val="auto"/>
                      <w:sz w:val="21"/>
                      <w:szCs w:val="21"/>
                      <w:highlight w:val="none"/>
                      <w:u w:val="none"/>
                    </w:rPr>
                    <w:t>．防城区水域养殖活动依据《防城区养殖水域滩涂规划（</w:t>
                  </w:r>
                  <w:r>
                    <w:rPr>
                      <w:rFonts w:eastAsia="宋体"/>
                      <w:color w:val="auto"/>
                      <w:sz w:val="21"/>
                      <w:szCs w:val="21"/>
                      <w:highlight w:val="none"/>
                      <w:u w:val="none"/>
                    </w:rPr>
                    <w:t>2017-2030</w:t>
                  </w:r>
                  <w:r>
                    <w:rPr>
                      <w:rFonts w:hAnsi="Times New Roman" w:eastAsia="宋体"/>
                      <w:color w:val="auto"/>
                      <w:sz w:val="21"/>
                      <w:szCs w:val="21"/>
                      <w:highlight w:val="none"/>
                      <w:u w:val="none"/>
                    </w:rPr>
                    <w:t>年）》实施，科学规划布局水产养殖生产，依法划定禁止养殖区、限制养殖区和养殖区，全面增强水域滩涂生态管控能力。</w:t>
                  </w:r>
                </w:p>
              </w:tc>
              <w:tc>
                <w:tcPr>
                  <w:tcW w:w="2531" w:type="dxa"/>
                  <w:tcBorders>
                    <w:right w:val="single" w:color="auto" w:sz="4" w:space="0"/>
                  </w:tcBorders>
                  <w:noWrap w:val="0"/>
                  <w:vAlign w:val="center"/>
                </w:tcPr>
                <w:p w14:paraId="31D0F413">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rPr>
                    <w:t>本项目</w:t>
                  </w:r>
                  <w:r>
                    <w:rPr>
                      <w:rFonts w:ascii="Times New Roman" w:hAnsi="Times New Roman" w:eastAsia="宋体" w:cs="Times New Roman"/>
                      <w:color w:val="auto"/>
                      <w:sz w:val="21"/>
                      <w:szCs w:val="21"/>
                    </w:rPr>
                    <w:t>不</w:t>
                  </w:r>
                  <w:r>
                    <w:rPr>
                      <w:rFonts w:hint="eastAsia" w:ascii="Times New Roman" w:hAnsi="Times New Roman" w:eastAsia="宋体" w:cs="Times New Roman"/>
                      <w:color w:val="auto"/>
                      <w:sz w:val="21"/>
                      <w:szCs w:val="21"/>
                      <w:lang w:val="en-US" w:eastAsia="zh-CN"/>
                    </w:rPr>
                    <w:t>涉及水域养殖活动</w:t>
                  </w:r>
                  <w:r>
                    <w:rPr>
                      <w:rFonts w:hint="eastAsia" w:ascii="Times New Roman" w:hAnsi="Times New Roman" w:eastAsia="宋体" w:cs="Times New Roman"/>
                      <w:color w:val="auto"/>
                      <w:sz w:val="21"/>
                      <w:szCs w:val="21"/>
                    </w:rPr>
                    <w:t>。</w:t>
                  </w:r>
                </w:p>
              </w:tc>
            </w:tr>
            <w:tr w14:paraId="6C1D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7BE6ABD6">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659EE0F7">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
                    </w:rPr>
                    <w:t>10．海洋生态保护红线执行《关于在国土空间规划中统筹划定落实三条控制线的指导意见》《关于加强生态保护红线管理的通知（试行）》《广西生态保护红线监管办法（试行）》相关要求，确保海洋生态保护红线面积不减少、大陆自然岸线保有率标准不降低、海岛现有砂质岸线长度不缩短。</w:t>
                  </w:r>
                </w:p>
              </w:tc>
              <w:tc>
                <w:tcPr>
                  <w:tcW w:w="2531" w:type="dxa"/>
                  <w:tcBorders>
                    <w:right w:val="single" w:color="auto" w:sz="4" w:space="0"/>
                  </w:tcBorders>
                  <w:noWrap w:val="0"/>
                  <w:vAlign w:val="center"/>
                </w:tcPr>
                <w:p w14:paraId="35252C1A">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rPr>
                    <w:t>本项目</w:t>
                  </w:r>
                  <w:r>
                    <w:rPr>
                      <w:rFonts w:ascii="Times New Roman" w:hAnsi="Times New Roman" w:eastAsia="宋体" w:cs="Times New Roman"/>
                      <w:color w:val="auto"/>
                      <w:sz w:val="21"/>
                      <w:szCs w:val="21"/>
                    </w:rPr>
                    <w:t>不</w:t>
                  </w:r>
                  <w:r>
                    <w:rPr>
                      <w:rFonts w:hint="eastAsia" w:ascii="Times New Roman" w:hAnsi="Times New Roman" w:eastAsia="宋体" w:cs="Times New Roman"/>
                      <w:color w:val="auto"/>
                      <w:sz w:val="21"/>
                      <w:szCs w:val="21"/>
                      <w:lang w:val="en-US" w:eastAsia="zh-CN"/>
                    </w:rPr>
                    <w:t>涉及海洋生态保护红线</w:t>
                  </w:r>
                  <w:r>
                    <w:rPr>
                      <w:rFonts w:hint="eastAsia" w:ascii="Times New Roman" w:hAnsi="Times New Roman" w:eastAsia="宋体" w:cs="Times New Roman"/>
                      <w:color w:val="auto"/>
                      <w:sz w:val="21"/>
                      <w:szCs w:val="21"/>
                    </w:rPr>
                    <w:t>。</w:t>
                  </w:r>
                </w:p>
              </w:tc>
            </w:tr>
            <w:tr w14:paraId="31CE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402C85E7">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31B2676B">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11．严禁圈占海域、沙滩、礁石和红树林，禁止红树林海岸带内陆采石等破坏性活动。对红树林、海草床等重要海洋生态系统实行最严格的保护措施，加强珍稀濒危物种及重要海洋生态系统的生境保护，加大滨海湿地的保护和修复力度。禁止毁坏海岸防护设施、沿海防护林、沿海城镇园林和绿地。</w:t>
                  </w:r>
                </w:p>
              </w:tc>
              <w:tc>
                <w:tcPr>
                  <w:tcW w:w="2531" w:type="dxa"/>
                  <w:tcBorders>
                    <w:right w:val="single" w:color="auto" w:sz="4" w:space="0"/>
                  </w:tcBorders>
                  <w:noWrap w:val="0"/>
                  <w:vAlign w:val="center"/>
                </w:tcPr>
                <w:p w14:paraId="7D0EC3FE">
                  <w:pPr>
                    <w:keepNext w:val="0"/>
                    <w:keepLines w:val="0"/>
                    <w:pageBreakBefore w:val="0"/>
                    <w:kinsoku/>
                    <w:wordWrap/>
                    <w:overflowPunct/>
                    <w:topLinePunct w:val="0"/>
                    <w:autoSpaceDE/>
                    <w:autoSpaceDN/>
                    <w:bidi w:val="0"/>
                    <w:spacing w:before="63" w:beforeLines="20" w:after="63" w:afterLines="2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符合。项目不涉及圈占海域、沙滩、礁石和红树林，不在红树林海岸带进行内陆采石等破坏性活动。</w:t>
                  </w:r>
                </w:p>
              </w:tc>
            </w:tr>
            <w:tr w14:paraId="7E90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55D497FA">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16839A04">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自海岸线起向陆域延伸200米范围内、特殊岸段100米范围内，除国防安全项目、国家和自治区重点建设项目、港口码头建设项目、市政公用项目、公共旅游景观工程项目以及防灾减灾建设项目外，不得新建、改建、扩建与海岸带保护无关的建筑物。</w:t>
                  </w:r>
                </w:p>
              </w:tc>
              <w:tc>
                <w:tcPr>
                  <w:tcW w:w="2531" w:type="dxa"/>
                  <w:tcBorders>
                    <w:right w:val="single" w:color="auto" w:sz="4" w:space="0"/>
                  </w:tcBorders>
                  <w:noWrap w:val="0"/>
                  <w:vAlign w:val="center"/>
                </w:tcPr>
                <w:p w14:paraId="7AF76B61">
                  <w:pPr>
                    <w:keepNext w:val="0"/>
                    <w:keepLines w:val="0"/>
                    <w:pageBreakBefore w:val="0"/>
                    <w:kinsoku/>
                    <w:wordWrap/>
                    <w:overflowPunct/>
                    <w:topLinePunct w:val="0"/>
                    <w:autoSpaceDE/>
                    <w:autoSpaceDN/>
                    <w:bidi w:val="0"/>
                    <w:spacing w:before="63" w:beforeLines="20" w:after="63" w:afterLines="2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符合。项目用地不涉及该范围。</w:t>
                  </w:r>
                </w:p>
              </w:tc>
            </w:tr>
            <w:tr w14:paraId="2227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7872FEB4">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6C6FC1C5">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13．严格用途管制，坚持陆海统筹。严控新增围填海造地，完善围填海总量管控，除国家重大战略项目外，全面停止新增围填海项目审批；严禁国家产业政策淘汰类、限制类项目在滨海湿地布局，实现山水林田湖草整体保护、系统修复、综合治理。</w:t>
                  </w:r>
                </w:p>
              </w:tc>
              <w:tc>
                <w:tcPr>
                  <w:tcW w:w="2531" w:type="dxa"/>
                  <w:tcBorders>
                    <w:right w:val="single" w:color="auto" w:sz="4" w:space="0"/>
                  </w:tcBorders>
                  <w:noWrap w:val="0"/>
                  <w:vAlign w:val="center"/>
                </w:tcPr>
                <w:p w14:paraId="7AA24C8F">
                  <w:pPr>
                    <w:keepNext w:val="0"/>
                    <w:keepLines w:val="0"/>
                    <w:pageBreakBefore w:val="0"/>
                    <w:kinsoku/>
                    <w:wordWrap/>
                    <w:overflowPunct/>
                    <w:topLinePunct w:val="0"/>
                    <w:autoSpaceDE/>
                    <w:autoSpaceDN/>
                    <w:bidi w:val="0"/>
                    <w:spacing w:before="63" w:beforeLines="20" w:after="63" w:afterLines="2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符合。项目用地为铁路用地，不涉及围填海造地。</w:t>
                  </w:r>
                </w:p>
              </w:tc>
            </w:tr>
            <w:tr w14:paraId="57D6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1EBA6A32">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2AF0C772">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14．严格按照相关法律法规及海洋国土空间规划等要求，规范设置和监管入海排污口。</w:t>
                  </w:r>
                </w:p>
              </w:tc>
              <w:tc>
                <w:tcPr>
                  <w:tcW w:w="2531" w:type="dxa"/>
                  <w:tcBorders>
                    <w:right w:val="single" w:color="auto" w:sz="4" w:space="0"/>
                  </w:tcBorders>
                  <w:noWrap w:val="0"/>
                  <w:vAlign w:val="center"/>
                </w:tcPr>
                <w:p w14:paraId="4A86BF50">
                  <w:pPr>
                    <w:keepNext w:val="0"/>
                    <w:keepLines w:val="0"/>
                    <w:pageBreakBefore w:val="0"/>
                    <w:kinsoku/>
                    <w:wordWrap/>
                    <w:overflowPunct/>
                    <w:topLinePunct w:val="0"/>
                    <w:autoSpaceDE/>
                    <w:autoSpaceDN/>
                    <w:bidi w:val="0"/>
                    <w:spacing w:before="63" w:beforeLines="20" w:after="63" w:afterLines="2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符合。项目不设置入海排污口。</w:t>
                  </w:r>
                </w:p>
              </w:tc>
            </w:tr>
            <w:tr w14:paraId="5921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0C1C7FA8">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213826BE">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15．防城江流域重点保护区、一般保护区、合理利用区内，禁止行为按照《防城港市防城江流域水环境保护条例》有关规定执行。</w:t>
                  </w:r>
                </w:p>
              </w:tc>
              <w:tc>
                <w:tcPr>
                  <w:tcW w:w="2531" w:type="dxa"/>
                  <w:tcBorders>
                    <w:right w:val="single" w:color="auto" w:sz="4" w:space="0"/>
                  </w:tcBorders>
                  <w:noWrap w:val="0"/>
                  <w:vAlign w:val="center"/>
                </w:tcPr>
                <w:p w14:paraId="1FFC60F0">
                  <w:pPr>
                    <w:keepNext w:val="0"/>
                    <w:keepLines w:val="0"/>
                    <w:pageBreakBefore w:val="0"/>
                    <w:kinsoku/>
                    <w:wordWrap/>
                    <w:overflowPunct/>
                    <w:topLinePunct w:val="0"/>
                    <w:autoSpaceDE/>
                    <w:autoSpaceDN/>
                    <w:bidi w:val="0"/>
                    <w:spacing w:before="63" w:beforeLines="20" w:after="63" w:afterLines="2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符合。项目不涉及防城江流域。</w:t>
                  </w:r>
                </w:p>
              </w:tc>
            </w:tr>
            <w:tr w14:paraId="1958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536C1EFB">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6A1D9E1E">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16．除上述管控要求外，还应遵循国土空间规划有关管控要求。</w:t>
                  </w:r>
                </w:p>
              </w:tc>
              <w:tc>
                <w:tcPr>
                  <w:tcW w:w="2531" w:type="dxa"/>
                  <w:tcBorders>
                    <w:right w:val="single" w:color="auto" w:sz="4" w:space="0"/>
                  </w:tcBorders>
                  <w:noWrap w:val="0"/>
                  <w:vAlign w:val="center"/>
                </w:tcPr>
                <w:p w14:paraId="3048A497">
                  <w:pPr>
                    <w:keepNext w:val="0"/>
                    <w:keepLines w:val="0"/>
                    <w:pageBreakBefore w:val="0"/>
                    <w:kinsoku/>
                    <w:wordWrap/>
                    <w:overflowPunct/>
                    <w:topLinePunct w:val="0"/>
                    <w:autoSpaceDE/>
                    <w:autoSpaceDN/>
                    <w:bidi w:val="0"/>
                    <w:spacing w:before="63" w:beforeLines="20" w:after="63" w:afterLines="2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符合。项目为铁路集装箱货场建设，用地为铁路用地。</w:t>
                  </w:r>
                </w:p>
              </w:tc>
            </w:tr>
            <w:tr w14:paraId="7E54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restart"/>
                  <w:tcBorders>
                    <w:left w:val="single" w:color="auto" w:sz="4" w:space="0"/>
                  </w:tcBorders>
                  <w:noWrap w:val="0"/>
                  <w:vAlign w:val="center"/>
                </w:tcPr>
                <w:p w14:paraId="7CB11508">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r>
                    <w:rPr>
                      <w:rFonts w:eastAsia="宋体" w:cs="Times New Roman"/>
                      <w:color w:val="auto"/>
                      <w:sz w:val="21"/>
                      <w:szCs w:val="21"/>
                    </w:rPr>
                    <w:t>污染物排放管控</w:t>
                  </w:r>
                </w:p>
              </w:tc>
              <w:tc>
                <w:tcPr>
                  <w:tcW w:w="4770" w:type="dxa"/>
                  <w:noWrap w:val="0"/>
                  <w:vAlign w:val="center"/>
                </w:tcPr>
                <w:p w14:paraId="51FBC198">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1．提升城镇污水收集处理能力，加强市、县两级城镇生活污水处理设施及配套管网建设和提标改造，完善建制镇污水处理设施建设；推进城中村、老旧城区和城乡结合部污水截流、收集。</w:t>
                  </w:r>
                </w:p>
              </w:tc>
              <w:tc>
                <w:tcPr>
                  <w:tcW w:w="2531" w:type="dxa"/>
                  <w:tcBorders>
                    <w:right w:val="single" w:color="auto" w:sz="4" w:space="0"/>
                  </w:tcBorders>
                  <w:noWrap w:val="0"/>
                  <w:vAlign w:val="center"/>
                </w:tcPr>
                <w:p w14:paraId="5EA897BA">
                  <w:pPr>
                    <w:pStyle w:val="367"/>
                    <w:keepNext w:val="0"/>
                    <w:keepLines w:val="0"/>
                    <w:pageBreakBefore w:val="0"/>
                    <w:kinsoku/>
                    <w:wordWrap/>
                    <w:overflowPunct/>
                    <w:topLinePunct w:val="0"/>
                    <w:autoSpaceDE/>
                    <w:autoSpaceDN/>
                    <w:bidi w:val="0"/>
                    <w:spacing w:before="63" w:beforeLines="20" w:after="63" w:afterLines="20" w:line="240" w:lineRule="auto"/>
                    <w:jc w:val="both"/>
                    <w:rPr>
                      <w:rFonts w:hint="eastAsia" w:eastAsia="宋体" w:cs="Times New Roman"/>
                      <w:color w:val="auto"/>
                      <w:sz w:val="21"/>
                      <w:szCs w:val="21"/>
                    </w:rPr>
                  </w:pPr>
                  <w:r>
                    <w:rPr>
                      <w:rFonts w:eastAsia="宋体" w:cs="Times New Roman"/>
                      <w:color w:val="auto"/>
                      <w:sz w:val="21"/>
                      <w:szCs w:val="21"/>
                    </w:rPr>
                    <w:t>符合。</w:t>
                  </w:r>
                  <w:r>
                    <w:rPr>
                      <w:rFonts w:hint="eastAsia" w:cs="Times New Roman"/>
                      <w:color w:val="auto"/>
                      <w:sz w:val="21"/>
                      <w:szCs w:val="21"/>
                      <w:lang w:val="en-US" w:eastAsia="zh-CN"/>
                    </w:rPr>
                    <w:t>项目运营期污水仅为生活污水，经化粪池处理后用于周边施肥</w:t>
                  </w:r>
                  <w:r>
                    <w:rPr>
                      <w:rFonts w:hint="eastAsia" w:eastAsia="宋体" w:cs="Times New Roman"/>
                      <w:color w:val="auto"/>
                      <w:sz w:val="21"/>
                      <w:szCs w:val="21"/>
                    </w:rPr>
                    <w:t>。</w:t>
                  </w:r>
                </w:p>
              </w:tc>
            </w:tr>
            <w:tr w14:paraId="22E4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02586C5C">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51765059">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2．深化工业水污染综合治理，清理取缔</w:t>
                  </w:r>
                  <w:r>
                    <w:rPr>
                      <w:rFonts w:hint="eastAsia" w:ascii="Times New Roman" w:hAnsi="Times New Roman" w:eastAsia="宋体" w:cs="Times New Roman"/>
                      <w:color w:val="auto"/>
                      <w:kern w:val="0"/>
                      <w:sz w:val="21"/>
                      <w:szCs w:val="21"/>
                      <w:lang w:eastAsia="zh-CN" w:bidi="ar"/>
                    </w:rPr>
                    <w:t>“</w:t>
                  </w:r>
                  <w:r>
                    <w:rPr>
                      <w:rFonts w:ascii="Times New Roman" w:hAnsi="Times New Roman" w:eastAsia="宋体" w:cs="Times New Roman"/>
                      <w:color w:val="auto"/>
                      <w:kern w:val="0"/>
                      <w:sz w:val="21"/>
                      <w:szCs w:val="21"/>
                      <w:lang w:bidi="ar"/>
                    </w:rPr>
                    <w:t>十小</w:t>
                  </w:r>
                  <w:r>
                    <w:rPr>
                      <w:rFonts w:hint="eastAsia" w:ascii="Times New Roman" w:hAnsi="Times New Roman" w:eastAsia="宋体" w:cs="Times New Roman"/>
                      <w:color w:val="auto"/>
                      <w:kern w:val="0"/>
                      <w:sz w:val="21"/>
                      <w:szCs w:val="21"/>
                      <w:lang w:eastAsia="zh-CN" w:bidi="ar"/>
                    </w:rPr>
                    <w:t>”</w:t>
                  </w:r>
                  <w:r>
                    <w:rPr>
                      <w:rFonts w:ascii="Times New Roman" w:hAnsi="Times New Roman" w:eastAsia="宋体" w:cs="Times New Roman"/>
                      <w:color w:val="auto"/>
                      <w:kern w:val="0"/>
                      <w:sz w:val="21"/>
                      <w:szCs w:val="21"/>
                      <w:lang w:bidi="ar"/>
                    </w:rPr>
                    <w:t>企业及</w:t>
                  </w:r>
                  <w:r>
                    <w:rPr>
                      <w:rFonts w:hint="eastAsia" w:ascii="Times New Roman" w:hAnsi="Times New Roman" w:eastAsia="宋体" w:cs="Times New Roman"/>
                      <w:color w:val="auto"/>
                      <w:kern w:val="0"/>
                      <w:sz w:val="21"/>
                      <w:szCs w:val="21"/>
                      <w:lang w:eastAsia="zh-CN" w:bidi="ar"/>
                    </w:rPr>
                    <w:t>“</w:t>
                  </w:r>
                  <w:r>
                    <w:rPr>
                      <w:rFonts w:ascii="Times New Roman" w:hAnsi="Times New Roman" w:eastAsia="宋体" w:cs="Times New Roman"/>
                      <w:color w:val="auto"/>
                      <w:kern w:val="0"/>
                      <w:sz w:val="21"/>
                      <w:szCs w:val="21"/>
                      <w:lang w:bidi="ar"/>
                    </w:rPr>
                    <w:t>散乱污</w:t>
                  </w:r>
                  <w:r>
                    <w:rPr>
                      <w:rFonts w:hint="eastAsia" w:ascii="Times New Roman" w:hAnsi="Times New Roman" w:eastAsia="宋体" w:cs="Times New Roman"/>
                      <w:color w:val="auto"/>
                      <w:kern w:val="0"/>
                      <w:sz w:val="21"/>
                      <w:szCs w:val="21"/>
                      <w:lang w:eastAsia="zh-CN" w:bidi="ar"/>
                    </w:rPr>
                    <w:t>”</w:t>
                  </w:r>
                  <w:r>
                    <w:rPr>
                      <w:rFonts w:ascii="Times New Roman" w:hAnsi="Times New Roman" w:eastAsia="宋体" w:cs="Times New Roman"/>
                      <w:color w:val="auto"/>
                      <w:kern w:val="0"/>
                      <w:sz w:val="21"/>
                      <w:szCs w:val="21"/>
                      <w:lang w:bidi="ar"/>
                    </w:rPr>
                    <w:t>企业。推进工业集聚区污水治理设施及配套管网建设，严格规范入园企业，确保入园企业类型以及污水排放量与设计相匹配，保障污水处理设施正常运行。</w:t>
                  </w:r>
                </w:p>
              </w:tc>
              <w:tc>
                <w:tcPr>
                  <w:tcW w:w="2531" w:type="dxa"/>
                  <w:tcBorders>
                    <w:right w:val="single" w:color="auto" w:sz="4" w:space="0"/>
                  </w:tcBorders>
                  <w:noWrap w:val="0"/>
                  <w:vAlign w:val="center"/>
                </w:tcPr>
                <w:p w14:paraId="19FE86D3">
                  <w:pPr>
                    <w:pStyle w:val="367"/>
                    <w:keepNext w:val="0"/>
                    <w:keepLines w:val="0"/>
                    <w:pageBreakBefore w:val="0"/>
                    <w:kinsoku/>
                    <w:wordWrap/>
                    <w:overflowPunct/>
                    <w:topLinePunct w:val="0"/>
                    <w:autoSpaceDE/>
                    <w:autoSpaceDN/>
                    <w:bidi w:val="0"/>
                    <w:spacing w:before="63" w:beforeLines="20" w:after="63" w:afterLines="20" w:line="240" w:lineRule="auto"/>
                    <w:jc w:val="both"/>
                    <w:rPr>
                      <w:rFonts w:hint="eastAsia" w:eastAsia="宋体" w:cs="Times New Roman"/>
                      <w:color w:val="auto"/>
                      <w:sz w:val="21"/>
                      <w:szCs w:val="21"/>
                    </w:rPr>
                  </w:pPr>
                  <w:r>
                    <w:rPr>
                      <w:rFonts w:hint="eastAsia" w:eastAsia="宋体" w:cs="Times New Roman"/>
                      <w:color w:val="auto"/>
                      <w:sz w:val="21"/>
                      <w:szCs w:val="21"/>
                    </w:rPr>
                    <w:t>符合。</w:t>
                  </w:r>
                  <w:r>
                    <w:rPr>
                      <w:rFonts w:hint="eastAsia" w:cs="Times New Roman"/>
                      <w:color w:val="auto"/>
                      <w:sz w:val="21"/>
                      <w:szCs w:val="21"/>
                      <w:lang w:val="en-US" w:eastAsia="zh-CN"/>
                    </w:rPr>
                    <w:t>项目无工业废水排放</w:t>
                  </w:r>
                  <w:r>
                    <w:rPr>
                      <w:rFonts w:hint="eastAsia" w:eastAsia="宋体" w:cs="Times New Roman"/>
                      <w:color w:val="auto"/>
                      <w:sz w:val="21"/>
                      <w:szCs w:val="21"/>
                    </w:rPr>
                    <w:t>。</w:t>
                  </w:r>
                </w:p>
              </w:tc>
            </w:tr>
            <w:tr w14:paraId="27B2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7D2648E1">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132E0CEE">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ascii="Times New Roman" w:hAnsi="Times New Roman" w:eastAsia="宋体" w:cs="Times New Roman"/>
                      <w:color w:val="auto"/>
                      <w:sz w:val="21"/>
                      <w:szCs w:val="21"/>
                    </w:rPr>
                  </w:pPr>
                  <w:r>
                    <w:rPr>
                      <w:rFonts w:eastAsia="宋体"/>
                      <w:color w:val="auto"/>
                      <w:sz w:val="21"/>
                      <w:szCs w:val="21"/>
                      <w:highlight w:val="none"/>
                      <w:u w:val="none"/>
                    </w:rPr>
                    <w:t>3</w:t>
                  </w:r>
                  <w:r>
                    <w:rPr>
                      <w:rFonts w:hAnsi="Times New Roman" w:eastAsia="宋体"/>
                      <w:color w:val="auto"/>
                      <w:sz w:val="21"/>
                      <w:szCs w:val="21"/>
                      <w:highlight w:val="none"/>
                      <w:u w:val="none"/>
                    </w:rPr>
                    <w:t>．钢铁、有色金属、化工等行业工业企业脱硫、脱硝、除尘升级改造，钢铁行业超低排放改造，严格控制工业炉窑生产过程及相关物料储运、输送等无组织排放。工业涂装、塑料制品、包装印刷等重点行业企业实施强制性清洁生产审核制度，加强</w:t>
                  </w:r>
                  <w:r>
                    <w:rPr>
                      <w:rFonts w:eastAsia="宋体"/>
                      <w:color w:val="auto"/>
                      <w:sz w:val="21"/>
                      <w:szCs w:val="21"/>
                      <w:highlight w:val="none"/>
                      <w:u w:val="none"/>
                    </w:rPr>
                    <w:t>VOCs</w:t>
                  </w:r>
                  <w:r>
                    <w:rPr>
                      <w:rFonts w:hAnsi="Times New Roman" w:eastAsia="宋体"/>
                      <w:color w:val="auto"/>
                      <w:sz w:val="21"/>
                      <w:szCs w:val="21"/>
                      <w:highlight w:val="none"/>
                      <w:u w:val="none"/>
                    </w:rPr>
                    <w:t>排放行业源头减排、过程控制和末端治理。制药、木材加工、家具制造、印刷等重点行业企业</w:t>
                  </w:r>
                  <w:r>
                    <w:rPr>
                      <w:rFonts w:eastAsia="宋体"/>
                      <w:color w:val="auto"/>
                      <w:sz w:val="21"/>
                      <w:szCs w:val="21"/>
                      <w:highlight w:val="none"/>
                      <w:u w:val="none"/>
                    </w:rPr>
                    <w:t>VOCs</w:t>
                  </w:r>
                  <w:r>
                    <w:rPr>
                      <w:rFonts w:hAnsi="Times New Roman" w:eastAsia="宋体"/>
                      <w:color w:val="auto"/>
                      <w:sz w:val="21"/>
                      <w:szCs w:val="21"/>
                      <w:highlight w:val="none"/>
                      <w:u w:val="none"/>
                    </w:rPr>
                    <w:t>治理，推广使用低</w:t>
                  </w:r>
                  <w:r>
                    <w:rPr>
                      <w:rFonts w:eastAsia="宋体"/>
                      <w:color w:val="auto"/>
                      <w:sz w:val="21"/>
                      <w:szCs w:val="21"/>
                      <w:highlight w:val="none"/>
                      <w:u w:val="none"/>
                    </w:rPr>
                    <w:t>VOCs</w:t>
                  </w:r>
                  <w:r>
                    <w:rPr>
                      <w:rFonts w:hAnsi="Times New Roman" w:eastAsia="宋体"/>
                      <w:color w:val="auto"/>
                      <w:sz w:val="21"/>
                      <w:szCs w:val="21"/>
                      <w:highlight w:val="none"/>
                      <w:u w:val="none"/>
                    </w:rPr>
                    <w:t>含量涂料、油墨、胶粘剂，减少挥发性有机物排放量；鼓励工业园区和产业集群推广溶剂集中回收、活性炭集中再生、集中喷涂、共享喷涂。</w:t>
                  </w:r>
                </w:p>
              </w:tc>
              <w:tc>
                <w:tcPr>
                  <w:tcW w:w="2531" w:type="dxa"/>
                  <w:tcBorders>
                    <w:right w:val="single" w:color="auto" w:sz="4" w:space="0"/>
                  </w:tcBorders>
                  <w:noWrap w:val="0"/>
                  <w:vAlign w:val="center"/>
                </w:tcPr>
                <w:p w14:paraId="2857722C">
                  <w:pPr>
                    <w:pStyle w:val="367"/>
                    <w:keepNext w:val="0"/>
                    <w:keepLines w:val="0"/>
                    <w:pageBreakBefore w:val="0"/>
                    <w:kinsoku/>
                    <w:wordWrap/>
                    <w:overflowPunct/>
                    <w:topLinePunct w:val="0"/>
                    <w:autoSpaceDE/>
                    <w:autoSpaceDN/>
                    <w:bidi w:val="0"/>
                    <w:spacing w:before="63" w:beforeLines="20" w:after="63" w:afterLines="20" w:line="240" w:lineRule="auto"/>
                    <w:jc w:val="both"/>
                    <w:rPr>
                      <w:rFonts w:eastAsia="宋体" w:cs="Times New Roman"/>
                      <w:color w:val="auto"/>
                      <w:sz w:val="21"/>
                      <w:szCs w:val="21"/>
                    </w:rPr>
                  </w:pPr>
                  <w:r>
                    <w:rPr>
                      <w:rFonts w:hint="eastAsia" w:eastAsia="宋体" w:cs="Times New Roman"/>
                      <w:color w:val="auto"/>
                      <w:sz w:val="21"/>
                      <w:szCs w:val="21"/>
                    </w:rPr>
                    <w:t>符合。</w:t>
                  </w:r>
                  <w:r>
                    <w:rPr>
                      <w:rFonts w:hint="eastAsia" w:cs="Times New Roman"/>
                      <w:color w:val="auto"/>
                      <w:sz w:val="21"/>
                      <w:szCs w:val="21"/>
                      <w:lang w:val="en-US" w:eastAsia="zh-CN"/>
                    </w:rPr>
                    <w:t>项目不属于钢铁、有色金属、化工等行业</w:t>
                  </w:r>
                  <w:r>
                    <w:rPr>
                      <w:rFonts w:hint="eastAsia" w:eastAsia="宋体" w:cs="Times New Roman"/>
                      <w:color w:val="auto"/>
                      <w:sz w:val="21"/>
                      <w:szCs w:val="21"/>
                    </w:rPr>
                    <w:t>。</w:t>
                  </w:r>
                </w:p>
              </w:tc>
            </w:tr>
            <w:tr w14:paraId="4113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1626F4F7">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16889940">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kern w:val="0"/>
                      <w:sz w:val="21"/>
                      <w:szCs w:val="21"/>
                      <w:lang w:bidi="ar"/>
                    </w:rPr>
                    <w:t>4．加强中越界河北仑河水体的污染防治，提高跨国界水体的环境监测与预警能力，完善区域污水处理设施及配套管网等基础环保设施建设，探索和建立跨境水体水环境保护长效机制和跨国联动机制。</w:t>
                  </w:r>
                </w:p>
              </w:tc>
              <w:tc>
                <w:tcPr>
                  <w:tcW w:w="2531" w:type="dxa"/>
                  <w:tcBorders>
                    <w:right w:val="single" w:color="auto" w:sz="4" w:space="0"/>
                  </w:tcBorders>
                  <w:noWrap w:val="0"/>
                  <w:vAlign w:val="center"/>
                </w:tcPr>
                <w:p w14:paraId="1A5B5563">
                  <w:pPr>
                    <w:pStyle w:val="367"/>
                    <w:keepNext w:val="0"/>
                    <w:keepLines w:val="0"/>
                    <w:pageBreakBefore w:val="0"/>
                    <w:kinsoku/>
                    <w:wordWrap/>
                    <w:overflowPunct/>
                    <w:topLinePunct w:val="0"/>
                    <w:autoSpaceDE/>
                    <w:autoSpaceDN/>
                    <w:bidi w:val="0"/>
                    <w:spacing w:before="63" w:beforeLines="20" w:after="63" w:afterLines="20" w:line="240" w:lineRule="auto"/>
                    <w:jc w:val="both"/>
                    <w:rPr>
                      <w:rFonts w:eastAsia="宋体" w:cs="Times New Roman"/>
                      <w:color w:val="auto"/>
                      <w:sz w:val="21"/>
                      <w:szCs w:val="21"/>
                    </w:rPr>
                  </w:pPr>
                  <w:r>
                    <w:rPr>
                      <w:rFonts w:eastAsia="宋体" w:cs="Times New Roman"/>
                      <w:color w:val="auto"/>
                      <w:sz w:val="21"/>
                      <w:szCs w:val="21"/>
                    </w:rPr>
                    <w:t>符合。本项目</w:t>
                  </w:r>
                  <w:r>
                    <w:rPr>
                      <w:rFonts w:hint="eastAsia" w:cs="Times New Roman"/>
                      <w:color w:val="auto"/>
                      <w:sz w:val="21"/>
                      <w:szCs w:val="21"/>
                      <w:lang w:val="en-US" w:eastAsia="zh-CN"/>
                    </w:rPr>
                    <w:t>不涉及中越界河北仑河，且</w:t>
                  </w:r>
                  <w:r>
                    <w:rPr>
                      <w:rFonts w:hint="eastAsia" w:eastAsia="宋体" w:cs="Times New Roman"/>
                      <w:color w:val="auto"/>
                      <w:sz w:val="21"/>
                      <w:szCs w:val="21"/>
                    </w:rPr>
                    <w:t>运营期无生产废水产生及排放。</w:t>
                  </w:r>
                </w:p>
              </w:tc>
            </w:tr>
            <w:tr w14:paraId="4B1A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24DE089A">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4941FBD6">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ascii="Times New Roman" w:hAnsi="Times New Roman" w:eastAsia="宋体" w:cs="Times New Roman"/>
                      <w:color w:val="auto"/>
                      <w:sz w:val="21"/>
                      <w:szCs w:val="21"/>
                    </w:rPr>
                  </w:pPr>
                  <w:r>
                    <w:rPr>
                      <w:rFonts w:eastAsia="宋体"/>
                      <w:color w:val="auto"/>
                      <w:sz w:val="21"/>
                      <w:szCs w:val="21"/>
                      <w:highlight w:val="none"/>
                      <w:u w:val="none"/>
                    </w:rPr>
                    <w:t>5</w:t>
                  </w:r>
                  <w:r>
                    <w:rPr>
                      <w:rFonts w:hAnsi="Times New Roman" w:eastAsia="宋体"/>
                      <w:color w:val="auto"/>
                      <w:sz w:val="21"/>
                      <w:szCs w:val="21"/>
                      <w:highlight w:val="none"/>
                      <w:u w:val="none"/>
                    </w:rPr>
                    <w:t>．推进城镇生活垃圾处理基础设施扩能建设，强化渗滤液处理设施运营管理，防止渗滤液积存或违规倾倒垃圾渗滤液至市政管网；加强农村生活垃圾收运、处理体系建设，降低农村垃圾焚烧污染。</w:t>
                  </w:r>
                </w:p>
              </w:tc>
              <w:tc>
                <w:tcPr>
                  <w:tcW w:w="2531" w:type="dxa"/>
                  <w:tcBorders>
                    <w:right w:val="single" w:color="auto" w:sz="4" w:space="0"/>
                  </w:tcBorders>
                  <w:noWrap w:val="0"/>
                  <w:vAlign w:val="center"/>
                </w:tcPr>
                <w:p w14:paraId="7EAFD958">
                  <w:pPr>
                    <w:pStyle w:val="367"/>
                    <w:keepNext w:val="0"/>
                    <w:keepLines w:val="0"/>
                    <w:pageBreakBefore w:val="0"/>
                    <w:kinsoku/>
                    <w:wordWrap/>
                    <w:overflowPunct/>
                    <w:topLinePunct w:val="0"/>
                    <w:autoSpaceDE/>
                    <w:autoSpaceDN/>
                    <w:bidi w:val="0"/>
                    <w:spacing w:before="63" w:beforeLines="20" w:after="63" w:afterLines="20" w:line="240" w:lineRule="auto"/>
                    <w:jc w:val="both"/>
                    <w:rPr>
                      <w:rFonts w:eastAsia="宋体" w:cs="Times New Roman"/>
                      <w:color w:val="auto"/>
                      <w:sz w:val="21"/>
                      <w:szCs w:val="21"/>
                    </w:rPr>
                  </w:pPr>
                  <w:r>
                    <w:rPr>
                      <w:rFonts w:eastAsia="宋体" w:cs="Times New Roman"/>
                      <w:color w:val="auto"/>
                      <w:sz w:val="21"/>
                      <w:szCs w:val="21"/>
                    </w:rPr>
                    <w:t>符合。</w:t>
                  </w:r>
                  <w:r>
                    <w:rPr>
                      <w:rFonts w:hint="eastAsia" w:cs="Times New Roman"/>
                      <w:color w:val="auto"/>
                      <w:sz w:val="21"/>
                      <w:szCs w:val="21"/>
                      <w:lang w:val="en-US" w:eastAsia="zh-CN"/>
                    </w:rPr>
                    <w:t>项目生活垃圾收集后由环卫中心同意处理</w:t>
                  </w:r>
                  <w:r>
                    <w:rPr>
                      <w:rFonts w:hint="eastAsia" w:eastAsia="宋体" w:cs="Times New Roman"/>
                      <w:color w:val="auto"/>
                      <w:sz w:val="21"/>
                      <w:szCs w:val="21"/>
                    </w:rPr>
                    <w:t>。</w:t>
                  </w:r>
                </w:p>
              </w:tc>
            </w:tr>
            <w:tr w14:paraId="2875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116729E5">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0BC2A857">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bidi="ar"/>
                    </w:rPr>
                    <w:t>6．新建、改建、扩建涉及重点重金属排放建设项目，依照相关规定实行总量控制，实施重点重金属污染物排放</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bidi="ar"/>
                    </w:rPr>
                    <w:t>减量置换</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bidi="ar"/>
                    </w:rPr>
                    <w:t>或</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bidi="ar"/>
                    </w:rPr>
                    <w:t>等量替换</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bidi="ar"/>
                    </w:rPr>
                    <w:t>。</w:t>
                  </w:r>
                </w:p>
              </w:tc>
              <w:tc>
                <w:tcPr>
                  <w:tcW w:w="2531" w:type="dxa"/>
                  <w:tcBorders>
                    <w:right w:val="single" w:color="auto" w:sz="4" w:space="0"/>
                  </w:tcBorders>
                  <w:noWrap w:val="0"/>
                  <w:vAlign w:val="center"/>
                </w:tcPr>
                <w:p w14:paraId="768BBE11">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lang w:val="en-US" w:eastAsia="zh-CN"/>
                    </w:rPr>
                    <w:t>项目不属于新建、改建、扩建涉及重点重金属排放建设项目</w:t>
                  </w:r>
                  <w:r>
                    <w:rPr>
                      <w:rFonts w:hint="eastAsia" w:ascii="Times New Roman" w:hAnsi="Times New Roman" w:eastAsia="宋体" w:cs="Times New Roman"/>
                      <w:color w:val="auto"/>
                      <w:sz w:val="21"/>
                      <w:szCs w:val="21"/>
                    </w:rPr>
                    <w:t>。</w:t>
                  </w:r>
                </w:p>
              </w:tc>
            </w:tr>
            <w:tr w14:paraId="3FB1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7671324F">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17C4822B">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bidi="ar"/>
                    </w:rPr>
                    <w:t>7．新建</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bidi="ar"/>
                    </w:rPr>
                    <w:t>两高</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bidi="ar"/>
                    </w:rPr>
                    <w:t>项目应采用先进适用的工艺技术和装备，单位产品物耗、能耗、水耗等达到清洁生产先进水平，依法制定并严格落实防治土壤与地下水污染的措施。按照《关于加强重点行业建设项目区域削减措施监督管理的通知》（环办环评〔2020〕36号）《广西壮族自治区高耗能、高排放建设项目主要污染物排放管理办法》（桂环规范〔2023〕6号）要求，依据区域环境质量改善目标，制定配套区域污染物削减方案，采取有效的污染物区域削减措施，腾出足够的环境容量；推进</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bidi="ar"/>
                    </w:rPr>
                    <w:t>两高</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bidi="ar"/>
                    </w:rPr>
                    <w:t>行业减污降碳协同控制，将碳排放影响评价纳入环境影响评价体系。</w:t>
                  </w:r>
                </w:p>
              </w:tc>
              <w:tc>
                <w:tcPr>
                  <w:tcW w:w="2531" w:type="dxa"/>
                  <w:tcBorders>
                    <w:right w:val="single" w:color="auto" w:sz="4" w:space="0"/>
                  </w:tcBorders>
                  <w:noWrap w:val="0"/>
                  <w:vAlign w:val="center"/>
                </w:tcPr>
                <w:p w14:paraId="7E4BCD8B">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符合。项目</w:t>
                  </w:r>
                  <w:r>
                    <w:rPr>
                      <w:rFonts w:hint="eastAsia" w:ascii="Times New Roman" w:hAnsi="Times New Roman" w:eastAsia="宋体" w:cs="Times New Roman"/>
                      <w:color w:val="auto"/>
                      <w:sz w:val="21"/>
                      <w:szCs w:val="21"/>
                      <w:u w:val="none"/>
                      <w:lang w:val="en-US" w:eastAsia="zh-CN"/>
                    </w:rPr>
                    <w:t>不属于“两高”项目</w:t>
                  </w:r>
                  <w:r>
                    <w:rPr>
                      <w:rFonts w:hint="eastAsia" w:ascii="Times New Roman" w:hAnsi="Times New Roman" w:eastAsia="宋体" w:cs="Times New Roman"/>
                      <w:color w:val="auto"/>
                      <w:sz w:val="21"/>
                      <w:szCs w:val="21"/>
                    </w:rPr>
                    <w:t>。</w:t>
                  </w:r>
                </w:p>
              </w:tc>
            </w:tr>
            <w:tr w14:paraId="04E9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2537CD06">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505A16E2">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bidi="ar"/>
                    </w:rPr>
                    <w:t>8．强化尾矿、煤矸石、工业副产石膏、粉煤灰、赤泥、砷渣、铬渣等工业废渣，以及脱硫、脱硝、除尘产生的危险废物堆存场所规范化管理。</w:t>
                  </w:r>
                </w:p>
              </w:tc>
              <w:tc>
                <w:tcPr>
                  <w:tcW w:w="2531" w:type="dxa"/>
                  <w:tcBorders>
                    <w:right w:val="single" w:color="auto" w:sz="4" w:space="0"/>
                  </w:tcBorders>
                  <w:noWrap w:val="0"/>
                  <w:vAlign w:val="center"/>
                </w:tcPr>
                <w:p w14:paraId="7436734E">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ascii="Times New Roman" w:hAnsi="Times New Roman" w:eastAsia="宋体" w:cs="Times New Roman"/>
                      <w:color w:val="auto"/>
                      <w:sz w:val="21"/>
                      <w:szCs w:val="21"/>
                      <w:lang w:bidi="ar"/>
                    </w:rPr>
                    <w:t>项目</w:t>
                  </w:r>
                  <w:r>
                    <w:rPr>
                      <w:rFonts w:hint="eastAsia" w:ascii="Times New Roman" w:hAnsi="Times New Roman" w:eastAsia="宋体" w:cs="Times New Roman"/>
                      <w:color w:val="auto"/>
                      <w:sz w:val="21"/>
                      <w:szCs w:val="21"/>
                      <w:lang w:val="en-US" w:eastAsia="zh-CN" w:bidi="ar"/>
                    </w:rPr>
                    <w:t>运营期不产生尾矿、煤矸石、工业副产石膏、粉煤灰、赤泥、砷渣、铬渣等工业废渣，无脱硫、脱硝、除尘产生的危险废物堆存场所</w:t>
                  </w:r>
                  <w:r>
                    <w:rPr>
                      <w:rFonts w:hint="eastAsia" w:ascii="Times New Roman" w:hAnsi="Times New Roman" w:eastAsia="宋体" w:cs="Times New Roman"/>
                      <w:color w:val="auto"/>
                      <w:sz w:val="21"/>
                      <w:szCs w:val="21"/>
                      <w:lang w:bidi="ar"/>
                    </w:rPr>
                    <w:t>。</w:t>
                  </w:r>
                </w:p>
              </w:tc>
            </w:tr>
            <w:tr w14:paraId="4DDC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1F405D40">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6EC79617">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bidi="ar"/>
                    </w:rPr>
                    <w:t>9．加强海陆联动，严格控制陆源污染物排放。规范入海排污口设置，全面清理非法或设置不合理的入海排污口。入海污染物排放要在批准的排污区（口）内进行，并符合排污许可的排放量要求。</w:t>
                  </w:r>
                </w:p>
              </w:tc>
              <w:tc>
                <w:tcPr>
                  <w:tcW w:w="2531" w:type="dxa"/>
                  <w:tcBorders>
                    <w:right w:val="single" w:color="auto" w:sz="4" w:space="0"/>
                  </w:tcBorders>
                  <w:noWrap w:val="0"/>
                  <w:vAlign w:val="center"/>
                </w:tcPr>
                <w:p w14:paraId="2EB18194">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lang w:val="en-US" w:eastAsia="zh-CN"/>
                    </w:rPr>
                    <w:t>项目不涉及入海排污口。</w:t>
                  </w:r>
                </w:p>
              </w:tc>
            </w:tr>
            <w:tr w14:paraId="3DA09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3B003678">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44970A2F">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10．完善北部湾港港口码头船舶废弃物（油污水、生活污水、生活垃圾）回收处理体系，推进港口、码头配套建设与其吞吐量相适应的船舶污水接收、处理设施建设。</w:t>
                  </w:r>
                </w:p>
              </w:tc>
              <w:tc>
                <w:tcPr>
                  <w:tcW w:w="2531" w:type="dxa"/>
                  <w:tcBorders>
                    <w:right w:val="single" w:color="auto" w:sz="4" w:space="0"/>
                  </w:tcBorders>
                  <w:noWrap w:val="0"/>
                  <w:vAlign w:val="center"/>
                </w:tcPr>
                <w:p w14:paraId="4AF646A7">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lang w:val="en-US" w:eastAsia="zh-CN"/>
                    </w:rPr>
                    <w:t>项目不涉及北部湾港。</w:t>
                  </w:r>
                </w:p>
              </w:tc>
            </w:tr>
            <w:tr w14:paraId="5417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499E7B63">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46F0B1CF">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11．污水离岸排放不得超过国家或者地方规定的排放标准。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含病原体的医疗污水、生活污水和工业废水必须经过处理，符合国家有关排放标准后，方能排入海域。含有机物和营养物质的工业废水、生活污水，应当严格控制向海湾、半封闭海及其他自净能力较差的海域排放。向海域排放含热废水，必须采取有效措施，保证邻近渔业水域的水温符合国家海洋环境质量标准，避免热污染对水产资源的危害。</w:t>
                  </w:r>
                </w:p>
              </w:tc>
              <w:tc>
                <w:tcPr>
                  <w:tcW w:w="2531" w:type="dxa"/>
                  <w:vMerge w:val="restart"/>
                  <w:tcBorders>
                    <w:right w:val="single" w:color="auto" w:sz="4" w:space="0"/>
                  </w:tcBorders>
                  <w:noWrap w:val="0"/>
                  <w:vAlign w:val="center"/>
                </w:tcPr>
                <w:p w14:paraId="57DC48B7">
                  <w:pPr>
                    <w:keepNext w:val="0"/>
                    <w:keepLines w:val="0"/>
                    <w:pageBreakBefore w:val="0"/>
                    <w:kinsoku/>
                    <w:wordWrap/>
                    <w:overflowPunct/>
                    <w:topLinePunct w:val="0"/>
                    <w:autoSpaceDE/>
                    <w:autoSpaceDN/>
                    <w:bidi w:val="0"/>
                    <w:spacing w:before="63" w:beforeLines="20" w:after="63" w:afterLines="2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符合。项目运营期无废水排放，生活污水经化粪池处理后用于周边施肥。</w:t>
                  </w:r>
                </w:p>
              </w:tc>
            </w:tr>
            <w:tr w14:paraId="1009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182E7EE0">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7001FF0B">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bidi="ar"/>
                    </w:rPr>
                    <w:t>12．港区实行雨污分流和污水分质处理，完善污水集中处理设施和配套管网建设，实现污水集中处理、回用或达标排放。</w:t>
                  </w:r>
                </w:p>
              </w:tc>
              <w:tc>
                <w:tcPr>
                  <w:tcW w:w="2531" w:type="dxa"/>
                  <w:vMerge w:val="continue"/>
                  <w:tcBorders>
                    <w:right w:val="single" w:color="auto" w:sz="4" w:space="0"/>
                  </w:tcBorders>
                  <w:noWrap w:val="0"/>
                  <w:vAlign w:val="center"/>
                </w:tcPr>
                <w:p w14:paraId="2F509002">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p>
              </w:tc>
            </w:tr>
            <w:tr w14:paraId="14A6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6AE46B0E">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06AA0A0A">
                  <w:pPr>
                    <w:keepNext w:val="0"/>
                    <w:keepLines w:val="0"/>
                    <w:pageBreakBefore w:val="0"/>
                    <w:widowControl/>
                    <w:kinsoku/>
                    <w:wordWrap/>
                    <w:overflowPunct/>
                    <w:topLinePunct w:val="0"/>
                    <w:autoSpaceDE/>
                    <w:autoSpaceDN/>
                    <w:bidi w:val="0"/>
                    <w:adjustRightInd w:val="0"/>
                    <w:snapToGrid w:val="0"/>
                    <w:spacing w:before="63" w:beforeLines="20" w:after="63" w:afterLines="20"/>
                    <w:textAlignment w:val="center"/>
                    <w:rPr>
                      <w:rFonts w:hint="eastAsia" w:ascii="Times New Roman" w:hAnsi="Times New Roman" w:eastAsia="宋体" w:cs="Times New Roman"/>
                      <w:color w:val="auto"/>
                      <w:sz w:val="21"/>
                      <w:szCs w:val="21"/>
                    </w:rPr>
                  </w:pPr>
                  <w:r>
                    <w:rPr>
                      <w:rFonts w:eastAsia="宋体"/>
                      <w:color w:val="auto"/>
                      <w:sz w:val="21"/>
                      <w:szCs w:val="21"/>
                      <w:highlight w:val="none"/>
                      <w:u w:val="none"/>
                    </w:rPr>
                    <w:t>13</w:t>
                  </w:r>
                  <w:r>
                    <w:rPr>
                      <w:rFonts w:hAnsi="Times New Roman" w:eastAsia="宋体"/>
                      <w:color w:val="auto"/>
                      <w:sz w:val="21"/>
                      <w:szCs w:val="21"/>
                      <w:highlight w:val="none"/>
                      <w:u w:val="none"/>
                    </w:rPr>
                    <w:t>．海水养殖应科学确定养殖密度，依法规范、限制使用抗生素等化学药品，减少海洋环境污染。旅游休闲娱乐区的污水和垃圾应科学处置、达标排放，禁止直接排入海域。</w:t>
                  </w:r>
                </w:p>
              </w:tc>
              <w:tc>
                <w:tcPr>
                  <w:tcW w:w="2531" w:type="dxa"/>
                  <w:tcBorders>
                    <w:right w:val="single" w:color="auto" w:sz="4" w:space="0"/>
                  </w:tcBorders>
                  <w:noWrap w:val="0"/>
                  <w:vAlign w:val="center"/>
                </w:tcPr>
                <w:p w14:paraId="1202D9DE">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rPr>
                    <w:t>项目不</w:t>
                  </w:r>
                  <w:r>
                    <w:rPr>
                      <w:rFonts w:hint="eastAsia" w:ascii="Times New Roman" w:hAnsi="Times New Roman" w:eastAsia="宋体" w:cs="Times New Roman"/>
                      <w:color w:val="auto"/>
                      <w:sz w:val="21"/>
                      <w:szCs w:val="21"/>
                      <w:lang w:val="en-US" w:eastAsia="zh-CN"/>
                    </w:rPr>
                    <w:t>涉及海水养殖</w:t>
                  </w:r>
                  <w:r>
                    <w:rPr>
                      <w:rFonts w:hint="eastAsia" w:ascii="Times New Roman" w:hAnsi="Times New Roman" w:eastAsia="宋体" w:cs="Times New Roman"/>
                      <w:color w:val="auto"/>
                      <w:sz w:val="21"/>
                      <w:szCs w:val="21"/>
                      <w:lang w:eastAsia="zh-CN"/>
                    </w:rPr>
                    <w:t>。</w:t>
                  </w:r>
                </w:p>
              </w:tc>
            </w:tr>
            <w:tr w14:paraId="6444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restart"/>
                  <w:tcBorders>
                    <w:left w:val="single" w:color="auto" w:sz="4" w:space="0"/>
                  </w:tcBorders>
                  <w:noWrap w:val="0"/>
                  <w:vAlign w:val="center"/>
                </w:tcPr>
                <w:p w14:paraId="5F1883B4">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r>
                    <w:rPr>
                      <w:rFonts w:eastAsia="宋体" w:cs="Times New Roman"/>
                      <w:color w:val="auto"/>
                      <w:sz w:val="21"/>
                      <w:szCs w:val="21"/>
                    </w:rPr>
                    <w:t>环境风险防控</w:t>
                  </w:r>
                </w:p>
              </w:tc>
              <w:tc>
                <w:tcPr>
                  <w:tcW w:w="4770" w:type="dxa"/>
                  <w:noWrap w:val="0"/>
                  <w:vAlign w:val="center"/>
                </w:tcPr>
                <w:p w14:paraId="2876BCD2">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ascii="Times New Roman" w:hAnsi="Times New Roman" w:eastAsia="宋体" w:cs="Times New Roman"/>
                      <w:color w:val="auto"/>
                      <w:spacing w:val="10"/>
                      <w:kern w:val="44"/>
                      <w:sz w:val="21"/>
                      <w:szCs w:val="21"/>
                      <w:lang w:val="en-US" w:eastAsia="zh-CN" w:bidi="ar-SA"/>
                    </w:rPr>
                  </w:pPr>
                  <w:r>
                    <w:rPr>
                      <w:rFonts w:ascii="Times New Roman" w:hAnsi="Times New Roman" w:eastAsia="宋体" w:cs="Times New Roman"/>
                      <w:color w:val="auto"/>
                      <w:spacing w:val="10"/>
                      <w:kern w:val="0"/>
                      <w:sz w:val="21"/>
                      <w:szCs w:val="21"/>
                      <w:lang w:val="en-US" w:eastAsia="zh-CN" w:bidi="ar"/>
                    </w:rPr>
                    <w:t>1．强化环境风险源精准化管理，健全企业突发环境事件风险评估制度，动态更新重点环境风险源管理目录清单，建立信息齐全、数据准确的风险源及敏感保护目标的数据库，准确掌握重点环境风险源分布情况，重点加强较大及以上风险等级风险源的环境风险防范和应急预警管理。</w:t>
                  </w:r>
                </w:p>
              </w:tc>
              <w:tc>
                <w:tcPr>
                  <w:tcW w:w="2531" w:type="dxa"/>
                  <w:tcBorders>
                    <w:right w:val="single" w:color="auto" w:sz="4" w:space="0"/>
                  </w:tcBorders>
                  <w:noWrap w:val="0"/>
                  <w:vAlign w:val="center"/>
                </w:tcPr>
                <w:p w14:paraId="62811509">
                  <w:pPr>
                    <w:keepNext w:val="0"/>
                    <w:keepLines w:val="0"/>
                    <w:pageBreakBefore w:val="0"/>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rPr>
                    <w:t>本项目运营期</w:t>
                  </w:r>
                  <w:r>
                    <w:rPr>
                      <w:rFonts w:hint="eastAsia" w:ascii="Times New Roman" w:hAnsi="Times New Roman" w:eastAsia="宋体" w:cs="Times New Roman"/>
                      <w:color w:val="auto"/>
                      <w:sz w:val="21"/>
                      <w:szCs w:val="21"/>
                      <w:lang w:val="en-US" w:eastAsia="zh-CN"/>
                    </w:rPr>
                    <w:t>按照相关要求</w:t>
                  </w:r>
                  <w:r>
                    <w:rPr>
                      <w:rFonts w:hint="eastAsia" w:ascii="Times New Roman" w:hAnsi="Times New Roman" w:eastAsia="宋体" w:cs="Times New Roman"/>
                      <w:color w:val="auto"/>
                      <w:sz w:val="21"/>
                      <w:szCs w:val="21"/>
                    </w:rPr>
                    <w:t>建立突发环境事件风险评估制度</w:t>
                  </w:r>
                  <w:r>
                    <w:rPr>
                      <w:rFonts w:ascii="Times New Roman" w:hAnsi="Times New Roman" w:eastAsia="宋体" w:cs="Times New Roman"/>
                      <w:color w:val="auto"/>
                      <w:sz w:val="21"/>
                      <w:szCs w:val="21"/>
                    </w:rPr>
                    <w:t>。</w:t>
                  </w:r>
                </w:p>
              </w:tc>
            </w:tr>
            <w:tr w14:paraId="4D25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38365368">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03CC9F67">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ascii="Times New Roman" w:hAnsi="Times New Roman" w:eastAsia="宋体" w:cs="Times New Roman"/>
                      <w:color w:val="auto"/>
                      <w:spacing w:val="10"/>
                      <w:kern w:val="44"/>
                      <w:sz w:val="21"/>
                      <w:szCs w:val="21"/>
                      <w:lang w:val="en-US" w:eastAsia="zh-CN" w:bidi="ar-SA"/>
                    </w:rPr>
                  </w:pPr>
                  <w:r>
                    <w:rPr>
                      <w:rFonts w:ascii="Times New Roman" w:hAnsi="Times New Roman" w:eastAsia="宋体" w:cs="Times New Roman"/>
                      <w:color w:val="auto"/>
                      <w:spacing w:val="10"/>
                      <w:kern w:val="0"/>
                      <w:sz w:val="21"/>
                      <w:szCs w:val="21"/>
                      <w:lang w:val="en-US" w:eastAsia="zh-CN" w:bidi="ar"/>
                    </w:rPr>
                    <w:t>2．选择涉危险品、涉重金属企业、化工园区、集中式饮用水水源地、重点流域等开展突发环境事件风险、环境健康风险调查与评估，实施分类分级风险管控。</w:t>
                  </w:r>
                </w:p>
              </w:tc>
              <w:tc>
                <w:tcPr>
                  <w:tcW w:w="2531" w:type="dxa"/>
                  <w:tcBorders>
                    <w:right w:val="single" w:color="auto" w:sz="4" w:space="0"/>
                  </w:tcBorders>
                  <w:noWrap w:val="0"/>
                  <w:vAlign w:val="center"/>
                </w:tcPr>
                <w:p w14:paraId="241C2720">
                  <w:pPr>
                    <w:keepNext w:val="0"/>
                    <w:keepLines w:val="0"/>
                    <w:pageBreakBefore w:val="0"/>
                    <w:widowControl/>
                    <w:kinsoku/>
                    <w:wordWrap/>
                    <w:overflowPunct/>
                    <w:topLinePunct w:val="0"/>
                    <w:autoSpaceDE/>
                    <w:autoSpaceDN/>
                    <w:bidi w:val="0"/>
                    <w:spacing w:before="63" w:beforeLines="20" w:after="63" w:afterLines="20"/>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lang w:val="en-US" w:eastAsia="zh-CN"/>
                    </w:rPr>
                    <w:t>项目为集装箱堆场及配套专用线建设项目，属于基础设施建设，不涉及危险品、涉重金属企业、化工园区、集中式饮用水水源地、重点流域</w:t>
                  </w:r>
                  <w:r>
                    <w:rPr>
                      <w:rFonts w:ascii="Times New Roman" w:hAnsi="Times New Roman" w:eastAsia="宋体" w:cs="Times New Roman"/>
                      <w:color w:val="auto"/>
                      <w:sz w:val="21"/>
                      <w:szCs w:val="21"/>
                    </w:rPr>
                    <w:t>。</w:t>
                  </w:r>
                </w:p>
              </w:tc>
            </w:tr>
            <w:tr w14:paraId="5159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48275DC9">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339AEDBD">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hint="eastAsia" w:ascii="Times New Roman" w:hAnsi="Times New Roman" w:eastAsia="宋体" w:cs="Times New Roman"/>
                      <w:color w:val="auto"/>
                      <w:spacing w:val="10"/>
                      <w:kern w:val="2"/>
                      <w:sz w:val="21"/>
                      <w:szCs w:val="21"/>
                      <w:lang w:val="en-US" w:eastAsia="zh-CN" w:bidi="ar-SA"/>
                    </w:rPr>
                  </w:pPr>
                  <w:r>
                    <w:rPr>
                      <w:rFonts w:ascii="Times New Roman" w:hAnsi="Times New Roman" w:eastAsia="宋体" w:cs="Times New Roman"/>
                      <w:color w:val="auto"/>
                      <w:spacing w:val="10"/>
                      <w:kern w:val="0"/>
                      <w:sz w:val="21"/>
                      <w:szCs w:val="21"/>
                      <w:lang w:val="en-US" w:eastAsia="zh-CN" w:bidi="ar"/>
                    </w:rPr>
                    <w:t>3．加强陆路、水路、港口码头突发环境事件跨部门跨区域应急联动与合作，提升跨区域环境应急响应联动水平。</w:t>
                  </w:r>
                </w:p>
              </w:tc>
              <w:tc>
                <w:tcPr>
                  <w:tcW w:w="2531" w:type="dxa"/>
                  <w:tcBorders>
                    <w:right w:val="single" w:color="auto" w:sz="4" w:space="0"/>
                  </w:tcBorders>
                  <w:noWrap w:val="0"/>
                  <w:vAlign w:val="center"/>
                </w:tcPr>
                <w:p w14:paraId="205518C2">
                  <w:pPr>
                    <w:keepNext w:val="0"/>
                    <w:keepLines w:val="0"/>
                    <w:pageBreakBefore w:val="0"/>
                    <w:widowControl/>
                    <w:kinsoku/>
                    <w:wordWrap/>
                    <w:overflowPunct/>
                    <w:topLinePunct w:val="0"/>
                    <w:autoSpaceDE/>
                    <w:autoSpaceDN/>
                    <w:bidi w:val="0"/>
                    <w:spacing w:before="63" w:beforeLines="20" w:after="63" w:afterLines="2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符合。项目</w:t>
                  </w:r>
                  <w:r>
                    <w:rPr>
                      <w:rFonts w:ascii="Times New Roman" w:hAnsi="Times New Roman" w:eastAsia="宋体" w:cs="Times New Roman"/>
                      <w:color w:val="auto"/>
                      <w:sz w:val="21"/>
                      <w:szCs w:val="21"/>
                    </w:rPr>
                    <w:t>不涉及</w:t>
                  </w:r>
                  <w:r>
                    <w:rPr>
                      <w:rFonts w:hint="eastAsia" w:ascii="Times New Roman" w:hAnsi="Times New Roman" w:eastAsia="宋体" w:cs="Times New Roman"/>
                      <w:color w:val="auto"/>
                      <w:sz w:val="21"/>
                      <w:szCs w:val="21"/>
                      <w:lang w:val="en-US" w:eastAsia="zh-CN"/>
                    </w:rPr>
                    <w:t>该项</w:t>
                  </w:r>
                  <w:r>
                    <w:rPr>
                      <w:rFonts w:hint="eastAsia" w:ascii="Times New Roman" w:hAnsi="Times New Roman" w:eastAsia="宋体" w:cs="Times New Roman"/>
                      <w:color w:val="auto"/>
                      <w:sz w:val="21"/>
                      <w:szCs w:val="21"/>
                    </w:rPr>
                    <w:t>。</w:t>
                  </w:r>
                </w:p>
              </w:tc>
            </w:tr>
            <w:tr w14:paraId="1FCC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6565EF96">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4041EB68">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hint="eastAsia" w:ascii="Times New Roman" w:hAnsi="Times New Roman" w:eastAsia="宋体" w:cs="Times New Roman"/>
                      <w:color w:val="auto"/>
                      <w:spacing w:val="10"/>
                      <w:kern w:val="44"/>
                      <w:sz w:val="21"/>
                      <w:szCs w:val="21"/>
                      <w:lang w:val="en-US" w:eastAsia="zh-CN" w:bidi="ar-SA"/>
                    </w:rPr>
                  </w:pPr>
                  <w:r>
                    <w:rPr>
                      <w:rFonts w:ascii="Times New Roman" w:hAnsi="Times New Roman" w:eastAsia="宋体" w:cs="Times New Roman"/>
                      <w:color w:val="auto"/>
                      <w:spacing w:val="10"/>
                      <w:kern w:val="0"/>
                      <w:sz w:val="21"/>
                      <w:szCs w:val="21"/>
                      <w:lang w:val="en-US" w:eastAsia="zh-CN" w:bidi="ar"/>
                    </w:rPr>
                    <w:t>4．严格建设项目环境准入，永久基本农田集中区域禁止规划新建可能造成土壤污染的建设项目；新（改、扩）建涉有毒有害物质可能造成土壤污染的建设项目，提出并落实污染防治要求。</w:t>
                  </w:r>
                </w:p>
              </w:tc>
              <w:tc>
                <w:tcPr>
                  <w:tcW w:w="2531" w:type="dxa"/>
                  <w:tcBorders>
                    <w:right w:val="single" w:color="auto" w:sz="4" w:space="0"/>
                  </w:tcBorders>
                  <w:noWrap w:val="0"/>
                  <w:vAlign w:val="center"/>
                </w:tcPr>
                <w:p w14:paraId="2D19572D">
                  <w:pPr>
                    <w:keepNext w:val="0"/>
                    <w:keepLines w:val="0"/>
                    <w:pageBreakBefore w:val="0"/>
                    <w:widowControl/>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lang w:val="en-US" w:eastAsia="zh-CN"/>
                    </w:rPr>
                    <w:t>项目为集装箱堆场及配套专用线建设项目，用地不涉及基本农田，不属于有毒有害物质可能造成土壤污染的建设项目。</w:t>
                  </w:r>
                </w:p>
              </w:tc>
            </w:tr>
            <w:tr w14:paraId="5C46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7AAAFACE">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313D7579">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hint="eastAsia" w:ascii="Times New Roman" w:hAnsi="Times New Roman" w:eastAsia="宋体" w:cs="Times New Roman"/>
                      <w:color w:val="auto"/>
                      <w:spacing w:val="10"/>
                      <w:kern w:val="44"/>
                      <w:sz w:val="21"/>
                      <w:szCs w:val="21"/>
                      <w:lang w:val="en-US" w:eastAsia="zh-CN" w:bidi="ar-SA"/>
                    </w:rPr>
                  </w:pPr>
                  <w:r>
                    <w:rPr>
                      <w:rFonts w:hint="eastAsia" w:ascii="Times New Roman" w:hAnsi="Times New Roman" w:eastAsia="宋体" w:cs="Times New Roman"/>
                      <w:color w:val="auto"/>
                      <w:spacing w:val="10"/>
                      <w:kern w:val="44"/>
                      <w:sz w:val="21"/>
                      <w:szCs w:val="21"/>
                      <w:lang w:val="en-US" w:eastAsia="zh-CN" w:bidi="ar-SA"/>
                    </w:rPr>
                    <w:t>5．严格管控涉海重大工程环境风险，全面排查陆域环境风险源、海上溢油、危险化学品泄漏等环境风险隐患，完善分类分级的海上应急监测及处置预案，在石化基地、危化品储存区等邻近海域部署快速监测能力和应急处置物资设备。</w:t>
                  </w:r>
                </w:p>
              </w:tc>
              <w:tc>
                <w:tcPr>
                  <w:tcW w:w="2531" w:type="dxa"/>
                  <w:tcBorders>
                    <w:right w:val="single" w:color="auto" w:sz="4" w:space="0"/>
                  </w:tcBorders>
                  <w:noWrap w:val="0"/>
                  <w:vAlign w:val="center"/>
                </w:tcPr>
                <w:p w14:paraId="29EB8FE9">
                  <w:pPr>
                    <w:keepNext w:val="0"/>
                    <w:keepLines w:val="0"/>
                    <w:pageBreakBefore w:val="0"/>
                    <w:kinsoku/>
                    <w:wordWrap/>
                    <w:overflowPunct/>
                    <w:topLinePunct w:val="0"/>
                    <w:autoSpaceDE/>
                    <w:autoSpaceDN/>
                    <w:bidi w:val="0"/>
                    <w:spacing w:before="63" w:beforeLines="20" w:after="63" w:afterLines="20"/>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不属于涉海重大工程环境风险项目</w:t>
                  </w:r>
                  <w:r>
                    <w:rPr>
                      <w:rFonts w:ascii="Times New Roman" w:hAnsi="Times New Roman" w:eastAsia="宋体" w:cs="Times New Roman"/>
                      <w:color w:val="auto"/>
                      <w:sz w:val="21"/>
                      <w:szCs w:val="21"/>
                    </w:rPr>
                    <w:t>。</w:t>
                  </w:r>
                </w:p>
              </w:tc>
            </w:tr>
            <w:tr w14:paraId="5DB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524A4D07">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7C600077">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hint="eastAsia" w:ascii="Times New Roman" w:hAnsi="Times New Roman" w:eastAsia="宋体" w:cs="Times New Roman"/>
                      <w:color w:val="auto"/>
                      <w:spacing w:val="10"/>
                      <w:kern w:val="44"/>
                      <w:sz w:val="21"/>
                      <w:szCs w:val="21"/>
                      <w:lang w:val="en-US" w:eastAsia="zh-CN" w:bidi="ar-SA"/>
                    </w:rPr>
                  </w:pPr>
                  <w:r>
                    <w:rPr>
                      <w:rFonts w:hint="eastAsia" w:ascii="Times New Roman" w:hAnsi="Times New Roman" w:eastAsia="宋体" w:cs="Times New Roman"/>
                      <w:color w:val="auto"/>
                      <w:spacing w:val="10"/>
                      <w:kern w:val="0"/>
                      <w:sz w:val="21"/>
                      <w:szCs w:val="21"/>
                      <w:lang w:val="en-US" w:eastAsia="zh-CN" w:bidi="ar"/>
                    </w:rPr>
                    <w:t>6．强化沿海工业园区和沿海石油、石化、化工、冶炼及危化品储运等企业的环境风险防控。</w:t>
                  </w:r>
                </w:p>
              </w:tc>
              <w:tc>
                <w:tcPr>
                  <w:tcW w:w="2531" w:type="dxa"/>
                  <w:tcBorders>
                    <w:right w:val="single" w:color="auto" w:sz="4" w:space="0"/>
                  </w:tcBorders>
                  <w:noWrap w:val="0"/>
                  <w:vAlign w:val="center"/>
                </w:tcPr>
                <w:p w14:paraId="5DBA9FF5">
                  <w:pPr>
                    <w:keepNext w:val="0"/>
                    <w:keepLines w:val="0"/>
                    <w:pageBreakBefore w:val="0"/>
                    <w:widowControl/>
                    <w:kinsoku/>
                    <w:wordWrap/>
                    <w:overflowPunct/>
                    <w:topLinePunct w:val="0"/>
                    <w:autoSpaceDE/>
                    <w:autoSpaceDN/>
                    <w:bidi w:val="0"/>
                    <w:spacing w:before="63" w:beforeLines="20" w:after="63" w:afterLines="20"/>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符合。本项目不</w:t>
                  </w:r>
                  <w:r>
                    <w:rPr>
                      <w:rFonts w:hint="eastAsia" w:ascii="Times New Roman" w:hAnsi="Times New Roman" w:eastAsia="宋体" w:cs="Times New Roman"/>
                      <w:color w:val="auto"/>
                      <w:sz w:val="21"/>
                      <w:szCs w:val="21"/>
                      <w:lang w:val="en-US" w:eastAsia="zh-CN"/>
                    </w:rPr>
                    <w:t>属于石油、石化、化工、冶炼及危化品储运项目</w:t>
                  </w:r>
                  <w:r>
                    <w:rPr>
                      <w:rFonts w:hint="eastAsia" w:ascii="Times New Roman" w:hAnsi="Times New Roman" w:eastAsia="宋体" w:cs="Times New Roman"/>
                      <w:color w:val="auto"/>
                      <w:sz w:val="21"/>
                      <w:szCs w:val="21"/>
                    </w:rPr>
                    <w:t>。</w:t>
                  </w:r>
                </w:p>
              </w:tc>
            </w:tr>
            <w:tr w14:paraId="236E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3CF4BBAC">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6E7BAE89">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hint="eastAsia" w:ascii="Times New Roman" w:hAnsi="Times New Roman" w:eastAsia="宋体" w:cs="Times New Roman"/>
                      <w:color w:val="auto"/>
                      <w:spacing w:val="10"/>
                      <w:kern w:val="44"/>
                      <w:sz w:val="21"/>
                      <w:szCs w:val="21"/>
                      <w:lang w:val="en-US" w:eastAsia="zh-CN" w:bidi="ar-SA"/>
                    </w:rPr>
                  </w:pPr>
                  <w:r>
                    <w:rPr>
                      <w:rFonts w:hint="eastAsia" w:ascii="Times New Roman" w:hAnsi="Times New Roman" w:eastAsia="宋体" w:cs="Times New Roman"/>
                      <w:color w:val="auto"/>
                      <w:spacing w:val="10"/>
                      <w:kern w:val="0"/>
                      <w:sz w:val="21"/>
                      <w:szCs w:val="21"/>
                      <w:lang w:val="en-US" w:eastAsia="zh-CN" w:bidi="ar"/>
                    </w:rPr>
                    <w:t>7．加强赤潮预警识别立体化监控能力的建设，提高赤潮监测预警能力和灾害防治能力。</w:t>
                  </w:r>
                </w:p>
              </w:tc>
              <w:tc>
                <w:tcPr>
                  <w:tcW w:w="2531" w:type="dxa"/>
                  <w:tcBorders>
                    <w:right w:val="single" w:color="auto" w:sz="4" w:space="0"/>
                  </w:tcBorders>
                  <w:noWrap w:val="0"/>
                  <w:vAlign w:val="center"/>
                </w:tcPr>
                <w:p w14:paraId="5032DFBA">
                  <w:pPr>
                    <w:keepNext w:val="0"/>
                    <w:keepLines w:val="0"/>
                    <w:pageBreakBefore w:val="0"/>
                    <w:widowControl/>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ascii="Times New Roman" w:hAnsi="Times New Roman" w:eastAsia="宋体" w:cs="Times New Roman"/>
                      <w:color w:val="auto"/>
                      <w:kern w:val="0"/>
                      <w:sz w:val="21"/>
                      <w:szCs w:val="21"/>
                      <w:lang w:bidi="ar"/>
                    </w:rPr>
                    <w:t>项目</w:t>
                  </w:r>
                  <w:r>
                    <w:rPr>
                      <w:rFonts w:hint="eastAsia" w:ascii="Times New Roman" w:hAnsi="Times New Roman" w:eastAsia="宋体" w:cs="Times New Roman"/>
                      <w:color w:val="auto"/>
                      <w:kern w:val="0"/>
                      <w:sz w:val="21"/>
                      <w:szCs w:val="21"/>
                      <w:lang w:val="en-US" w:eastAsia="zh-CN" w:bidi="ar"/>
                    </w:rPr>
                    <w:t>不涉及。</w:t>
                  </w:r>
                </w:p>
              </w:tc>
            </w:tr>
            <w:tr w14:paraId="3EB3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55234EEC">
                  <w:pPr>
                    <w:pStyle w:val="367"/>
                    <w:keepNext w:val="0"/>
                    <w:keepLines w:val="0"/>
                    <w:pageBreakBefore w:val="0"/>
                    <w:kinsoku/>
                    <w:wordWrap/>
                    <w:overflowPunct/>
                    <w:topLinePunct w:val="0"/>
                    <w:autoSpaceDE/>
                    <w:autoSpaceDN/>
                    <w:bidi w:val="0"/>
                    <w:spacing w:before="63" w:beforeLines="20" w:after="63" w:afterLines="20" w:line="240" w:lineRule="auto"/>
                    <w:rPr>
                      <w:rFonts w:eastAsia="宋体" w:cs="Times New Roman"/>
                      <w:color w:val="auto"/>
                      <w:sz w:val="21"/>
                      <w:szCs w:val="21"/>
                    </w:rPr>
                  </w:pPr>
                </w:p>
              </w:tc>
              <w:tc>
                <w:tcPr>
                  <w:tcW w:w="4770" w:type="dxa"/>
                  <w:noWrap w:val="0"/>
                  <w:vAlign w:val="center"/>
                </w:tcPr>
                <w:p w14:paraId="146EAC52">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hint="eastAsia" w:ascii="Times New Roman" w:hAnsi="Times New Roman" w:eastAsia="宋体" w:cs="Times New Roman"/>
                      <w:color w:val="auto"/>
                      <w:spacing w:val="10"/>
                      <w:kern w:val="0"/>
                      <w:sz w:val="21"/>
                      <w:szCs w:val="21"/>
                      <w:lang w:val="en-US" w:eastAsia="zh-CN" w:bidi="ar"/>
                    </w:rPr>
                  </w:pPr>
                  <w:r>
                    <w:rPr>
                      <w:rFonts w:hint="eastAsia" w:ascii="Times New Roman" w:hAnsi="Times New Roman" w:eastAsia="宋体" w:cs="Times New Roman"/>
                      <w:color w:val="auto"/>
                      <w:spacing w:val="10"/>
                      <w:kern w:val="0"/>
                      <w:sz w:val="21"/>
                      <w:szCs w:val="21"/>
                      <w:lang w:val="en-US" w:eastAsia="zh-CN" w:bidi="ar"/>
                    </w:rPr>
                    <w:t>8．加快制定《防城港市核应急预案》《防城港市核应急执行程序》，完善应急管理体制机制。完善核设施核事故应急预案，加强核与辐射应急预警能力建设，规范突发环境事件应急响应流程，开展突发环境事件联合应急演练。配合自治区制定出台核电厂规划限制区管理办法，在重要核设施周围划定规划限制区，禁止在规划区内建设可能影响核设施安全的易燃、易爆、腐蚀性物品的生产、贮存设施及人员密集场所。</w:t>
                  </w:r>
                </w:p>
              </w:tc>
              <w:tc>
                <w:tcPr>
                  <w:tcW w:w="2531" w:type="dxa"/>
                  <w:tcBorders>
                    <w:right w:val="single" w:color="auto" w:sz="4" w:space="0"/>
                  </w:tcBorders>
                  <w:noWrap w:val="0"/>
                  <w:vAlign w:val="center"/>
                </w:tcPr>
                <w:p w14:paraId="565ABF94">
                  <w:pPr>
                    <w:keepNext w:val="0"/>
                    <w:keepLines w:val="0"/>
                    <w:pageBreakBefore w:val="0"/>
                    <w:widowControl/>
                    <w:kinsoku/>
                    <w:wordWrap/>
                    <w:overflowPunct/>
                    <w:topLinePunct w:val="0"/>
                    <w:autoSpaceDE/>
                    <w:autoSpaceDN/>
                    <w:bidi w:val="0"/>
                    <w:spacing w:before="63" w:beforeLines="20" w:after="63" w:afterLines="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r>
                    <w:rPr>
                      <w:rFonts w:hint="eastAsia"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不涉及</w:t>
                  </w:r>
                  <w:r>
                    <w:rPr>
                      <w:rFonts w:hint="eastAsia" w:ascii="Times New Roman" w:hAnsi="Times New Roman" w:eastAsia="宋体" w:cs="Times New Roman"/>
                      <w:color w:val="auto"/>
                      <w:sz w:val="21"/>
                      <w:szCs w:val="21"/>
                    </w:rPr>
                    <w:t>。</w:t>
                  </w:r>
                </w:p>
              </w:tc>
            </w:tr>
            <w:tr w14:paraId="02B0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restart"/>
                  <w:tcBorders>
                    <w:left w:val="single" w:color="auto" w:sz="4" w:space="0"/>
                  </w:tcBorders>
                  <w:noWrap w:val="0"/>
                  <w:vAlign w:val="center"/>
                </w:tcPr>
                <w:p w14:paraId="56EE206D">
                  <w:pPr>
                    <w:pStyle w:val="367"/>
                    <w:keepNext w:val="0"/>
                    <w:keepLines w:val="0"/>
                    <w:pageBreakBefore w:val="0"/>
                    <w:kinsoku/>
                    <w:wordWrap/>
                    <w:overflowPunct/>
                    <w:topLinePunct w:val="0"/>
                    <w:autoSpaceDE/>
                    <w:autoSpaceDN/>
                    <w:bidi w:val="0"/>
                    <w:spacing w:before="63" w:beforeLines="20" w:after="63" w:afterLines="20" w:line="240" w:lineRule="auto"/>
                    <w:jc w:val="center"/>
                    <w:rPr>
                      <w:rFonts w:eastAsia="宋体" w:cs="Times New Roman"/>
                      <w:color w:val="auto"/>
                      <w:sz w:val="21"/>
                      <w:szCs w:val="21"/>
                    </w:rPr>
                  </w:pPr>
                  <w:r>
                    <w:rPr>
                      <w:rFonts w:eastAsia="宋体" w:cs="Times New Roman"/>
                      <w:color w:val="auto"/>
                      <w:sz w:val="21"/>
                      <w:szCs w:val="21"/>
                    </w:rPr>
                    <w:t>资源开发利用效率要求</w:t>
                  </w:r>
                </w:p>
              </w:tc>
              <w:tc>
                <w:tcPr>
                  <w:tcW w:w="4770" w:type="dxa"/>
                  <w:noWrap w:val="0"/>
                  <w:vAlign w:val="center"/>
                </w:tcPr>
                <w:p w14:paraId="50BF50B8">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ascii="Times New Roman" w:hAnsi="Times New Roman" w:eastAsia="宋体" w:cs="Times New Roman"/>
                      <w:color w:val="auto"/>
                      <w:spacing w:val="10"/>
                      <w:kern w:val="44"/>
                      <w:sz w:val="21"/>
                      <w:szCs w:val="21"/>
                      <w:lang w:val="en-US" w:eastAsia="zh-CN" w:bidi="ar-SA"/>
                    </w:rPr>
                  </w:pPr>
                  <w:r>
                    <w:rPr>
                      <w:rFonts w:ascii="Times New Roman" w:hAnsi="Times New Roman" w:eastAsia="宋体" w:cs="Times New Roman"/>
                      <w:color w:val="auto"/>
                      <w:spacing w:val="10"/>
                      <w:kern w:val="0"/>
                      <w:sz w:val="21"/>
                      <w:szCs w:val="21"/>
                      <w:lang w:val="en-US" w:eastAsia="zh-CN" w:bidi="ar"/>
                    </w:rPr>
                    <w:t>1．能源资源：严格执行能耗</w:t>
                  </w:r>
                  <w:r>
                    <w:rPr>
                      <w:rFonts w:hint="eastAsia" w:ascii="Times New Roman" w:hAnsi="Times New Roman" w:eastAsia="宋体" w:cs="Times New Roman"/>
                      <w:color w:val="auto"/>
                      <w:spacing w:val="10"/>
                      <w:kern w:val="0"/>
                      <w:sz w:val="21"/>
                      <w:szCs w:val="21"/>
                      <w:lang w:val="en-US" w:eastAsia="zh-CN" w:bidi="ar"/>
                    </w:rPr>
                    <w:t>“</w:t>
                  </w:r>
                  <w:r>
                    <w:rPr>
                      <w:rFonts w:ascii="Times New Roman" w:hAnsi="Times New Roman" w:eastAsia="宋体" w:cs="Times New Roman"/>
                      <w:color w:val="auto"/>
                      <w:spacing w:val="10"/>
                      <w:kern w:val="0"/>
                      <w:sz w:val="21"/>
                      <w:szCs w:val="21"/>
                      <w:lang w:val="en-US" w:eastAsia="zh-CN" w:bidi="ar"/>
                    </w:rPr>
                    <w:t>双控</w:t>
                  </w:r>
                  <w:r>
                    <w:rPr>
                      <w:rFonts w:hint="eastAsia" w:ascii="Times New Roman" w:hAnsi="Times New Roman" w:eastAsia="宋体" w:cs="Times New Roman"/>
                      <w:color w:val="auto"/>
                      <w:spacing w:val="10"/>
                      <w:kern w:val="0"/>
                      <w:sz w:val="21"/>
                      <w:szCs w:val="21"/>
                      <w:lang w:val="en-US" w:eastAsia="zh-CN" w:bidi="ar"/>
                    </w:rPr>
                    <w:t>”</w:t>
                  </w:r>
                  <w:r>
                    <w:rPr>
                      <w:rFonts w:ascii="Times New Roman" w:hAnsi="Times New Roman" w:eastAsia="宋体" w:cs="Times New Roman"/>
                      <w:color w:val="auto"/>
                      <w:spacing w:val="10"/>
                      <w:kern w:val="0"/>
                      <w:sz w:val="21"/>
                      <w:szCs w:val="21"/>
                      <w:lang w:val="en-US" w:eastAsia="zh-CN" w:bidi="ar"/>
                    </w:rPr>
                    <w:t>、碳排放强度、碳达峰和碳中和目标要求，落实国家、自治区碳达峰行动方案，降低碳排放强度。推进煤炭消费替代和转型升级，钢铁、有色金属、煤电、建材等重点用煤企业开展节能减排技改，严格控制煤炭能耗强度，倒逼高耗能落后产业转型升级，新增产能必须符合国内先进能效标准。大力发展清洁能源，安全稳妥发展先进核电，推进海上风电项目、光伏电站建设。淘汰每小时10蒸吨及以下燃煤小锅炉，城市建成区原则上不再新建每小时35蒸吨及以下的燃煤锅炉，鼓励对65蒸吨及以上燃煤和生物质锅炉实施超低排放改造；加快以煤、石油焦、渣油、重油等为燃料的工业炉窑燃料清洁替代。</w:t>
                  </w:r>
                </w:p>
              </w:tc>
              <w:tc>
                <w:tcPr>
                  <w:tcW w:w="2531" w:type="dxa"/>
                  <w:tcBorders>
                    <w:right w:val="single" w:color="auto" w:sz="4" w:space="0"/>
                  </w:tcBorders>
                  <w:noWrap w:val="0"/>
                  <w:vAlign w:val="center"/>
                </w:tcPr>
                <w:p w14:paraId="14135D05">
                  <w:pPr>
                    <w:pStyle w:val="367"/>
                    <w:keepNext w:val="0"/>
                    <w:keepLines w:val="0"/>
                    <w:pageBreakBefore w:val="0"/>
                    <w:kinsoku/>
                    <w:wordWrap/>
                    <w:overflowPunct/>
                    <w:topLinePunct w:val="0"/>
                    <w:autoSpaceDE/>
                    <w:autoSpaceDN/>
                    <w:bidi w:val="0"/>
                    <w:spacing w:before="63" w:beforeLines="20" w:after="63" w:afterLines="20" w:line="240" w:lineRule="auto"/>
                    <w:jc w:val="both"/>
                    <w:rPr>
                      <w:rFonts w:eastAsia="宋体" w:cs="Times New Roman"/>
                      <w:color w:val="auto"/>
                      <w:sz w:val="21"/>
                      <w:szCs w:val="21"/>
                    </w:rPr>
                  </w:pPr>
                  <w:r>
                    <w:rPr>
                      <w:rFonts w:eastAsia="宋体" w:cs="Times New Roman"/>
                      <w:color w:val="auto"/>
                      <w:sz w:val="21"/>
                      <w:szCs w:val="21"/>
                    </w:rPr>
                    <w:t>符合。</w:t>
                  </w:r>
                  <w:r>
                    <w:rPr>
                      <w:rFonts w:hint="eastAsia" w:eastAsia="宋体" w:cs="Times New Roman"/>
                      <w:color w:val="auto"/>
                      <w:sz w:val="21"/>
                      <w:szCs w:val="21"/>
                      <w:lang w:val="en-US" w:eastAsia="zh-CN"/>
                    </w:rPr>
                    <w:t>项目为集装箱堆场及配套专用线建设项目</w:t>
                  </w:r>
                  <w:r>
                    <w:rPr>
                      <w:rFonts w:hint="eastAsia" w:cs="Times New Roman"/>
                      <w:color w:val="auto"/>
                      <w:sz w:val="21"/>
                      <w:szCs w:val="21"/>
                      <w:lang w:val="en-US" w:eastAsia="zh-CN"/>
                    </w:rPr>
                    <w:t>，</w:t>
                  </w:r>
                  <w:r>
                    <w:rPr>
                      <w:rFonts w:hint="eastAsia" w:eastAsia="宋体" w:cs="Times New Roman"/>
                      <w:color w:val="auto"/>
                      <w:sz w:val="21"/>
                      <w:szCs w:val="21"/>
                      <w:lang w:val="en-US" w:eastAsia="zh-CN"/>
                    </w:rPr>
                    <w:t>属于基础设施建设，</w:t>
                  </w:r>
                  <w:r>
                    <w:rPr>
                      <w:rFonts w:hint="eastAsia" w:cs="Times New Roman"/>
                      <w:color w:val="auto"/>
                      <w:sz w:val="21"/>
                      <w:szCs w:val="21"/>
                      <w:lang w:val="en-US" w:eastAsia="zh-CN"/>
                    </w:rPr>
                    <w:t>能源利用符合目标要求。不涉及锅炉</w:t>
                  </w:r>
                  <w:r>
                    <w:rPr>
                      <w:rFonts w:eastAsia="宋体" w:cs="Times New Roman"/>
                      <w:color w:val="auto"/>
                      <w:sz w:val="21"/>
                      <w:szCs w:val="21"/>
                    </w:rPr>
                    <w:t>。</w:t>
                  </w:r>
                </w:p>
              </w:tc>
            </w:tr>
            <w:tr w14:paraId="1E4F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011FCCE2">
                  <w:pPr>
                    <w:pStyle w:val="367"/>
                    <w:keepNext w:val="0"/>
                    <w:keepLines w:val="0"/>
                    <w:pageBreakBefore w:val="0"/>
                    <w:kinsoku/>
                    <w:wordWrap/>
                    <w:overflowPunct/>
                    <w:topLinePunct w:val="0"/>
                    <w:autoSpaceDE/>
                    <w:autoSpaceDN/>
                    <w:bidi w:val="0"/>
                    <w:spacing w:before="63" w:beforeLines="20" w:after="63" w:afterLines="20" w:line="240" w:lineRule="auto"/>
                    <w:jc w:val="left"/>
                    <w:rPr>
                      <w:rFonts w:eastAsia="宋体" w:cs="Times New Roman"/>
                      <w:color w:val="auto"/>
                      <w:sz w:val="21"/>
                      <w:szCs w:val="21"/>
                    </w:rPr>
                  </w:pPr>
                </w:p>
              </w:tc>
              <w:tc>
                <w:tcPr>
                  <w:tcW w:w="4770" w:type="dxa"/>
                  <w:noWrap w:val="0"/>
                  <w:vAlign w:val="center"/>
                </w:tcPr>
                <w:p w14:paraId="23B3FCA7">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ascii="Times New Roman" w:hAnsi="Times New Roman" w:eastAsia="宋体" w:cs="Times New Roman"/>
                      <w:color w:val="auto"/>
                      <w:spacing w:val="10"/>
                      <w:kern w:val="44"/>
                      <w:sz w:val="21"/>
                      <w:szCs w:val="21"/>
                      <w:lang w:val="en-US" w:eastAsia="zh-CN" w:bidi="ar-SA"/>
                    </w:rPr>
                  </w:pPr>
                  <w:r>
                    <w:rPr>
                      <w:rFonts w:ascii="Times New Roman" w:hAnsi="Times New Roman" w:eastAsia="宋体" w:cs="Times New Roman"/>
                      <w:color w:val="auto"/>
                      <w:spacing w:val="10"/>
                      <w:kern w:val="0"/>
                      <w:sz w:val="21"/>
                      <w:szCs w:val="21"/>
                      <w:lang w:val="en-US" w:eastAsia="zh-CN" w:bidi="ar"/>
                    </w:rPr>
                    <w:t>2．土地资源：严格执行自治区下达的土地资源利用总量及效率管控指标要求。突出节约集约用海原则，合理控制规模，优化空间布局，提高海域空间资源的整体使用效能。</w:t>
                  </w:r>
                </w:p>
              </w:tc>
              <w:tc>
                <w:tcPr>
                  <w:tcW w:w="2531" w:type="dxa"/>
                  <w:tcBorders>
                    <w:right w:val="single" w:color="auto" w:sz="4" w:space="0"/>
                  </w:tcBorders>
                  <w:noWrap w:val="0"/>
                  <w:vAlign w:val="center"/>
                </w:tcPr>
                <w:p w14:paraId="026833CC">
                  <w:pPr>
                    <w:pStyle w:val="367"/>
                    <w:keepNext w:val="0"/>
                    <w:keepLines w:val="0"/>
                    <w:pageBreakBefore w:val="0"/>
                    <w:kinsoku/>
                    <w:wordWrap/>
                    <w:overflowPunct/>
                    <w:topLinePunct w:val="0"/>
                    <w:autoSpaceDE/>
                    <w:autoSpaceDN/>
                    <w:bidi w:val="0"/>
                    <w:spacing w:before="63" w:beforeLines="20" w:after="63" w:afterLines="20" w:line="240" w:lineRule="auto"/>
                    <w:jc w:val="both"/>
                    <w:rPr>
                      <w:rFonts w:eastAsia="宋体" w:cs="Times New Roman"/>
                      <w:color w:val="auto"/>
                      <w:sz w:val="21"/>
                      <w:szCs w:val="21"/>
                    </w:rPr>
                  </w:pPr>
                  <w:r>
                    <w:rPr>
                      <w:rFonts w:eastAsia="宋体" w:cs="Times New Roman"/>
                      <w:color w:val="auto"/>
                      <w:sz w:val="21"/>
                      <w:szCs w:val="21"/>
                    </w:rPr>
                    <w:t>符合。</w:t>
                  </w:r>
                  <w:r>
                    <w:rPr>
                      <w:rFonts w:hint="eastAsia" w:cs="Times New Roman"/>
                      <w:color w:val="auto"/>
                      <w:sz w:val="21"/>
                      <w:szCs w:val="21"/>
                      <w:lang w:val="en-US" w:eastAsia="zh-CN"/>
                    </w:rPr>
                    <w:t>项目用地为防城港企沙铁路支线云约站用地空置部分，该用地于2013年12月27日取得《关于办理防城港企沙铁路支线云约站选址意见的复函》</w:t>
                  </w:r>
                  <w:r>
                    <w:rPr>
                      <w:rFonts w:hint="eastAsia" w:eastAsia="宋体" w:cs="Times New Roman"/>
                      <w:color w:val="auto"/>
                      <w:sz w:val="21"/>
                      <w:szCs w:val="21"/>
                    </w:rPr>
                    <w:t>。</w:t>
                  </w:r>
                </w:p>
              </w:tc>
            </w:tr>
            <w:tr w14:paraId="7D0B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33FF578F">
                  <w:pPr>
                    <w:pStyle w:val="367"/>
                    <w:keepNext w:val="0"/>
                    <w:keepLines w:val="0"/>
                    <w:pageBreakBefore w:val="0"/>
                    <w:kinsoku/>
                    <w:wordWrap/>
                    <w:overflowPunct/>
                    <w:topLinePunct w:val="0"/>
                    <w:autoSpaceDE/>
                    <w:autoSpaceDN/>
                    <w:bidi w:val="0"/>
                    <w:spacing w:before="63" w:beforeLines="20" w:after="63" w:afterLines="20" w:line="240" w:lineRule="auto"/>
                    <w:jc w:val="left"/>
                    <w:rPr>
                      <w:rFonts w:eastAsia="宋体" w:cs="Times New Roman"/>
                      <w:color w:val="auto"/>
                      <w:sz w:val="21"/>
                      <w:szCs w:val="21"/>
                    </w:rPr>
                  </w:pPr>
                </w:p>
              </w:tc>
              <w:tc>
                <w:tcPr>
                  <w:tcW w:w="4770" w:type="dxa"/>
                  <w:noWrap w:val="0"/>
                  <w:vAlign w:val="center"/>
                </w:tcPr>
                <w:p w14:paraId="0A7E3941">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ascii="Times New Roman" w:hAnsi="Times New Roman" w:eastAsia="宋体" w:cs="Times New Roman"/>
                      <w:color w:val="auto"/>
                      <w:spacing w:val="10"/>
                      <w:kern w:val="44"/>
                      <w:sz w:val="21"/>
                      <w:szCs w:val="21"/>
                      <w:lang w:val="en-US" w:eastAsia="zh-CN" w:bidi="ar-SA"/>
                    </w:rPr>
                  </w:pPr>
                  <w:r>
                    <w:rPr>
                      <w:rFonts w:eastAsia="宋体"/>
                      <w:color w:val="auto"/>
                      <w:sz w:val="21"/>
                      <w:szCs w:val="21"/>
                      <w:highlight w:val="none"/>
                      <w:u w:val="none"/>
                    </w:rPr>
                    <w:t>3</w:t>
                  </w:r>
                  <w:r>
                    <w:rPr>
                      <w:rFonts w:hAnsi="Times New Roman" w:eastAsia="宋体"/>
                      <w:color w:val="auto"/>
                      <w:sz w:val="21"/>
                      <w:szCs w:val="21"/>
                      <w:highlight w:val="none"/>
                      <w:u w:val="none"/>
                    </w:rPr>
                    <w:t>．水资源：实行水资源消耗总量和强度双控。强化节水约束性指标管理，严格落实水资源开发利用总量、用水效率和水功能区限制纳污总量</w:t>
                  </w:r>
                  <w:r>
                    <w:rPr>
                      <w:rFonts w:hint="eastAsia"/>
                      <w:color w:val="auto"/>
                      <w:sz w:val="21"/>
                      <w:szCs w:val="21"/>
                      <w:highlight w:val="none"/>
                      <w:u w:val="none"/>
                      <w:lang w:eastAsia="zh-CN"/>
                    </w:rPr>
                    <w:t>“</w:t>
                  </w:r>
                  <w:r>
                    <w:rPr>
                      <w:rFonts w:hAnsi="Times New Roman" w:eastAsia="宋体"/>
                      <w:color w:val="auto"/>
                      <w:sz w:val="21"/>
                      <w:szCs w:val="21"/>
                      <w:highlight w:val="none"/>
                      <w:u w:val="none"/>
                    </w:rPr>
                    <w:t>三条红线</w:t>
                  </w:r>
                  <w:r>
                    <w:rPr>
                      <w:rFonts w:hint="eastAsia"/>
                      <w:color w:val="auto"/>
                      <w:sz w:val="21"/>
                      <w:szCs w:val="21"/>
                      <w:highlight w:val="none"/>
                      <w:u w:val="none"/>
                      <w:lang w:eastAsia="zh-CN"/>
                    </w:rPr>
                    <w:t>”</w:t>
                  </w:r>
                  <w:r>
                    <w:rPr>
                      <w:rFonts w:hAnsi="Times New Roman" w:eastAsia="宋体"/>
                      <w:color w:val="auto"/>
                      <w:sz w:val="21"/>
                      <w:szCs w:val="21"/>
                      <w:highlight w:val="none"/>
                      <w:u w:val="none"/>
                    </w:rPr>
                    <w:t>。严格用水总量指标管理，健全市、县（区、市）行政区域的用水总量控制指标体系，统筹生活、生产、生态用水，大力推进农业、工业、城镇等领域节水。严格按照地下水开发利用控制目标控制地下水资源开采。</w:t>
                  </w:r>
                </w:p>
              </w:tc>
              <w:tc>
                <w:tcPr>
                  <w:tcW w:w="2531" w:type="dxa"/>
                  <w:tcBorders>
                    <w:right w:val="single" w:color="auto" w:sz="4" w:space="0"/>
                  </w:tcBorders>
                  <w:noWrap w:val="0"/>
                  <w:vAlign w:val="center"/>
                </w:tcPr>
                <w:p w14:paraId="733A96F8">
                  <w:pPr>
                    <w:pStyle w:val="367"/>
                    <w:keepNext w:val="0"/>
                    <w:keepLines w:val="0"/>
                    <w:pageBreakBefore w:val="0"/>
                    <w:kinsoku/>
                    <w:wordWrap/>
                    <w:overflowPunct/>
                    <w:topLinePunct w:val="0"/>
                    <w:autoSpaceDE/>
                    <w:autoSpaceDN/>
                    <w:bidi w:val="0"/>
                    <w:spacing w:before="63" w:beforeLines="20" w:after="63" w:afterLines="20" w:line="240" w:lineRule="auto"/>
                    <w:jc w:val="both"/>
                    <w:rPr>
                      <w:rFonts w:eastAsia="宋体" w:cs="Times New Roman"/>
                      <w:color w:val="auto"/>
                      <w:sz w:val="21"/>
                      <w:szCs w:val="21"/>
                    </w:rPr>
                  </w:pPr>
                  <w:r>
                    <w:rPr>
                      <w:rFonts w:eastAsia="宋体" w:cs="Times New Roman"/>
                      <w:color w:val="auto"/>
                      <w:sz w:val="21"/>
                      <w:szCs w:val="21"/>
                    </w:rPr>
                    <w:t>符合。本项目</w:t>
                  </w:r>
                  <w:r>
                    <w:rPr>
                      <w:rFonts w:hint="eastAsia" w:cs="Times New Roman"/>
                      <w:color w:val="auto"/>
                      <w:sz w:val="21"/>
                      <w:szCs w:val="21"/>
                      <w:lang w:val="en-US" w:eastAsia="zh-CN"/>
                    </w:rPr>
                    <w:t>运营期用水主要为生活用水，用水量较少</w:t>
                  </w:r>
                  <w:r>
                    <w:rPr>
                      <w:rFonts w:eastAsia="宋体" w:cs="Times New Roman"/>
                      <w:color w:val="auto"/>
                      <w:sz w:val="21"/>
                      <w:szCs w:val="21"/>
                    </w:rPr>
                    <w:t>。</w:t>
                  </w:r>
                </w:p>
              </w:tc>
            </w:tr>
            <w:tr w14:paraId="7C7A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tcBorders>
                  <w:noWrap w:val="0"/>
                  <w:vAlign w:val="center"/>
                </w:tcPr>
                <w:p w14:paraId="4CBC0B1A">
                  <w:pPr>
                    <w:pStyle w:val="367"/>
                    <w:keepNext w:val="0"/>
                    <w:keepLines w:val="0"/>
                    <w:pageBreakBefore w:val="0"/>
                    <w:kinsoku/>
                    <w:wordWrap/>
                    <w:overflowPunct/>
                    <w:topLinePunct w:val="0"/>
                    <w:autoSpaceDE/>
                    <w:autoSpaceDN/>
                    <w:bidi w:val="0"/>
                    <w:spacing w:before="63" w:beforeLines="20" w:after="63" w:afterLines="20" w:line="240" w:lineRule="auto"/>
                    <w:jc w:val="left"/>
                    <w:rPr>
                      <w:rFonts w:eastAsia="宋体" w:cs="Times New Roman"/>
                      <w:color w:val="auto"/>
                      <w:sz w:val="21"/>
                      <w:szCs w:val="21"/>
                    </w:rPr>
                  </w:pPr>
                </w:p>
              </w:tc>
              <w:tc>
                <w:tcPr>
                  <w:tcW w:w="4770" w:type="dxa"/>
                  <w:noWrap w:val="0"/>
                  <w:vAlign w:val="center"/>
                </w:tcPr>
                <w:p w14:paraId="1161D1FD">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ascii="Times New Roman" w:hAnsi="Times New Roman" w:eastAsia="宋体" w:cs="Times New Roman"/>
                      <w:color w:val="auto"/>
                      <w:spacing w:val="10"/>
                      <w:kern w:val="44"/>
                      <w:sz w:val="21"/>
                      <w:szCs w:val="21"/>
                      <w:lang w:val="en-US" w:eastAsia="zh-CN" w:bidi="ar-SA"/>
                    </w:rPr>
                  </w:pPr>
                  <w:r>
                    <w:rPr>
                      <w:rFonts w:ascii="Times New Roman" w:hAnsi="Times New Roman" w:eastAsia="宋体" w:cs="Times New Roman"/>
                      <w:color w:val="auto"/>
                      <w:spacing w:val="10"/>
                      <w:kern w:val="0"/>
                      <w:sz w:val="21"/>
                      <w:szCs w:val="21"/>
                      <w:lang w:val="en-US" w:eastAsia="zh-CN" w:bidi="ar"/>
                    </w:rPr>
                    <w:t>4．矿产资源：严格执行自治区、市、县矿产资源总体规划中关于矿产资源开发管控和矿产资源高效利用的目标要求。着力提高资源开发利用效率和水平，加快发展绿色矿业；严格控制海岸线的开发建设、海砂开采活动，加强海岸沙滩保护和矿产开发监管。</w:t>
                  </w:r>
                </w:p>
              </w:tc>
              <w:tc>
                <w:tcPr>
                  <w:tcW w:w="2531" w:type="dxa"/>
                  <w:tcBorders>
                    <w:right w:val="single" w:color="auto" w:sz="4" w:space="0"/>
                  </w:tcBorders>
                  <w:noWrap w:val="0"/>
                  <w:vAlign w:val="center"/>
                </w:tcPr>
                <w:p w14:paraId="2F701E53">
                  <w:pPr>
                    <w:pStyle w:val="367"/>
                    <w:keepNext w:val="0"/>
                    <w:keepLines w:val="0"/>
                    <w:pageBreakBefore w:val="0"/>
                    <w:kinsoku/>
                    <w:wordWrap/>
                    <w:overflowPunct/>
                    <w:topLinePunct w:val="0"/>
                    <w:autoSpaceDE/>
                    <w:autoSpaceDN/>
                    <w:bidi w:val="0"/>
                    <w:spacing w:before="63" w:beforeLines="20" w:after="63" w:afterLines="20" w:line="240" w:lineRule="auto"/>
                    <w:jc w:val="both"/>
                    <w:rPr>
                      <w:rFonts w:eastAsia="宋体" w:cs="Times New Roman"/>
                      <w:color w:val="auto"/>
                      <w:sz w:val="21"/>
                      <w:szCs w:val="21"/>
                    </w:rPr>
                  </w:pPr>
                  <w:r>
                    <w:rPr>
                      <w:rFonts w:eastAsia="宋体" w:cs="Times New Roman"/>
                      <w:color w:val="auto"/>
                      <w:sz w:val="21"/>
                      <w:szCs w:val="21"/>
                    </w:rPr>
                    <w:t>符合。本项目</w:t>
                  </w:r>
                  <w:r>
                    <w:rPr>
                      <w:rFonts w:hint="eastAsia" w:eastAsia="宋体" w:cs="Times New Roman"/>
                      <w:color w:val="auto"/>
                      <w:sz w:val="21"/>
                      <w:szCs w:val="21"/>
                    </w:rPr>
                    <w:t>不涉及</w:t>
                  </w:r>
                  <w:r>
                    <w:rPr>
                      <w:rFonts w:hint="eastAsia" w:cs="Times New Roman"/>
                      <w:color w:val="auto"/>
                      <w:sz w:val="21"/>
                      <w:szCs w:val="21"/>
                      <w:lang w:val="en-US" w:eastAsia="zh-CN"/>
                    </w:rPr>
                    <w:t>矿产资源开发</w:t>
                  </w:r>
                  <w:r>
                    <w:rPr>
                      <w:rFonts w:eastAsia="宋体" w:cs="Times New Roman"/>
                      <w:color w:val="auto"/>
                      <w:sz w:val="21"/>
                      <w:szCs w:val="21"/>
                    </w:rPr>
                    <w:t>。</w:t>
                  </w:r>
                </w:p>
              </w:tc>
            </w:tr>
            <w:tr w14:paraId="3A91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98" w:type="dxa"/>
                  <w:vMerge w:val="continue"/>
                  <w:tcBorders>
                    <w:left w:val="single" w:color="auto" w:sz="4" w:space="0"/>
                    <w:bottom w:val="single" w:color="auto" w:sz="4" w:space="0"/>
                  </w:tcBorders>
                  <w:noWrap w:val="0"/>
                  <w:vAlign w:val="center"/>
                </w:tcPr>
                <w:p w14:paraId="3BB190BF">
                  <w:pPr>
                    <w:pStyle w:val="367"/>
                    <w:keepNext w:val="0"/>
                    <w:keepLines w:val="0"/>
                    <w:pageBreakBefore w:val="0"/>
                    <w:kinsoku/>
                    <w:wordWrap/>
                    <w:overflowPunct/>
                    <w:topLinePunct w:val="0"/>
                    <w:autoSpaceDE/>
                    <w:autoSpaceDN/>
                    <w:bidi w:val="0"/>
                    <w:spacing w:before="63" w:beforeLines="20" w:after="63" w:afterLines="20" w:line="240" w:lineRule="auto"/>
                    <w:jc w:val="left"/>
                    <w:rPr>
                      <w:rFonts w:eastAsia="宋体" w:cs="Times New Roman"/>
                      <w:color w:val="auto"/>
                      <w:sz w:val="21"/>
                      <w:szCs w:val="21"/>
                    </w:rPr>
                  </w:pPr>
                </w:p>
              </w:tc>
              <w:tc>
                <w:tcPr>
                  <w:tcW w:w="4770" w:type="dxa"/>
                  <w:tcBorders>
                    <w:bottom w:val="single" w:color="auto" w:sz="4" w:space="0"/>
                  </w:tcBorders>
                  <w:noWrap w:val="0"/>
                  <w:vAlign w:val="center"/>
                </w:tcPr>
                <w:p w14:paraId="741F33BB">
                  <w:pPr>
                    <w:keepNext w:val="0"/>
                    <w:keepLines w:val="0"/>
                    <w:pageBreakBefore w:val="0"/>
                    <w:widowControl w:val="0"/>
                    <w:kinsoku/>
                    <w:wordWrap/>
                    <w:overflowPunct/>
                    <w:topLinePunct w:val="0"/>
                    <w:autoSpaceDE/>
                    <w:autoSpaceDN/>
                    <w:bidi w:val="0"/>
                    <w:spacing w:before="63" w:beforeLines="20" w:after="63" w:afterLines="20" w:line="240" w:lineRule="auto"/>
                    <w:ind w:firstLine="0" w:firstLineChars="0"/>
                    <w:jc w:val="center"/>
                    <w:rPr>
                      <w:rFonts w:ascii="Times New Roman" w:hAnsi="Times New Roman" w:eastAsia="宋体" w:cs="Times New Roman"/>
                      <w:color w:val="auto"/>
                      <w:spacing w:val="10"/>
                      <w:kern w:val="44"/>
                      <w:sz w:val="21"/>
                      <w:szCs w:val="21"/>
                      <w:lang w:val="en-US" w:eastAsia="zh-CN" w:bidi="ar-SA"/>
                    </w:rPr>
                  </w:pPr>
                  <w:r>
                    <w:rPr>
                      <w:rFonts w:ascii="Times New Roman" w:hAnsi="Times New Roman" w:eastAsia="宋体" w:cs="Times New Roman"/>
                      <w:color w:val="auto"/>
                      <w:spacing w:val="10"/>
                      <w:kern w:val="0"/>
                      <w:sz w:val="21"/>
                      <w:szCs w:val="21"/>
                      <w:lang w:val="en-US" w:eastAsia="zh-CN" w:bidi="ar"/>
                    </w:rPr>
                    <w:t>5．岸线资源：涉及岸线开发的工业区和港区，应严格按照相关规划实施，控制占用岸线长度，提高岸线利用效率，加强污染防治，自然岸线保有率不得低于市生态保护红线管控标准。建设海岸生态隔离带；有效保护自然岸线和典型海洋生态系统，提高海洋生态服务功能，增强海洋碳汇功能。合理控制滨海旅游开发强度，科学有序发展海洋生态旅游。</w:t>
                  </w:r>
                </w:p>
              </w:tc>
              <w:tc>
                <w:tcPr>
                  <w:tcW w:w="2531" w:type="dxa"/>
                  <w:tcBorders>
                    <w:bottom w:val="single" w:color="auto" w:sz="4" w:space="0"/>
                    <w:right w:val="single" w:color="auto" w:sz="4" w:space="0"/>
                  </w:tcBorders>
                  <w:noWrap w:val="0"/>
                  <w:vAlign w:val="center"/>
                </w:tcPr>
                <w:p w14:paraId="21518300">
                  <w:pPr>
                    <w:pStyle w:val="367"/>
                    <w:keepNext w:val="0"/>
                    <w:keepLines w:val="0"/>
                    <w:pageBreakBefore w:val="0"/>
                    <w:kinsoku/>
                    <w:wordWrap/>
                    <w:overflowPunct/>
                    <w:topLinePunct w:val="0"/>
                    <w:autoSpaceDE/>
                    <w:autoSpaceDN/>
                    <w:bidi w:val="0"/>
                    <w:spacing w:before="63" w:beforeLines="20" w:after="63" w:afterLines="20" w:line="240" w:lineRule="auto"/>
                    <w:jc w:val="both"/>
                    <w:rPr>
                      <w:rFonts w:eastAsia="宋体" w:cs="Times New Roman"/>
                      <w:color w:val="auto"/>
                      <w:sz w:val="21"/>
                      <w:szCs w:val="21"/>
                    </w:rPr>
                  </w:pPr>
                  <w:r>
                    <w:rPr>
                      <w:rFonts w:eastAsia="宋体" w:cs="Times New Roman"/>
                      <w:color w:val="auto"/>
                      <w:sz w:val="21"/>
                      <w:szCs w:val="21"/>
                    </w:rPr>
                    <w:t>符合。本项目</w:t>
                  </w:r>
                  <w:r>
                    <w:rPr>
                      <w:rFonts w:hint="eastAsia" w:cs="Times New Roman"/>
                      <w:color w:val="auto"/>
                      <w:sz w:val="21"/>
                      <w:szCs w:val="21"/>
                      <w:lang w:val="en-US" w:eastAsia="zh-CN"/>
                    </w:rPr>
                    <w:t>不涉及岸线开发</w:t>
                  </w:r>
                  <w:r>
                    <w:rPr>
                      <w:rFonts w:eastAsia="宋体" w:cs="Times New Roman"/>
                      <w:color w:val="auto"/>
                      <w:sz w:val="21"/>
                      <w:szCs w:val="21"/>
                    </w:rPr>
                    <w:t>。</w:t>
                  </w:r>
                </w:p>
              </w:tc>
            </w:tr>
          </w:tbl>
          <w:p w14:paraId="12B27414">
            <w:pPr>
              <w:keepNext w:val="0"/>
              <w:keepLines w:val="0"/>
              <w:pageBreakBefore w:val="0"/>
              <w:widowControl/>
              <w:kinsoku/>
              <w:wordWrap/>
              <w:overflowPunct/>
              <w:topLinePunct w:val="0"/>
              <w:autoSpaceDE/>
              <w:autoSpaceDN/>
              <w:bidi w:val="0"/>
              <w:adjustRightInd w:val="0"/>
              <w:snapToGrid w:val="0"/>
              <w:spacing w:before="157" w:beforeLines="50" w:line="240" w:lineRule="auto"/>
              <w:jc w:val="center"/>
              <w:textAlignment w:val="auto"/>
              <w:rPr>
                <w:b/>
                <w:bCs/>
                <w:snapToGrid w:val="0"/>
                <w:color w:val="auto"/>
                <w:kern w:val="0"/>
                <w:szCs w:val="21"/>
              </w:rPr>
            </w:pPr>
            <w:r>
              <w:rPr>
                <w:rFonts w:hint="eastAsia"/>
                <w:b/>
                <w:bCs/>
                <w:snapToGrid w:val="0"/>
                <w:color w:val="auto"/>
                <w:kern w:val="0"/>
                <w:sz w:val="24"/>
                <w:szCs w:val="24"/>
              </w:rPr>
              <w:t>表1-</w:t>
            </w:r>
            <w:r>
              <w:rPr>
                <w:b/>
                <w:bCs/>
                <w:snapToGrid w:val="0"/>
                <w:color w:val="auto"/>
                <w:kern w:val="0"/>
                <w:sz w:val="24"/>
                <w:szCs w:val="24"/>
              </w:rPr>
              <w:t xml:space="preserve"> </w:t>
            </w:r>
            <w:r>
              <w:rPr>
                <w:rFonts w:hint="eastAsia"/>
                <w:b/>
                <w:bCs/>
                <w:snapToGrid w:val="0"/>
                <w:color w:val="auto"/>
                <w:kern w:val="0"/>
                <w:sz w:val="24"/>
                <w:szCs w:val="24"/>
                <w:lang w:val="en-US" w:eastAsia="zh-CN"/>
              </w:rPr>
              <w:t xml:space="preserve">3 </w:t>
            </w:r>
            <w:r>
              <w:rPr>
                <w:rFonts w:hint="eastAsia"/>
                <w:b/>
                <w:bCs/>
                <w:snapToGrid w:val="0"/>
                <w:color w:val="auto"/>
                <w:kern w:val="0"/>
                <w:sz w:val="24"/>
                <w:szCs w:val="24"/>
              </w:rPr>
              <w:t>项目与</w:t>
            </w:r>
            <w:r>
              <w:rPr>
                <w:rFonts w:hint="eastAsia"/>
                <w:b/>
                <w:bCs/>
                <w:snapToGrid w:val="0"/>
                <w:color w:val="auto"/>
                <w:kern w:val="0"/>
                <w:sz w:val="24"/>
                <w:szCs w:val="24"/>
                <w:lang w:val="en-US" w:eastAsia="zh-CN"/>
              </w:rPr>
              <w:t>涉及管控单元</w:t>
            </w:r>
            <w:r>
              <w:rPr>
                <w:rFonts w:hint="eastAsia"/>
                <w:b/>
                <w:bCs/>
                <w:snapToGrid w:val="0"/>
                <w:color w:val="auto"/>
                <w:kern w:val="0"/>
                <w:sz w:val="24"/>
                <w:szCs w:val="24"/>
              </w:rPr>
              <w:t>生态环境准入及管控要求符合性分析</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900"/>
              <w:gridCol w:w="667"/>
              <w:gridCol w:w="2983"/>
              <w:gridCol w:w="1814"/>
              <w:gridCol w:w="495"/>
            </w:tblGrid>
            <w:tr w14:paraId="2D6C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pct"/>
                  <w:vAlign w:val="center"/>
                </w:tcPr>
                <w:p w14:paraId="1CED49D0">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rPr>
                      <w:b/>
                      <w:bCs/>
                      <w:snapToGrid w:val="0"/>
                      <w:color w:val="auto"/>
                      <w:kern w:val="0"/>
                      <w:szCs w:val="21"/>
                    </w:rPr>
                  </w:pPr>
                  <w:r>
                    <w:rPr>
                      <w:rFonts w:hint="eastAsia" w:ascii="Times New Roman" w:hAnsi="Times New Roman" w:eastAsia="宋体" w:cs="Times New Roman"/>
                      <w:b/>
                      <w:bCs/>
                      <w:color w:val="auto"/>
                      <w:kern w:val="0"/>
                      <w:sz w:val="21"/>
                      <w:szCs w:val="20"/>
                      <w:lang w:val="en-US" w:eastAsia="zh-CN" w:bidi="ar-SA"/>
                    </w:rPr>
                    <w:t>环境管控单元名称</w:t>
                  </w:r>
                </w:p>
              </w:tc>
              <w:tc>
                <w:tcPr>
                  <w:tcW w:w="564" w:type="pct"/>
                  <w:vAlign w:val="center"/>
                </w:tcPr>
                <w:p w14:paraId="05D5ABC6">
                  <w:pPr>
                    <w:keepNext w:val="0"/>
                    <w:keepLines w:val="0"/>
                    <w:pageBreakBefore w:val="0"/>
                    <w:widowControl w:val="0"/>
                    <w:kinsoku/>
                    <w:wordWrap/>
                    <w:overflowPunct/>
                    <w:topLinePunct w:val="0"/>
                    <w:autoSpaceDE/>
                    <w:autoSpaceDN/>
                    <w:bidi w:val="0"/>
                    <w:adjustRightInd/>
                    <w:snapToGrid/>
                    <w:spacing w:before="63" w:beforeLines="20" w:after="63" w:afterLines="20" w:line="240" w:lineRule="auto"/>
                    <w:ind w:firstLine="0" w:firstLineChars="0"/>
                    <w:jc w:val="center"/>
                    <w:rPr>
                      <w:b/>
                      <w:bCs/>
                      <w:snapToGrid w:val="0"/>
                      <w:color w:val="auto"/>
                      <w:kern w:val="0"/>
                      <w:szCs w:val="21"/>
                    </w:rPr>
                  </w:pPr>
                  <w:r>
                    <w:rPr>
                      <w:rFonts w:hint="eastAsia" w:ascii="Times New Roman" w:hAnsi="Times New Roman" w:eastAsia="宋体" w:cs="Times New Roman"/>
                      <w:b/>
                      <w:bCs/>
                      <w:color w:val="auto"/>
                      <w:kern w:val="0"/>
                      <w:sz w:val="21"/>
                      <w:szCs w:val="20"/>
                      <w:lang w:val="en-US" w:eastAsia="zh-CN" w:bidi="ar-SA"/>
                    </w:rPr>
                    <w:t>管控单元类别</w:t>
                  </w:r>
                </w:p>
              </w:tc>
              <w:tc>
                <w:tcPr>
                  <w:tcW w:w="2289" w:type="pct"/>
                  <w:gridSpan w:val="2"/>
                  <w:vAlign w:val="center"/>
                </w:tcPr>
                <w:p w14:paraId="43222766">
                  <w:pPr>
                    <w:adjustRightInd w:val="0"/>
                    <w:snapToGrid w:val="0"/>
                    <w:jc w:val="center"/>
                    <w:rPr>
                      <w:b/>
                      <w:bCs/>
                      <w:snapToGrid w:val="0"/>
                      <w:color w:val="auto"/>
                      <w:kern w:val="0"/>
                      <w:szCs w:val="21"/>
                    </w:rPr>
                  </w:pPr>
                  <w:r>
                    <w:rPr>
                      <w:b/>
                      <w:bCs/>
                      <w:snapToGrid w:val="0"/>
                      <w:color w:val="auto"/>
                      <w:kern w:val="0"/>
                      <w:szCs w:val="21"/>
                    </w:rPr>
                    <w:t>生态环境准入清单要求</w:t>
                  </w:r>
                </w:p>
              </w:tc>
              <w:tc>
                <w:tcPr>
                  <w:tcW w:w="1137" w:type="pct"/>
                  <w:vAlign w:val="center"/>
                </w:tcPr>
                <w:p w14:paraId="2B417201">
                  <w:pPr>
                    <w:adjustRightInd w:val="0"/>
                    <w:snapToGrid w:val="0"/>
                    <w:jc w:val="center"/>
                    <w:rPr>
                      <w:b/>
                      <w:bCs/>
                      <w:snapToGrid w:val="0"/>
                      <w:color w:val="auto"/>
                      <w:kern w:val="0"/>
                      <w:szCs w:val="21"/>
                    </w:rPr>
                  </w:pPr>
                  <w:r>
                    <w:rPr>
                      <w:b/>
                      <w:bCs/>
                      <w:snapToGrid w:val="0"/>
                      <w:color w:val="auto"/>
                      <w:kern w:val="0"/>
                      <w:szCs w:val="21"/>
                    </w:rPr>
                    <w:t>项目情况</w:t>
                  </w:r>
                </w:p>
              </w:tc>
              <w:tc>
                <w:tcPr>
                  <w:tcW w:w="310" w:type="pct"/>
                  <w:vAlign w:val="center"/>
                </w:tcPr>
                <w:p w14:paraId="6CB830ED">
                  <w:pPr>
                    <w:adjustRightInd w:val="0"/>
                    <w:snapToGrid w:val="0"/>
                    <w:jc w:val="center"/>
                    <w:rPr>
                      <w:b/>
                      <w:bCs/>
                      <w:snapToGrid w:val="0"/>
                      <w:color w:val="auto"/>
                      <w:kern w:val="0"/>
                      <w:szCs w:val="21"/>
                    </w:rPr>
                  </w:pPr>
                  <w:r>
                    <w:rPr>
                      <w:rFonts w:hint="eastAsia"/>
                      <w:b/>
                      <w:bCs/>
                      <w:snapToGrid w:val="0"/>
                      <w:color w:val="auto"/>
                      <w:kern w:val="0"/>
                      <w:szCs w:val="21"/>
                    </w:rPr>
                    <w:t>结论</w:t>
                  </w:r>
                </w:p>
              </w:tc>
            </w:tr>
            <w:tr w14:paraId="73CC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97" w:type="pct"/>
                  <w:vMerge w:val="restart"/>
                  <w:vAlign w:val="center"/>
                </w:tcPr>
                <w:p w14:paraId="7BB47030">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防城港经济技术开发区重点管控单元</w:t>
                  </w:r>
                </w:p>
                <w:p w14:paraId="6DF3FA86">
                  <w:pPr>
                    <w:adjustRightInd w:val="0"/>
                    <w:snapToGrid w:val="0"/>
                    <w:jc w:val="center"/>
                    <w:rPr>
                      <w:rFonts w:hint="eastAsia" w:eastAsia="宋体"/>
                      <w:snapToGrid w:val="0"/>
                      <w:color w:val="auto"/>
                      <w:kern w:val="0"/>
                      <w:szCs w:val="21"/>
                      <w:lang w:eastAsia="zh-CN"/>
                    </w:rPr>
                  </w:pPr>
                  <w:r>
                    <w:rPr>
                      <w:rFonts w:hint="eastAsia"/>
                      <w:snapToGrid w:val="0"/>
                      <w:color w:val="auto"/>
                      <w:kern w:val="0"/>
                      <w:szCs w:val="21"/>
                      <w:lang w:eastAsia="zh-CN"/>
                    </w:rPr>
                    <w:t>（</w:t>
                  </w:r>
                  <w:r>
                    <w:rPr>
                      <w:rFonts w:hint="eastAsia"/>
                      <w:snapToGrid w:val="0"/>
                      <w:color w:val="auto"/>
                      <w:kern w:val="0"/>
                      <w:szCs w:val="21"/>
                      <w:lang w:val="en-US" w:eastAsia="zh-CN"/>
                    </w:rPr>
                    <w:t>ZH45060220002</w:t>
                  </w:r>
                  <w:r>
                    <w:rPr>
                      <w:rFonts w:hint="eastAsia"/>
                      <w:snapToGrid w:val="0"/>
                      <w:color w:val="auto"/>
                      <w:kern w:val="0"/>
                      <w:szCs w:val="21"/>
                      <w:lang w:eastAsia="zh-CN"/>
                    </w:rPr>
                    <w:t>）</w:t>
                  </w:r>
                </w:p>
              </w:tc>
              <w:tc>
                <w:tcPr>
                  <w:tcW w:w="564" w:type="pct"/>
                  <w:vMerge w:val="restart"/>
                  <w:vAlign w:val="center"/>
                </w:tcPr>
                <w:p w14:paraId="1A6A999B">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重点管控单元</w:t>
                  </w:r>
                </w:p>
              </w:tc>
              <w:tc>
                <w:tcPr>
                  <w:tcW w:w="418" w:type="pct"/>
                  <w:vMerge w:val="restart"/>
                  <w:vAlign w:val="center"/>
                </w:tcPr>
                <w:p w14:paraId="309CE11F">
                  <w:pPr>
                    <w:adjustRightInd w:val="0"/>
                    <w:snapToGrid w:val="0"/>
                    <w:jc w:val="center"/>
                    <w:rPr>
                      <w:snapToGrid w:val="0"/>
                      <w:color w:val="auto"/>
                      <w:kern w:val="0"/>
                      <w:szCs w:val="21"/>
                    </w:rPr>
                  </w:pPr>
                  <w:r>
                    <w:rPr>
                      <w:rFonts w:hint="eastAsia"/>
                      <w:snapToGrid w:val="0"/>
                      <w:color w:val="auto"/>
                      <w:kern w:val="0"/>
                      <w:szCs w:val="21"/>
                    </w:rPr>
                    <w:t>空间布局约束</w:t>
                  </w:r>
                </w:p>
              </w:tc>
              <w:tc>
                <w:tcPr>
                  <w:tcW w:w="1871" w:type="pct"/>
                  <w:shd w:val="clear" w:color="auto" w:fill="auto"/>
                  <w:vAlign w:val="center"/>
                </w:tcPr>
                <w:p w14:paraId="74CD6A14">
                  <w:pPr>
                    <w:pStyle w:val="93"/>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snapToGrid w:val="0"/>
                      <w:color w:val="auto"/>
                      <w:kern w:val="0"/>
                      <w:sz w:val="21"/>
                      <w:szCs w:val="21"/>
                      <w:lang w:val="en-US" w:eastAsia="zh-CN" w:bidi="ar-SA"/>
                    </w:rPr>
                  </w:pPr>
                  <w:r>
                    <w:rPr>
                      <w:rFonts w:eastAsia="宋体"/>
                      <w:color w:val="auto"/>
                      <w:highlight w:val="none"/>
                      <w:u w:val="none"/>
                    </w:rPr>
                    <w:t>1</w:t>
                  </w:r>
                  <w:r>
                    <w:rPr>
                      <w:rFonts w:eastAsia="宋体"/>
                      <w:color w:val="auto"/>
                      <w:kern w:val="0"/>
                      <w:highlight w:val="none"/>
                      <w:u w:val="none"/>
                    </w:rPr>
                    <w:t>．引进的项目必须符合国家、自治区产业政策、供地政策及园区产业定位。</w:t>
                  </w:r>
                </w:p>
              </w:tc>
              <w:tc>
                <w:tcPr>
                  <w:tcW w:w="1137" w:type="pct"/>
                  <w:vAlign w:val="center"/>
                </w:tcPr>
                <w:p w14:paraId="0C08099D">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项目符合产业政策，已取得备案</w:t>
                  </w:r>
                </w:p>
              </w:tc>
              <w:tc>
                <w:tcPr>
                  <w:tcW w:w="310" w:type="pct"/>
                  <w:vAlign w:val="center"/>
                </w:tcPr>
                <w:p w14:paraId="192BEDE1">
                  <w:pPr>
                    <w:adjustRightInd w:val="0"/>
                    <w:snapToGrid w:val="0"/>
                    <w:jc w:val="center"/>
                    <w:rPr>
                      <w:snapToGrid w:val="0"/>
                      <w:color w:val="auto"/>
                      <w:kern w:val="0"/>
                      <w:szCs w:val="21"/>
                    </w:rPr>
                  </w:pPr>
                  <w:r>
                    <w:rPr>
                      <w:rFonts w:hint="eastAsia"/>
                      <w:snapToGrid w:val="0"/>
                      <w:color w:val="auto"/>
                      <w:kern w:val="0"/>
                      <w:szCs w:val="21"/>
                    </w:rPr>
                    <w:t>符合</w:t>
                  </w:r>
                </w:p>
              </w:tc>
            </w:tr>
            <w:tr w14:paraId="793B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pct"/>
                  <w:vMerge w:val="continue"/>
                  <w:vAlign w:val="center"/>
                </w:tcPr>
                <w:p w14:paraId="38AAABC2">
                  <w:pPr>
                    <w:adjustRightInd w:val="0"/>
                    <w:snapToGrid w:val="0"/>
                    <w:jc w:val="center"/>
                    <w:rPr>
                      <w:snapToGrid w:val="0"/>
                      <w:color w:val="auto"/>
                      <w:kern w:val="0"/>
                      <w:szCs w:val="21"/>
                    </w:rPr>
                  </w:pPr>
                </w:p>
              </w:tc>
              <w:tc>
                <w:tcPr>
                  <w:tcW w:w="564" w:type="pct"/>
                  <w:vMerge w:val="continue"/>
                  <w:vAlign w:val="center"/>
                </w:tcPr>
                <w:p w14:paraId="6C81FA4F">
                  <w:pPr>
                    <w:adjustRightInd w:val="0"/>
                    <w:snapToGrid w:val="0"/>
                    <w:jc w:val="center"/>
                    <w:rPr>
                      <w:snapToGrid w:val="0"/>
                      <w:color w:val="auto"/>
                      <w:kern w:val="0"/>
                      <w:szCs w:val="21"/>
                    </w:rPr>
                  </w:pPr>
                </w:p>
              </w:tc>
              <w:tc>
                <w:tcPr>
                  <w:tcW w:w="418" w:type="pct"/>
                  <w:vMerge w:val="continue"/>
                  <w:vAlign w:val="center"/>
                </w:tcPr>
                <w:p w14:paraId="2820ADF4">
                  <w:pPr>
                    <w:adjustRightInd w:val="0"/>
                    <w:snapToGrid w:val="0"/>
                    <w:jc w:val="center"/>
                    <w:rPr>
                      <w:snapToGrid w:val="0"/>
                      <w:color w:val="auto"/>
                      <w:kern w:val="0"/>
                      <w:szCs w:val="21"/>
                    </w:rPr>
                  </w:pPr>
                </w:p>
              </w:tc>
              <w:tc>
                <w:tcPr>
                  <w:tcW w:w="1871" w:type="pct"/>
                  <w:shd w:val="clear" w:color="auto" w:fill="auto"/>
                  <w:vAlign w:val="center"/>
                </w:tcPr>
                <w:p w14:paraId="0B6327C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snapToGrid w:val="0"/>
                      <w:color w:val="auto"/>
                      <w:kern w:val="0"/>
                      <w:sz w:val="21"/>
                      <w:szCs w:val="21"/>
                      <w:lang w:val="en-US" w:eastAsia="zh-CN" w:bidi="ar-SA"/>
                    </w:rPr>
                  </w:pPr>
                  <w:r>
                    <w:rPr>
                      <w:rFonts w:eastAsia="宋体"/>
                      <w:color w:val="auto"/>
                      <w:highlight w:val="none"/>
                      <w:u w:val="none"/>
                    </w:rPr>
                    <w:t>2</w:t>
                  </w:r>
                  <w:r>
                    <w:rPr>
                      <w:rFonts w:eastAsia="宋体"/>
                      <w:color w:val="auto"/>
                      <w:kern w:val="0"/>
                      <w:highlight w:val="none"/>
                      <w:u w:val="none"/>
                    </w:rPr>
                    <w:t>．</w:t>
                  </w:r>
                  <w:r>
                    <w:rPr>
                      <w:rFonts w:eastAsia="宋体"/>
                      <w:color w:val="auto"/>
                      <w:highlight w:val="none"/>
                      <w:u w:val="none"/>
                    </w:rPr>
                    <w:t>严格控制东湾海域新增设入海排污口。</w:t>
                  </w:r>
                </w:p>
              </w:tc>
              <w:tc>
                <w:tcPr>
                  <w:tcW w:w="1137" w:type="pct"/>
                  <w:shd w:val="clear" w:color="auto" w:fill="auto"/>
                  <w:vAlign w:val="center"/>
                </w:tcPr>
                <w:p w14:paraId="43E9F81B">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rPr>
                    <w:t>项目不涉及</w:t>
                  </w:r>
                  <w:r>
                    <w:rPr>
                      <w:rFonts w:hint="eastAsia"/>
                      <w:snapToGrid w:val="0"/>
                      <w:color w:val="auto"/>
                      <w:kern w:val="0"/>
                      <w:szCs w:val="21"/>
                      <w:lang w:eastAsia="zh-CN"/>
                    </w:rPr>
                    <w:t>该项。</w:t>
                  </w:r>
                </w:p>
              </w:tc>
              <w:tc>
                <w:tcPr>
                  <w:tcW w:w="310" w:type="pct"/>
                  <w:vAlign w:val="center"/>
                </w:tcPr>
                <w:p w14:paraId="0DEA5C2D">
                  <w:pPr>
                    <w:adjustRightInd w:val="0"/>
                    <w:snapToGrid w:val="0"/>
                    <w:jc w:val="center"/>
                    <w:rPr>
                      <w:snapToGrid w:val="0"/>
                      <w:color w:val="auto"/>
                      <w:kern w:val="0"/>
                      <w:szCs w:val="21"/>
                    </w:rPr>
                  </w:pPr>
                  <w:r>
                    <w:rPr>
                      <w:rFonts w:hint="eastAsia"/>
                      <w:snapToGrid w:val="0"/>
                      <w:color w:val="auto"/>
                      <w:kern w:val="0"/>
                      <w:szCs w:val="21"/>
                    </w:rPr>
                    <w:t>符合</w:t>
                  </w:r>
                </w:p>
              </w:tc>
            </w:tr>
            <w:tr w14:paraId="247D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697" w:type="pct"/>
                  <w:vMerge w:val="continue"/>
                  <w:vAlign w:val="center"/>
                </w:tcPr>
                <w:p w14:paraId="49CB47C3">
                  <w:pPr>
                    <w:adjustRightInd w:val="0"/>
                    <w:snapToGrid w:val="0"/>
                    <w:jc w:val="center"/>
                    <w:rPr>
                      <w:snapToGrid w:val="0"/>
                      <w:color w:val="auto"/>
                      <w:kern w:val="0"/>
                      <w:szCs w:val="21"/>
                    </w:rPr>
                  </w:pPr>
                </w:p>
              </w:tc>
              <w:tc>
                <w:tcPr>
                  <w:tcW w:w="564" w:type="pct"/>
                  <w:vMerge w:val="continue"/>
                  <w:vAlign w:val="center"/>
                </w:tcPr>
                <w:p w14:paraId="0918E5D9">
                  <w:pPr>
                    <w:adjustRightInd w:val="0"/>
                    <w:snapToGrid w:val="0"/>
                    <w:jc w:val="center"/>
                    <w:rPr>
                      <w:snapToGrid w:val="0"/>
                      <w:color w:val="auto"/>
                      <w:kern w:val="0"/>
                      <w:szCs w:val="21"/>
                    </w:rPr>
                  </w:pPr>
                </w:p>
              </w:tc>
              <w:tc>
                <w:tcPr>
                  <w:tcW w:w="418" w:type="pct"/>
                  <w:vMerge w:val="continue"/>
                  <w:vAlign w:val="center"/>
                </w:tcPr>
                <w:p w14:paraId="07260F4B">
                  <w:pPr>
                    <w:adjustRightInd w:val="0"/>
                    <w:snapToGrid w:val="0"/>
                    <w:jc w:val="center"/>
                    <w:rPr>
                      <w:snapToGrid w:val="0"/>
                      <w:color w:val="auto"/>
                      <w:kern w:val="0"/>
                      <w:szCs w:val="21"/>
                    </w:rPr>
                  </w:pPr>
                </w:p>
              </w:tc>
              <w:tc>
                <w:tcPr>
                  <w:tcW w:w="1871" w:type="pct"/>
                  <w:shd w:val="clear" w:color="auto" w:fill="auto"/>
                  <w:vAlign w:val="center"/>
                </w:tcPr>
                <w:p w14:paraId="4AD4978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napToGrid w:val="0"/>
                      <w:color w:val="auto"/>
                      <w:kern w:val="0"/>
                      <w:szCs w:val="21"/>
                      <w:lang w:val="en-US" w:eastAsia="zh-CN"/>
                    </w:rPr>
                  </w:pPr>
                  <w:r>
                    <w:rPr>
                      <w:rFonts w:eastAsia="宋体"/>
                      <w:color w:val="auto"/>
                      <w:highlight w:val="none"/>
                      <w:u w:val="none"/>
                    </w:rPr>
                    <w:t>3</w:t>
                  </w:r>
                  <w:r>
                    <w:rPr>
                      <w:rFonts w:eastAsia="宋体"/>
                      <w:color w:val="auto"/>
                      <w:kern w:val="0"/>
                      <w:highlight w:val="none"/>
                      <w:u w:val="none"/>
                    </w:rPr>
                    <w:t>．</w:t>
                  </w:r>
                  <w:r>
                    <w:rPr>
                      <w:rFonts w:eastAsia="宋体"/>
                      <w:color w:val="auto"/>
                      <w:highlight w:val="none"/>
                      <w:u w:val="none"/>
                    </w:rPr>
                    <w:t>防城港东湾红树林红线区1公里范围内，</w:t>
                  </w:r>
                  <w:r>
                    <w:rPr>
                      <w:rFonts w:eastAsia="宋体"/>
                      <w:color w:val="auto"/>
                      <w:kern w:val="0"/>
                      <w:highlight w:val="none"/>
                      <w:u w:val="none"/>
                    </w:rPr>
                    <w:t>严格控制新增油类等液体危化品码头项目布局，避免</w:t>
                  </w:r>
                  <w:r>
                    <w:rPr>
                      <w:rFonts w:eastAsia="宋体"/>
                      <w:color w:val="auto"/>
                      <w:highlight w:val="none"/>
                      <w:u w:val="none"/>
                    </w:rPr>
                    <w:t>影响红树林生境。</w:t>
                  </w:r>
                </w:p>
              </w:tc>
              <w:tc>
                <w:tcPr>
                  <w:tcW w:w="1137" w:type="pct"/>
                  <w:shd w:val="clear" w:color="auto" w:fill="auto"/>
                  <w:vAlign w:val="center"/>
                </w:tcPr>
                <w:p w14:paraId="7AA3B08C">
                  <w:pPr>
                    <w:adjustRightInd w:val="0"/>
                    <w:snapToGrid w:val="0"/>
                    <w:jc w:val="center"/>
                    <w:rPr>
                      <w:rFonts w:hint="eastAsia"/>
                      <w:snapToGrid w:val="0"/>
                      <w:color w:val="auto"/>
                      <w:kern w:val="0"/>
                      <w:szCs w:val="21"/>
                    </w:rPr>
                  </w:pPr>
                  <w:r>
                    <w:rPr>
                      <w:rFonts w:hint="eastAsia"/>
                      <w:snapToGrid w:val="0"/>
                      <w:color w:val="auto"/>
                      <w:kern w:val="0"/>
                      <w:szCs w:val="21"/>
                    </w:rPr>
                    <w:t>项目不涉及</w:t>
                  </w:r>
                  <w:r>
                    <w:rPr>
                      <w:rFonts w:hint="eastAsia"/>
                      <w:snapToGrid w:val="0"/>
                      <w:color w:val="auto"/>
                      <w:kern w:val="0"/>
                      <w:szCs w:val="21"/>
                      <w:lang w:eastAsia="zh-CN"/>
                    </w:rPr>
                    <w:t>该项。</w:t>
                  </w:r>
                </w:p>
              </w:tc>
              <w:tc>
                <w:tcPr>
                  <w:tcW w:w="310" w:type="pct"/>
                  <w:vAlign w:val="center"/>
                </w:tcPr>
                <w:p w14:paraId="5ECD356A">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7F1F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97" w:type="pct"/>
                  <w:vMerge w:val="continue"/>
                  <w:vAlign w:val="center"/>
                </w:tcPr>
                <w:p w14:paraId="5E908128">
                  <w:pPr>
                    <w:adjustRightInd w:val="0"/>
                    <w:snapToGrid w:val="0"/>
                    <w:jc w:val="center"/>
                    <w:rPr>
                      <w:snapToGrid w:val="0"/>
                      <w:color w:val="auto"/>
                      <w:kern w:val="0"/>
                      <w:szCs w:val="21"/>
                    </w:rPr>
                  </w:pPr>
                </w:p>
              </w:tc>
              <w:tc>
                <w:tcPr>
                  <w:tcW w:w="564" w:type="pct"/>
                  <w:vMerge w:val="continue"/>
                  <w:vAlign w:val="center"/>
                </w:tcPr>
                <w:p w14:paraId="5A1FE573">
                  <w:pPr>
                    <w:adjustRightInd w:val="0"/>
                    <w:snapToGrid w:val="0"/>
                    <w:jc w:val="center"/>
                    <w:rPr>
                      <w:snapToGrid w:val="0"/>
                      <w:color w:val="auto"/>
                      <w:kern w:val="0"/>
                      <w:szCs w:val="21"/>
                    </w:rPr>
                  </w:pPr>
                </w:p>
              </w:tc>
              <w:tc>
                <w:tcPr>
                  <w:tcW w:w="418" w:type="pct"/>
                  <w:vMerge w:val="continue"/>
                  <w:vAlign w:val="center"/>
                </w:tcPr>
                <w:p w14:paraId="3881C660">
                  <w:pPr>
                    <w:adjustRightInd w:val="0"/>
                    <w:snapToGrid w:val="0"/>
                    <w:jc w:val="center"/>
                    <w:rPr>
                      <w:snapToGrid w:val="0"/>
                      <w:color w:val="auto"/>
                      <w:kern w:val="0"/>
                      <w:szCs w:val="21"/>
                    </w:rPr>
                  </w:pPr>
                </w:p>
              </w:tc>
              <w:tc>
                <w:tcPr>
                  <w:tcW w:w="1871" w:type="pct"/>
                  <w:shd w:val="clear" w:color="auto" w:fill="auto"/>
                  <w:vAlign w:val="center"/>
                </w:tcPr>
                <w:p w14:paraId="55C2BBF3">
                  <w:pPr>
                    <w:pStyle w:val="9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snapToGrid w:val="0"/>
                      <w:color w:val="auto"/>
                      <w:kern w:val="0"/>
                      <w:szCs w:val="21"/>
                      <w:lang w:val="en-US" w:eastAsia="zh-CN"/>
                    </w:rPr>
                  </w:pPr>
                  <w:r>
                    <w:rPr>
                      <w:rFonts w:eastAsia="宋体"/>
                      <w:color w:val="auto"/>
                      <w:highlight w:val="none"/>
                      <w:u w:val="none"/>
                    </w:rPr>
                    <w:t>4</w:t>
                  </w:r>
                  <w:r>
                    <w:rPr>
                      <w:rFonts w:eastAsia="宋体"/>
                      <w:color w:val="auto"/>
                      <w:kern w:val="0"/>
                      <w:highlight w:val="none"/>
                      <w:u w:val="none"/>
                    </w:rPr>
                    <w:t>．</w:t>
                  </w:r>
                  <w:r>
                    <w:rPr>
                      <w:rFonts w:eastAsia="宋体"/>
                      <w:color w:val="auto"/>
                      <w:highlight w:val="none"/>
                      <w:u w:val="none"/>
                    </w:rPr>
                    <w:t>禁止截断蝴蝶岛公园绿地周围水域与海洋的连通性，禁止侵占蝴蝶岛用地。</w:t>
                  </w:r>
                </w:p>
              </w:tc>
              <w:tc>
                <w:tcPr>
                  <w:tcW w:w="1137" w:type="pct"/>
                  <w:shd w:val="clear" w:color="auto" w:fill="auto"/>
                  <w:vAlign w:val="center"/>
                </w:tcPr>
                <w:p w14:paraId="165554B0">
                  <w:pPr>
                    <w:adjustRightInd w:val="0"/>
                    <w:snapToGrid w:val="0"/>
                    <w:jc w:val="center"/>
                    <w:rPr>
                      <w:rFonts w:hint="eastAsia"/>
                      <w:snapToGrid w:val="0"/>
                      <w:color w:val="auto"/>
                      <w:kern w:val="0"/>
                      <w:szCs w:val="21"/>
                    </w:rPr>
                  </w:pPr>
                  <w:r>
                    <w:rPr>
                      <w:rFonts w:hint="eastAsia"/>
                      <w:snapToGrid w:val="0"/>
                      <w:color w:val="auto"/>
                      <w:kern w:val="0"/>
                      <w:szCs w:val="21"/>
                    </w:rPr>
                    <w:t>项目不涉及</w:t>
                  </w:r>
                  <w:r>
                    <w:rPr>
                      <w:rFonts w:hint="eastAsia"/>
                      <w:snapToGrid w:val="0"/>
                      <w:color w:val="auto"/>
                      <w:kern w:val="0"/>
                      <w:szCs w:val="21"/>
                      <w:lang w:eastAsia="zh-CN"/>
                    </w:rPr>
                    <w:t>该项。</w:t>
                  </w:r>
                </w:p>
              </w:tc>
              <w:tc>
                <w:tcPr>
                  <w:tcW w:w="310" w:type="pct"/>
                  <w:vAlign w:val="center"/>
                </w:tcPr>
                <w:p w14:paraId="646560EB">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1C49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pct"/>
                  <w:vMerge w:val="continue"/>
                  <w:vAlign w:val="center"/>
                </w:tcPr>
                <w:p w14:paraId="7BDFBB93">
                  <w:pPr>
                    <w:adjustRightInd w:val="0"/>
                    <w:snapToGrid w:val="0"/>
                    <w:jc w:val="center"/>
                    <w:rPr>
                      <w:snapToGrid w:val="0"/>
                      <w:color w:val="auto"/>
                      <w:kern w:val="0"/>
                      <w:szCs w:val="21"/>
                    </w:rPr>
                  </w:pPr>
                </w:p>
              </w:tc>
              <w:tc>
                <w:tcPr>
                  <w:tcW w:w="564" w:type="pct"/>
                  <w:vMerge w:val="continue"/>
                  <w:vAlign w:val="center"/>
                </w:tcPr>
                <w:p w14:paraId="551953D6">
                  <w:pPr>
                    <w:adjustRightInd w:val="0"/>
                    <w:snapToGrid w:val="0"/>
                    <w:jc w:val="center"/>
                    <w:rPr>
                      <w:snapToGrid w:val="0"/>
                      <w:color w:val="auto"/>
                      <w:kern w:val="0"/>
                      <w:szCs w:val="21"/>
                    </w:rPr>
                  </w:pPr>
                </w:p>
              </w:tc>
              <w:tc>
                <w:tcPr>
                  <w:tcW w:w="418" w:type="pct"/>
                  <w:vMerge w:val="continue"/>
                  <w:vAlign w:val="center"/>
                </w:tcPr>
                <w:p w14:paraId="075CC06E">
                  <w:pPr>
                    <w:adjustRightInd w:val="0"/>
                    <w:snapToGrid w:val="0"/>
                    <w:jc w:val="center"/>
                    <w:rPr>
                      <w:snapToGrid w:val="0"/>
                      <w:color w:val="auto"/>
                      <w:kern w:val="0"/>
                      <w:szCs w:val="21"/>
                    </w:rPr>
                  </w:pPr>
                </w:p>
              </w:tc>
              <w:tc>
                <w:tcPr>
                  <w:tcW w:w="1871" w:type="pct"/>
                  <w:shd w:val="clear" w:color="auto" w:fill="auto"/>
                  <w:vAlign w:val="center"/>
                </w:tcPr>
                <w:p w14:paraId="13798BA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napToGrid w:val="0"/>
                      <w:color w:val="auto"/>
                      <w:kern w:val="0"/>
                      <w:szCs w:val="21"/>
                      <w:lang w:val="en-US" w:eastAsia="zh-CN"/>
                    </w:rPr>
                  </w:pPr>
                  <w:r>
                    <w:rPr>
                      <w:rFonts w:eastAsia="宋体"/>
                      <w:color w:val="auto"/>
                      <w:highlight w:val="none"/>
                      <w:u w:val="none"/>
                    </w:rPr>
                    <w:t>5</w:t>
                  </w:r>
                  <w:r>
                    <w:rPr>
                      <w:rFonts w:eastAsia="宋体"/>
                      <w:color w:val="auto"/>
                      <w:kern w:val="0"/>
                      <w:highlight w:val="none"/>
                      <w:u w:val="none"/>
                    </w:rPr>
                    <w:t>．</w:t>
                  </w:r>
                  <w:r>
                    <w:rPr>
                      <w:rFonts w:eastAsia="宋体"/>
                      <w:color w:val="auto"/>
                      <w:highlight w:val="none"/>
                      <w:u w:val="none"/>
                    </w:rPr>
                    <w:t>新增产能的钢铁、电解铝、水泥、平板玻璃项目应当符合产业政策文件要求。对钢铁、石油、化工、电力、有色金属、水泥、平板玻璃、建筑陶瓷、砖瓦等重点行业依法实施清洁生产审核，采用先进清洁生产技术、工艺和装备。</w:t>
                  </w:r>
                </w:p>
              </w:tc>
              <w:tc>
                <w:tcPr>
                  <w:tcW w:w="1137" w:type="pct"/>
                  <w:shd w:val="clear" w:color="auto" w:fill="auto"/>
                  <w:vAlign w:val="center"/>
                </w:tcPr>
                <w:p w14:paraId="7856DF6A">
                  <w:pPr>
                    <w:adjustRightInd w:val="0"/>
                    <w:snapToGrid w:val="0"/>
                    <w:jc w:val="center"/>
                    <w:rPr>
                      <w:rFonts w:hint="eastAsia"/>
                      <w:snapToGrid w:val="0"/>
                      <w:color w:val="auto"/>
                      <w:kern w:val="0"/>
                      <w:szCs w:val="21"/>
                    </w:rPr>
                  </w:pPr>
                  <w:r>
                    <w:rPr>
                      <w:rFonts w:hint="eastAsia"/>
                      <w:snapToGrid w:val="0"/>
                      <w:color w:val="auto"/>
                      <w:kern w:val="0"/>
                      <w:szCs w:val="21"/>
                    </w:rPr>
                    <w:t>项目不涉及</w:t>
                  </w:r>
                  <w:r>
                    <w:rPr>
                      <w:rFonts w:hint="eastAsia"/>
                      <w:snapToGrid w:val="0"/>
                      <w:color w:val="auto"/>
                      <w:kern w:val="0"/>
                      <w:szCs w:val="21"/>
                      <w:lang w:eastAsia="zh-CN"/>
                    </w:rPr>
                    <w:t>该项。</w:t>
                  </w:r>
                </w:p>
              </w:tc>
              <w:tc>
                <w:tcPr>
                  <w:tcW w:w="310" w:type="pct"/>
                  <w:vAlign w:val="center"/>
                </w:tcPr>
                <w:p w14:paraId="4B1D9371">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362B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697" w:type="pct"/>
                  <w:vMerge w:val="continue"/>
                  <w:vAlign w:val="center"/>
                </w:tcPr>
                <w:p w14:paraId="1320E4F6">
                  <w:pPr>
                    <w:adjustRightInd w:val="0"/>
                    <w:snapToGrid w:val="0"/>
                    <w:jc w:val="center"/>
                    <w:rPr>
                      <w:snapToGrid w:val="0"/>
                      <w:color w:val="auto"/>
                      <w:kern w:val="0"/>
                      <w:szCs w:val="21"/>
                    </w:rPr>
                  </w:pPr>
                </w:p>
              </w:tc>
              <w:tc>
                <w:tcPr>
                  <w:tcW w:w="564" w:type="pct"/>
                  <w:vMerge w:val="continue"/>
                  <w:vAlign w:val="center"/>
                </w:tcPr>
                <w:p w14:paraId="2A7487EC">
                  <w:pPr>
                    <w:adjustRightInd w:val="0"/>
                    <w:snapToGrid w:val="0"/>
                    <w:jc w:val="center"/>
                    <w:rPr>
                      <w:snapToGrid w:val="0"/>
                      <w:color w:val="auto"/>
                      <w:kern w:val="0"/>
                      <w:szCs w:val="21"/>
                    </w:rPr>
                  </w:pPr>
                </w:p>
              </w:tc>
              <w:tc>
                <w:tcPr>
                  <w:tcW w:w="418" w:type="pct"/>
                  <w:vMerge w:val="continue"/>
                  <w:vAlign w:val="center"/>
                </w:tcPr>
                <w:p w14:paraId="730386F6">
                  <w:pPr>
                    <w:adjustRightInd w:val="0"/>
                    <w:snapToGrid w:val="0"/>
                    <w:jc w:val="center"/>
                    <w:rPr>
                      <w:snapToGrid w:val="0"/>
                      <w:color w:val="auto"/>
                      <w:kern w:val="0"/>
                      <w:szCs w:val="21"/>
                    </w:rPr>
                  </w:pPr>
                </w:p>
              </w:tc>
              <w:tc>
                <w:tcPr>
                  <w:tcW w:w="1871" w:type="pct"/>
                  <w:shd w:val="clear" w:color="auto" w:fill="auto"/>
                  <w:vAlign w:val="center"/>
                </w:tcPr>
                <w:p w14:paraId="0B5B340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napToGrid w:val="0"/>
                      <w:color w:val="auto"/>
                      <w:kern w:val="0"/>
                      <w:szCs w:val="21"/>
                      <w:lang w:val="en-US" w:eastAsia="zh-CN"/>
                    </w:rPr>
                  </w:pPr>
                  <w:r>
                    <w:rPr>
                      <w:rFonts w:eastAsia="宋体"/>
                      <w:color w:val="auto"/>
                      <w:highlight w:val="none"/>
                      <w:u w:val="none"/>
                    </w:rPr>
                    <w:t>6</w:t>
                  </w:r>
                  <w:r>
                    <w:rPr>
                      <w:rFonts w:eastAsia="宋体"/>
                      <w:color w:val="auto"/>
                      <w:kern w:val="0"/>
                      <w:highlight w:val="none"/>
                      <w:u w:val="none"/>
                    </w:rPr>
                    <w:t>．园区周边 1 公里范围内涉及生态保护红线（</w:t>
                  </w:r>
                  <w:r>
                    <w:rPr>
                      <w:rFonts w:eastAsia="宋体"/>
                      <w:color w:val="auto"/>
                      <w:highlight w:val="none"/>
                      <w:u w:val="none"/>
                    </w:rPr>
                    <w:t>广西防城港东湾自治区级湿地公园</w:t>
                  </w:r>
                  <w:r>
                    <w:rPr>
                      <w:rFonts w:eastAsia="宋体"/>
                      <w:color w:val="auto"/>
                      <w:kern w:val="0"/>
                      <w:highlight w:val="none"/>
                      <w:u w:val="none"/>
                    </w:rPr>
                    <w:t>）生态环境敏感区域，应优化产业布局，控制开发强度，优先引进无污染或轻污染的产业和项目，防止侵占生态空间。</w:t>
                  </w:r>
                </w:p>
              </w:tc>
              <w:tc>
                <w:tcPr>
                  <w:tcW w:w="1137" w:type="pct"/>
                  <w:shd w:val="clear" w:color="auto" w:fill="auto"/>
                  <w:vAlign w:val="center"/>
                </w:tcPr>
                <w:p w14:paraId="373A592A">
                  <w:pPr>
                    <w:adjustRightInd w:val="0"/>
                    <w:snapToGrid w:val="0"/>
                    <w:jc w:val="center"/>
                    <w:rPr>
                      <w:rFonts w:hint="eastAsia"/>
                      <w:snapToGrid w:val="0"/>
                      <w:color w:val="auto"/>
                      <w:kern w:val="0"/>
                      <w:szCs w:val="21"/>
                    </w:rPr>
                  </w:pPr>
                  <w:r>
                    <w:rPr>
                      <w:rFonts w:hint="eastAsia"/>
                      <w:snapToGrid w:val="0"/>
                      <w:color w:val="auto"/>
                      <w:kern w:val="0"/>
                      <w:szCs w:val="21"/>
                    </w:rPr>
                    <w:t>项目不涉及</w:t>
                  </w:r>
                  <w:r>
                    <w:rPr>
                      <w:rFonts w:hint="eastAsia"/>
                      <w:snapToGrid w:val="0"/>
                      <w:color w:val="auto"/>
                      <w:kern w:val="0"/>
                      <w:szCs w:val="21"/>
                      <w:lang w:val="en-US" w:eastAsia="zh-CN"/>
                    </w:rPr>
                    <w:t>生态环境敏感区</w:t>
                  </w:r>
                  <w:r>
                    <w:rPr>
                      <w:rFonts w:hint="eastAsia"/>
                      <w:snapToGrid w:val="0"/>
                      <w:color w:val="auto"/>
                      <w:kern w:val="0"/>
                      <w:szCs w:val="21"/>
                      <w:lang w:eastAsia="zh-CN"/>
                    </w:rPr>
                    <w:t>。</w:t>
                  </w:r>
                </w:p>
              </w:tc>
              <w:tc>
                <w:tcPr>
                  <w:tcW w:w="310" w:type="pct"/>
                  <w:vAlign w:val="center"/>
                </w:tcPr>
                <w:p w14:paraId="2E6FF313">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1D8B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7" w:type="pct"/>
                  <w:vMerge w:val="continue"/>
                  <w:vAlign w:val="center"/>
                </w:tcPr>
                <w:p w14:paraId="1A5A2151">
                  <w:pPr>
                    <w:adjustRightInd w:val="0"/>
                    <w:snapToGrid w:val="0"/>
                    <w:jc w:val="center"/>
                    <w:rPr>
                      <w:snapToGrid w:val="0"/>
                      <w:color w:val="auto"/>
                      <w:kern w:val="0"/>
                      <w:szCs w:val="21"/>
                    </w:rPr>
                  </w:pPr>
                </w:p>
              </w:tc>
              <w:tc>
                <w:tcPr>
                  <w:tcW w:w="564" w:type="pct"/>
                  <w:vMerge w:val="continue"/>
                  <w:vAlign w:val="center"/>
                </w:tcPr>
                <w:p w14:paraId="42E92774">
                  <w:pPr>
                    <w:adjustRightInd w:val="0"/>
                    <w:snapToGrid w:val="0"/>
                    <w:jc w:val="center"/>
                    <w:rPr>
                      <w:snapToGrid w:val="0"/>
                      <w:color w:val="auto"/>
                      <w:kern w:val="0"/>
                      <w:szCs w:val="21"/>
                    </w:rPr>
                  </w:pPr>
                </w:p>
              </w:tc>
              <w:tc>
                <w:tcPr>
                  <w:tcW w:w="418" w:type="pct"/>
                  <w:vMerge w:val="continue"/>
                  <w:vAlign w:val="center"/>
                </w:tcPr>
                <w:p w14:paraId="417D3AF9">
                  <w:pPr>
                    <w:adjustRightInd w:val="0"/>
                    <w:snapToGrid w:val="0"/>
                    <w:jc w:val="center"/>
                    <w:rPr>
                      <w:snapToGrid w:val="0"/>
                      <w:color w:val="auto"/>
                      <w:kern w:val="0"/>
                      <w:szCs w:val="21"/>
                    </w:rPr>
                  </w:pPr>
                </w:p>
              </w:tc>
              <w:tc>
                <w:tcPr>
                  <w:tcW w:w="1871" w:type="pct"/>
                  <w:shd w:val="clear" w:color="auto" w:fill="auto"/>
                  <w:vAlign w:val="center"/>
                </w:tcPr>
                <w:p w14:paraId="1CEF9824">
                  <w:pPr>
                    <w:pStyle w:val="9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snapToGrid w:val="0"/>
                      <w:color w:val="auto"/>
                      <w:kern w:val="0"/>
                      <w:szCs w:val="21"/>
                      <w:lang w:val="en-US" w:eastAsia="zh-CN"/>
                    </w:rPr>
                  </w:pPr>
                  <w:r>
                    <w:rPr>
                      <w:rFonts w:eastAsia="宋体"/>
                      <w:color w:val="auto"/>
                      <w:kern w:val="0"/>
                      <w:highlight w:val="none"/>
                      <w:u w:val="none"/>
                    </w:rPr>
                    <w:t>7．强化源头管控，新上项目能效需达到国家、自治区相关标准要求。</w:t>
                  </w:r>
                </w:p>
              </w:tc>
              <w:tc>
                <w:tcPr>
                  <w:tcW w:w="1137" w:type="pct"/>
                  <w:shd w:val="clear" w:color="auto" w:fill="auto"/>
                  <w:vAlign w:val="center"/>
                </w:tcPr>
                <w:p w14:paraId="1FBDA4AE">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项目为集装箱堆场及配套专用线建设项目，属于基础设施建设，能满足国家、自治区相关标准要求。</w:t>
                  </w:r>
                </w:p>
              </w:tc>
              <w:tc>
                <w:tcPr>
                  <w:tcW w:w="310" w:type="pct"/>
                  <w:vAlign w:val="center"/>
                </w:tcPr>
                <w:p w14:paraId="216FDB12">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70C8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7" w:type="pct"/>
                  <w:vMerge w:val="continue"/>
                  <w:vAlign w:val="center"/>
                </w:tcPr>
                <w:p w14:paraId="181842AA">
                  <w:pPr>
                    <w:adjustRightInd w:val="0"/>
                    <w:snapToGrid w:val="0"/>
                    <w:jc w:val="center"/>
                    <w:rPr>
                      <w:snapToGrid w:val="0"/>
                      <w:color w:val="auto"/>
                      <w:kern w:val="0"/>
                      <w:szCs w:val="21"/>
                    </w:rPr>
                  </w:pPr>
                </w:p>
              </w:tc>
              <w:tc>
                <w:tcPr>
                  <w:tcW w:w="564" w:type="pct"/>
                  <w:vMerge w:val="continue"/>
                  <w:vAlign w:val="center"/>
                </w:tcPr>
                <w:p w14:paraId="4C22D024">
                  <w:pPr>
                    <w:adjustRightInd w:val="0"/>
                    <w:snapToGrid w:val="0"/>
                    <w:jc w:val="center"/>
                    <w:rPr>
                      <w:snapToGrid w:val="0"/>
                      <w:color w:val="auto"/>
                      <w:kern w:val="0"/>
                      <w:szCs w:val="21"/>
                    </w:rPr>
                  </w:pPr>
                </w:p>
              </w:tc>
              <w:tc>
                <w:tcPr>
                  <w:tcW w:w="418" w:type="pct"/>
                  <w:vMerge w:val="continue"/>
                  <w:vAlign w:val="center"/>
                </w:tcPr>
                <w:p w14:paraId="0E7F68CD">
                  <w:pPr>
                    <w:adjustRightInd w:val="0"/>
                    <w:snapToGrid w:val="0"/>
                    <w:jc w:val="center"/>
                    <w:rPr>
                      <w:snapToGrid w:val="0"/>
                      <w:color w:val="auto"/>
                      <w:kern w:val="0"/>
                      <w:szCs w:val="21"/>
                    </w:rPr>
                  </w:pPr>
                </w:p>
              </w:tc>
              <w:tc>
                <w:tcPr>
                  <w:tcW w:w="1871" w:type="pct"/>
                  <w:shd w:val="clear" w:color="auto" w:fill="auto"/>
                  <w:vAlign w:val="center"/>
                </w:tcPr>
                <w:p w14:paraId="3A9CAD2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napToGrid w:val="0"/>
                      <w:color w:val="auto"/>
                      <w:kern w:val="0"/>
                      <w:szCs w:val="21"/>
                      <w:lang w:val="en-US" w:eastAsia="zh-CN"/>
                    </w:rPr>
                  </w:pPr>
                  <w:r>
                    <w:rPr>
                      <w:rFonts w:eastAsia="宋体"/>
                      <w:color w:val="auto"/>
                      <w:highlight w:val="none"/>
                      <w:u w:val="none"/>
                    </w:rPr>
                    <w:t>8．新建石化和化工项目应符合自治区石化和化工产业发展相关规划、国土空间规划的要求。</w:t>
                  </w:r>
                </w:p>
              </w:tc>
              <w:tc>
                <w:tcPr>
                  <w:tcW w:w="1137" w:type="pct"/>
                  <w:shd w:val="clear" w:color="auto" w:fill="auto"/>
                  <w:vAlign w:val="center"/>
                </w:tcPr>
                <w:p w14:paraId="23BC928F">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项目不涉及石化和化工。</w:t>
                  </w:r>
                </w:p>
              </w:tc>
              <w:tc>
                <w:tcPr>
                  <w:tcW w:w="310" w:type="pct"/>
                  <w:vAlign w:val="center"/>
                </w:tcPr>
                <w:p w14:paraId="4236D9FF">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10519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pct"/>
                  <w:vMerge w:val="continue"/>
                  <w:vAlign w:val="center"/>
                </w:tcPr>
                <w:p w14:paraId="30C83E21">
                  <w:pPr>
                    <w:adjustRightInd w:val="0"/>
                    <w:snapToGrid w:val="0"/>
                    <w:jc w:val="center"/>
                    <w:rPr>
                      <w:snapToGrid w:val="0"/>
                      <w:color w:val="auto"/>
                      <w:kern w:val="0"/>
                      <w:szCs w:val="21"/>
                    </w:rPr>
                  </w:pPr>
                </w:p>
              </w:tc>
              <w:tc>
                <w:tcPr>
                  <w:tcW w:w="564" w:type="pct"/>
                  <w:vMerge w:val="continue"/>
                  <w:vAlign w:val="center"/>
                </w:tcPr>
                <w:p w14:paraId="160CC5E4">
                  <w:pPr>
                    <w:adjustRightInd w:val="0"/>
                    <w:snapToGrid w:val="0"/>
                    <w:jc w:val="center"/>
                    <w:rPr>
                      <w:snapToGrid w:val="0"/>
                      <w:color w:val="auto"/>
                      <w:kern w:val="0"/>
                      <w:szCs w:val="21"/>
                    </w:rPr>
                  </w:pPr>
                </w:p>
              </w:tc>
              <w:tc>
                <w:tcPr>
                  <w:tcW w:w="418" w:type="pct"/>
                  <w:vMerge w:val="continue"/>
                  <w:vAlign w:val="center"/>
                </w:tcPr>
                <w:p w14:paraId="614DC713">
                  <w:pPr>
                    <w:adjustRightInd w:val="0"/>
                    <w:snapToGrid w:val="0"/>
                    <w:jc w:val="center"/>
                    <w:rPr>
                      <w:snapToGrid w:val="0"/>
                      <w:color w:val="auto"/>
                      <w:kern w:val="0"/>
                      <w:szCs w:val="21"/>
                    </w:rPr>
                  </w:pPr>
                </w:p>
              </w:tc>
              <w:tc>
                <w:tcPr>
                  <w:tcW w:w="1871" w:type="pct"/>
                  <w:shd w:val="clear" w:color="auto" w:fill="auto"/>
                  <w:vAlign w:val="center"/>
                </w:tcPr>
                <w:p w14:paraId="236BADF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snapToGrid w:val="0"/>
                      <w:color w:val="auto"/>
                      <w:kern w:val="0"/>
                      <w:sz w:val="21"/>
                      <w:szCs w:val="21"/>
                      <w:lang w:val="en-US" w:eastAsia="zh-CN" w:bidi="ar-SA"/>
                    </w:rPr>
                  </w:pPr>
                  <w:r>
                    <w:rPr>
                      <w:rFonts w:eastAsia="宋体"/>
                      <w:color w:val="auto"/>
                      <w:highlight w:val="none"/>
                      <w:u w:val="none"/>
                    </w:rPr>
                    <w:t>9．园区应制定危险化学品</w:t>
                  </w:r>
                  <w:r>
                    <w:rPr>
                      <w:rFonts w:hint="eastAsia"/>
                      <w:color w:val="auto"/>
                      <w:highlight w:val="none"/>
                      <w:u w:val="none"/>
                      <w:lang w:eastAsia="zh-CN"/>
                    </w:rPr>
                    <w:t>“</w:t>
                  </w:r>
                  <w:r>
                    <w:rPr>
                      <w:rFonts w:eastAsia="宋体"/>
                      <w:color w:val="auto"/>
                      <w:highlight w:val="none"/>
                      <w:u w:val="none"/>
                    </w:rPr>
                    <w:t>禁限控</w:t>
                  </w:r>
                  <w:r>
                    <w:rPr>
                      <w:rFonts w:hint="eastAsia"/>
                      <w:color w:val="auto"/>
                      <w:highlight w:val="none"/>
                      <w:u w:val="none"/>
                      <w:lang w:eastAsia="zh-CN"/>
                    </w:rPr>
                    <w:t>”</w:t>
                  </w:r>
                  <w:r>
                    <w:rPr>
                      <w:rFonts w:eastAsia="宋体"/>
                      <w:color w:val="auto"/>
                      <w:highlight w:val="none"/>
                      <w:u w:val="none"/>
                    </w:rPr>
                    <w:t>目录及新建石化和化工项目准入条件，严禁限制类（按国家规定允许产能置换项目除外）和淘汰类项目入园。</w:t>
                  </w:r>
                </w:p>
              </w:tc>
              <w:tc>
                <w:tcPr>
                  <w:tcW w:w="1137" w:type="pct"/>
                  <w:shd w:val="clear" w:color="auto" w:fill="auto"/>
                  <w:vAlign w:val="center"/>
                </w:tcPr>
                <w:p w14:paraId="0643AB12">
                  <w:pPr>
                    <w:adjustRightInd w:val="0"/>
                    <w:snapToGrid w:val="0"/>
                    <w:jc w:val="center"/>
                    <w:rPr>
                      <w:rFonts w:hint="default" w:eastAsia="宋体"/>
                      <w:color w:val="auto"/>
                      <w:lang w:val="en-US" w:eastAsia="zh-CN"/>
                    </w:rPr>
                  </w:pPr>
                  <w:r>
                    <w:rPr>
                      <w:rFonts w:hint="eastAsia"/>
                      <w:color w:val="auto"/>
                      <w:lang w:val="en-US" w:eastAsia="zh-CN"/>
                    </w:rPr>
                    <w:t>项目不涉及该项。</w:t>
                  </w:r>
                </w:p>
              </w:tc>
              <w:tc>
                <w:tcPr>
                  <w:tcW w:w="310" w:type="pct"/>
                  <w:vAlign w:val="center"/>
                </w:tcPr>
                <w:p w14:paraId="0B0D857D">
                  <w:pPr>
                    <w:adjustRightInd w:val="0"/>
                    <w:snapToGrid w:val="0"/>
                    <w:jc w:val="center"/>
                    <w:rPr>
                      <w:snapToGrid w:val="0"/>
                      <w:color w:val="auto"/>
                      <w:kern w:val="0"/>
                      <w:szCs w:val="21"/>
                    </w:rPr>
                  </w:pPr>
                  <w:r>
                    <w:rPr>
                      <w:rFonts w:hint="eastAsia"/>
                      <w:snapToGrid w:val="0"/>
                      <w:color w:val="auto"/>
                      <w:kern w:val="0"/>
                      <w:szCs w:val="21"/>
                    </w:rPr>
                    <w:t>符合</w:t>
                  </w:r>
                </w:p>
              </w:tc>
            </w:tr>
            <w:tr w14:paraId="60DC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697" w:type="pct"/>
                  <w:vMerge w:val="continue"/>
                  <w:vAlign w:val="center"/>
                </w:tcPr>
                <w:p w14:paraId="484E641C">
                  <w:pPr>
                    <w:adjustRightInd w:val="0"/>
                    <w:snapToGrid w:val="0"/>
                    <w:jc w:val="center"/>
                    <w:rPr>
                      <w:rFonts w:hint="eastAsia"/>
                      <w:snapToGrid w:val="0"/>
                      <w:color w:val="auto"/>
                      <w:kern w:val="0"/>
                      <w:szCs w:val="21"/>
                    </w:rPr>
                  </w:pPr>
                </w:p>
              </w:tc>
              <w:tc>
                <w:tcPr>
                  <w:tcW w:w="564" w:type="pct"/>
                  <w:vMerge w:val="continue"/>
                  <w:vAlign w:val="center"/>
                </w:tcPr>
                <w:p w14:paraId="2702B5CF">
                  <w:pPr>
                    <w:adjustRightInd w:val="0"/>
                    <w:snapToGrid w:val="0"/>
                    <w:jc w:val="center"/>
                    <w:rPr>
                      <w:rFonts w:hint="eastAsia"/>
                      <w:snapToGrid w:val="0"/>
                      <w:color w:val="auto"/>
                      <w:kern w:val="0"/>
                      <w:szCs w:val="21"/>
                    </w:rPr>
                  </w:pPr>
                </w:p>
              </w:tc>
              <w:tc>
                <w:tcPr>
                  <w:tcW w:w="418" w:type="pct"/>
                  <w:vMerge w:val="restart"/>
                  <w:vAlign w:val="center"/>
                </w:tcPr>
                <w:p w14:paraId="4A1272D8">
                  <w:pPr>
                    <w:adjustRightInd w:val="0"/>
                    <w:snapToGrid w:val="0"/>
                    <w:jc w:val="center"/>
                    <w:rPr>
                      <w:snapToGrid w:val="0"/>
                      <w:color w:val="auto"/>
                      <w:kern w:val="0"/>
                      <w:szCs w:val="21"/>
                    </w:rPr>
                  </w:pPr>
                  <w:r>
                    <w:rPr>
                      <w:rFonts w:hint="eastAsia"/>
                      <w:snapToGrid w:val="0"/>
                      <w:color w:val="auto"/>
                      <w:kern w:val="0"/>
                      <w:szCs w:val="21"/>
                    </w:rPr>
                    <w:t>污染物排放管控</w:t>
                  </w:r>
                </w:p>
              </w:tc>
              <w:tc>
                <w:tcPr>
                  <w:tcW w:w="1871" w:type="pct"/>
                  <w:vAlign w:val="center"/>
                </w:tcPr>
                <w:p w14:paraId="2519740E">
                  <w:pPr>
                    <w:pStyle w:val="93"/>
                    <w:keepNext w:val="0"/>
                    <w:keepLines w:val="0"/>
                    <w:pageBreakBefore w:val="0"/>
                    <w:widowControl w:val="0"/>
                    <w:kinsoku/>
                    <w:wordWrap/>
                    <w:overflowPunct/>
                    <w:topLinePunct w:val="0"/>
                    <w:autoSpaceDE/>
                    <w:autoSpaceDN/>
                    <w:bidi w:val="0"/>
                    <w:spacing w:line="240" w:lineRule="auto"/>
                    <w:jc w:val="both"/>
                    <w:textAlignment w:val="auto"/>
                    <w:rPr>
                      <w:snapToGrid w:val="0"/>
                      <w:color w:val="auto"/>
                      <w:kern w:val="0"/>
                      <w:szCs w:val="21"/>
                    </w:rPr>
                  </w:pPr>
                  <w:r>
                    <w:rPr>
                      <w:rFonts w:eastAsia="宋体"/>
                      <w:color w:val="auto"/>
                      <w:highlight w:val="none"/>
                      <w:u w:val="none"/>
                    </w:rPr>
                    <w:t>1</w:t>
                  </w:r>
                  <w:r>
                    <w:rPr>
                      <w:rFonts w:eastAsia="宋体"/>
                      <w:color w:val="auto"/>
                      <w:kern w:val="0"/>
                      <w:highlight w:val="none"/>
                      <w:u w:val="none"/>
                    </w:rPr>
                    <w:t>．</w:t>
                  </w:r>
                  <w:r>
                    <w:rPr>
                      <w:rFonts w:eastAsia="宋体"/>
                      <w:color w:val="auto"/>
                      <w:highlight w:val="none"/>
                      <w:u w:val="none"/>
                    </w:rPr>
                    <w:t>新、改、扩建的涉重金属重点行业建设项目必须以改善环境质量为核心，确保区域环境质量符合功能区定位，遵循自治区重金属污染物排放管控相关要求，在项目审批前明确有具体的重金属污染物排放量来源，确保辖区完成重点行业重金属污染物排放总量控制目标。</w:t>
                  </w:r>
                </w:p>
              </w:tc>
              <w:tc>
                <w:tcPr>
                  <w:tcW w:w="1137" w:type="pct"/>
                  <w:vAlign w:val="center"/>
                </w:tcPr>
                <w:p w14:paraId="3C257572">
                  <w:pPr>
                    <w:adjustRightInd w:val="0"/>
                    <w:snapToGrid w:val="0"/>
                    <w:jc w:val="center"/>
                    <w:rPr>
                      <w:snapToGrid w:val="0"/>
                      <w:color w:val="auto"/>
                      <w:kern w:val="0"/>
                      <w:szCs w:val="21"/>
                    </w:rPr>
                  </w:pPr>
                  <w:r>
                    <w:rPr>
                      <w:rFonts w:hint="eastAsia"/>
                      <w:snapToGrid w:val="0"/>
                      <w:color w:val="auto"/>
                      <w:kern w:val="0"/>
                      <w:szCs w:val="21"/>
                      <w:lang w:val="en-US" w:eastAsia="zh-CN"/>
                    </w:rPr>
                    <w:t>项目不属于涉重金属重点行业建设项目</w:t>
                  </w:r>
                  <w:r>
                    <w:rPr>
                      <w:rFonts w:hint="eastAsia"/>
                      <w:snapToGrid w:val="0"/>
                      <w:color w:val="auto"/>
                      <w:kern w:val="0"/>
                      <w:szCs w:val="21"/>
                    </w:rPr>
                    <w:t>。</w:t>
                  </w:r>
                </w:p>
              </w:tc>
              <w:tc>
                <w:tcPr>
                  <w:tcW w:w="310" w:type="pct"/>
                  <w:vAlign w:val="center"/>
                </w:tcPr>
                <w:p w14:paraId="6EE940D9">
                  <w:pPr>
                    <w:adjustRightInd w:val="0"/>
                    <w:snapToGrid w:val="0"/>
                    <w:jc w:val="center"/>
                    <w:rPr>
                      <w:snapToGrid w:val="0"/>
                      <w:color w:val="auto"/>
                      <w:kern w:val="0"/>
                      <w:szCs w:val="21"/>
                    </w:rPr>
                  </w:pPr>
                  <w:r>
                    <w:rPr>
                      <w:rFonts w:hint="eastAsia"/>
                      <w:snapToGrid w:val="0"/>
                      <w:color w:val="auto"/>
                      <w:kern w:val="0"/>
                      <w:szCs w:val="21"/>
                    </w:rPr>
                    <w:t>符合</w:t>
                  </w:r>
                </w:p>
              </w:tc>
            </w:tr>
            <w:tr w14:paraId="7414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97" w:type="pct"/>
                  <w:vMerge w:val="continue"/>
                  <w:vAlign w:val="center"/>
                </w:tcPr>
                <w:p w14:paraId="2ADDD4F2">
                  <w:pPr>
                    <w:adjustRightInd w:val="0"/>
                    <w:snapToGrid w:val="0"/>
                    <w:jc w:val="center"/>
                    <w:rPr>
                      <w:snapToGrid w:val="0"/>
                      <w:color w:val="auto"/>
                      <w:kern w:val="0"/>
                      <w:szCs w:val="21"/>
                    </w:rPr>
                  </w:pPr>
                </w:p>
              </w:tc>
              <w:tc>
                <w:tcPr>
                  <w:tcW w:w="564" w:type="pct"/>
                  <w:vMerge w:val="continue"/>
                  <w:vAlign w:val="center"/>
                </w:tcPr>
                <w:p w14:paraId="40613706">
                  <w:pPr>
                    <w:adjustRightInd w:val="0"/>
                    <w:snapToGrid w:val="0"/>
                    <w:jc w:val="center"/>
                    <w:rPr>
                      <w:snapToGrid w:val="0"/>
                      <w:color w:val="auto"/>
                      <w:kern w:val="0"/>
                      <w:szCs w:val="21"/>
                    </w:rPr>
                  </w:pPr>
                </w:p>
              </w:tc>
              <w:tc>
                <w:tcPr>
                  <w:tcW w:w="418" w:type="pct"/>
                  <w:vMerge w:val="continue"/>
                  <w:vAlign w:val="center"/>
                </w:tcPr>
                <w:p w14:paraId="2AD05A58">
                  <w:pPr>
                    <w:adjustRightInd w:val="0"/>
                    <w:snapToGrid w:val="0"/>
                    <w:jc w:val="center"/>
                    <w:rPr>
                      <w:snapToGrid w:val="0"/>
                      <w:color w:val="auto"/>
                      <w:kern w:val="0"/>
                      <w:szCs w:val="21"/>
                    </w:rPr>
                  </w:pPr>
                </w:p>
              </w:tc>
              <w:tc>
                <w:tcPr>
                  <w:tcW w:w="1871" w:type="pct"/>
                  <w:vAlign w:val="center"/>
                </w:tcPr>
                <w:p w14:paraId="2D1816B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snapToGrid w:val="0"/>
                      <w:color w:val="auto"/>
                      <w:kern w:val="0"/>
                      <w:szCs w:val="21"/>
                    </w:rPr>
                  </w:pPr>
                  <w:r>
                    <w:rPr>
                      <w:rFonts w:eastAsia="宋体"/>
                      <w:color w:val="auto"/>
                      <w:highlight w:val="none"/>
                      <w:u w:val="none"/>
                    </w:rPr>
                    <w:t>2</w:t>
                  </w:r>
                  <w:r>
                    <w:rPr>
                      <w:rFonts w:eastAsia="宋体"/>
                      <w:color w:val="auto"/>
                      <w:kern w:val="0"/>
                      <w:highlight w:val="none"/>
                      <w:u w:val="none"/>
                    </w:rPr>
                    <w:t>．持续加强</w:t>
                  </w:r>
                  <w:r>
                    <w:rPr>
                      <w:rFonts w:eastAsia="宋体"/>
                      <w:color w:val="auto"/>
                      <w:highlight w:val="none"/>
                      <w:u w:val="none"/>
                    </w:rPr>
                    <w:t>工业园区污水集中处理设施和配套管网建设。实行</w:t>
                  </w:r>
                  <w:r>
                    <w:rPr>
                      <w:rFonts w:hint="eastAsia"/>
                      <w:color w:val="auto"/>
                      <w:highlight w:val="none"/>
                      <w:u w:val="none"/>
                      <w:lang w:eastAsia="zh-CN"/>
                    </w:rPr>
                    <w:t>“</w:t>
                  </w:r>
                  <w:r>
                    <w:rPr>
                      <w:rFonts w:eastAsia="宋体"/>
                      <w:color w:val="auto"/>
                      <w:highlight w:val="none"/>
                      <w:u w:val="none"/>
                    </w:rPr>
                    <w:t>清污分流、雨污分流</w:t>
                  </w:r>
                  <w:r>
                    <w:rPr>
                      <w:rFonts w:hint="eastAsia"/>
                      <w:color w:val="auto"/>
                      <w:highlight w:val="none"/>
                      <w:u w:val="none"/>
                      <w:lang w:eastAsia="zh-CN"/>
                    </w:rPr>
                    <w:t>”</w:t>
                  </w:r>
                  <w:r>
                    <w:rPr>
                      <w:rFonts w:eastAsia="宋体"/>
                      <w:color w:val="auto"/>
                      <w:highlight w:val="none"/>
                      <w:u w:val="none"/>
                    </w:rPr>
                    <w:t>，实现废水分类收集、分质处理，入园企业应在达到国家或地方规定的排放标准后接入集中式污水处理设施处理，园区集中式污水处理设施总排口应安装自动监控系统、视频监控系统，并与环境保护主管部门联网。</w:t>
                  </w:r>
                </w:p>
              </w:tc>
              <w:tc>
                <w:tcPr>
                  <w:tcW w:w="1137" w:type="pct"/>
                  <w:vMerge w:val="restart"/>
                  <w:vAlign w:val="center"/>
                </w:tcPr>
                <w:p w14:paraId="50478815">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项目用地部分还未布设污水管网，项目运营期生活污水经化粪池处理后用于施肥。</w:t>
                  </w:r>
                </w:p>
              </w:tc>
              <w:tc>
                <w:tcPr>
                  <w:tcW w:w="310" w:type="pct"/>
                  <w:vAlign w:val="center"/>
                </w:tcPr>
                <w:p w14:paraId="04D0773A">
                  <w:pPr>
                    <w:adjustRightInd w:val="0"/>
                    <w:snapToGrid w:val="0"/>
                    <w:jc w:val="center"/>
                    <w:rPr>
                      <w:snapToGrid w:val="0"/>
                      <w:color w:val="auto"/>
                      <w:kern w:val="0"/>
                      <w:szCs w:val="21"/>
                    </w:rPr>
                  </w:pPr>
                  <w:r>
                    <w:rPr>
                      <w:rFonts w:hint="eastAsia"/>
                      <w:snapToGrid w:val="0"/>
                      <w:color w:val="auto"/>
                      <w:kern w:val="0"/>
                      <w:szCs w:val="21"/>
                    </w:rPr>
                    <w:t>符合</w:t>
                  </w:r>
                </w:p>
              </w:tc>
            </w:tr>
            <w:tr w14:paraId="1E10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97" w:type="pct"/>
                  <w:vMerge w:val="continue"/>
                  <w:vAlign w:val="center"/>
                </w:tcPr>
                <w:p w14:paraId="126999D1">
                  <w:pPr>
                    <w:adjustRightInd w:val="0"/>
                    <w:snapToGrid w:val="0"/>
                    <w:jc w:val="center"/>
                    <w:rPr>
                      <w:snapToGrid w:val="0"/>
                      <w:color w:val="auto"/>
                      <w:kern w:val="0"/>
                      <w:szCs w:val="21"/>
                    </w:rPr>
                  </w:pPr>
                </w:p>
              </w:tc>
              <w:tc>
                <w:tcPr>
                  <w:tcW w:w="564" w:type="pct"/>
                  <w:vMerge w:val="continue"/>
                  <w:vAlign w:val="center"/>
                </w:tcPr>
                <w:p w14:paraId="63F7899E">
                  <w:pPr>
                    <w:adjustRightInd w:val="0"/>
                    <w:snapToGrid w:val="0"/>
                    <w:jc w:val="center"/>
                    <w:rPr>
                      <w:snapToGrid w:val="0"/>
                      <w:color w:val="auto"/>
                      <w:kern w:val="0"/>
                      <w:szCs w:val="21"/>
                    </w:rPr>
                  </w:pPr>
                </w:p>
              </w:tc>
              <w:tc>
                <w:tcPr>
                  <w:tcW w:w="418" w:type="pct"/>
                  <w:vMerge w:val="continue"/>
                  <w:vAlign w:val="center"/>
                </w:tcPr>
                <w:p w14:paraId="45043891">
                  <w:pPr>
                    <w:adjustRightInd w:val="0"/>
                    <w:snapToGrid w:val="0"/>
                    <w:jc w:val="center"/>
                    <w:rPr>
                      <w:snapToGrid w:val="0"/>
                      <w:color w:val="auto"/>
                      <w:kern w:val="0"/>
                      <w:szCs w:val="21"/>
                    </w:rPr>
                  </w:pPr>
                </w:p>
              </w:tc>
              <w:tc>
                <w:tcPr>
                  <w:tcW w:w="1871" w:type="pct"/>
                  <w:vAlign w:val="center"/>
                </w:tcPr>
                <w:p w14:paraId="5F39AF1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snapToGrid w:val="0"/>
                      <w:color w:val="auto"/>
                      <w:kern w:val="0"/>
                      <w:szCs w:val="21"/>
                    </w:rPr>
                  </w:pPr>
                  <w:r>
                    <w:rPr>
                      <w:rFonts w:eastAsia="宋体"/>
                      <w:color w:val="auto"/>
                      <w:highlight w:val="none"/>
                      <w:u w:val="none"/>
                    </w:rPr>
                    <w:t>3．园区及园区企业排放水污染物，要满足国家或者地方规定的水污染物排放标准和重点水污染物排放总量控制指标。</w:t>
                  </w:r>
                </w:p>
              </w:tc>
              <w:tc>
                <w:tcPr>
                  <w:tcW w:w="1137" w:type="pct"/>
                  <w:vMerge w:val="continue"/>
                  <w:vAlign w:val="center"/>
                </w:tcPr>
                <w:p w14:paraId="0251D90E">
                  <w:pPr>
                    <w:adjustRightInd w:val="0"/>
                    <w:snapToGrid w:val="0"/>
                    <w:jc w:val="center"/>
                    <w:rPr>
                      <w:snapToGrid w:val="0"/>
                      <w:color w:val="auto"/>
                      <w:kern w:val="0"/>
                      <w:szCs w:val="21"/>
                    </w:rPr>
                  </w:pPr>
                </w:p>
              </w:tc>
              <w:tc>
                <w:tcPr>
                  <w:tcW w:w="310" w:type="pct"/>
                  <w:vAlign w:val="center"/>
                </w:tcPr>
                <w:p w14:paraId="7B8EC847">
                  <w:pPr>
                    <w:adjustRightInd w:val="0"/>
                    <w:snapToGrid w:val="0"/>
                    <w:jc w:val="center"/>
                    <w:rPr>
                      <w:snapToGrid w:val="0"/>
                      <w:color w:val="auto"/>
                      <w:kern w:val="0"/>
                      <w:szCs w:val="21"/>
                    </w:rPr>
                  </w:pPr>
                  <w:r>
                    <w:rPr>
                      <w:rFonts w:hint="eastAsia"/>
                      <w:snapToGrid w:val="0"/>
                      <w:color w:val="auto"/>
                      <w:kern w:val="0"/>
                      <w:szCs w:val="21"/>
                    </w:rPr>
                    <w:t>符合</w:t>
                  </w:r>
                </w:p>
              </w:tc>
            </w:tr>
            <w:tr w14:paraId="57C2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697" w:type="pct"/>
                  <w:vMerge w:val="continue"/>
                  <w:vAlign w:val="center"/>
                </w:tcPr>
                <w:p w14:paraId="4D48EDB6">
                  <w:pPr>
                    <w:adjustRightInd w:val="0"/>
                    <w:snapToGrid w:val="0"/>
                    <w:jc w:val="center"/>
                    <w:rPr>
                      <w:snapToGrid w:val="0"/>
                      <w:color w:val="auto"/>
                      <w:kern w:val="0"/>
                      <w:szCs w:val="21"/>
                    </w:rPr>
                  </w:pPr>
                </w:p>
              </w:tc>
              <w:tc>
                <w:tcPr>
                  <w:tcW w:w="564" w:type="pct"/>
                  <w:vMerge w:val="continue"/>
                  <w:vAlign w:val="center"/>
                </w:tcPr>
                <w:p w14:paraId="27A8BD3D">
                  <w:pPr>
                    <w:adjustRightInd w:val="0"/>
                    <w:snapToGrid w:val="0"/>
                    <w:jc w:val="center"/>
                    <w:rPr>
                      <w:snapToGrid w:val="0"/>
                      <w:color w:val="auto"/>
                      <w:kern w:val="0"/>
                      <w:szCs w:val="21"/>
                    </w:rPr>
                  </w:pPr>
                </w:p>
              </w:tc>
              <w:tc>
                <w:tcPr>
                  <w:tcW w:w="418" w:type="pct"/>
                  <w:vMerge w:val="continue"/>
                  <w:vAlign w:val="center"/>
                </w:tcPr>
                <w:p w14:paraId="2763A758">
                  <w:pPr>
                    <w:adjustRightInd w:val="0"/>
                    <w:snapToGrid w:val="0"/>
                    <w:jc w:val="center"/>
                    <w:rPr>
                      <w:snapToGrid w:val="0"/>
                      <w:color w:val="auto"/>
                      <w:kern w:val="0"/>
                      <w:szCs w:val="21"/>
                    </w:rPr>
                  </w:pPr>
                </w:p>
              </w:tc>
              <w:tc>
                <w:tcPr>
                  <w:tcW w:w="1871" w:type="pct"/>
                  <w:vAlign w:val="center"/>
                </w:tcPr>
                <w:p w14:paraId="40A7BD0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snapToGrid w:val="0"/>
                      <w:color w:val="auto"/>
                      <w:kern w:val="0"/>
                      <w:szCs w:val="21"/>
                    </w:rPr>
                  </w:pPr>
                  <w:r>
                    <w:rPr>
                      <w:rFonts w:eastAsia="宋体"/>
                      <w:color w:val="auto"/>
                      <w:highlight w:val="none"/>
                      <w:u w:val="none"/>
                    </w:rPr>
                    <w:t>4</w:t>
                  </w:r>
                  <w:r>
                    <w:rPr>
                      <w:rFonts w:eastAsia="宋体"/>
                      <w:color w:val="auto"/>
                      <w:kern w:val="0"/>
                      <w:highlight w:val="none"/>
                      <w:u w:val="none"/>
                    </w:rPr>
                    <w:t>．</w:t>
                  </w:r>
                  <w:r>
                    <w:rPr>
                      <w:rFonts w:eastAsia="宋体"/>
                      <w:color w:val="auto"/>
                      <w:highlight w:val="none"/>
                      <w:u w:val="none"/>
                    </w:rPr>
                    <w:t>钢铁、水泥、焦化等重点产业全面推进行业达标排放改造，重点行业建设项目实行主要污染物排放等量或减量置换。新（改、扩）建钢铁企业同步建设烟气超低排放治理设施，达到超低排放限值要求。</w:t>
                  </w:r>
                </w:p>
              </w:tc>
              <w:tc>
                <w:tcPr>
                  <w:tcW w:w="1137" w:type="pct"/>
                  <w:vAlign w:val="center"/>
                </w:tcPr>
                <w:p w14:paraId="51391075">
                  <w:pPr>
                    <w:adjustRightInd w:val="0"/>
                    <w:snapToGrid w:val="0"/>
                    <w:jc w:val="center"/>
                    <w:rPr>
                      <w:snapToGrid w:val="0"/>
                      <w:color w:val="auto"/>
                      <w:kern w:val="0"/>
                      <w:szCs w:val="21"/>
                    </w:rPr>
                  </w:pPr>
                  <w:r>
                    <w:rPr>
                      <w:rFonts w:hint="eastAsia"/>
                      <w:snapToGrid w:val="0"/>
                      <w:color w:val="auto"/>
                      <w:kern w:val="0"/>
                      <w:szCs w:val="21"/>
                    </w:rPr>
                    <w:t>项目不涉及该项。</w:t>
                  </w:r>
                </w:p>
              </w:tc>
              <w:tc>
                <w:tcPr>
                  <w:tcW w:w="310" w:type="pct"/>
                  <w:vAlign w:val="center"/>
                </w:tcPr>
                <w:p w14:paraId="7CECE887">
                  <w:pPr>
                    <w:adjustRightInd w:val="0"/>
                    <w:snapToGrid w:val="0"/>
                    <w:jc w:val="center"/>
                    <w:rPr>
                      <w:snapToGrid w:val="0"/>
                      <w:color w:val="auto"/>
                      <w:kern w:val="0"/>
                      <w:szCs w:val="21"/>
                    </w:rPr>
                  </w:pPr>
                  <w:r>
                    <w:rPr>
                      <w:rFonts w:hint="eastAsia"/>
                      <w:snapToGrid w:val="0"/>
                      <w:color w:val="auto"/>
                      <w:kern w:val="0"/>
                      <w:szCs w:val="21"/>
                    </w:rPr>
                    <w:t>符合</w:t>
                  </w:r>
                </w:p>
              </w:tc>
            </w:tr>
            <w:tr w14:paraId="6E6F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697" w:type="pct"/>
                  <w:vMerge w:val="continue"/>
                  <w:vAlign w:val="center"/>
                </w:tcPr>
                <w:p w14:paraId="122C72F0">
                  <w:pPr>
                    <w:adjustRightInd w:val="0"/>
                    <w:snapToGrid w:val="0"/>
                    <w:jc w:val="center"/>
                    <w:rPr>
                      <w:snapToGrid w:val="0"/>
                      <w:color w:val="auto"/>
                      <w:kern w:val="0"/>
                      <w:szCs w:val="21"/>
                    </w:rPr>
                  </w:pPr>
                </w:p>
              </w:tc>
              <w:tc>
                <w:tcPr>
                  <w:tcW w:w="564" w:type="pct"/>
                  <w:vMerge w:val="continue"/>
                  <w:vAlign w:val="center"/>
                </w:tcPr>
                <w:p w14:paraId="0B3C81FC">
                  <w:pPr>
                    <w:adjustRightInd w:val="0"/>
                    <w:snapToGrid w:val="0"/>
                    <w:jc w:val="center"/>
                    <w:rPr>
                      <w:snapToGrid w:val="0"/>
                      <w:color w:val="auto"/>
                      <w:kern w:val="0"/>
                      <w:szCs w:val="21"/>
                    </w:rPr>
                  </w:pPr>
                </w:p>
              </w:tc>
              <w:tc>
                <w:tcPr>
                  <w:tcW w:w="418" w:type="pct"/>
                  <w:vMerge w:val="continue"/>
                  <w:vAlign w:val="center"/>
                </w:tcPr>
                <w:p w14:paraId="05D21FA2">
                  <w:pPr>
                    <w:adjustRightInd w:val="0"/>
                    <w:snapToGrid w:val="0"/>
                    <w:jc w:val="center"/>
                    <w:rPr>
                      <w:snapToGrid w:val="0"/>
                      <w:color w:val="auto"/>
                      <w:kern w:val="0"/>
                      <w:szCs w:val="21"/>
                    </w:rPr>
                  </w:pPr>
                </w:p>
              </w:tc>
              <w:tc>
                <w:tcPr>
                  <w:tcW w:w="1871" w:type="pct"/>
                  <w:vAlign w:val="center"/>
                </w:tcPr>
                <w:p w14:paraId="5C6C352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snapToGrid w:val="0"/>
                      <w:color w:val="auto"/>
                      <w:kern w:val="0"/>
                      <w:szCs w:val="21"/>
                    </w:rPr>
                  </w:pPr>
                  <w:r>
                    <w:rPr>
                      <w:rFonts w:hint="eastAsia"/>
                      <w:color w:val="auto"/>
                      <w:highlight w:val="none"/>
                      <w:u w:val="none"/>
                      <w:lang w:val="en-US" w:eastAsia="zh-CN"/>
                    </w:rPr>
                    <w:t>5</w:t>
                  </w:r>
                  <w:r>
                    <w:rPr>
                      <w:rFonts w:eastAsia="宋体"/>
                      <w:color w:val="auto"/>
                      <w:kern w:val="0"/>
                      <w:highlight w:val="none"/>
                      <w:u w:val="none"/>
                    </w:rPr>
                    <w:t>．</w:t>
                  </w:r>
                  <w:r>
                    <w:rPr>
                      <w:rFonts w:eastAsia="宋体"/>
                      <w:color w:val="auto"/>
                      <w:highlight w:val="none"/>
                      <w:u w:val="none"/>
                    </w:rPr>
                    <w:t>推动石化、化工、工业涂装、包装印刷、合成材料等重点行业挥发性有机物（VOCs）污染防治。推动石化行业VOCs泄漏检测与修复行动、VOCs削减和有毒有害原料替代。加快实施低VOCs 含量原辅材料替代。有条件园区可建设集中喷涂工程中心，配备高效治污设施，替代企业独立喷涂工序。</w:t>
                  </w:r>
                </w:p>
              </w:tc>
              <w:tc>
                <w:tcPr>
                  <w:tcW w:w="1137" w:type="pct"/>
                  <w:vAlign w:val="center"/>
                </w:tcPr>
                <w:p w14:paraId="00F3DFA8">
                  <w:pPr>
                    <w:adjustRightInd w:val="0"/>
                    <w:snapToGrid w:val="0"/>
                    <w:jc w:val="center"/>
                    <w:rPr>
                      <w:snapToGrid w:val="0"/>
                      <w:color w:val="auto"/>
                      <w:kern w:val="0"/>
                      <w:szCs w:val="21"/>
                    </w:rPr>
                  </w:pPr>
                  <w:r>
                    <w:rPr>
                      <w:rFonts w:hint="eastAsia"/>
                      <w:snapToGrid w:val="0"/>
                      <w:color w:val="auto"/>
                      <w:kern w:val="0"/>
                      <w:szCs w:val="21"/>
                    </w:rPr>
                    <w:t>项目不涉及该项。</w:t>
                  </w:r>
                </w:p>
              </w:tc>
              <w:tc>
                <w:tcPr>
                  <w:tcW w:w="310" w:type="pct"/>
                  <w:vAlign w:val="center"/>
                </w:tcPr>
                <w:p w14:paraId="55B76AF4">
                  <w:pPr>
                    <w:adjustRightInd w:val="0"/>
                    <w:snapToGrid w:val="0"/>
                    <w:jc w:val="center"/>
                    <w:rPr>
                      <w:snapToGrid w:val="0"/>
                      <w:color w:val="auto"/>
                      <w:kern w:val="0"/>
                      <w:szCs w:val="21"/>
                    </w:rPr>
                  </w:pPr>
                  <w:r>
                    <w:rPr>
                      <w:rFonts w:hint="eastAsia"/>
                      <w:snapToGrid w:val="0"/>
                      <w:color w:val="auto"/>
                      <w:kern w:val="0"/>
                      <w:szCs w:val="21"/>
                    </w:rPr>
                    <w:t>符合</w:t>
                  </w:r>
                </w:p>
              </w:tc>
            </w:tr>
            <w:tr w14:paraId="6A15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697" w:type="pct"/>
                  <w:vMerge w:val="continue"/>
                  <w:vAlign w:val="center"/>
                </w:tcPr>
                <w:p w14:paraId="2B16E4AF">
                  <w:pPr>
                    <w:adjustRightInd w:val="0"/>
                    <w:snapToGrid w:val="0"/>
                    <w:jc w:val="center"/>
                    <w:rPr>
                      <w:snapToGrid w:val="0"/>
                      <w:color w:val="auto"/>
                      <w:kern w:val="0"/>
                      <w:szCs w:val="21"/>
                    </w:rPr>
                  </w:pPr>
                </w:p>
              </w:tc>
              <w:tc>
                <w:tcPr>
                  <w:tcW w:w="564" w:type="pct"/>
                  <w:vMerge w:val="continue"/>
                  <w:vAlign w:val="center"/>
                </w:tcPr>
                <w:p w14:paraId="4A21A54A">
                  <w:pPr>
                    <w:adjustRightInd w:val="0"/>
                    <w:snapToGrid w:val="0"/>
                    <w:jc w:val="center"/>
                    <w:rPr>
                      <w:snapToGrid w:val="0"/>
                      <w:color w:val="auto"/>
                      <w:kern w:val="0"/>
                      <w:szCs w:val="21"/>
                    </w:rPr>
                  </w:pPr>
                </w:p>
              </w:tc>
              <w:tc>
                <w:tcPr>
                  <w:tcW w:w="418" w:type="pct"/>
                  <w:vMerge w:val="continue"/>
                  <w:vAlign w:val="center"/>
                </w:tcPr>
                <w:p w14:paraId="5C623BFB">
                  <w:pPr>
                    <w:adjustRightInd w:val="0"/>
                    <w:snapToGrid w:val="0"/>
                    <w:jc w:val="center"/>
                    <w:rPr>
                      <w:snapToGrid w:val="0"/>
                      <w:color w:val="auto"/>
                      <w:kern w:val="0"/>
                      <w:szCs w:val="21"/>
                    </w:rPr>
                  </w:pPr>
                </w:p>
              </w:tc>
              <w:tc>
                <w:tcPr>
                  <w:tcW w:w="1871" w:type="pct"/>
                  <w:vAlign w:val="center"/>
                </w:tcPr>
                <w:p w14:paraId="433EA58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snapToGrid w:val="0"/>
                      <w:color w:val="auto"/>
                      <w:kern w:val="0"/>
                      <w:szCs w:val="21"/>
                    </w:rPr>
                  </w:pPr>
                  <w:r>
                    <w:rPr>
                      <w:rFonts w:hint="eastAsia"/>
                      <w:color w:val="auto"/>
                      <w:highlight w:val="none"/>
                      <w:u w:val="none"/>
                      <w:lang w:val="en-US" w:eastAsia="zh-CN"/>
                    </w:rPr>
                    <w:t>6</w:t>
                  </w:r>
                  <w:r>
                    <w:rPr>
                      <w:rFonts w:eastAsia="宋体"/>
                      <w:color w:val="auto"/>
                      <w:kern w:val="0"/>
                      <w:highlight w:val="none"/>
                      <w:u w:val="none"/>
                    </w:rPr>
                    <w:t>．</w:t>
                  </w:r>
                  <w:r>
                    <w:rPr>
                      <w:rFonts w:eastAsia="宋体"/>
                      <w:color w:val="auto"/>
                      <w:highlight w:val="none"/>
                      <w:u w:val="none"/>
                    </w:rPr>
                    <w:t>2025年底前，完成65蒸吨/小时以上的燃煤锅炉（含电力）超低排放改造。生物质锅炉氮氧化物排放浓度无法稳定达标的，加装高效脱硝设施。燃气锅炉实施低氮燃烧改造。</w:t>
                  </w:r>
                </w:p>
              </w:tc>
              <w:tc>
                <w:tcPr>
                  <w:tcW w:w="1137" w:type="pct"/>
                  <w:vAlign w:val="center"/>
                </w:tcPr>
                <w:p w14:paraId="6973D5F0">
                  <w:pPr>
                    <w:adjustRightInd w:val="0"/>
                    <w:snapToGrid w:val="0"/>
                    <w:jc w:val="center"/>
                    <w:rPr>
                      <w:snapToGrid w:val="0"/>
                      <w:color w:val="auto"/>
                      <w:kern w:val="0"/>
                      <w:szCs w:val="21"/>
                    </w:rPr>
                  </w:pPr>
                  <w:r>
                    <w:rPr>
                      <w:rFonts w:hint="eastAsia"/>
                      <w:snapToGrid w:val="0"/>
                      <w:color w:val="auto"/>
                      <w:kern w:val="0"/>
                      <w:szCs w:val="21"/>
                    </w:rPr>
                    <w:t>项目不涉及该项。</w:t>
                  </w:r>
                </w:p>
              </w:tc>
              <w:tc>
                <w:tcPr>
                  <w:tcW w:w="310" w:type="pct"/>
                  <w:vAlign w:val="center"/>
                </w:tcPr>
                <w:p w14:paraId="151CB061">
                  <w:pPr>
                    <w:adjustRightInd w:val="0"/>
                    <w:snapToGrid w:val="0"/>
                    <w:jc w:val="center"/>
                    <w:rPr>
                      <w:snapToGrid w:val="0"/>
                      <w:color w:val="auto"/>
                      <w:kern w:val="0"/>
                      <w:szCs w:val="21"/>
                    </w:rPr>
                  </w:pPr>
                  <w:r>
                    <w:rPr>
                      <w:rFonts w:hint="eastAsia"/>
                      <w:snapToGrid w:val="0"/>
                      <w:color w:val="auto"/>
                      <w:kern w:val="0"/>
                      <w:szCs w:val="21"/>
                    </w:rPr>
                    <w:t>符合</w:t>
                  </w:r>
                </w:p>
              </w:tc>
            </w:tr>
            <w:tr w14:paraId="5830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697" w:type="pct"/>
                  <w:vMerge w:val="continue"/>
                  <w:vAlign w:val="center"/>
                </w:tcPr>
                <w:p w14:paraId="51E2F978">
                  <w:pPr>
                    <w:adjustRightInd w:val="0"/>
                    <w:snapToGrid w:val="0"/>
                    <w:jc w:val="center"/>
                    <w:rPr>
                      <w:snapToGrid w:val="0"/>
                      <w:color w:val="auto"/>
                      <w:kern w:val="0"/>
                      <w:szCs w:val="21"/>
                    </w:rPr>
                  </w:pPr>
                </w:p>
              </w:tc>
              <w:tc>
                <w:tcPr>
                  <w:tcW w:w="564" w:type="pct"/>
                  <w:vMerge w:val="continue"/>
                  <w:vAlign w:val="center"/>
                </w:tcPr>
                <w:p w14:paraId="5B48DA4D">
                  <w:pPr>
                    <w:adjustRightInd w:val="0"/>
                    <w:snapToGrid w:val="0"/>
                    <w:jc w:val="center"/>
                    <w:rPr>
                      <w:snapToGrid w:val="0"/>
                      <w:color w:val="auto"/>
                      <w:kern w:val="0"/>
                      <w:szCs w:val="21"/>
                    </w:rPr>
                  </w:pPr>
                </w:p>
              </w:tc>
              <w:tc>
                <w:tcPr>
                  <w:tcW w:w="418" w:type="pct"/>
                  <w:vMerge w:val="continue"/>
                  <w:vAlign w:val="center"/>
                </w:tcPr>
                <w:p w14:paraId="54545D48">
                  <w:pPr>
                    <w:adjustRightInd w:val="0"/>
                    <w:snapToGrid w:val="0"/>
                    <w:jc w:val="center"/>
                    <w:rPr>
                      <w:snapToGrid w:val="0"/>
                      <w:color w:val="auto"/>
                      <w:kern w:val="0"/>
                      <w:szCs w:val="21"/>
                    </w:rPr>
                  </w:pPr>
                </w:p>
              </w:tc>
              <w:tc>
                <w:tcPr>
                  <w:tcW w:w="1871" w:type="pct"/>
                  <w:vAlign w:val="center"/>
                </w:tcPr>
                <w:p w14:paraId="5A01588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napToGrid w:val="0"/>
                      <w:color w:val="auto"/>
                      <w:kern w:val="0"/>
                      <w:szCs w:val="21"/>
                      <w:lang w:val="en-US" w:eastAsia="zh-CN"/>
                    </w:rPr>
                  </w:pPr>
                  <w:r>
                    <w:rPr>
                      <w:rFonts w:hint="eastAsia"/>
                      <w:color w:val="auto"/>
                      <w:highlight w:val="none"/>
                      <w:u w:val="none"/>
                      <w:lang w:val="en-US" w:eastAsia="zh-CN"/>
                    </w:rPr>
                    <w:t>7</w:t>
                  </w:r>
                  <w:r>
                    <w:rPr>
                      <w:rFonts w:eastAsia="宋体"/>
                      <w:color w:val="auto"/>
                      <w:kern w:val="0"/>
                      <w:highlight w:val="none"/>
                      <w:u w:val="none"/>
                    </w:rPr>
                    <w:t>．</w:t>
                  </w:r>
                  <w:r>
                    <w:rPr>
                      <w:rFonts w:eastAsia="宋体"/>
                      <w:color w:val="auto"/>
                      <w:highlight w:val="none"/>
                      <w:u w:val="none"/>
                    </w:rPr>
                    <w:t>推进园区重点行业节能降碳，重点开展钢铁、有色金属等行业节能降碳改造、工业革新和数字化转型。</w:t>
                  </w:r>
                </w:p>
              </w:tc>
              <w:tc>
                <w:tcPr>
                  <w:tcW w:w="1137" w:type="pct"/>
                  <w:vAlign w:val="center"/>
                </w:tcPr>
                <w:p w14:paraId="0009D5E6">
                  <w:pPr>
                    <w:adjustRightInd w:val="0"/>
                    <w:snapToGrid w:val="0"/>
                    <w:jc w:val="center"/>
                    <w:rPr>
                      <w:rFonts w:hint="eastAsia"/>
                      <w:snapToGrid w:val="0"/>
                      <w:color w:val="auto"/>
                      <w:kern w:val="0"/>
                      <w:szCs w:val="21"/>
                    </w:rPr>
                  </w:pPr>
                  <w:r>
                    <w:rPr>
                      <w:rFonts w:hint="eastAsia"/>
                      <w:snapToGrid w:val="0"/>
                      <w:color w:val="auto"/>
                      <w:kern w:val="0"/>
                      <w:szCs w:val="21"/>
                    </w:rPr>
                    <w:t>项目不涉及该项。</w:t>
                  </w:r>
                </w:p>
              </w:tc>
              <w:tc>
                <w:tcPr>
                  <w:tcW w:w="310" w:type="pct"/>
                  <w:vAlign w:val="center"/>
                </w:tcPr>
                <w:p w14:paraId="761EC0ED">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2D6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697" w:type="pct"/>
                  <w:vMerge w:val="continue"/>
                  <w:vAlign w:val="center"/>
                </w:tcPr>
                <w:p w14:paraId="0F6F33EB">
                  <w:pPr>
                    <w:adjustRightInd w:val="0"/>
                    <w:snapToGrid w:val="0"/>
                    <w:jc w:val="center"/>
                    <w:rPr>
                      <w:snapToGrid w:val="0"/>
                      <w:color w:val="auto"/>
                      <w:kern w:val="0"/>
                      <w:szCs w:val="21"/>
                    </w:rPr>
                  </w:pPr>
                </w:p>
              </w:tc>
              <w:tc>
                <w:tcPr>
                  <w:tcW w:w="564" w:type="pct"/>
                  <w:vMerge w:val="continue"/>
                  <w:vAlign w:val="center"/>
                </w:tcPr>
                <w:p w14:paraId="54CCD366">
                  <w:pPr>
                    <w:adjustRightInd w:val="0"/>
                    <w:snapToGrid w:val="0"/>
                    <w:jc w:val="center"/>
                    <w:rPr>
                      <w:snapToGrid w:val="0"/>
                      <w:color w:val="auto"/>
                      <w:kern w:val="0"/>
                      <w:szCs w:val="21"/>
                    </w:rPr>
                  </w:pPr>
                </w:p>
              </w:tc>
              <w:tc>
                <w:tcPr>
                  <w:tcW w:w="418" w:type="pct"/>
                  <w:vMerge w:val="continue"/>
                  <w:vAlign w:val="center"/>
                </w:tcPr>
                <w:p w14:paraId="20A5C2E1">
                  <w:pPr>
                    <w:adjustRightInd w:val="0"/>
                    <w:snapToGrid w:val="0"/>
                    <w:jc w:val="center"/>
                    <w:rPr>
                      <w:snapToGrid w:val="0"/>
                      <w:color w:val="auto"/>
                      <w:kern w:val="0"/>
                      <w:szCs w:val="21"/>
                    </w:rPr>
                  </w:pPr>
                </w:p>
              </w:tc>
              <w:tc>
                <w:tcPr>
                  <w:tcW w:w="1871" w:type="pct"/>
                  <w:vAlign w:val="center"/>
                </w:tcPr>
                <w:p w14:paraId="57D9D0B0">
                  <w:pPr>
                    <w:pStyle w:val="93"/>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snapToGrid w:val="0"/>
                      <w:color w:val="auto"/>
                      <w:kern w:val="0"/>
                      <w:szCs w:val="21"/>
                      <w:lang w:val="en-US" w:eastAsia="zh-CN"/>
                    </w:rPr>
                  </w:pPr>
                  <w:r>
                    <w:rPr>
                      <w:rFonts w:hint="eastAsia"/>
                      <w:color w:val="auto"/>
                      <w:kern w:val="0"/>
                      <w:highlight w:val="none"/>
                      <w:u w:val="none"/>
                      <w:lang w:val="en-US" w:eastAsia="zh-CN"/>
                    </w:rPr>
                    <w:t>8</w:t>
                  </w:r>
                  <w:r>
                    <w:rPr>
                      <w:rFonts w:eastAsia="宋体"/>
                      <w:color w:val="auto"/>
                      <w:kern w:val="0"/>
                      <w:highlight w:val="none"/>
                      <w:u w:val="none"/>
                    </w:rPr>
                    <w:t>．新建石化和化工生产项目污染物排放必须同时满足污染物排放标准和主要污染物总量控制要求。</w:t>
                  </w:r>
                </w:p>
              </w:tc>
              <w:tc>
                <w:tcPr>
                  <w:tcW w:w="1137" w:type="pct"/>
                  <w:vAlign w:val="center"/>
                </w:tcPr>
                <w:p w14:paraId="0FDF19EA">
                  <w:pPr>
                    <w:adjustRightInd w:val="0"/>
                    <w:snapToGrid w:val="0"/>
                    <w:jc w:val="center"/>
                    <w:rPr>
                      <w:rFonts w:hint="eastAsia"/>
                      <w:snapToGrid w:val="0"/>
                      <w:color w:val="auto"/>
                      <w:kern w:val="0"/>
                      <w:szCs w:val="21"/>
                    </w:rPr>
                  </w:pPr>
                  <w:r>
                    <w:rPr>
                      <w:rFonts w:hint="eastAsia"/>
                      <w:snapToGrid w:val="0"/>
                      <w:color w:val="auto"/>
                      <w:kern w:val="0"/>
                      <w:szCs w:val="21"/>
                    </w:rPr>
                    <w:t>项目不涉及该项。</w:t>
                  </w:r>
                </w:p>
              </w:tc>
              <w:tc>
                <w:tcPr>
                  <w:tcW w:w="310" w:type="pct"/>
                  <w:vAlign w:val="center"/>
                </w:tcPr>
                <w:p w14:paraId="00F2AF8E">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52A4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trPr>
              <w:tc>
                <w:tcPr>
                  <w:tcW w:w="697" w:type="pct"/>
                  <w:vMerge w:val="continue"/>
                  <w:vAlign w:val="center"/>
                </w:tcPr>
                <w:p w14:paraId="6AA14E1E">
                  <w:pPr>
                    <w:adjustRightInd w:val="0"/>
                    <w:snapToGrid w:val="0"/>
                    <w:jc w:val="center"/>
                    <w:rPr>
                      <w:snapToGrid w:val="0"/>
                      <w:color w:val="auto"/>
                      <w:kern w:val="0"/>
                      <w:szCs w:val="21"/>
                    </w:rPr>
                  </w:pPr>
                </w:p>
              </w:tc>
              <w:tc>
                <w:tcPr>
                  <w:tcW w:w="564" w:type="pct"/>
                  <w:vMerge w:val="continue"/>
                  <w:vAlign w:val="center"/>
                </w:tcPr>
                <w:p w14:paraId="0B98BA9C">
                  <w:pPr>
                    <w:adjustRightInd w:val="0"/>
                    <w:snapToGrid w:val="0"/>
                    <w:jc w:val="center"/>
                    <w:rPr>
                      <w:snapToGrid w:val="0"/>
                      <w:color w:val="auto"/>
                      <w:kern w:val="0"/>
                      <w:szCs w:val="21"/>
                    </w:rPr>
                  </w:pPr>
                </w:p>
              </w:tc>
              <w:tc>
                <w:tcPr>
                  <w:tcW w:w="418" w:type="pct"/>
                  <w:vMerge w:val="continue"/>
                  <w:vAlign w:val="center"/>
                </w:tcPr>
                <w:p w14:paraId="192DA783">
                  <w:pPr>
                    <w:adjustRightInd w:val="0"/>
                    <w:snapToGrid w:val="0"/>
                    <w:jc w:val="center"/>
                    <w:rPr>
                      <w:snapToGrid w:val="0"/>
                      <w:color w:val="auto"/>
                      <w:kern w:val="0"/>
                      <w:szCs w:val="21"/>
                    </w:rPr>
                  </w:pPr>
                </w:p>
              </w:tc>
              <w:tc>
                <w:tcPr>
                  <w:tcW w:w="1871" w:type="pct"/>
                  <w:vAlign w:val="center"/>
                </w:tcPr>
                <w:p w14:paraId="57859A6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napToGrid w:val="0"/>
                      <w:color w:val="auto"/>
                      <w:kern w:val="0"/>
                      <w:szCs w:val="21"/>
                      <w:lang w:val="en-US" w:eastAsia="zh-CN"/>
                    </w:rPr>
                  </w:pPr>
                  <w:r>
                    <w:rPr>
                      <w:rFonts w:hint="eastAsia"/>
                      <w:color w:val="auto"/>
                      <w:kern w:val="0"/>
                      <w:highlight w:val="none"/>
                      <w:u w:val="none"/>
                      <w:lang w:val="en-US" w:eastAsia="zh-CN"/>
                    </w:rPr>
                    <w:t>9</w:t>
                  </w:r>
                  <w:r>
                    <w:rPr>
                      <w:rFonts w:eastAsia="宋体"/>
                      <w:color w:val="auto"/>
                      <w:kern w:val="0"/>
                      <w:highlight w:val="none"/>
                      <w:u w:val="none"/>
                    </w:rPr>
                    <w:t>．</w:t>
                  </w:r>
                  <w:r>
                    <w:rPr>
                      <w:rFonts w:eastAsia="宋体"/>
                      <w:color w:val="auto"/>
                      <w:highlight w:val="none"/>
                      <w:u w:val="none"/>
                    </w:rPr>
                    <w:t>新建石化和化工生产项目应配套固废综合利用或无害化处理设施，危险废物应按照国家及自治区相关危险废物的管理规定进行贮存、转移、安全处置。涉及有毒、有害物质的重点场所或者重点设施设备，应进行防渗漏设计和建设，消除土壤和地下水污染隐患。</w:t>
                  </w:r>
                </w:p>
              </w:tc>
              <w:tc>
                <w:tcPr>
                  <w:tcW w:w="1137" w:type="pct"/>
                  <w:vAlign w:val="center"/>
                </w:tcPr>
                <w:p w14:paraId="1AA265CC">
                  <w:pPr>
                    <w:adjustRightInd w:val="0"/>
                    <w:snapToGrid w:val="0"/>
                    <w:jc w:val="center"/>
                    <w:rPr>
                      <w:rFonts w:hint="eastAsia"/>
                      <w:snapToGrid w:val="0"/>
                      <w:color w:val="auto"/>
                      <w:kern w:val="0"/>
                      <w:szCs w:val="21"/>
                    </w:rPr>
                  </w:pPr>
                  <w:r>
                    <w:rPr>
                      <w:rFonts w:hint="eastAsia"/>
                      <w:snapToGrid w:val="0"/>
                      <w:color w:val="auto"/>
                      <w:kern w:val="0"/>
                      <w:szCs w:val="21"/>
                    </w:rPr>
                    <w:t>项目不涉及该项。</w:t>
                  </w:r>
                </w:p>
              </w:tc>
              <w:tc>
                <w:tcPr>
                  <w:tcW w:w="310" w:type="pct"/>
                  <w:vAlign w:val="center"/>
                </w:tcPr>
                <w:p w14:paraId="0CC09CD4">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7BDF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697" w:type="pct"/>
                  <w:vMerge w:val="continue"/>
                  <w:vAlign w:val="center"/>
                </w:tcPr>
                <w:p w14:paraId="352325BF">
                  <w:pPr>
                    <w:adjustRightInd w:val="0"/>
                    <w:snapToGrid w:val="0"/>
                    <w:jc w:val="center"/>
                    <w:rPr>
                      <w:rFonts w:hint="eastAsia"/>
                      <w:snapToGrid w:val="0"/>
                      <w:color w:val="auto"/>
                      <w:kern w:val="0"/>
                      <w:szCs w:val="21"/>
                    </w:rPr>
                  </w:pPr>
                </w:p>
              </w:tc>
              <w:tc>
                <w:tcPr>
                  <w:tcW w:w="564" w:type="pct"/>
                  <w:vMerge w:val="continue"/>
                  <w:vAlign w:val="center"/>
                </w:tcPr>
                <w:p w14:paraId="76180C1E">
                  <w:pPr>
                    <w:adjustRightInd w:val="0"/>
                    <w:snapToGrid w:val="0"/>
                    <w:jc w:val="center"/>
                    <w:rPr>
                      <w:rFonts w:hint="eastAsia"/>
                      <w:snapToGrid w:val="0"/>
                      <w:color w:val="auto"/>
                      <w:kern w:val="0"/>
                      <w:szCs w:val="21"/>
                    </w:rPr>
                  </w:pPr>
                </w:p>
              </w:tc>
              <w:tc>
                <w:tcPr>
                  <w:tcW w:w="418" w:type="pct"/>
                  <w:vMerge w:val="restart"/>
                  <w:vAlign w:val="center"/>
                </w:tcPr>
                <w:p w14:paraId="797782BC">
                  <w:pPr>
                    <w:adjustRightInd w:val="0"/>
                    <w:snapToGrid w:val="0"/>
                    <w:jc w:val="center"/>
                    <w:rPr>
                      <w:snapToGrid w:val="0"/>
                      <w:color w:val="auto"/>
                      <w:kern w:val="0"/>
                      <w:szCs w:val="21"/>
                    </w:rPr>
                  </w:pPr>
                  <w:r>
                    <w:rPr>
                      <w:rFonts w:hint="eastAsia"/>
                      <w:snapToGrid w:val="0"/>
                      <w:color w:val="auto"/>
                      <w:kern w:val="0"/>
                      <w:szCs w:val="21"/>
                    </w:rPr>
                    <w:t>环境风险防控</w:t>
                  </w:r>
                </w:p>
              </w:tc>
              <w:tc>
                <w:tcPr>
                  <w:tcW w:w="1871" w:type="pct"/>
                  <w:shd w:val="clear" w:color="auto" w:fill="auto"/>
                  <w:vAlign w:val="center"/>
                </w:tcPr>
                <w:p w14:paraId="0B9EAB6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napToGrid w:val="0"/>
                      <w:color w:val="auto"/>
                      <w:kern w:val="0"/>
                      <w:sz w:val="21"/>
                      <w:szCs w:val="21"/>
                      <w:lang w:val="en-US" w:eastAsia="zh-CN" w:bidi="ar-SA"/>
                    </w:rPr>
                  </w:pPr>
                  <w:r>
                    <w:rPr>
                      <w:rFonts w:eastAsia="宋体"/>
                      <w:color w:val="auto"/>
                      <w:highlight w:val="none"/>
                      <w:u w:val="none"/>
                    </w:rPr>
                    <w:t>1</w:t>
                  </w:r>
                  <w:r>
                    <w:rPr>
                      <w:rFonts w:eastAsia="宋体"/>
                      <w:color w:val="auto"/>
                      <w:kern w:val="0"/>
                      <w:highlight w:val="none"/>
                      <w:u w:val="none"/>
                    </w:rPr>
                    <w:t>．</w:t>
                  </w:r>
                  <w:r>
                    <w:rPr>
                      <w:rFonts w:eastAsia="宋体"/>
                      <w:color w:val="auto"/>
                      <w:highlight w:val="none"/>
                      <w:u w:val="none"/>
                    </w:rPr>
                    <w:t>建设项目应严格落实环境保护措施和环境风险防范措施，防范对东湾红树林保护区、北部湾二长棘鲷长毛对虾国家级水产种质资源保护区、渔业养殖区等周边生态环境敏感区产生不良环境影响。</w:t>
                  </w:r>
                </w:p>
              </w:tc>
              <w:tc>
                <w:tcPr>
                  <w:tcW w:w="1137" w:type="pct"/>
                  <w:vAlign w:val="center"/>
                </w:tcPr>
                <w:p w14:paraId="35F18804">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项目不涉及东湾红树林保护区、北部湾二长棘鲷长毛对虾国家级水产种质资源保护区、渔业养殖区等生态环境敏感区。</w:t>
                  </w:r>
                </w:p>
              </w:tc>
              <w:tc>
                <w:tcPr>
                  <w:tcW w:w="310" w:type="pct"/>
                  <w:vAlign w:val="center"/>
                </w:tcPr>
                <w:p w14:paraId="7FC3CA17">
                  <w:pPr>
                    <w:adjustRightInd w:val="0"/>
                    <w:snapToGrid w:val="0"/>
                    <w:jc w:val="center"/>
                    <w:rPr>
                      <w:rFonts w:hint="eastAsia"/>
                      <w:snapToGrid w:val="0"/>
                      <w:color w:val="auto"/>
                      <w:kern w:val="0"/>
                      <w:szCs w:val="21"/>
                    </w:rPr>
                  </w:pPr>
                  <w:r>
                    <w:rPr>
                      <w:rFonts w:hint="eastAsia"/>
                      <w:snapToGrid w:val="0"/>
                      <w:color w:val="auto"/>
                      <w:kern w:val="0"/>
                      <w:szCs w:val="21"/>
                    </w:rPr>
                    <w:t>符合</w:t>
                  </w:r>
                </w:p>
              </w:tc>
            </w:tr>
            <w:tr w14:paraId="68C6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697" w:type="pct"/>
                  <w:vMerge w:val="continue"/>
                  <w:vAlign w:val="center"/>
                </w:tcPr>
                <w:p w14:paraId="0DD1663A">
                  <w:pPr>
                    <w:adjustRightInd w:val="0"/>
                    <w:snapToGrid w:val="0"/>
                    <w:jc w:val="center"/>
                    <w:rPr>
                      <w:snapToGrid w:val="0"/>
                      <w:color w:val="auto"/>
                      <w:kern w:val="0"/>
                      <w:szCs w:val="21"/>
                    </w:rPr>
                  </w:pPr>
                </w:p>
              </w:tc>
              <w:tc>
                <w:tcPr>
                  <w:tcW w:w="564" w:type="pct"/>
                  <w:vMerge w:val="continue"/>
                  <w:vAlign w:val="center"/>
                </w:tcPr>
                <w:p w14:paraId="158E7BE4">
                  <w:pPr>
                    <w:adjustRightInd w:val="0"/>
                    <w:snapToGrid w:val="0"/>
                    <w:jc w:val="center"/>
                    <w:rPr>
                      <w:snapToGrid w:val="0"/>
                      <w:color w:val="auto"/>
                      <w:kern w:val="0"/>
                      <w:szCs w:val="21"/>
                    </w:rPr>
                  </w:pPr>
                </w:p>
              </w:tc>
              <w:tc>
                <w:tcPr>
                  <w:tcW w:w="418" w:type="pct"/>
                  <w:vMerge w:val="continue"/>
                  <w:vAlign w:val="center"/>
                </w:tcPr>
                <w:p w14:paraId="065B9580">
                  <w:pPr>
                    <w:adjustRightInd w:val="0"/>
                    <w:snapToGrid w:val="0"/>
                    <w:jc w:val="center"/>
                    <w:rPr>
                      <w:snapToGrid w:val="0"/>
                      <w:color w:val="auto"/>
                      <w:kern w:val="0"/>
                      <w:szCs w:val="21"/>
                    </w:rPr>
                  </w:pPr>
                </w:p>
              </w:tc>
              <w:tc>
                <w:tcPr>
                  <w:tcW w:w="1871" w:type="pct"/>
                  <w:shd w:val="clear" w:color="auto" w:fill="auto"/>
                  <w:vAlign w:val="center"/>
                </w:tcPr>
                <w:p w14:paraId="5D8D856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snapToGrid w:val="0"/>
                      <w:color w:val="auto"/>
                      <w:kern w:val="0"/>
                      <w:szCs w:val="21"/>
                      <w:lang w:val="en-US" w:eastAsia="zh-CN"/>
                    </w:rPr>
                  </w:pPr>
                  <w:r>
                    <w:rPr>
                      <w:rFonts w:eastAsia="宋体"/>
                      <w:color w:val="auto"/>
                      <w:highlight w:val="none"/>
                      <w:u w:val="none"/>
                    </w:rPr>
                    <w:t>2</w:t>
                  </w:r>
                  <w:r>
                    <w:rPr>
                      <w:rFonts w:eastAsia="宋体"/>
                      <w:color w:val="auto"/>
                      <w:kern w:val="0"/>
                      <w:highlight w:val="none"/>
                      <w:u w:val="none"/>
                    </w:rPr>
                    <w:t>．</w:t>
                  </w:r>
                  <w:r>
                    <w:rPr>
                      <w:rFonts w:eastAsia="宋体"/>
                      <w:color w:val="auto"/>
                      <w:highlight w:val="none"/>
                      <w:u w:val="none"/>
                    </w:rPr>
                    <w:t>开展环境风险评估，制定突发环境事件应急预案并备案，配备应急能力和物资，建设环境应急队伍，并定期演练。企业、园区与地方人民政府环境应急预案应当有机衔接。</w:t>
                  </w:r>
                </w:p>
              </w:tc>
              <w:tc>
                <w:tcPr>
                  <w:tcW w:w="1137" w:type="pct"/>
                  <w:vAlign w:val="center"/>
                </w:tcPr>
                <w:p w14:paraId="71EF4199">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项目建成后，环评要求开展环境风险评估，制定突发环境事件应急预案并备案，配备应急能力和物资，建设环境应急队伍，并定期演练。</w:t>
                  </w:r>
                </w:p>
              </w:tc>
              <w:tc>
                <w:tcPr>
                  <w:tcW w:w="310" w:type="pct"/>
                  <w:shd w:val="clear" w:color="auto" w:fill="auto"/>
                  <w:vAlign w:val="center"/>
                </w:tcPr>
                <w:p w14:paraId="0AEDFCCD">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rPr>
                    <w:t>符合</w:t>
                  </w:r>
                </w:p>
              </w:tc>
            </w:tr>
            <w:tr w14:paraId="26AA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697" w:type="pct"/>
                  <w:vMerge w:val="continue"/>
                  <w:vAlign w:val="center"/>
                </w:tcPr>
                <w:p w14:paraId="1E6FB337">
                  <w:pPr>
                    <w:adjustRightInd w:val="0"/>
                    <w:snapToGrid w:val="0"/>
                    <w:jc w:val="center"/>
                    <w:rPr>
                      <w:snapToGrid w:val="0"/>
                      <w:color w:val="auto"/>
                      <w:kern w:val="0"/>
                      <w:szCs w:val="21"/>
                    </w:rPr>
                  </w:pPr>
                </w:p>
              </w:tc>
              <w:tc>
                <w:tcPr>
                  <w:tcW w:w="564" w:type="pct"/>
                  <w:vMerge w:val="continue"/>
                  <w:vAlign w:val="center"/>
                </w:tcPr>
                <w:p w14:paraId="3D011B55">
                  <w:pPr>
                    <w:adjustRightInd w:val="0"/>
                    <w:snapToGrid w:val="0"/>
                    <w:jc w:val="center"/>
                    <w:rPr>
                      <w:snapToGrid w:val="0"/>
                      <w:color w:val="auto"/>
                      <w:kern w:val="0"/>
                      <w:szCs w:val="21"/>
                    </w:rPr>
                  </w:pPr>
                </w:p>
              </w:tc>
              <w:tc>
                <w:tcPr>
                  <w:tcW w:w="418" w:type="pct"/>
                  <w:vMerge w:val="continue"/>
                  <w:vAlign w:val="center"/>
                </w:tcPr>
                <w:p w14:paraId="1F14D3EC">
                  <w:pPr>
                    <w:adjustRightInd w:val="0"/>
                    <w:snapToGrid w:val="0"/>
                    <w:jc w:val="center"/>
                    <w:rPr>
                      <w:snapToGrid w:val="0"/>
                      <w:color w:val="auto"/>
                      <w:kern w:val="0"/>
                      <w:szCs w:val="21"/>
                    </w:rPr>
                  </w:pPr>
                </w:p>
              </w:tc>
              <w:tc>
                <w:tcPr>
                  <w:tcW w:w="1871" w:type="pct"/>
                  <w:shd w:val="clear" w:color="auto" w:fill="auto"/>
                  <w:vAlign w:val="center"/>
                </w:tcPr>
                <w:p w14:paraId="0DCC3B0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napToGrid w:val="0"/>
                      <w:color w:val="auto"/>
                      <w:kern w:val="0"/>
                      <w:sz w:val="21"/>
                      <w:szCs w:val="21"/>
                      <w:lang w:val="en-US" w:eastAsia="zh-CN" w:bidi="ar-SA"/>
                    </w:rPr>
                  </w:pPr>
                  <w:r>
                    <w:rPr>
                      <w:rFonts w:eastAsia="宋体"/>
                      <w:color w:val="auto"/>
                      <w:highlight w:val="none"/>
                      <w:u w:val="none"/>
                    </w:rPr>
                    <w:t>3</w:t>
                  </w:r>
                  <w:r>
                    <w:rPr>
                      <w:rFonts w:eastAsia="宋体"/>
                      <w:color w:val="auto"/>
                      <w:kern w:val="0"/>
                      <w:highlight w:val="none"/>
                      <w:u w:val="none"/>
                    </w:rPr>
                    <w:t>．</w:t>
                  </w:r>
                  <w:r>
                    <w:rPr>
                      <w:rFonts w:hint="eastAsia"/>
                      <w:color w:val="auto"/>
                      <w:highlight w:val="none"/>
                      <w:u w:val="none"/>
                      <w:lang w:eastAsia="zh-CN"/>
                    </w:rPr>
                    <w:t>土壤污染重点监管单位</w:t>
                  </w:r>
                  <w:r>
                    <w:rPr>
                      <w:rFonts w:eastAsia="宋体"/>
                      <w:color w:val="auto"/>
                      <w:highlight w:val="none"/>
                      <w:u w:val="none"/>
                    </w:rPr>
                    <w:t>应当严格控制有毒有害物质排放，并按年度向市生态环境主管部门报告排放情况；建立土壤污染隐患排查制度，保证持续有效防止有毒有害物质渗漏、流失、扬散；制定、实施自行监测方案，并将监测数据报市生态环境主管部门。涉重企业要采用新技术、新工艺，加快提标升级改造，实现全面达标排放。坚决淘汰不符合国家产业政策的落后生产工艺装备。</w:t>
                  </w:r>
                </w:p>
              </w:tc>
              <w:tc>
                <w:tcPr>
                  <w:tcW w:w="1137" w:type="pct"/>
                  <w:vAlign w:val="center"/>
                </w:tcPr>
                <w:p w14:paraId="0302C6A3">
                  <w:pPr>
                    <w:adjustRightInd w:val="0"/>
                    <w:snapToGrid w:val="0"/>
                    <w:jc w:val="center"/>
                    <w:rPr>
                      <w:rFonts w:hint="eastAsia"/>
                      <w:snapToGrid w:val="0"/>
                      <w:color w:val="auto"/>
                      <w:kern w:val="0"/>
                      <w:szCs w:val="21"/>
                    </w:rPr>
                  </w:pPr>
                  <w:r>
                    <w:rPr>
                      <w:rFonts w:hint="eastAsia"/>
                      <w:snapToGrid w:val="0"/>
                      <w:color w:val="auto"/>
                      <w:kern w:val="0"/>
                      <w:szCs w:val="21"/>
                    </w:rPr>
                    <w:t>项目不</w:t>
                  </w:r>
                  <w:r>
                    <w:rPr>
                      <w:rFonts w:hint="eastAsia"/>
                      <w:snapToGrid w:val="0"/>
                      <w:color w:val="auto"/>
                      <w:kern w:val="0"/>
                      <w:szCs w:val="21"/>
                      <w:lang w:val="en-US" w:eastAsia="zh-CN"/>
                    </w:rPr>
                    <w:t>是土壤污染重点监管单位</w:t>
                  </w:r>
                  <w:r>
                    <w:rPr>
                      <w:rFonts w:hint="eastAsia"/>
                      <w:snapToGrid w:val="0"/>
                      <w:color w:val="auto"/>
                      <w:kern w:val="0"/>
                      <w:szCs w:val="21"/>
                    </w:rPr>
                    <w:t>。</w:t>
                  </w:r>
                </w:p>
              </w:tc>
              <w:tc>
                <w:tcPr>
                  <w:tcW w:w="310" w:type="pct"/>
                  <w:shd w:val="clear" w:color="auto" w:fill="auto"/>
                  <w:vAlign w:val="center"/>
                </w:tcPr>
                <w:p w14:paraId="2212B33A">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rPr>
                    <w:t>符合</w:t>
                  </w:r>
                </w:p>
              </w:tc>
            </w:tr>
            <w:tr w14:paraId="1A59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0" w:hRule="atLeast"/>
              </w:trPr>
              <w:tc>
                <w:tcPr>
                  <w:tcW w:w="697" w:type="pct"/>
                  <w:vMerge w:val="continue"/>
                  <w:vAlign w:val="center"/>
                </w:tcPr>
                <w:p w14:paraId="0419FC87">
                  <w:pPr>
                    <w:adjustRightInd w:val="0"/>
                    <w:snapToGrid w:val="0"/>
                    <w:jc w:val="center"/>
                    <w:rPr>
                      <w:snapToGrid w:val="0"/>
                      <w:color w:val="auto"/>
                      <w:kern w:val="0"/>
                      <w:szCs w:val="21"/>
                    </w:rPr>
                  </w:pPr>
                </w:p>
              </w:tc>
              <w:tc>
                <w:tcPr>
                  <w:tcW w:w="564" w:type="pct"/>
                  <w:vMerge w:val="continue"/>
                  <w:vAlign w:val="center"/>
                </w:tcPr>
                <w:p w14:paraId="1E34A0F7">
                  <w:pPr>
                    <w:adjustRightInd w:val="0"/>
                    <w:snapToGrid w:val="0"/>
                    <w:jc w:val="center"/>
                    <w:rPr>
                      <w:snapToGrid w:val="0"/>
                      <w:color w:val="auto"/>
                      <w:kern w:val="0"/>
                      <w:szCs w:val="21"/>
                    </w:rPr>
                  </w:pPr>
                </w:p>
              </w:tc>
              <w:tc>
                <w:tcPr>
                  <w:tcW w:w="418" w:type="pct"/>
                  <w:vMerge w:val="restart"/>
                  <w:vAlign w:val="center"/>
                </w:tcPr>
                <w:p w14:paraId="78C8DE5A">
                  <w:pPr>
                    <w:adjustRightInd w:val="0"/>
                    <w:snapToGrid w:val="0"/>
                    <w:jc w:val="center"/>
                    <w:rPr>
                      <w:snapToGrid w:val="0"/>
                      <w:color w:val="auto"/>
                      <w:kern w:val="0"/>
                      <w:szCs w:val="21"/>
                    </w:rPr>
                  </w:pPr>
                  <w:r>
                    <w:rPr>
                      <w:snapToGrid w:val="0"/>
                      <w:color w:val="auto"/>
                      <w:kern w:val="0"/>
                      <w:szCs w:val="21"/>
                    </w:rPr>
                    <w:t>资源开发利用效率要求</w:t>
                  </w:r>
                </w:p>
              </w:tc>
              <w:tc>
                <w:tcPr>
                  <w:tcW w:w="1871" w:type="pct"/>
                  <w:vAlign w:val="center"/>
                </w:tcPr>
                <w:p w14:paraId="4B9D78F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snapToGrid w:val="0"/>
                      <w:color w:val="auto"/>
                      <w:kern w:val="0"/>
                      <w:szCs w:val="21"/>
                    </w:rPr>
                  </w:pPr>
                  <w:r>
                    <w:rPr>
                      <w:rFonts w:eastAsia="宋体"/>
                      <w:color w:val="auto"/>
                      <w:highlight w:val="none"/>
                      <w:u w:val="none"/>
                    </w:rPr>
                    <w:t>1．《防城港市人民政府关于划定防城港市高污染燃料禁燃区的通告》划定的I类禁燃区内禁止燃用燃料种类包括：单台出力小于20蒸吨/小时的锅炉和民用燃煤设备燃用的含硫量大于0.5%、灰分大于10%的煤炭及其制品（其中，型煤、焦炭、兰炭的组分含量大于</w:t>
                  </w:r>
                  <w:r>
                    <w:rPr>
                      <w:rFonts w:hint="eastAsia"/>
                      <w:color w:val="auto"/>
                      <w:highlight w:val="none"/>
                      <w:u w:val="none"/>
                      <w:lang w:eastAsia="zh-CN"/>
                    </w:rPr>
                    <w:t>“</w:t>
                  </w:r>
                  <w:r>
                    <w:rPr>
                      <w:rFonts w:eastAsia="宋体"/>
                      <w:color w:val="auto"/>
                      <w:highlight w:val="none"/>
                      <w:u w:val="none"/>
                    </w:rPr>
                    <w:t>部分煤炭制品的组分含量限制</w:t>
                  </w:r>
                  <w:r>
                    <w:rPr>
                      <w:rFonts w:hint="eastAsia"/>
                      <w:color w:val="auto"/>
                      <w:highlight w:val="none"/>
                      <w:u w:val="none"/>
                      <w:lang w:eastAsia="zh-CN"/>
                    </w:rPr>
                    <w:t>”</w:t>
                  </w:r>
                  <w:r>
                    <w:rPr>
                      <w:rFonts w:eastAsia="宋体"/>
                      <w:color w:val="auto"/>
                      <w:highlight w:val="none"/>
                      <w:u w:val="none"/>
                    </w:rPr>
                    <w:t>）、石油焦、油页岩、原油、重油、渣油、煤焦油；II类禁燃区内禁止燃用燃料种类包括：除单台出力大于等于20蒸吨/小时锅炉以外燃用的煤炭及其制品、石油焦、油页岩、原油、重油、渣油、煤焦油。禁燃区内，新建、扩建的燃烧设施禁止燃用相应类别的高污染燃料，各单位和个人禁止销售相应类别的高污染燃料，现有的燃用高污染燃料的锅炉、工业窑炉、炉灶等燃烧设施，应当按照辖区人民政府规定的期限，逐步拆除或改用清洁能源。</w:t>
                  </w:r>
                </w:p>
              </w:tc>
              <w:tc>
                <w:tcPr>
                  <w:tcW w:w="1137" w:type="pct"/>
                  <w:vAlign w:val="center"/>
                </w:tcPr>
                <w:p w14:paraId="5DB68B77">
                  <w:pPr>
                    <w:adjustRightInd w:val="0"/>
                    <w:snapToGrid w:val="0"/>
                    <w:jc w:val="center"/>
                    <w:rPr>
                      <w:snapToGrid w:val="0"/>
                      <w:color w:val="auto"/>
                      <w:kern w:val="0"/>
                      <w:szCs w:val="21"/>
                    </w:rPr>
                  </w:pPr>
                  <w:r>
                    <w:rPr>
                      <w:rFonts w:hint="eastAsia"/>
                      <w:snapToGrid w:val="0"/>
                      <w:color w:val="auto"/>
                      <w:kern w:val="0"/>
                      <w:szCs w:val="21"/>
                    </w:rPr>
                    <w:t>项目不涉及该项。</w:t>
                  </w:r>
                </w:p>
              </w:tc>
              <w:tc>
                <w:tcPr>
                  <w:tcW w:w="310" w:type="pct"/>
                  <w:vAlign w:val="center"/>
                </w:tcPr>
                <w:p w14:paraId="3CC2F99C">
                  <w:pPr>
                    <w:adjustRightInd w:val="0"/>
                    <w:snapToGrid w:val="0"/>
                    <w:jc w:val="center"/>
                    <w:rPr>
                      <w:snapToGrid w:val="0"/>
                      <w:color w:val="auto"/>
                      <w:kern w:val="0"/>
                      <w:szCs w:val="21"/>
                    </w:rPr>
                  </w:pPr>
                  <w:r>
                    <w:rPr>
                      <w:rFonts w:hint="eastAsia"/>
                      <w:snapToGrid w:val="0"/>
                      <w:color w:val="auto"/>
                      <w:kern w:val="0"/>
                      <w:szCs w:val="21"/>
                    </w:rPr>
                    <w:t>符合</w:t>
                  </w:r>
                </w:p>
              </w:tc>
            </w:tr>
            <w:tr w14:paraId="408A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97" w:type="pct"/>
                  <w:vMerge w:val="continue"/>
                  <w:vAlign w:val="center"/>
                </w:tcPr>
                <w:p w14:paraId="692137DF">
                  <w:pPr>
                    <w:adjustRightInd w:val="0"/>
                    <w:snapToGrid w:val="0"/>
                    <w:jc w:val="center"/>
                    <w:rPr>
                      <w:snapToGrid w:val="0"/>
                      <w:color w:val="auto"/>
                      <w:kern w:val="0"/>
                      <w:szCs w:val="21"/>
                    </w:rPr>
                  </w:pPr>
                </w:p>
              </w:tc>
              <w:tc>
                <w:tcPr>
                  <w:tcW w:w="564" w:type="pct"/>
                  <w:vMerge w:val="continue"/>
                  <w:vAlign w:val="center"/>
                </w:tcPr>
                <w:p w14:paraId="2C4EEDDC">
                  <w:pPr>
                    <w:adjustRightInd w:val="0"/>
                    <w:snapToGrid w:val="0"/>
                    <w:jc w:val="center"/>
                    <w:rPr>
                      <w:snapToGrid w:val="0"/>
                      <w:color w:val="auto"/>
                      <w:kern w:val="0"/>
                      <w:szCs w:val="21"/>
                    </w:rPr>
                  </w:pPr>
                </w:p>
              </w:tc>
              <w:tc>
                <w:tcPr>
                  <w:tcW w:w="418" w:type="pct"/>
                  <w:vMerge w:val="continue"/>
                  <w:vAlign w:val="center"/>
                </w:tcPr>
                <w:p w14:paraId="141A2797">
                  <w:pPr>
                    <w:adjustRightInd w:val="0"/>
                    <w:snapToGrid w:val="0"/>
                    <w:jc w:val="center"/>
                    <w:rPr>
                      <w:snapToGrid w:val="0"/>
                      <w:color w:val="auto"/>
                      <w:kern w:val="0"/>
                      <w:szCs w:val="21"/>
                    </w:rPr>
                  </w:pPr>
                </w:p>
              </w:tc>
              <w:tc>
                <w:tcPr>
                  <w:tcW w:w="1871" w:type="pct"/>
                  <w:vAlign w:val="center"/>
                </w:tcPr>
                <w:p w14:paraId="1C82EE8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snapToGrid w:val="0"/>
                      <w:color w:val="auto"/>
                      <w:kern w:val="0"/>
                      <w:szCs w:val="21"/>
                      <w:lang w:val="en-US" w:eastAsia="zh-CN"/>
                    </w:rPr>
                  </w:pPr>
                  <w:r>
                    <w:rPr>
                      <w:rFonts w:eastAsia="宋体"/>
                      <w:color w:val="auto"/>
                      <w:highlight w:val="none"/>
                      <w:u w:val="none"/>
                    </w:rPr>
                    <w:t>2．鼓励园区内企业采用节能减污降碳协同增效的绿色关键技术、前沿引领技术和相关设施装备。推进能源清洁化，提高清洁能源利用率；推广可再生能源利用；提高工业用水重复利用率，降低新鲜水的使用率。</w:t>
                  </w:r>
                </w:p>
              </w:tc>
              <w:tc>
                <w:tcPr>
                  <w:tcW w:w="1137" w:type="pct"/>
                  <w:vAlign w:val="center"/>
                </w:tcPr>
                <w:p w14:paraId="31CA7919">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项目为集装箱堆场及铁路专线建设，运营期用水为生活污水。</w:t>
                  </w:r>
                </w:p>
              </w:tc>
              <w:tc>
                <w:tcPr>
                  <w:tcW w:w="310" w:type="pct"/>
                  <w:shd w:val="clear" w:color="auto" w:fill="auto"/>
                  <w:vAlign w:val="center"/>
                </w:tcPr>
                <w:p w14:paraId="6A344436">
                  <w:pPr>
                    <w:adjustRightInd w:val="0"/>
                    <w:snapToGrid w:val="0"/>
                    <w:jc w:val="center"/>
                    <w:rPr>
                      <w:rFonts w:hint="eastAsia" w:ascii="Times New Roman" w:hAnsi="Times New Roman" w:eastAsia="宋体" w:cs="Times New Roman"/>
                      <w:snapToGrid w:val="0"/>
                      <w:color w:val="auto"/>
                      <w:kern w:val="0"/>
                      <w:sz w:val="21"/>
                      <w:szCs w:val="21"/>
                      <w:lang w:val="en-US" w:eastAsia="zh-CN" w:bidi="ar-SA"/>
                    </w:rPr>
                  </w:pPr>
                  <w:r>
                    <w:rPr>
                      <w:rFonts w:hint="eastAsia"/>
                      <w:snapToGrid w:val="0"/>
                      <w:color w:val="auto"/>
                      <w:kern w:val="0"/>
                      <w:szCs w:val="21"/>
                    </w:rPr>
                    <w:t>符合</w:t>
                  </w:r>
                </w:p>
              </w:tc>
            </w:tr>
            <w:tr w14:paraId="457E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97" w:type="pct"/>
                  <w:vMerge w:val="restart"/>
                  <w:vAlign w:val="center"/>
                </w:tcPr>
                <w:p w14:paraId="0AFB7D2B">
                  <w:pPr>
                    <w:adjustRightInd w:val="0"/>
                    <w:snapToGrid w:val="0"/>
                    <w:jc w:val="center"/>
                    <w:rPr>
                      <w:rFonts w:hint="eastAsia" w:eastAsia="宋体"/>
                      <w:snapToGrid w:val="0"/>
                      <w:color w:val="auto"/>
                      <w:kern w:val="0"/>
                      <w:szCs w:val="21"/>
                      <w:lang w:eastAsia="zh-CN"/>
                    </w:rPr>
                  </w:pPr>
                  <w:r>
                    <w:rPr>
                      <w:snapToGrid w:val="0"/>
                      <w:color w:val="auto"/>
                      <w:kern w:val="0"/>
                      <w:szCs w:val="21"/>
                    </w:rPr>
                    <w:t>港口区布局敏感区重点管控单元</w:t>
                  </w:r>
                  <w:r>
                    <w:rPr>
                      <w:rFonts w:hint="eastAsia"/>
                      <w:snapToGrid w:val="0"/>
                      <w:color w:val="auto"/>
                      <w:kern w:val="0"/>
                      <w:szCs w:val="21"/>
                      <w:lang w:eastAsia="zh-CN"/>
                    </w:rPr>
                    <w:t>（ZH45060220005）</w:t>
                  </w:r>
                </w:p>
              </w:tc>
              <w:tc>
                <w:tcPr>
                  <w:tcW w:w="564" w:type="pct"/>
                  <w:vMerge w:val="restart"/>
                  <w:vAlign w:val="center"/>
                </w:tcPr>
                <w:p w14:paraId="2734EA1A">
                  <w:pPr>
                    <w:adjustRightInd w:val="0"/>
                    <w:snapToGrid w:val="0"/>
                    <w:jc w:val="center"/>
                    <w:rPr>
                      <w:snapToGrid w:val="0"/>
                      <w:color w:val="auto"/>
                      <w:kern w:val="0"/>
                      <w:szCs w:val="21"/>
                    </w:rPr>
                  </w:pPr>
                  <w:r>
                    <w:rPr>
                      <w:snapToGrid w:val="0"/>
                      <w:color w:val="auto"/>
                      <w:kern w:val="0"/>
                      <w:szCs w:val="21"/>
                    </w:rPr>
                    <w:t>港口区布局敏感区重点管控单元</w:t>
                  </w:r>
                </w:p>
              </w:tc>
              <w:tc>
                <w:tcPr>
                  <w:tcW w:w="418" w:type="pct"/>
                  <w:vMerge w:val="restart"/>
                  <w:vAlign w:val="center"/>
                </w:tcPr>
                <w:p w14:paraId="38CEDC5B">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空间布局约束</w:t>
                  </w:r>
                </w:p>
              </w:tc>
              <w:tc>
                <w:tcPr>
                  <w:tcW w:w="1871" w:type="pct"/>
                  <w:vAlign w:val="center"/>
                </w:tcPr>
                <w:p w14:paraId="03C9BAE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1．严禁新增钢铁、焦化、炼油、电解铝、水泥、平板玻璃(不含光伏玻璃)等产能。</w:t>
                  </w:r>
                </w:p>
              </w:tc>
              <w:tc>
                <w:tcPr>
                  <w:tcW w:w="1137" w:type="pct"/>
                  <w:vAlign w:val="center"/>
                </w:tcPr>
                <w:p w14:paraId="6712553C">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项目不属于钢铁、焦化、炼油、电解铝、水泥、平板玻璃(不含光伏玻璃)等行业</w:t>
                  </w:r>
                </w:p>
              </w:tc>
              <w:tc>
                <w:tcPr>
                  <w:tcW w:w="310" w:type="pct"/>
                  <w:shd w:val="clear" w:color="auto" w:fill="auto"/>
                  <w:vAlign w:val="center"/>
                </w:tcPr>
                <w:p w14:paraId="575EF4B0">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r w14:paraId="77F8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697" w:type="pct"/>
                  <w:vMerge w:val="continue"/>
                  <w:vAlign w:val="center"/>
                </w:tcPr>
                <w:p w14:paraId="7B58D6CB">
                  <w:pPr>
                    <w:adjustRightInd w:val="0"/>
                    <w:snapToGrid w:val="0"/>
                    <w:jc w:val="center"/>
                    <w:rPr>
                      <w:snapToGrid w:val="0"/>
                      <w:color w:val="auto"/>
                      <w:kern w:val="0"/>
                      <w:szCs w:val="21"/>
                    </w:rPr>
                  </w:pPr>
                </w:p>
              </w:tc>
              <w:tc>
                <w:tcPr>
                  <w:tcW w:w="564" w:type="pct"/>
                  <w:vMerge w:val="continue"/>
                  <w:vAlign w:val="center"/>
                </w:tcPr>
                <w:p w14:paraId="42777216">
                  <w:pPr>
                    <w:adjustRightInd w:val="0"/>
                    <w:snapToGrid w:val="0"/>
                    <w:jc w:val="center"/>
                    <w:rPr>
                      <w:snapToGrid w:val="0"/>
                      <w:color w:val="auto"/>
                      <w:kern w:val="0"/>
                      <w:szCs w:val="21"/>
                    </w:rPr>
                  </w:pPr>
                </w:p>
              </w:tc>
              <w:tc>
                <w:tcPr>
                  <w:tcW w:w="418" w:type="pct"/>
                  <w:vMerge w:val="continue"/>
                  <w:vAlign w:val="center"/>
                </w:tcPr>
                <w:p w14:paraId="645B94B8">
                  <w:pPr>
                    <w:adjustRightInd w:val="0"/>
                    <w:snapToGrid w:val="0"/>
                    <w:jc w:val="center"/>
                    <w:rPr>
                      <w:snapToGrid w:val="0"/>
                      <w:color w:val="auto"/>
                      <w:kern w:val="0"/>
                      <w:szCs w:val="21"/>
                    </w:rPr>
                  </w:pPr>
                </w:p>
              </w:tc>
              <w:tc>
                <w:tcPr>
                  <w:tcW w:w="1871" w:type="pct"/>
                  <w:vAlign w:val="center"/>
                </w:tcPr>
                <w:p w14:paraId="6B08ECD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2．原则上避免高污染、高耗能项目布局建设。</w:t>
                  </w:r>
                </w:p>
              </w:tc>
              <w:tc>
                <w:tcPr>
                  <w:tcW w:w="1137" w:type="pct"/>
                  <w:vAlign w:val="center"/>
                </w:tcPr>
                <w:p w14:paraId="4A2C9BBE">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项目为集装箱堆场及铁路专线建设，不属于高污染、高耗能项目。</w:t>
                  </w:r>
                </w:p>
              </w:tc>
              <w:tc>
                <w:tcPr>
                  <w:tcW w:w="310" w:type="pct"/>
                  <w:shd w:val="clear" w:color="auto" w:fill="auto"/>
                  <w:vAlign w:val="center"/>
                </w:tcPr>
                <w:p w14:paraId="7FC1249F">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r w14:paraId="0642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97" w:type="pct"/>
                  <w:vMerge w:val="continue"/>
                  <w:vAlign w:val="center"/>
                </w:tcPr>
                <w:p w14:paraId="11EB8F7D">
                  <w:pPr>
                    <w:adjustRightInd w:val="0"/>
                    <w:snapToGrid w:val="0"/>
                    <w:jc w:val="center"/>
                    <w:rPr>
                      <w:snapToGrid w:val="0"/>
                      <w:color w:val="auto"/>
                      <w:kern w:val="0"/>
                      <w:szCs w:val="21"/>
                    </w:rPr>
                  </w:pPr>
                </w:p>
              </w:tc>
              <w:tc>
                <w:tcPr>
                  <w:tcW w:w="564" w:type="pct"/>
                  <w:vMerge w:val="continue"/>
                  <w:vAlign w:val="center"/>
                </w:tcPr>
                <w:p w14:paraId="4CECBAD8">
                  <w:pPr>
                    <w:adjustRightInd w:val="0"/>
                    <w:snapToGrid w:val="0"/>
                    <w:jc w:val="center"/>
                    <w:rPr>
                      <w:snapToGrid w:val="0"/>
                      <w:color w:val="auto"/>
                      <w:kern w:val="0"/>
                      <w:szCs w:val="21"/>
                    </w:rPr>
                  </w:pPr>
                </w:p>
              </w:tc>
              <w:tc>
                <w:tcPr>
                  <w:tcW w:w="418" w:type="pct"/>
                  <w:vMerge w:val="restart"/>
                  <w:vAlign w:val="center"/>
                </w:tcPr>
                <w:p w14:paraId="5738F5AC">
                  <w:pPr>
                    <w:adjustRightInd w:val="0"/>
                    <w:snapToGrid w:val="0"/>
                    <w:jc w:val="center"/>
                    <w:rPr>
                      <w:snapToGrid w:val="0"/>
                      <w:color w:val="auto"/>
                      <w:kern w:val="0"/>
                      <w:szCs w:val="21"/>
                    </w:rPr>
                  </w:pPr>
                  <w:r>
                    <w:rPr>
                      <w:snapToGrid w:val="0"/>
                      <w:color w:val="auto"/>
                      <w:kern w:val="0"/>
                      <w:szCs w:val="21"/>
                    </w:rPr>
                    <w:t>污染物排放管控</w:t>
                  </w:r>
                </w:p>
              </w:tc>
              <w:tc>
                <w:tcPr>
                  <w:tcW w:w="1871" w:type="pct"/>
                  <w:vAlign w:val="center"/>
                </w:tcPr>
                <w:p w14:paraId="07F45C1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1．全面开展</w:t>
                  </w:r>
                  <w:r>
                    <w:rPr>
                      <w:rFonts w:hint="eastAsia" w:eastAsia="宋体"/>
                      <w:color w:val="auto"/>
                      <w:highlight w:val="none"/>
                      <w:u w:val="none"/>
                      <w:lang w:eastAsia="zh-CN"/>
                    </w:rPr>
                    <w:t>“</w:t>
                  </w:r>
                  <w:r>
                    <w:rPr>
                      <w:rFonts w:eastAsia="宋体"/>
                      <w:color w:val="auto"/>
                      <w:highlight w:val="none"/>
                      <w:u w:val="none"/>
                    </w:rPr>
                    <w:t>散乱污</w:t>
                  </w:r>
                  <w:r>
                    <w:rPr>
                      <w:rFonts w:hint="eastAsia" w:eastAsia="宋体"/>
                      <w:color w:val="auto"/>
                      <w:highlight w:val="none"/>
                      <w:u w:val="none"/>
                      <w:lang w:eastAsia="zh-CN"/>
                    </w:rPr>
                    <w:t>”</w:t>
                  </w:r>
                  <w:r>
                    <w:rPr>
                      <w:rFonts w:eastAsia="宋体"/>
                      <w:color w:val="auto"/>
                      <w:highlight w:val="none"/>
                      <w:u w:val="none"/>
                    </w:rPr>
                    <w:t>企业及集群综合整治行动，全面淘汰10蒸吨/小时及以下燃煤锅炉；加大能耗高、污染重的煤电机组整改力度。</w:t>
                  </w:r>
                </w:p>
              </w:tc>
              <w:tc>
                <w:tcPr>
                  <w:tcW w:w="1137" w:type="pct"/>
                  <w:vAlign w:val="center"/>
                </w:tcPr>
                <w:p w14:paraId="4BD8286F">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项目为集装箱堆场及铁路专线建设，为基础设施建设。不涉及锅炉，内燃机燃料为柴油。</w:t>
                  </w:r>
                </w:p>
              </w:tc>
              <w:tc>
                <w:tcPr>
                  <w:tcW w:w="310" w:type="pct"/>
                  <w:shd w:val="clear" w:color="auto" w:fill="auto"/>
                  <w:vAlign w:val="center"/>
                </w:tcPr>
                <w:p w14:paraId="1DC9A064">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r w14:paraId="7683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97" w:type="pct"/>
                  <w:vMerge w:val="continue"/>
                  <w:vAlign w:val="center"/>
                </w:tcPr>
                <w:p w14:paraId="19F50139">
                  <w:pPr>
                    <w:adjustRightInd w:val="0"/>
                    <w:snapToGrid w:val="0"/>
                    <w:jc w:val="center"/>
                    <w:rPr>
                      <w:snapToGrid w:val="0"/>
                      <w:color w:val="auto"/>
                      <w:kern w:val="0"/>
                      <w:szCs w:val="21"/>
                    </w:rPr>
                  </w:pPr>
                </w:p>
              </w:tc>
              <w:tc>
                <w:tcPr>
                  <w:tcW w:w="564" w:type="pct"/>
                  <w:vMerge w:val="continue"/>
                  <w:vAlign w:val="center"/>
                </w:tcPr>
                <w:p w14:paraId="79B0BBB2">
                  <w:pPr>
                    <w:adjustRightInd w:val="0"/>
                    <w:snapToGrid w:val="0"/>
                    <w:jc w:val="center"/>
                    <w:rPr>
                      <w:snapToGrid w:val="0"/>
                      <w:color w:val="auto"/>
                      <w:kern w:val="0"/>
                      <w:szCs w:val="21"/>
                    </w:rPr>
                  </w:pPr>
                </w:p>
              </w:tc>
              <w:tc>
                <w:tcPr>
                  <w:tcW w:w="418" w:type="pct"/>
                  <w:vMerge w:val="continue"/>
                  <w:vAlign w:val="center"/>
                </w:tcPr>
                <w:p w14:paraId="6D60A461">
                  <w:pPr>
                    <w:adjustRightInd w:val="0"/>
                    <w:snapToGrid w:val="0"/>
                    <w:jc w:val="center"/>
                    <w:rPr>
                      <w:snapToGrid w:val="0"/>
                      <w:color w:val="auto"/>
                      <w:kern w:val="0"/>
                      <w:szCs w:val="21"/>
                    </w:rPr>
                  </w:pPr>
                </w:p>
              </w:tc>
              <w:tc>
                <w:tcPr>
                  <w:tcW w:w="1871" w:type="pct"/>
                  <w:vAlign w:val="center"/>
                </w:tcPr>
                <w:p w14:paraId="2F5E680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2．加大区域内大气污染治理力度，优化大气污染物排放项目布局，引导新建、扩建排放大气污染工业项目采用清洁生产工艺、先进的污染防治工艺。</w:t>
                  </w:r>
                </w:p>
              </w:tc>
              <w:tc>
                <w:tcPr>
                  <w:tcW w:w="1137" w:type="pct"/>
                  <w:vAlign w:val="center"/>
                </w:tcPr>
                <w:p w14:paraId="066959F2">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项目为集装箱堆场及铁路专线建设，不属于工业项目，</w:t>
                  </w:r>
                </w:p>
              </w:tc>
              <w:tc>
                <w:tcPr>
                  <w:tcW w:w="310" w:type="pct"/>
                  <w:shd w:val="clear" w:color="auto" w:fill="auto"/>
                  <w:vAlign w:val="center"/>
                </w:tcPr>
                <w:p w14:paraId="5B50F678">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r w14:paraId="4AC1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97" w:type="pct"/>
                  <w:vMerge w:val="continue"/>
                  <w:vAlign w:val="center"/>
                </w:tcPr>
                <w:p w14:paraId="3368E3B9">
                  <w:pPr>
                    <w:adjustRightInd w:val="0"/>
                    <w:snapToGrid w:val="0"/>
                    <w:jc w:val="center"/>
                    <w:rPr>
                      <w:snapToGrid w:val="0"/>
                      <w:color w:val="auto"/>
                      <w:kern w:val="0"/>
                      <w:szCs w:val="21"/>
                    </w:rPr>
                  </w:pPr>
                </w:p>
              </w:tc>
              <w:tc>
                <w:tcPr>
                  <w:tcW w:w="564" w:type="pct"/>
                  <w:vMerge w:val="continue"/>
                  <w:vAlign w:val="center"/>
                </w:tcPr>
                <w:p w14:paraId="42B64E8A">
                  <w:pPr>
                    <w:adjustRightInd w:val="0"/>
                    <w:snapToGrid w:val="0"/>
                    <w:jc w:val="center"/>
                    <w:rPr>
                      <w:snapToGrid w:val="0"/>
                      <w:color w:val="auto"/>
                      <w:kern w:val="0"/>
                      <w:szCs w:val="21"/>
                    </w:rPr>
                  </w:pPr>
                </w:p>
              </w:tc>
              <w:tc>
                <w:tcPr>
                  <w:tcW w:w="418" w:type="pct"/>
                  <w:vMerge w:val="continue"/>
                  <w:vAlign w:val="center"/>
                </w:tcPr>
                <w:p w14:paraId="08EC7ACF">
                  <w:pPr>
                    <w:adjustRightInd w:val="0"/>
                    <w:snapToGrid w:val="0"/>
                    <w:jc w:val="center"/>
                    <w:rPr>
                      <w:snapToGrid w:val="0"/>
                      <w:color w:val="auto"/>
                      <w:kern w:val="0"/>
                      <w:szCs w:val="21"/>
                    </w:rPr>
                  </w:pPr>
                </w:p>
              </w:tc>
              <w:tc>
                <w:tcPr>
                  <w:tcW w:w="1871" w:type="pct"/>
                  <w:vAlign w:val="center"/>
                </w:tcPr>
                <w:p w14:paraId="5DDB4F8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3．强化不利气象条件下秸秆焚烧控制，空气污染预警情况下严格执行秸秆禁烧管控。加强VOCs排放企业源头控制。</w:t>
                  </w:r>
                </w:p>
              </w:tc>
              <w:tc>
                <w:tcPr>
                  <w:tcW w:w="1137" w:type="pct"/>
                  <w:vAlign w:val="center"/>
                </w:tcPr>
                <w:p w14:paraId="492A869F">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项目不涉及秸秆焚烧。</w:t>
                  </w:r>
                </w:p>
              </w:tc>
              <w:tc>
                <w:tcPr>
                  <w:tcW w:w="310" w:type="pct"/>
                  <w:shd w:val="clear" w:color="auto" w:fill="auto"/>
                  <w:vAlign w:val="center"/>
                </w:tcPr>
                <w:p w14:paraId="71A72002">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r w14:paraId="584E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97" w:type="pct"/>
                  <w:vMerge w:val="continue"/>
                  <w:vAlign w:val="center"/>
                </w:tcPr>
                <w:p w14:paraId="2E001178">
                  <w:pPr>
                    <w:adjustRightInd w:val="0"/>
                    <w:snapToGrid w:val="0"/>
                    <w:jc w:val="center"/>
                    <w:rPr>
                      <w:snapToGrid w:val="0"/>
                      <w:color w:val="auto"/>
                      <w:kern w:val="0"/>
                      <w:szCs w:val="21"/>
                    </w:rPr>
                  </w:pPr>
                </w:p>
              </w:tc>
              <w:tc>
                <w:tcPr>
                  <w:tcW w:w="564" w:type="pct"/>
                  <w:vMerge w:val="continue"/>
                  <w:vAlign w:val="center"/>
                </w:tcPr>
                <w:p w14:paraId="5374974C">
                  <w:pPr>
                    <w:adjustRightInd w:val="0"/>
                    <w:snapToGrid w:val="0"/>
                    <w:jc w:val="center"/>
                    <w:rPr>
                      <w:snapToGrid w:val="0"/>
                      <w:color w:val="auto"/>
                      <w:kern w:val="0"/>
                      <w:szCs w:val="21"/>
                    </w:rPr>
                  </w:pPr>
                </w:p>
              </w:tc>
              <w:tc>
                <w:tcPr>
                  <w:tcW w:w="418" w:type="pct"/>
                  <w:vMerge w:val="continue"/>
                  <w:vAlign w:val="center"/>
                </w:tcPr>
                <w:p w14:paraId="2CB83A39">
                  <w:pPr>
                    <w:adjustRightInd w:val="0"/>
                    <w:snapToGrid w:val="0"/>
                    <w:jc w:val="center"/>
                    <w:rPr>
                      <w:snapToGrid w:val="0"/>
                      <w:color w:val="auto"/>
                      <w:kern w:val="0"/>
                      <w:szCs w:val="21"/>
                    </w:rPr>
                  </w:pPr>
                </w:p>
              </w:tc>
              <w:tc>
                <w:tcPr>
                  <w:tcW w:w="1871" w:type="pct"/>
                  <w:vAlign w:val="center"/>
                </w:tcPr>
                <w:p w14:paraId="075F8B6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4．在房屋建筑和市政工程中，全面推广使用低VOCs 含量涂料和胶粘剂。</w:t>
                  </w:r>
                </w:p>
              </w:tc>
              <w:tc>
                <w:tcPr>
                  <w:tcW w:w="1137" w:type="pct"/>
                  <w:vAlign w:val="center"/>
                </w:tcPr>
                <w:p w14:paraId="0A0AE38D">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项目不属于房屋建筑市政工程。项目综合楼等建筑皆为集装箱（临时）。</w:t>
                  </w:r>
                </w:p>
              </w:tc>
              <w:tc>
                <w:tcPr>
                  <w:tcW w:w="310" w:type="pct"/>
                  <w:shd w:val="clear" w:color="auto" w:fill="auto"/>
                  <w:vAlign w:val="center"/>
                </w:tcPr>
                <w:p w14:paraId="18D2BCEC">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r w14:paraId="0EB64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97" w:type="pct"/>
                  <w:vMerge w:val="continue"/>
                  <w:vAlign w:val="center"/>
                </w:tcPr>
                <w:p w14:paraId="42A3DDBD">
                  <w:pPr>
                    <w:adjustRightInd w:val="0"/>
                    <w:snapToGrid w:val="0"/>
                    <w:jc w:val="center"/>
                    <w:rPr>
                      <w:snapToGrid w:val="0"/>
                      <w:color w:val="auto"/>
                      <w:kern w:val="0"/>
                      <w:szCs w:val="21"/>
                    </w:rPr>
                  </w:pPr>
                </w:p>
              </w:tc>
              <w:tc>
                <w:tcPr>
                  <w:tcW w:w="564" w:type="pct"/>
                  <w:vMerge w:val="continue"/>
                  <w:vAlign w:val="center"/>
                </w:tcPr>
                <w:p w14:paraId="06364128">
                  <w:pPr>
                    <w:adjustRightInd w:val="0"/>
                    <w:snapToGrid w:val="0"/>
                    <w:jc w:val="center"/>
                    <w:rPr>
                      <w:snapToGrid w:val="0"/>
                      <w:color w:val="auto"/>
                      <w:kern w:val="0"/>
                      <w:szCs w:val="21"/>
                    </w:rPr>
                  </w:pPr>
                </w:p>
              </w:tc>
              <w:tc>
                <w:tcPr>
                  <w:tcW w:w="418" w:type="pct"/>
                  <w:vMerge w:val="continue"/>
                  <w:vAlign w:val="center"/>
                </w:tcPr>
                <w:p w14:paraId="53CFB828">
                  <w:pPr>
                    <w:adjustRightInd w:val="0"/>
                    <w:snapToGrid w:val="0"/>
                    <w:jc w:val="center"/>
                    <w:rPr>
                      <w:snapToGrid w:val="0"/>
                      <w:color w:val="auto"/>
                      <w:kern w:val="0"/>
                      <w:szCs w:val="21"/>
                    </w:rPr>
                  </w:pPr>
                </w:p>
              </w:tc>
              <w:tc>
                <w:tcPr>
                  <w:tcW w:w="1871" w:type="pct"/>
                  <w:vAlign w:val="center"/>
                </w:tcPr>
                <w:p w14:paraId="22752BC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5．矿产资源勘查以及采选过程中排土场、露天采场、尾矿库、矿区专用道路、矿山工业场地、沉陷区、矸石场、矿山污染场地等的生态环境保护与治理恢复工作须满足《矿山生态环境保护与治理恢复技术规范（试行）》（HJ651-2013）要求。落实边开采、边保护、边复垦的要求，使新建、在建矿山损毁土地得到全面复垦。</w:t>
                  </w:r>
                </w:p>
              </w:tc>
              <w:tc>
                <w:tcPr>
                  <w:tcW w:w="1137" w:type="pct"/>
                  <w:vAlign w:val="center"/>
                </w:tcPr>
                <w:p w14:paraId="57571636">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项目不涉及矿产资源勘察及采选。</w:t>
                  </w:r>
                </w:p>
              </w:tc>
              <w:tc>
                <w:tcPr>
                  <w:tcW w:w="310" w:type="pct"/>
                  <w:shd w:val="clear" w:color="auto" w:fill="auto"/>
                  <w:vAlign w:val="center"/>
                </w:tcPr>
                <w:p w14:paraId="7812498B">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r w14:paraId="3325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97" w:type="pct"/>
                  <w:vMerge w:val="continue"/>
                  <w:vAlign w:val="center"/>
                </w:tcPr>
                <w:p w14:paraId="1E77E57D">
                  <w:pPr>
                    <w:adjustRightInd w:val="0"/>
                    <w:snapToGrid w:val="0"/>
                    <w:jc w:val="center"/>
                    <w:rPr>
                      <w:snapToGrid w:val="0"/>
                      <w:color w:val="auto"/>
                      <w:kern w:val="0"/>
                      <w:szCs w:val="21"/>
                    </w:rPr>
                  </w:pPr>
                </w:p>
              </w:tc>
              <w:tc>
                <w:tcPr>
                  <w:tcW w:w="564" w:type="pct"/>
                  <w:vMerge w:val="continue"/>
                  <w:vAlign w:val="center"/>
                </w:tcPr>
                <w:p w14:paraId="60001F50">
                  <w:pPr>
                    <w:adjustRightInd w:val="0"/>
                    <w:snapToGrid w:val="0"/>
                    <w:jc w:val="center"/>
                    <w:rPr>
                      <w:snapToGrid w:val="0"/>
                      <w:color w:val="auto"/>
                      <w:kern w:val="0"/>
                      <w:szCs w:val="21"/>
                    </w:rPr>
                  </w:pPr>
                </w:p>
              </w:tc>
              <w:tc>
                <w:tcPr>
                  <w:tcW w:w="418" w:type="pct"/>
                  <w:vMerge w:val="restart"/>
                  <w:vAlign w:val="center"/>
                </w:tcPr>
                <w:p w14:paraId="3664C704">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环境风险防控</w:t>
                  </w:r>
                </w:p>
              </w:tc>
              <w:tc>
                <w:tcPr>
                  <w:tcW w:w="1871" w:type="pct"/>
                  <w:vAlign w:val="center"/>
                </w:tcPr>
                <w:p w14:paraId="2C5A585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1．对暂不开发利用的超标地块，实施以防止污染扩散为目的的风险管控；对拟开发利用为居住用地和商业、学校、医疗、养老机构等公共设施用地的超标地块，实施以安全利用为目的的风险管控。</w:t>
                  </w:r>
                </w:p>
              </w:tc>
              <w:tc>
                <w:tcPr>
                  <w:tcW w:w="1137" w:type="pct"/>
                  <w:vAlign w:val="center"/>
                </w:tcPr>
                <w:p w14:paraId="564CEB7A">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项目用地为防城港企沙铁路支线云约站用地空置部分，土地规划性质为铁路用地，不属于超标地块。</w:t>
                  </w:r>
                </w:p>
              </w:tc>
              <w:tc>
                <w:tcPr>
                  <w:tcW w:w="310" w:type="pct"/>
                  <w:shd w:val="clear" w:color="auto" w:fill="auto"/>
                  <w:vAlign w:val="center"/>
                </w:tcPr>
                <w:p w14:paraId="014FEE30">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r w14:paraId="5E0E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97" w:type="pct"/>
                  <w:vMerge w:val="continue"/>
                  <w:vAlign w:val="center"/>
                </w:tcPr>
                <w:p w14:paraId="236FB0E6">
                  <w:pPr>
                    <w:adjustRightInd w:val="0"/>
                    <w:snapToGrid w:val="0"/>
                    <w:jc w:val="center"/>
                    <w:rPr>
                      <w:snapToGrid w:val="0"/>
                      <w:color w:val="auto"/>
                      <w:kern w:val="0"/>
                      <w:szCs w:val="21"/>
                    </w:rPr>
                  </w:pPr>
                </w:p>
              </w:tc>
              <w:tc>
                <w:tcPr>
                  <w:tcW w:w="564" w:type="pct"/>
                  <w:vMerge w:val="continue"/>
                  <w:vAlign w:val="center"/>
                </w:tcPr>
                <w:p w14:paraId="1DD69609">
                  <w:pPr>
                    <w:adjustRightInd w:val="0"/>
                    <w:snapToGrid w:val="0"/>
                    <w:jc w:val="center"/>
                    <w:rPr>
                      <w:snapToGrid w:val="0"/>
                      <w:color w:val="auto"/>
                      <w:kern w:val="0"/>
                      <w:szCs w:val="21"/>
                    </w:rPr>
                  </w:pPr>
                </w:p>
              </w:tc>
              <w:tc>
                <w:tcPr>
                  <w:tcW w:w="418" w:type="pct"/>
                  <w:vMerge w:val="continue"/>
                  <w:vAlign w:val="center"/>
                </w:tcPr>
                <w:p w14:paraId="449179FF">
                  <w:pPr>
                    <w:adjustRightInd w:val="0"/>
                    <w:snapToGrid w:val="0"/>
                    <w:jc w:val="center"/>
                    <w:rPr>
                      <w:snapToGrid w:val="0"/>
                      <w:color w:val="auto"/>
                      <w:kern w:val="0"/>
                      <w:szCs w:val="21"/>
                    </w:rPr>
                  </w:pPr>
                </w:p>
              </w:tc>
              <w:tc>
                <w:tcPr>
                  <w:tcW w:w="1871" w:type="pct"/>
                  <w:vAlign w:val="center"/>
                </w:tcPr>
                <w:p w14:paraId="7D53814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2．</w:t>
                  </w:r>
                  <w:r>
                    <w:rPr>
                      <w:rFonts w:hint="eastAsia" w:eastAsia="宋体"/>
                      <w:color w:val="auto"/>
                      <w:highlight w:val="none"/>
                      <w:u w:val="none"/>
                      <w:lang w:eastAsia="zh-CN"/>
                    </w:rPr>
                    <w:t>土壤污染重点监管单位</w:t>
                  </w:r>
                  <w:r>
                    <w:rPr>
                      <w:rFonts w:eastAsia="宋体"/>
                      <w:color w:val="auto"/>
                      <w:highlight w:val="none"/>
                      <w:u w:val="none"/>
                    </w:rPr>
                    <w:t>应当严格控制有毒有害物质排放，并按年度向所在地设区的市人民政府生态环境主管部门报告排放情况；建立土壤污染隐患排查制度，保证持续有效防止有毒有害物质渗漏、流失、扬散。</w:t>
                  </w:r>
                </w:p>
              </w:tc>
              <w:tc>
                <w:tcPr>
                  <w:tcW w:w="1137" w:type="pct"/>
                  <w:vAlign w:val="center"/>
                </w:tcPr>
                <w:p w14:paraId="0B73C353">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项目不为土壤污染重点监管单位。</w:t>
                  </w:r>
                </w:p>
              </w:tc>
              <w:tc>
                <w:tcPr>
                  <w:tcW w:w="310" w:type="pct"/>
                  <w:shd w:val="clear" w:color="auto" w:fill="auto"/>
                  <w:vAlign w:val="center"/>
                </w:tcPr>
                <w:p w14:paraId="62E9A0B8">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r w14:paraId="07AD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trPr>
              <w:tc>
                <w:tcPr>
                  <w:tcW w:w="697" w:type="pct"/>
                  <w:vMerge w:val="continue"/>
                  <w:vAlign w:val="center"/>
                </w:tcPr>
                <w:p w14:paraId="0A4CBBE6">
                  <w:pPr>
                    <w:adjustRightInd w:val="0"/>
                    <w:snapToGrid w:val="0"/>
                    <w:jc w:val="center"/>
                    <w:rPr>
                      <w:snapToGrid w:val="0"/>
                      <w:color w:val="auto"/>
                      <w:kern w:val="0"/>
                      <w:szCs w:val="21"/>
                    </w:rPr>
                  </w:pPr>
                </w:p>
              </w:tc>
              <w:tc>
                <w:tcPr>
                  <w:tcW w:w="564" w:type="pct"/>
                  <w:vMerge w:val="continue"/>
                  <w:vAlign w:val="center"/>
                </w:tcPr>
                <w:p w14:paraId="2D13F874">
                  <w:pPr>
                    <w:adjustRightInd w:val="0"/>
                    <w:snapToGrid w:val="0"/>
                    <w:jc w:val="center"/>
                    <w:rPr>
                      <w:snapToGrid w:val="0"/>
                      <w:color w:val="auto"/>
                      <w:kern w:val="0"/>
                      <w:szCs w:val="21"/>
                    </w:rPr>
                  </w:pPr>
                </w:p>
              </w:tc>
              <w:tc>
                <w:tcPr>
                  <w:tcW w:w="418" w:type="pct"/>
                  <w:vAlign w:val="center"/>
                </w:tcPr>
                <w:p w14:paraId="2929F8AE">
                  <w:pPr>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资源开发利用要求</w:t>
                  </w:r>
                </w:p>
              </w:tc>
              <w:tc>
                <w:tcPr>
                  <w:tcW w:w="1871" w:type="pct"/>
                  <w:vAlign w:val="center"/>
                </w:tcPr>
                <w:p w14:paraId="2580EFA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eastAsia="宋体"/>
                      <w:color w:val="auto"/>
                      <w:highlight w:val="none"/>
                      <w:u w:val="none"/>
                    </w:rPr>
                  </w:pPr>
                  <w:r>
                    <w:rPr>
                      <w:rFonts w:eastAsia="宋体"/>
                      <w:color w:val="auto"/>
                      <w:highlight w:val="none"/>
                      <w:u w:val="none"/>
                    </w:rPr>
                    <w:t>高污染燃料禁燃区依据《防城港市人民政府关于划定防城港市高污染燃料禁燃区的通告》进行管理。</w:t>
                  </w:r>
                </w:p>
              </w:tc>
              <w:tc>
                <w:tcPr>
                  <w:tcW w:w="1137" w:type="pct"/>
                  <w:vAlign w:val="center"/>
                </w:tcPr>
                <w:p w14:paraId="1DF8D79A">
                  <w:pPr>
                    <w:adjustRightInd w:val="0"/>
                    <w:snapToGrid w:val="0"/>
                    <w:jc w:val="center"/>
                    <w:rPr>
                      <w:rFonts w:hint="default"/>
                      <w:snapToGrid w:val="0"/>
                      <w:color w:val="auto"/>
                      <w:kern w:val="0"/>
                      <w:szCs w:val="21"/>
                      <w:lang w:val="en-US" w:eastAsia="zh-CN"/>
                    </w:rPr>
                  </w:pPr>
                  <w:r>
                    <w:rPr>
                      <w:rFonts w:hint="eastAsia"/>
                      <w:snapToGrid w:val="0"/>
                      <w:color w:val="auto"/>
                      <w:kern w:val="0"/>
                      <w:szCs w:val="21"/>
                      <w:lang w:val="en-US" w:eastAsia="zh-CN"/>
                    </w:rPr>
                    <w:t>项目不涉及使用高污染燃料。</w:t>
                  </w:r>
                </w:p>
              </w:tc>
              <w:tc>
                <w:tcPr>
                  <w:tcW w:w="310" w:type="pct"/>
                  <w:shd w:val="clear" w:color="auto" w:fill="auto"/>
                  <w:vAlign w:val="center"/>
                </w:tcPr>
                <w:p w14:paraId="7FE520A4">
                  <w:pPr>
                    <w:adjustRightInd w:val="0"/>
                    <w:snapToGrid w:val="0"/>
                    <w:jc w:val="center"/>
                    <w:rPr>
                      <w:rFonts w:hint="eastAsia"/>
                      <w:snapToGrid w:val="0"/>
                      <w:color w:val="auto"/>
                      <w:kern w:val="0"/>
                      <w:szCs w:val="21"/>
                    </w:rPr>
                  </w:pPr>
                  <w:r>
                    <w:rPr>
                      <w:rFonts w:hint="eastAsia"/>
                      <w:snapToGrid w:val="0"/>
                      <w:color w:val="auto"/>
                      <w:kern w:val="0"/>
                      <w:szCs w:val="21"/>
                      <w:lang w:val="en-US" w:eastAsia="zh-CN"/>
                    </w:rPr>
                    <w:t>符合</w:t>
                  </w:r>
                </w:p>
              </w:tc>
            </w:tr>
          </w:tbl>
          <w:p w14:paraId="6B8CCC08">
            <w:pPr>
              <w:autoSpaceDE w:val="0"/>
              <w:autoSpaceDN w:val="0"/>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（2）环境质量底线</w:t>
            </w:r>
          </w:p>
          <w:p w14:paraId="7187BAEE">
            <w:pPr>
              <w:autoSpaceDE w:val="0"/>
              <w:autoSpaceDN w:val="0"/>
              <w:adjustRightInd w:val="0"/>
              <w:snapToGrid w:val="0"/>
              <w:spacing w:line="360" w:lineRule="auto"/>
              <w:ind w:firstLine="480" w:firstLineChars="200"/>
              <w:rPr>
                <w:rFonts w:cs="宋体"/>
                <w:color w:val="auto"/>
                <w:kern w:val="0"/>
                <w:sz w:val="24"/>
              </w:rPr>
            </w:pPr>
            <w:r>
              <w:rPr>
                <w:rFonts w:hint="eastAsia" w:cs="宋体"/>
                <w:color w:val="auto"/>
                <w:kern w:val="0"/>
                <w:sz w:val="24"/>
              </w:rPr>
              <w:t>项目区域环境质量现状良好，本项目</w:t>
            </w:r>
            <w:r>
              <w:rPr>
                <w:rFonts w:hint="eastAsia" w:cs="宋体"/>
                <w:color w:val="auto"/>
                <w:kern w:val="0"/>
                <w:sz w:val="24"/>
                <w:lang w:eastAsia="zh-CN"/>
              </w:rPr>
              <w:t>为服务防城港</w:t>
            </w:r>
            <w:r>
              <w:rPr>
                <w:rFonts w:hint="eastAsia" w:ascii="Times New Roman" w:hAnsi="Times New Roman"/>
                <w:color w:val="auto"/>
                <w:sz w:val="24"/>
              </w:rPr>
              <w:t>临港企业原材料和产成品的运输</w:t>
            </w:r>
            <w:r>
              <w:rPr>
                <w:rFonts w:hint="eastAsia" w:cs="宋体"/>
                <w:color w:val="auto"/>
                <w:kern w:val="0"/>
                <w:sz w:val="24"/>
                <w:lang w:eastAsia="zh-CN"/>
              </w:rPr>
              <w:t>的铁路专用线工程和集装箱堆场建设</w:t>
            </w:r>
            <w:r>
              <w:rPr>
                <w:rFonts w:hint="eastAsia" w:cs="宋体"/>
                <w:color w:val="auto"/>
                <w:kern w:val="0"/>
                <w:sz w:val="24"/>
              </w:rPr>
              <w:t>，运营期主要污染物为内燃机车排放尾气</w:t>
            </w:r>
            <w:r>
              <w:rPr>
                <w:rFonts w:hint="eastAsia" w:cs="宋体"/>
                <w:color w:val="auto"/>
                <w:kern w:val="0"/>
                <w:sz w:val="24"/>
                <w:lang w:eastAsia="zh-CN"/>
              </w:rPr>
              <w:t>、堆场进出车辆尾气和</w:t>
            </w:r>
            <w:r>
              <w:rPr>
                <w:rFonts w:hint="eastAsia" w:cs="宋体"/>
                <w:color w:val="auto"/>
                <w:kern w:val="0"/>
                <w:sz w:val="24"/>
              </w:rPr>
              <w:t>铁路噪声，在采取相应的污染防治措施后，不会突破项目区域环境质量底线，不会改变区域环境功能区质量要求，能够严守环境质量底线。</w:t>
            </w:r>
          </w:p>
          <w:p w14:paraId="0B7DBED0">
            <w:pPr>
              <w:autoSpaceDE w:val="0"/>
              <w:autoSpaceDN w:val="0"/>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（3）资源利用上线</w:t>
            </w:r>
          </w:p>
          <w:p w14:paraId="49DF029C">
            <w:pPr>
              <w:autoSpaceDE w:val="0"/>
              <w:autoSpaceDN w:val="0"/>
              <w:adjustRightInd w:val="0"/>
              <w:snapToGrid w:val="0"/>
              <w:spacing w:line="360" w:lineRule="auto"/>
              <w:ind w:firstLine="480" w:firstLineChars="200"/>
              <w:rPr>
                <w:rFonts w:cs="宋体"/>
                <w:color w:val="auto"/>
                <w:kern w:val="0"/>
                <w:sz w:val="24"/>
              </w:rPr>
            </w:pPr>
            <w:r>
              <w:rPr>
                <w:rFonts w:hint="eastAsia" w:cs="宋体"/>
                <w:color w:val="auto"/>
                <w:kern w:val="0"/>
                <w:sz w:val="24"/>
              </w:rPr>
              <w:t>项目产生的固体废物能得到合理处置或综合利用。项目消耗的电能和水资源，相对区域资源利用总量较少，符合资源利用上线要求。</w:t>
            </w:r>
          </w:p>
          <w:p w14:paraId="2B2284BF">
            <w:pPr>
              <w:autoSpaceDE w:val="0"/>
              <w:autoSpaceDN w:val="0"/>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（4）环境准入负面清单</w:t>
            </w:r>
          </w:p>
          <w:p w14:paraId="1F12C643">
            <w:pPr>
              <w:autoSpaceDE w:val="0"/>
              <w:autoSpaceDN w:val="0"/>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根据《广西壮族自治区重点生态功能区县产业准入负面清单调整方案》，项目所在区域不在广西重点生态功能区产业准入负面清单内，不属于负面清单产业。</w:t>
            </w:r>
          </w:p>
          <w:p w14:paraId="0DDEB3EE">
            <w:pPr>
              <w:autoSpaceDE w:val="0"/>
              <w:autoSpaceDN w:val="0"/>
              <w:adjustRightInd w:val="0"/>
              <w:snapToGrid w:val="0"/>
              <w:spacing w:line="360" w:lineRule="auto"/>
              <w:ind w:firstLine="480" w:firstLineChars="200"/>
              <w:rPr>
                <w:rFonts w:hint="eastAsia" w:cs="宋体"/>
                <w:color w:val="auto"/>
                <w:kern w:val="0"/>
                <w:sz w:val="24"/>
              </w:rPr>
            </w:pPr>
            <w:r>
              <w:rPr>
                <w:rFonts w:hint="eastAsia" w:cs="宋体"/>
                <w:color w:val="auto"/>
                <w:kern w:val="0"/>
                <w:sz w:val="24"/>
              </w:rPr>
              <w:t>综上，项目建设符合“三线一单”管控要求。</w:t>
            </w:r>
          </w:p>
          <w:p w14:paraId="688B1F41">
            <w:pPr>
              <w:autoSpaceDE w:val="0"/>
              <w:autoSpaceDN w:val="0"/>
              <w:adjustRightInd w:val="0"/>
              <w:snapToGrid w:val="0"/>
              <w:spacing w:line="360" w:lineRule="auto"/>
              <w:ind w:firstLine="482" w:firstLineChars="200"/>
              <w:rPr>
                <w:rFonts w:hint="default" w:eastAsia="宋体" w:cs="宋体"/>
                <w:b/>
                <w:bCs/>
                <w:color w:val="auto"/>
                <w:kern w:val="0"/>
                <w:sz w:val="24"/>
                <w:lang w:val="en-US" w:eastAsia="zh-CN"/>
              </w:rPr>
            </w:pPr>
            <w:r>
              <w:rPr>
                <w:rFonts w:hint="eastAsia" w:cs="宋体"/>
                <w:b/>
                <w:bCs/>
                <w:color w:val="auto"/>
                <w:kern w:val="0"/>
                <w:sz w:val="24"/>
                <w:lang w:val="en-US" w:eastAsia="zh-CN"/>
              </w:rPr>
              <w:t>3、与“三区三线”相符性分析</w:t>
            </w:r>
          </w:p>
          <w:p w14:paraId="46980E7B">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依据《中共中央国务院关于建立国土空间规划体系并监督实施的若干意见》（中发〔2019〕18号）、自然资源部关于在全国开展“三区三线”划定工作的函（自然资函〔2022〕47号）等文件精神，制定划定的工作方案推进“三区三线”统筹划定工作。“三区三线”指城镇空间、农业空间、生态空间、生态保护红线、永久基本农田保护红线、城镇开发边界。</w:t>
            </w:r>
          </w:p>
          <w:p w14:paraId="0B7541DA">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城镇空间：以城镇居民生产、生活为主体功能的国土空间，包括城镇建设空间、工矿建设空间以及部分乡级政府驻地的开发建设空间。</w:t>
            </w:r>
          </w:p>
          <w:p w14:paraId="566178A0">
            <w:pPr>
              <w:autoSpaceDE w:val="0"/>
              <w:autoSpaceDN w:val="0"/>
              <w:adjustRightInd w:val="0"/>
              <w:snapToGrid w:val="0"/>
              <w:spacing w:line="360" w:lineRule="auto"/>
              <w:ind w:firstLine="480" w:firstLineChars="200"/>
              <w:rPr>
                <w:rFonts w:hint="eastAsia" w:cs="宋体"/>
                <w:color w:val="auto"/>
                <w:kern w:val="0"/>
                <w:sz w:val="24"/>
                <w:lang w:eastAsia="zh-CN"/>
              </w:rPr>
            </w:pPr>
            <w:r>
              <w:rPr>
                <w:rFonts w:hint="eastAsia" w:cs="宋体"/>
                <w:color w:val="auto"/>
                <w:kern w:val="0"/>
                <w:sz w:val="24"/>
                <w:lang w:eastAsia="zh-CN"/>
              </w:rPr>
              <w:t>农业空间：以农业生产和农村居民生活为主体功能，承担农产品生产和农村生活功能的国土空间，主要包括永久基本农田、一般农田等农业生产用地以及村庄等农村生活用地。</w:t>
            </w:r>
          </w:p>
          <w:p w14:paraId="43E2F055">
            <w:pPr>
              <w:autoSpaceDE w:val="0"/>
              <w:autoSpaceDN w:val="0"/>
              <w:adjustRightInd w:val="0"/>
              <w:snapToGrid w:val="0"/>
              <w:spacing w:line="360" w:lineRule="auto"/>
              <w:ind w:firstLine="480" w:firstLineChars="200"/>
              <w:rPr>
                <w:rFonts w:hint="eastAsia" w:cs="宋体"/>
                <w:color w:val="auto"/>
                <w:kern w:val="0"/>
                <w:sz w:val="24"/>
                <w:lang w:eastAsia="zh-CN"/>
              </w:rPr>
            </w:pPr>
            <w:r>
              <w:rPr>
                <w:rFonts w:hint="eastAsia" w:cs="宋体"/>
                <w:color w:val="auto"/>
                <w:kern w:val="0"/>
                <w:sz w:val="24"/>
                <w:lang w:eastAsia="zh-CN"/>
              </w:rPr>
              <w:t>生态空间：具有自然属性的，以提供生态服务或生态产品为主体功能的国土空间，包括森林、草原、湿地、河流、湖泊、滩涂、荒地、荒漠等。</w:t>
            </w:r>
          </w:p>
          <w:p w14:paraId="673EEA4B">
            <w:pPr>
              <w:autoSpaceDE w:val="0"/>
              <w:autoSpaceDN w:val="0"/>
              <w:adjustRightInd w:val="0"/>
              <w:snapToGrid w:val="0"/>
              <w:spacing w:line="360" w:lineRule="auto"/>
              <w:ind w:firstLine="480" w:firstLineChars="200"/>
              <w:rPr>
                <w:rFonts w:hint="eastAsia" w:cs="宋体"/>
                <w:color w:val="auto"/>
                <w:kern w:val="0"/>
                <w:sz w:val="24"/>
                <w:lang w:eastAsia="zh-CN"/>
              </w:rPr>
            </w:pPr>
            <w:r>
              <w:rPr>
                <w:rFonts w:hint="eastAsia" w:cs="宋体"/>
                <w:color w:val="auto"/>
                <w:kern w:val="0"/>
                <w:sz w:val="24"/>
                <w:lang w:eastAsia="zh-CN"/>
              </w:rPr>
              <w:t>生态保护红线：是在生态空间范围内具有特殊重要的生态功能、必须强制性严格保护的区域，是保障和维护国家生态安全的底线和生命线。</w:t>
            </w:r>
          </w:p>
          <w:p w14:paraId="26FBD088">
            <w:pPr>
              <w:autoSpaceDE w:val="0"/>
              <w:autoSpaceDN w:val="0"/>
              <w:adjustRightInd w:val="0"/>
              <w:snapToGrid w:val="0"/>
              <w:spacing w:line="360" w:lineRule="auto"/>
              <w:ind w:firstLine="480" w:firstLineChars="200"/>
              <w:rPr>
                <w:rFonts w:hint="eastAsia" w:cs="宋体"/>
                <w:color w:val="auto"/>
                <w:kern w:val="0"/>
                <w:sz w:val="24"/>
                <w:lang w:eastAsia="zh-CN"/>
              </w:rPr>
            </w:pPr>
            <w:r>
              <w:rPr>
                <w:rFonts w:hint="eastAsia" w:cs="宋体"/>
                <w:color w:val="auto"/>
                <w:kern w:val="0"/>
                <w:sz w:val="24"/>
                <w:lang w:eastAsia="zh-CN"/>
              </w:rPr>
              <w:t>永久基本农田保护红线：是按照一定时期人口和社会经济发展对农产品的需求，依法确定的不得占用、不得开发、需要永久性保护的耕地空间边界。城镇开发边界：在一定时期内，因城镇发展需要，可以集中进行城镇开发建设，完善城镇功能、提升空间品质的区域边界，涉及城市、建制镇及各类开发区等。</w:t>
            </w:r>
          </w:p>
          <w:p w14:paraId="10970C0F">
            <w:pPr>
              <w:autoSpaceDE w:val="0"/>
              <w:autoSpaceDN w:val="0"/>
              <w:adjustRightInd w:val="0"/>
              <w:snapToGrid w:val="0"/>
              <w:spacing w:line="360" w:lineRule="auto"/>
              <w:ind w:firstLine="480" w:firstLineChars="200"/>
              <w:rPr>
                <w:rFonts w:hint="eastAsia" w:cs="宋体"/>
                <w:color w:val="auto"/>
                <w:kern w:val="0"/>
                <w:sz w:val="24"/>
                <w:lang w:eastAsia="zh-CN"/>
              </w:rPr>
            </w:pPr>
            <w:r>
              <w:rPr>
                <w:rFonts w:hint="eastAsia" w:cs="宋体"/>
                <w:color w:val="auto"/>
                <w:kern w:val="0"/>
                <w:sz w:val="24"/>
                <w:lang w:eastAsia="zh-CN"/>
              </w:rPr>
              <w:t>项目位于</w:t>
            </w:r>
            <w:r>
              <w:rPr>
                <w:rFonts w:hint="eastAsia" w:cs="宋体"/>
                <w:color w:val="auto"/>
                <w:kern w:val="0"/>
                <w:sz w:val="24"/>
                <w:lang w:val="en-US" w:eastAsia="zh-CN"/>
              </w:rPr>
              <w:t>防城港市港口区云约站铁路货场既有用地内</w:t>
            </w:r>
            <w:r>
              <w:rPr>
                <w:rFonts w:hint="eastAsia" w:cs="宋体"/>
                <w:color w:val="auto"/>
                <w:kern w:val="0"/>
                <w:sz w:val="24"/>
                <w:lang w:eastAsia="zh-CN"/>
              </w:rPr>
              <w:t>，项目建设与“三区三线”不相悖，与规划相符。</w:t>
            </w:r>
          </w:p>
          <w:p w14:paraId="31838EA2">
            <w:pPr>
              <w:autoSpaceDE w:val="0"/>
              <w:autoSpaceDN w:val="0"/>
              <w:adjustRightInd w:val="0"/>
              <w:snapToGrid w:val="0"/>
              <w:spacing w:line="360" w:lineRule="auto"/>
              <w:ind w:firstLine="480" w:firstLineChars="200"/>
              <w:rPr>
                <w:rFonts w:hint="eastAsia" w:eastAsia="宋体" w:cs="宋体"/>
                <w:color w:val="auto"/>
                <w:kern w:val="0"/>
                <w:sz w:val="24"/>
                <w:lang w:eastAsia="zh-CN"/>
              </w:rPr>
            </w:pPr>
            <w:r>
              <w:rPr>
                <w:rFonts w:hint="eastAsia" w:cs="宋体"/>
                <w:color w:val="auto"/>
                <w:kern w:val="0"/>
                <w:sz w:val="24"/>
                <w:lang w:eastAsia="zh-CN"/>
              </w:rPr>
              <w:t>。</w:t>
            </w:r>
          </w:p>
        </w:tc>
      </w:tr>
    </w:tbl>
    <w:p w14:paraId="2813CCFD">
      <w:pPr>
        <w:spacing w:line="360" w:lineRule="auto"/>
        <w:outlineLvl w:val="0"/>
        <w:rPr>
          <w:color w:val="auto"/>
          <w:sz w:val="30"/>
        </w:rPr>
        <w:sectPr>
          <w:headerReference r:id="rId6" w:type="first"/>
          <w:footerReference r:id="rId9" w:type="first"/>
          <w:headerReference r:id="rId4" w:type="default"/>
          <w:footerReference r:id="rId7" w:type="default"/>
          <w:headerReference r:id="rId5" w:type="even"/>
          <w:footerReference r:id="rId8" w:type="even"/>
          <w:pgSz w:w="11906" w:h="16838"/>
          <w:pgMar w:top="1701" w:right="1531" w:bottom="1701" w:left="1531" w:header="851" w:footer="1077" w:gutter="0"/>
          <w:pgNumType w:start="1"/>
          <w:cols w:space="720" w:num="1"/>
          <w:docGrid w:linePitch="312" w:charSpace="0"/>
        </w:sectPr>
      </w:pPr>
    </w:p>
    <w:p w14:paraId="02D2C4B9">
      <w:pPr>
        <w:pStyle w:val="41"/>
        <w:jc w:val="center"/>
        <w:outlineLvl w:val="0"/>
        <w:rPr>
          <w:rFonts w:ascii="Times New Roman" w:hAnsi="Times New Roman"/>
          <w:snapToGrid w:val="0"/>
          <w:color w:val="auto"/>
          <w:sz w:val="30"/>
          <w:szCs w:val="30"/>
        </w:rPr>
      </w:pPr>
      <w:bookmarkStart w:id="4" w:name="_Toc141432013"/>
      <w:r>
        <w:rPr>
          <w:rFonts w:hint="eastAsia" w:ascii="Times New Roman" w:hAnsi="Times New Roman"/>
          <w:snapToGrid w:val="0"/>
          <w:color w:val="auto"/>
          <w:sz w:val="30"/>
          <w:szCs w:val="30"/>
        </w:rPr>
        <w:t>二、建设内容</w:t>
      </w:r>
      <w:bookmarkEnd w:id="4"/>
    </w:p>
    <w:tbl>
      <w:tblPr>
        <w:tblStyle w:val="46"/>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46"/>
      </w:tblGrid>
      <w:tr w14:paraId="269A4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557" w:type="dxa"/>
            <w:vAlign w:val="center"/>
          </w:tcPr>
          <w:p w14:paraId="51422389">
            <w:pPr>
              <w:adjustRightInd w:val="0"/>
              <w:snapToGrid w:val="0"/>
              <w:jc w:val="center"/>
              <w:rPr>
                <w:rFonts w:cs="宋体"/>
                <w:color w:val="auto"/>
                <w:spacing w:val="0"/>
                <w:kern w:val="0"/>
                <w:position w:val="0"/>
                <w:sz w:val="24"/>
              </w:rPr>
            </w:pPr>
            <w:r>
              <w:rPr>
                <w:rFonts w:hint="eastAsia" w:cs="宋体"/>
                <w:color w:val="auto"/>
                <w:spacing w:val="0"/>
                <w:kern w:val="0"/>
                <w:position w:val="0"/>
                <w:sz w:val="24"/>
              </w:rPr>
              <w:t>地理位置</w:t>
            </w:r>
          </w:p>
        </w:tc>
        <w:tc>
          <w:tcPr>
            <w:tcW w:w="8533" w:type="dxa"/>
            <w:vAlign w:val="center"/>
          </w:tcPr>
          <w:p w14:paraId="066CB328">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项目位于广西壮族自治区</w:t>
            </w:r>
            <w:r>
              <w:rPr>
                <w:rFonts w:hint="eastAsia" w:cs="宋体"/>
                <w:color w:val="auto"/>
                <w:spacing w:val="0"/>
                <w:kern w:val="0"/>
                <w:position w:val="0"/>
                <w:sz w:val="24"/>
                <w:lang w:eastAsia="zh-CN"/>
              </w:rPr>
              <w:t>防城港</w:t>
            </w:r>
            <w:r>
              <w:rPr>
                <w:rFonts w:hint="eastAsia" w:cs="宋体"/>
                <w:color w:val="auto"/>
                <w:spacing w:val="0"/>
                <w:kern w:val="0"/>
                <w:position w:val="0"/>
                <w:sz w:val="24"/>
              </w:rPr>
              <w:t>市</w:t>
            </w:r>
            <w:r>
              <w:rPr>
                <w:rFonts w:hint="eastAsia" w:cs="宋体"/>
                <w:color w:val="auto"/>
                <w:spacing w:val="0"/>
                <w:kern w:val="0"/>
                <w:position w:val="0"/>
                <w:sz w:val="24"/>
                <w:lang w:eastAsia="zh-CN"/>
              </w:rPr>
              <w:t>港口区</w:t>
            </w:r>
            <w:r>
              <w:rPr>
                <w:rFonts w:hint="eastAsia" w:cs="宋体"/>
                <w:color w:val="auto"/>
                <w:spacing w:val="0"/>
                <w:kern w:val="0"/>
                <w:position w:val="0"/>
                <w:sz w:val="24"/>
              </w:rPr>
              <w:t>，</w:t>
            </w:r>
            <w:r>
              <w:rPr>
                <w:rFonts w:hint="eastAsia" w:ascii="Times New Roman" w:hAnsi="Times New Roman"/>
                <w:color w:val="auto"/>
                <w:spacing w:val="0"/>
                <w:position w:val="0"/>
                <w:sz w:val="24"/>
              </w:rPr>
              <w:t>云约站铁路货场位于防城港市港口区公车镇管辖范围，货场东临企沙支线云约站，西临沙企一级路</w:t>
            </w:r>
            <w:r>
              <w:rPr>
                <w:rFonts w:hint="eastAsia" w:ascii="宋体" w:hAnsi="宋体" w:eastAsia="宋体" w:cs="宋体"/>
                <w:color w:val="auto"/>
                <w:spacing w:val="0"/>
                <w:position w:val="0"/>
                <w:sz w:val="24"/>
              </w:rPr>
              <w:t>(</w:t>
            </w:r>
            <w:r>
              <w:rPr>
                <w:rFonts w:hint="eastAsia" w:ascii="Times New Roman" w:hAnsi="Times New Roman"/>
                <w:color w:val="auto"/>
                <w:spacing w:val="0"/>
                <w:position w:val="0"/>
                <w:sz w:val="24"/>
              </w:rPr>
              <w:t>企沙大道</w:t>
            </w:r>
            <w:r>
              <w:rPr>
                <w:rFonts w:hint="eastAsia" w:ascii="宋体" w:hAnsi="宋体" w:eastAsia="宋体" w:cs="宋体"/>
                <w:color w:val="auto"/>
                <w:spacing w:val="0"/>
                <w:position w:val="0"/>
                <w:sz w:val="24"/>
              </w:rPr>
              <w:t>)</w:t>
            </w:r>
            <w:r>
              <w:rPr>
                <w:rFonts w:hint="eastAsia" w:ascii="Times New Roman" w:hAnsi="Times New Roman"/>
                <w:color w:val="auto"/>
                <w:spacing w:val="0"/>
                <w:position w:val="0"/>
                <w:sz w:val="24"/>
              </w:rPr>
              <w:t>，南侧有云约、上云约、下云约、韩屋等村庄。</w:t>
            </w:r>
            <w:r>
              <w:rPr>
                <w:rFonts w:hint="eastAsia" w:ascii="Times New Roman" w:hAnsi="Times New Roman"/>
                <w:color w:val="auto"/>
                <w:spacing w:val="0"/>
                <w:position w:val="0"/>
                <w:sz w:val="24"/>
                <w:lang w:val="en-US" w:eastAsia="zh-CN"/>
              </w:rPr>
              <w:t>货场中心坐标为</w:t>
            </w:r>
            <w:r>
              <w:rPr>
                <w:rFonts w:hint="eastAsia" w:cs="宋体"/>
                <w:color w:val="auto"/>
                <w:spacing w:val="0"/>
                <w:kern w:val="0"/>
                <w:position w:val="0"/>
                <w:sz w:val="24"/>
                <w:lang w:val="en-US" w:eastAsia="zh-CN"/>
              </w:rPr>
              <w:t>108.460592°，21.609705°</w:t>
            </w:r>
            <w:r>
              <w:rPr>
                <w:rFonts w:hint="eastAsia" w:cs="宋体"/>
                <w:color w:val="auto"/>
                <w:spacing w:val="0"/>
                <w:kern w:val="0"/>
                <w:position w:val="0"/>
                <w:sz w:val="24"/>
              </w:rPr>
              <w:t>，</w:t>
            </w:r>
            <w:r>
              <w:rPr>
                <w:rFonts w:hint="eastAsia" w:cs="宋体"/>
                <w:color w:val="auto"/>
                <w:spacing w:val="0"/>
                <w:kern w:val="0"/>
                <w:position w:val="0"/>
                <w:sz w:val="24"/>
                <w:lang w:val="en-US" w:eastAsia="zh-CN"/>
              </w:rPr>
              <w:t>货物装卸线装卸有效长770m</w:t>
            </w:r>
            <w:r>
              <w:rPr>
                <w:rFonts w:hint="eastAsia" w:cs="宋体"/>
                <w:color w:val="auto"/>
                <w:spacing w:val="0"/>
                <w:kern w:val="0"/>
                <w:position w:val="0"/>
                <w:sz w:val="24"/>
                <w:lang w:eastAsia="zh-CN"/>
              </w:rPr>
              <w:t>。</w:t>
            </w:r>
            <w:r>
              <w:rPr>
                <w:rFonts w:hint="eastAsia" w:cs="宋体"/>
                <w:color w:val="auto"/>
                <w:spacing w:val="0"/>
                <w:kern w:val="0"/>
                <w:position w:val="0"/>
                <w:sz w:val="24"/>
              </w:rPr>
              <w:t>项目地理位置详见附图1。</w:t>
            </w:r>
          </w:p>
        </w:tc>
      </w:tr>
      <w:tr w14:paraId="21755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57" w:type="dxa"/>
            <w:vAlign w:val="center"/>
          </w:tcPr>
          <w:p w14:paraId="43C9A1D4">
            <w:pPr>
              <w:adjustRightInd w:val="0"/>
              <w:snapToGrid w:val="0"/>
              <w:jc w:val="center"/>
              <w:rPr>
                <w:rFonts w:cs="宋体"/>
                <w:color w:val="auto"/>
                <w:spacing w:val="0"/>
                <w:kern w:val="0"/>
                <w:position w:val="0"/>
                <w:sz w:val="24"/>
              </w:rPr>
            </w:pPr>
            <w:r>
              <w:rPr>
                <w:rFonts w:hint="eastAsia" w:cs="宋体"/>
                <w:color w:val="auto"/>
                <w:spacing w:val="0"/>
                <w:kern w:val="0"/>
                <w:position w:val="0"/>
                <w:sz w:val="24"/>
              </w:rPr>
              <w:t>项目组成及规模</w:t>
            </w:r>
          </w:p>
        </w:tc>
        <w:tc>
          <w:tcPr>
            <w:tcW w:w="8533" w:type="dxa"/>
            <w:vAlign w:val="center"/>
          </w:tcPr>
          <w:p w14:paraId="31CE20BF">
            <w:pPr>
              <w:adjustRightInd w:val="0"/>
              <w:snapToGrid w:val="0"/>
              <w:spacing w:line="360" w:lineRule="auto"/>
              <w:ind w:firstLine="482" w:firstLineChars="200"/>
              <w:rPr>
                <w:rFonts w:cs="宋体"/>
                <w:b/>
                <w:bCs/>
                <w:color w:val="auto"/>
                <w:spacing w:val="0"/>
                <w:kern w:val="0"/>
                <w:position w:val="0"/>
                <w:sz w:val="24"/>
              </w:rPr>
            </w:pPr>
            <w:r>
              <w:rPr>
                <w:rFonts w:cs="宋体"/>
                <w:b/>
                <w:bCs/>
                <w:color w:val="auto"/>
                <w:spacing w:val="0"/>
                <w:kern w:val="0"/>
                <w:position w:val="0"/>
                <w:sz w:val="24"/>
              </w:rPr>
              <w:t>1</w:t>
            </w:r>
            <w:r>
              <w:rPr>
                <w:rFonts w:hint="eastAsia" w:cs="宋体"/>
                <w:b/>
                <w:bCs/>
                <w:color w:val="auto"/>
                <w:spacing w:val="0"/>
                <w:kern w:val="0"/>
                <w:position w:val="0"/>
                <w:sz w:val="24"/>
              </w:rPr>
              <w:t>、建设内容</w:t>
            </w:r>
          </w:p>
          <w:p w14:paraId="166AF1DD">
            <w:pPr>
              <w:adjustRightInd w:val="0"/>
              <w:snapToGrid w:val="0"/>
              <w:spacing w:line="360" w:lineRule="auto"/>
              <w:ind w:firstLine="480" w:firstLineChars="200"/>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防城港企沙支线是承担企沙港区的港口集疏运量及临港工业区运量的重要通道。云约站作为企沙支线的重要节点，本项目建成后，将为港口区各企业所需的原材料及产成品等货物的运输提供运力保障，降低企业运输成本，同时辐射和带动周边地区，起到极其重要的示范性作用，推进区域运输“无缝对接”，形成多式联动、运作快捷、安全高效的综合物流体系。本项目作为防城港重要的物流基地，对地区经济发展具有重要的意义和作用。</w:t>
            </w:r>
          </w:p>
          <w:p w14:paraId="600555F4">
            <w:pPr>
              <w:adjustRightInd w:val="0"/>
              <w:snapToGrid w:val="0"/>
              <w:spacing w:line="360" w:lineRule="auto"/>
              <w:ind w:firstLine="480" w:firstLineChars="200"/>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云约站铁路货场是防城港建设港口型国家物流枢纽体系的组成部分，是企沙工业区临港产业相关企业生产原材料及产成品的运输保障设施，也是延伸产业发展链条、促进地区经济发展的重要交通基础设施。</w:t>
            </w:r>
          </w:p>
          <w:p w14:paraId="3238E950">
            <w:pPr>
              <w:adjustRightInd w:val="0"/>
              <w:snapToGrid w:val="0"/>
              <w:spacing w:line="360" w:lineRule="auto"/>
              <w:ind w:firstLine="480" w:firstLineChars="200"/>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本项目研究范围包含云约站（K17+800～K21+500）站改工程，铁路货场工程及相关配套设施设备等工程。</w:t>
            </w:r>
          </w:p>
          <w:p w14:paraId="046409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（1）项目名称：广西沿海铁路股份有限公司云约站铁路物流园（铁路货场）工程</w:t>
            </w:r>
          </w:p>
          <w:p w14:paraId="409E24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（2）建设单位：广西沿海铁路股份有限公司</w:t>
            </w:r>
          </w:p>
          <w:p w14:paraId="323D06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s="宋体"/>
                <w:color w:val="auto"/>
                <w:spacing w:val="0"/>
                <w:kern w:val="0"/>
                <w:position w:val="0"/>
                <w:sz w:val="24"/>
                <w:szCs w:val="24"/>
                <w:lang w:val="en-US" w:eastAsia="zh-CN"/>
              </w:rPr>
            </w:pPr>
            <w:r>
              <w:rPr>
                <w:rFonts w:hint="eastAsia"/>
                <w:color w:val="auto"/>
                <w:sz w:val="24"/>
                <w:szCs w:val="24"/>
                <w:lang w:eastAsia="zh-CN"/>
              </w:rPr>
              <w:t>（</w:t>
            </w:r>
            <w:r>
              <w:rPr>
                <w:rFonts w:hint="eastAsia"/>
                <w:color w:val="auto"/>
                <w:sz w:val="24"/>
                <w:szCs w:val="24"/>
                <w:lang w:val="en-US" w:eastAsia="zh-CN"/>
              </w:rPr>
              <w:t>3）项目性质：新建</w:t>
            </w:r>
          </w:p>
          <w:p w14:paraId="72794B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（4）项目地址：防城港市港口区</w:t>
            </w:r>
          </w:p>
          <w:p w14:paraId="558CBA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5）项目用地：项目用地为防城港企沙铁路支线云约站用地空置部分，该用地于2013年12月27日取得防城港市住房和城乡建设委员会《关于办理防城港企沙铁路支线云约站选址意见的复函》，复函内批复用地面积为971.95亩，至今实际征地面积为564亩。本次项目利用已征得用地建设货物线及堆场。</w:t>
            </w:r>
          </w:p>
          <w:p w14:paraId="693DB629">
            <w:pPr>
              <w:adjustRightInd w:val="0"/>
              <w:snapToGrid w:val="0"/>
              <w:spacing w:line="360" w:lineRule="auto"/>
              <w:ind w:firstLine="480" w:firstLineChars="200"/>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6）地理位置：项目位于广西壮族自治区防城港市港口区，云约站铁路货场位于防城港市港口区公车镇管辖范围，货场东临企沙支线云约站，西临沙企一级路(企沙大道)，南侧有云约、上云约、下云约、韩屋等村庄。货场中心坐标为108.460592°，21.609705°，货物装卸线装卸有效长770m，项目地理位置见附图1。</w:t>
            </w:r>
          </w:p>
          <w:p w14:paraId="0D4BE2B1">
            <w:pPr>
              <w:adjustRightInd w:val="0"/>
              <w:snapToGrid w:val="0"/>
              <w:spacing w:line="360" w:lineRule="auto"/>
              <w:ind w:firstLine="480" w:firstLineChars="200"/>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7）建设内容：项目位于云约站与沙企一级路间，结合车站规划预留规模及用地条件，利用车站站房对侧预留最外侧股道设贯通式整列货物装卸线1条，安全线2条，装卸有效长度770m，相应改建两端咽喉；线路外侧配套正面吊作业区，集装箱堆场及货车停车场；新建框架涵（排洪）5座，改建框架涵（排洪）5座；新建道路646.731m；改移道路426.02m。货场初期利用正线调车，南端进站信号机外移，并配套轨道衡、进站道路、货运综合楼(临时)、给排水、电力等工程设施设备。</w:t>
            </w:r>
          </w:p>
          <w:p w14:paraId="126BB815">
            <w:pPr>
              <w:adjustRightInd w:val="0"/>
              <w:snapToGrid w:val="0"/>
              <w:spacing w:line="360" w:lineRule="auto"/>
              <w:ind w:firstLine="480" w:firstLineChars="200"/>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（8）工程投资：9866万元，环境保护投资267万元，环境保护投资占项目总投资的2.7%。</w:t>
            </w:r>
          </w:p>
          <w:p w14:paraId="27FA4420">
            <w:pPr>
              <w:adjustRightInd w:val="0"/>
              <w:snapToGrid w:val="0"/>
              <w:spacing w:line="360" w:lineRule="auto"/>
              <w:ind w:firstLine="480" w:firstLineChars="200"/>
              <w:rPr>
                <w:rFonts w:hint="default" w:eastAsia="宋体" w:cs="宋体"/>
                <w:color w:val="auto"/>
                <w:spacing w:val="0"/>
                <w:kern w:val="0"/>
                <w:position w:val="0"/>
                <w:sz w:val="24"/>
                <w:lang w:val="en-US" w:eastAsia="zh-CN"/>
              </w:rPr>
            </w:pPr>
            <w:r>
              <w:rPr>
                <w:rFonts w:hint="eastAsia" w:cs="宋体"/>
                <w:color w:val="auto"/>
                <w:spacing w:val="0"/>
                <w:kern w:val="0"/>
                <w:position w:val="0"/>
                <w:sz w:val="24"/>
                <w:lang w:val="en-US" w:eastAsia="zh-CN"/>
              </w:rPr>
              <w:t>（9）施工进度：本项目预计于2026年5月开工建设，2027年4月底竣工投入使用，建设期12个月。</w:t>
            </w:r>
          </w:p>
          <w:p w14:paraId="5ADE665B">
            <w:pPr>
              <w:adjustRightInd w:val="0"/>
              <w:snapToGrid w:val="0"/>
              <w:spacing w:line="360" w:lineRule="auto"/>
              <w:ind w:firstLine="480" w:firstLineChars="200"/>
              <w:rPr>
                <w:rFonts w:hint="default" w:eastAsia="宋体" w:cs="宋体"/>
                <w:color w:val="auto"/>
                <w:spacing w:val="0"/>
                <w:kern w:val="0"/>
                <w:position w:val="0"/>
                <w:sz w:val="24"/>
                <w:lang w:val="en-US" w:eastAsia="zh-CN"/>
              </w:rPr>
            </w:pPr>
            <w:r>
              <w:rPr>
                <w:rFonts w:hint="eastAsia" w:cs="宋体"/>
                <w:color w:val="auto"/>
                <w:spacing w:val="0"/>
                <w:kern w:val="0"/>
                <w:position w:val="0"/>
                <w:sz w:val="24"/>
                <w:lang w:val="en-US" w:eastAsia="zh-CN"/>
              </w:rPr>
              <w:t>本次评价仅包含上述建设内容，远期预留部分不在本次评价范围内。</w:t>
            </w:r>
          </w:p>
          <w:p w14:paraId="2FA09B66">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ascii="Times New Roman" w:hAnsi="Times New Roman" w:eastAsia="宋体" w:cs="宋体"/>
                <w:b/>
                <w:bCs/>
                <w:color w:val="auto"/>
                <w:spacing w:val="0"/>
                <w:kern w:val="0"/>
                <w:position w:val="0"/>
                <w:sz w:val="21"/>
                <w:szCs w:val="21"/>
              </w:rPr>
            </w:pPr>
            <w:r>
              <w:rPr>
                <w:rFonts w:hint="eastAsia" w:ascii="Times New Roman" w:hAnsi="Times New Roman" w:eastAsia="宋体" w:cs="宋体"/>
                <w:b/>
                <w:bCs/>
                <w:color w:val="auto"/>
                <w:spacing w:val="0"/>
                <w:kern w:val="0"/>
                <w:position w:val="0"/>
                <w:sz w:val="24"/>
                <w:szCs w:val="32"/>
              </w:rPr>
              <w:t>表2</w:t>
            </w:r>
            <w:r>
              <w:rPr>
                <w:rFonts w:ascii="Times New Roman" w:hAnsi="Times New Roman" w:eastAsia="宋体" w:cs="宋体"/>
                <w:b/>
                <w:bCs/>
                <w:color w:val="auto"/>
                <w:spacing w:val="0"/>
                <w:kern w:val="0"/>
                <w:position w:val="0"/>
                <w:sz w:val="24"/>
                <w:szCs w:val="32"/>
              </w:rPr>
              <w:t xml:space="preserve">-1  </w:t>
            </w:r>
            <w:r>
              <w:rPr>
                <w:rFonts w:hint="eastAsia" w:ascii="Times New Roman" w:hAnsi="Times New Roman" w:eastAsia="宋体" w:cs="宋体"/>
                <w:b/>
                <w:bCs/>
                <w:color w:val="auto"/>
                <w:spacing w:val="0"/>
                <w:kern w:val="0"/>
                <w:position w:val="0"/>
                <w:sz w:val="24"/>
                <w:szCs w:val="32"/>
              </w:rPr>
              <w:t>项目工程组成一览表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171"/>
              <w:gridCol w:w="6076"/>
            </w:tblGrid>
            <w:tr w14:paraId="1C1D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5F150251">
                  <w:pPr>
                    <w:adjustRightInd w:val="0"/>
                    <w:snapToGrid w:val="0"/>
                    <w:jc w:val="center"/>
                    <w:rPr>
                      <w:rFonts w:ascii="Times New Roman" w:hAnsi="Times New Roman" w:eastAsia="宋体" w:cs="宋体"/>
                      <w:b/>
                      <w:bCs/>
                      <w:color w:val="auto"/>
                      <w:spacing w:val="0"/>
                      <w:kern w:val="0"/>
                      <w:position w:val="0"/>
                      <w:sz w:val="21"/>
                      <w:szCs w:val="21"/>
                    </w:rPr>
                  </w:pPr>
                  <w:r>
                    <w:rPr>
                      <w:rFonts w:hint="eastAsia" w:ascii="Times New Roman" w:hAnsi="Times New Roman" w:eastAsia="宋体" w:cs="宋体"/>
                      <w:b/>
                      <w:bCs/>
                      <w:color w:val="auto"/>
                      <w:spacing w:val="0"/>
                      <w:kern w:val="0"/>
                      <w:position w:val="0"/>
                      <w:sz w:val="21"/>
                      <w:szCs w:val="21"/>
                    </w:rPr>
                    <w:t>工程类别</w:t>
                  </w:r>
                </w:p>
              </w:tc>
              <w:tc>
                <w:tcPr>
                  <w:tcW w:w="695" w:type="pct"/>
                  <w:vAlign w:val="center"/>
                </w:tcPr>
                <w:p w14:paraId="6818D2D3">
                  <w:pPr>
                    <w:adjustRightInd w:val="0"/>
                    <w:snapToGrid w:val="0"/>
                    <w:jc w:val="center"/>
                    <w:rPr>
                      <w:rFonts w:ascii="Times New Roman" w:hAnsi="Times New Roman" w:eastAsia="宋体" w:cs="宋体"/>
                      <w:b/>
                      <w:bCs/>
                      <w:color w:val="auto"/>
                      <w:spacing w:val="0"/>
                      <w:kern w:val="0"/>
                      <w:position w:val="0"/>
                      <w:sz w:val="21"/>
                      <w:szCs w:val="21"/>
                    </w:rPr>
                  </w:pPr>
                  <w:r>
                    <w:rPr>
                      <w:rFonts w:hint="eastAsia" w:ascii="Times New Roman" w:hAnsi="Times New Roman" w:eastAsia="宋体" w:cs="宋体"/>
                      <w:b/>
                      <w:bCs/>
                      <w:color w:val="auto"/>
                      <w:spacing w:val="0"/>
                      <w:kern w:val="0"/>
                      <w:position w:val="0"/>
                      <w:sz w:val="21"/>
                      <w:szCs w:val="21"/>
                    </w:rPr>
                    <w:t>工程内容</w:t>
                  </w:r>
                </w:p>
              </w:tc>
              <w:tc>
                <w:tcPr>
                  <w:tcW w:w="3607" w:type="pct"/>
                  <w:vAlign w:val="center"/>
                </w:tcPr>
                <w:p w14:paraId="29312DE0">
                  <w:pPr>
                    <w:adjustRightInd w:val="0"/>
                    <w:snapToGrid w:val="0"/>
                    <w:jc w:val="center"/>
                    <w:rPr>
                      <w:rFonts w:ascii="Times New Roman" w:hAnsi="Times New Roman" w:eastAsia="宋体" w:cs="宋体"/>
                      <w:b/>
                      <w:bCs/>
                      <w:color w:val="auto"/>
                      <w:spacing w:val="0"/>
                      <w:kern w:val="0"/>
                      <w:position w:val="0"/>
                      <w:sz w:val="21"/>
                      <w:szCs w:val="21"/>
                    </w:rPr>
                  </w:pPr>
                  <w:r>
                    <w:rPr>
                      <w:rFonts w:hint="eastAsia" w:ascii="Times New Roman" w:hAnsi="Times New Roman" w:eastAsia="宋体" w:cs="宋体"/>
                      <w:b/>
                      <w:bCs/>
                      <w:color w:val="auto"/>
                      <w:spacing w:val="0"/>
                      <w:kern w:val="0"/>
                      <w:position w:val="0"/>
                      <w:sz w:val="21"/>
                      <w:szCs w:val="21"/>
                    </w:rPr>
                    <w:t>建设内容</w:t>
                  </w:r>
                </w:p>
              </w:tc>
            </w:tr>
            <w:tr w14:paraId="0678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97" w:type="pct"/>
                  <w:vMerge w:val="restart"/>
                  <w:vAlign w:val="center"/>
                </w:tcPr>
                <w:p w14:paraId="2B954E7D">
                  <w:pPr>
                    <w:adjustRightInd w:val="0"/>
                    <w:snapToGrid w:val="0"/>
                    <w:jc w:val="center"/>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主体工程</w:t>
                  </w:r>
                </w:p>
              </w:tc>
              <w:tc>
                <w:tcPr>
                  <w:tcW w:w="695" w:type="pct"/>
                  <w:vAlign w:val="center"/>
                </w:tcPr>
                <w:p w14:paraId="2B73D8CB">
                  <w:pPr>
                    <w:adjustRightInd w:val="0"/>
                    <w:snapToGrid w:val="0"/>
                    <w:jc w:val="center"/>
                    <w:rPr>
                      <w:rFonts w:hint="default" w:ascii="Times New Roman" w:hAnsi="Times New Roman" w:eastAsia="宋体" w:cs="宋体"/>
                      <w:color w:val="auto"/>
                      <w:spacing w:val="0"/>
                      <w:kern w:val="0"/>
                      <w:position w:val="0"/>
                      <w:sz w:val="21"/>
                      <w:lang w:val="en-US" w:eastAsia="zh-CN"/>
                    </w:rPr>
                  </w:pPr>
                  <w:r>
                    <w:rPr>
                      <w:rFonts w:hint="eastAsia" w:cs="宋体"/>
                      <w:color w:val="auto"/>
                      <w:spacing w:val="0"/>
                      <w:kern w:val="0"/>
                      <w:position w:val="0"/>
                      <w:sz w:val="21"/>
                      <w:lang w:val="en-US" w:eastAsia="zh-CN"/>
                    </w:rPr>
                    <w:t>接轨站</w:t>
                  </w:r>
                </w:p>
              </w:tc>
              <w:tc>
                <w:tcPr>
                  <w:tcW w:w="3607" w:type="pct"/>
                  <w:vAlign w:val="center"/>
                </w:tcPr>
                <w:p w14:paraId="5326EA57">
                  <w:pPr>
                    <w:keepNext w:val="0"/>
                    <w:keepLines w:val="0"/>
                    <w:widowControl/>
                    <w:suppressLineNumbers w:val="0"/>
                    <w:jc w:val="left"/>
                    <w:rPr>
                      <w:rFonts w:hint="eastAsia" w:ascii="Times New Roman" w:hAnsi="Times New Roman" w:eastAsia="宋体" w:cs="宋体"/>
                      <w:color w:val="auto"/>
                      <w:spacing w:val="0"/>
                      <w:kern w:val="0"/>
                      <w:position w:val="0"/>
                      <w:sz w:val="21"/>
                      <w:szCs w:val="21"/>
                      <w:lang w:val="en-US" w:eastAsia="zh-CN" w:bidi="ar"/>
                    </w:rPr>
                  </w:pPr>
                  <w:r>
                    <w:rPr>
                      <w:rFonts w:hint="eastAsia" w:ascii="Times New Roman" w:hAnsi="Times New Roman" w:eastAsia="宋体" w:cs="宋体"/>
                      <w:color w:val="auto"/>
                      <w:spacing w:val="0"/>
                      <w:kern w:val="0"/>
                      <w:position w:val="0"/>
                      <w:sz w:val="21"/>
                      <w:szCs w:val="21"/>
                      <w:lang w:val="en-US" w:eastAsia="zh-CN" w:bidi="ar"/>
                    </w:rPr>
                    <w:t>本项目接轨于企沙支线铁路云约站，该站位于防城港港企沙港区，车站现有到发线4条，港口端有广西钢铁专用线接轨，并规划预留云约江铁路专用线接轨条件。</w:t>
                  </w:r>
                </w:p>
              </w:tc>
            </w:tr>
            <w:tr w14:paraId="479B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97" w:type="pct"/>
                  <w:vMerge w:val="continue"/>
                  <w:vAlign w:val="center"/>
                </w:tcPr>
                <w:p w14:paraId="3F175BD7">
                  <w:pPr>
                    <w:adjustRightInd w:val="0"/>
                    <w:snapToGrid w:val="0"/>
                    <w:jc w:val="center"/>
                    <w:rPr>
                      <w:rFonts w:ascii="Times New Roman" w:hAnsi="Times New Roman" w:eastAsia="宋体" w:cs="宋体"/>
                      <w:color w:val="auto"/>
                      <w:spacing w:val="0"/>
                      <w:kern w:val="0"/>
                      <w:position w:val="0"/>
                      <w:sz w:val="21"/>
                      <w:szCs w:val="21"/>
                    </w:rPr>
                  </w:pPr>
                </w:p>
              </w:tc>
              <w:tc>
                <w:tcPr>
                  <w:tcW w:w="695" w:type="pct"/>
                  <w:vAlign w:val="center"/>
                </w:tcPr>
                <w:p w14:paraId="5921D434">
                  <w:pPr>
                    <w:adjustRightInd w:val="0"/>
                    <w:snapToGrid w:val="0"/>
                    <w:jc w:val="center"/>
                    <w:rPr>
                      <w:rFonts w:hint="default" w:ascii="Times New Roman" w:hAnsi="Times New Roman" w:eastAsia="宋体" w:cs="宋体"/>
                      <w:color w:val="auto"/>
                      <w:spacing w:val="0"/>
                      <w:kern w:val="0"/>
                      <w:position w:val="0"/>
                      <w:sz w:val="21"/>
                      <w:szCs w:val="21"/>
                      <w:lang w:val="en-US" w:eastAsia="zh-CN"/>
                    </w:rPr>
                  </w:pPr>
                  <w:r>
                    <w:rPr>
                      <w:rFonts w:hint="eastAsia" w:ascii="Times New Roman" w:hAnsi="Times New Roman" w:eastAsia="宋体" w:cs="宋体"/>
                      <w:color w:val="auto"/>
                      <w:spacing w:val="0"/>
                      <w:kern w:val="0"/>
                      <w:position w:val="0"/>
                      <w:sz w:val="21"/>
                      <w:lang w:val="en-US" w:eastAsia="zh-CN"/>
                    </w:rPr>
                    <w:t>货物装卸线</w:t>
                  </w:r>
                </w:p>
              </w:tc>
              <w:tc>
                <w:tcPr>
                  <w:tcW w:w="3607" w:type="pct"/>
                  <w:vAlign w:val="center"/>
                </w:tcPr>
                <w:p w14:paraId="216741E4">
                  <w:pPr>
                    <w:keepNext w:val="0"/>
                    <w:keepLines w:val="0"/>
                    <w:widowControl/>
                    <w:suppressLineNumbers w:val="0"/>
                    <w:jc w:val="left"/>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lang w:val="en-US" w:eastAsia="zh-CN" w:bidi="ar"/>
                    </w:rPr>
                    <w:t>利用车站站房对侧预留最外侧股道设贯通式整列货物装卸线</w:t>
                  </w:r>
                  <w:r>
                    <w:rPr>
                      <w:rFonts w:hint="default" w:ascii="Times New Roman" w:hAnsi="Times New Roman" w:eastAsia="宋体" w:cs="Times New Roman"/>
                      <w:color w:val="auto"/>
                      <w:spacing w:val="0"/>
                      <w:kern w:val="0"/>
                      <w:position w:val="0"/>
                      <w:sz w:val="21"/>
                      <w:szCs w:val="21"/>
                      <w:lang w:val="en-US" w:eastAsia="zh-CN" w:bidi="ar"/>
                    </w:rPr>
                    <w:t>1</w:t>
                  </w:r>
                  <w:r>
                    <w:rPr>
                      <w:rFonts w:hint="eastAsia" w:ascii="Times New Roman" w:hAnsi="Times New Roman" w:eastAsia="宋体" w:cs="宋体"/>
                      <w:color w:val="auto"/>
                      <w:spacing w:val="0"/>
                      <w:kern w:val="0"/>
                      <w:position w:val="0"/>
                      <w:sz w:val="21"/>
                      <w:szCs w:val="21"/>
                      <w:lang w:val="en-US" w:eastAsia="zh-CN" w:bidi="ar"/>
                    </w:rPr>
                    <w:t>条，安全线</w:t>
                  </w:r>
                  <w:r>
                    <w:rPr>
                      <w:rFonts w:hint="default" w:ascii="Times New Roman" w:hAnsi="Times New Roman" w:eastAsia="宋体" w:cs="Times New Roman"/>
                      <w:color w:val="auto"/>
                      <w:spacing w:val="0"/>
                      <w:kern w:val="0"/>
                      <w:position w:val="0"/>
                      <w:sz w:val="21"/>
                      <w:szCs w:val="21"/>
                      <w:lang w:val="en-US" w:eastAsia="zh-CN" w:bidi="ar"/>
                    </w:rPr>
                    <w:t>2</w:t>
                  </w:r>
                  <w:r>
                    <w:rPr>
                      <w:rFonts w:hint="eastAsia" w:ascii="Times New Roman" w:hAnsi="Times New Roman" w:eastAsia="宋体" w:cs="宋体"/>
                      <w:color w:val="auto"/>
                      <w:spacing w:val="0"/>
                      <w:kern w:val="0"/>
                      <w:position w:val="0"/>
                      <w:sz w:val="21"/>
                      <w:szCs w:val="21"/>
                      <w:lang w:val="en-US" w:eastAsia="zh-CN" w:bidi="ar"/>
                    </w:rPr>
                    <w:t>条，装卸有效长度</w:t>
                  </w:r>
                  <w:r>
                    <w:rPr>
                      <w:rFonts w:hint="default" w:ascii="Times New Roman" w:hAnsi="Times New Roman" w:eastAsia="宋体" w:cs="Times New Roman"/>
                      <w:color w:val="auto"/>
                      <w:spacing w:val="0"/>
                      <w:kern w:val="0"/>
                      <w:position w:val="0"/>
                      <w:sz w:val="21"/>
                      <w:szCs w:val="21"/>
                      <w:lang w:val="en-US" w:eastAsia="zh-CN" w:bidi="ar"/>
                    </w:rPr>
                    <w:t>770</w:t>
                  </w:r>
                  <w:r>
                    <w:rPr>
                      <w:rFonts w:hint="eastAsia" w:ascii="Times New Roman" w:hAnsi="Times New Roman" w:eastAsia="宋体" w:cs="宋体"/>
                      <w:color w:val="auto"/>
                      <w:spacing w:val="0"/>
                      <w:kern w:val="0"/>
                      <w:position w:val="0"/>
                      <w:sz w:val="21"/>
                      <w:szCs w:val="21"/>
                      <w:lang w:val="en-US" w:eastAsia="zh-CN" w:bidi="ar"/>
                    </w:rPr>
                    <w:t>m，相应改建两端咽喉</w:t>
                  </w:r>
                  <w:r>
                    <w:rPr>
                      <w:rFonts w:hint="default" w:ascii="Times New Roman" w:hAnsi="Times New Roman" w:eastAsia="宋体" w:cs="Times New Roman"/>
                      <w:color w:val="auto"/>
                      <w:spacing w:val="0"/>
                      <w:kern w:val="0"/>
                      <w:position w:val="0"/>
                      <w:sz w:val="21"/>
                      <w:szCs w:val="21"/>
                      <w:lang w:val="en-US" w:eastAsia="zh-CN" w:bidi="ar"/>
                    </w:rPr>
                    <w:t>。</w:t>
                  </w:r>
                </w:p>
              </w:tc>
            </w:tr>
            <w:tr w14:paraId="13DE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97" w:type="pct"/>
                  <w:vMerge w:val="continue"/>
                  <w:vAlign w:val="center"/>
                </w:tcPr>
                <w:p w14:paraId="10FC5DE3">
                  <w:pPr>
                    <w:adjustRightInd w:val="0"/>
                    <w:snapToGrid w:val="0"/>
                    <w:jc w:val="center"/>
                    <w:rPr>
                      <w:rFonts w:ascii="Times New Roman" w:hAnsi="Times New Roman" w:eastAsia="宋体" w:cs="宋体"/>
                      <w:color w:val="auto"/>
                      <w:spacing w:val="0"/>
                      <w:kern w:val="0"/>
                      <w:position w:val="0"/>
                      <w:sz w:val="21"/>
                      <w:szCs w:val="21"/>
                    </w:rPr>
                  </w:pPr>
                </w:p>
              </w:tc>
              <w:tc>
                <w:tcPr>
                  <w:tcW w:w="695" w:type="pct"/>
                  <w:vAlign w:val="center"/>
                </w:tcPr>
                <w:p w14:paraId="794DF096">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集装箱堆场</w:t>
                  </w:r>
                </w:p>
              </w:tc>
              <w:tc>
                <w:tcPr>
                  <w:tcW w:w="3607" w:type="pct"/>
                  <w:vAlign w:val="center"/>
                </w:tcPr>
                <w:p w14:paraId="4D141ACF">
                  <w:pPr>
                    <w:rPr>
                      <w:rFonts w:hint="default"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color w:val="auto"/>
                      <w:spacing w:val="0"/>
                      <w:kern w:val="0"/>
                      <w:position w:val="0"/>
                      <w:sz w:val="21"/>
                      <w:szCs w:val="21"/>
                      <w:lang w:val="en-US" w:eastAsia="zh-CN"/>
                    </w:rPr>
                    <w:t>线路外侧正面</w:t>
                  </w:r>
                  <w:r>
                    <w:rPr>
                      <w:rFonts w:hint="eastAsia" w:ascii="Times New Roman" w:hAnsi="Times New Roman" w:eastAsia="宋体" w:cs="Times New Roman"/>
                      <w:color w:val="auto"/>
                      <w:spacing w:val="0"/>
                      <w:kern w:val="0"/>
                      <w:position w:val="0"/>
                      <w:sz w:val="21"/>
                      <w:szCs w:val="21"/>
                      <w:lang w:val="en-US" w:eastAsia="zh-CN"/>
                    </w:rPr>
                    <w:t>设置</w:t>
                  </w:r>
                  <w:r>
                    <w:rPr>
                      <w:rFonts w:hint="default" w:ascii="Times New Roman" w:hAnsi="Times New Roman" w:eastAsia="宋体" w:cs="Times New Roman"/>
                      <w:color w:val="auto"/>
                      <w:spacing w:val="0"/>
                      <w:kern w:val="0"/>
                      <w:position w:val="0"/>
                      <w:sz w:val="21"/>
                      <w:szCs w:val="21"/>
                      <w:lang w:val="en-US" w:eastAsia="zh-CN"/>
                    </w:rPr>
                    <w:t>，</w:t>
                  </w:r>
                  <w:r>
                    <w:rPr>
                      <w:rFonts w:hint="eastAsia" w:ascii="Times New Roman" w:hAnsi="Times New Roman" w:eastAsia="宋体" w:cs="Times New Roman"/>
                      <w:color w:val="auto"/>
                      <w:spacing w:val="0"/>
                      <w:kern w:val="0"/>
                      <w:position w:val="0"/>
                      <w:sz w:val="21"/>
                      <w:szCs w:val="21"/>
                      <w:lang w:val="en-US" w:eastAsia="zh-CN"/>
                    </w:rPr>
                    <w:t>硬化面积27975</w:t>
                  </w:r>
                  <w:r>
                    <w:rPr>
                      <w:rFonts w:hint="default" w:ascii="Times New Roman" w:hAnsi="Times New Roman" w:eastAsia="宋体" w:cs="Times New Roman"/>
                      <w:color w:val="auto"/>
                      <w:spacing w:val="0"/>
                      <w:kern w:val="0"/>
                      <w:position w:val="0"/>
                      <w:sz w:val="21"/>
                      <w:szCs w:val="21"/>
                      <w:lang w:val="en-US" w:eastAsia="zh-CN"/>
                    </w:rPr>
                    <w:t>m</w:t>
                  </w:r>
                  <w:r>
                    <w:rPr>
                      <w:rFonts w:hint="default" w:ascii="Times New Roman" w:hAnsi="Times New Roman" w:eastAsia="宋体" w:cs="Times New Roman"/>
                      <w:color w:val="auto"/>
                      <w:spacing w:val="0"/>
                      <w:kern w:val="0"/>
                      <w:position w:val="0"/>
                      <w:sz w:val="21"/>
                      <w:szCs w:val="21"/>
                      <w:vertAlign w:val="superscript"/>
                      <w:lang w:val="en-US" w:eastAsia="zh-CN"/>
                    </w:rPr>
                    <w:t>2</w:t>
                  </w:r>
                  <w:r>
                    <w:rPr>
                      <w:rFonts w:hint="default" w:ascii="Times New Roman" w:hAnsi="Times New Roman" w:eastAsia="宋体" w:cs="Times New Roman"/>
                      <w:color w:val="auto"/>
                      <w:spacing w:val="0"/>
                      <w:kern w:val="0"/>
                      <w:position w:val="0"/>
                      <w:sz w:val="21"/>
                      <w:szCs w:val="21"/>
                      <w:vertAlign w:val="baseline"/>
                      <w:lang w:val="en-US" w:eastAsia="zh-CN"/>
                    </w:rPr>
                    <w:t>，尺寸</w:t>
                  </w:r>
                  <w:r>
                    <w:rPr>
                      <w:rFonts w:hint="eastAsia" w:ascii="Times New Roman" w:hAnsi="Times New Roman" w:eastAsia="宋体" w:cs="Times New Roman"/>
                      <w:color w:val="auto"/>
                      <w:spacing w:val="0"/>
                      <w:kern w:val="0"/>
                      <w:position w:val="0"/>
                      <w:sz w:val="21"/>
                      <w:szCs w:val="21"/>
                      <w:vertAlign w:val="baseline"/>
                      <w:lang w:val="en-US" w:eastAsia="zh-CN"/>
                    </w:rPr>
                    <w:t>约</w:t>
                  </w:r>
                  <w:r>
                    <w:rPr>
                      <w:rFonts w:hint="eastAsia" w:ascii="Times New Roman" w:hAnsi="Times New Roman" w:eastAsia="宋体" w:cs="Times New Roman"/>
                      <w:color w:val="auto"/>
                      <w:spacing w:val="0"/>
                      <w:kern w:val="0"/>
                      <w:position w:val="0"/>
                      <w:sz w:val="21"/>
                      <w:szCs w:val="21"/>
                      <w:lang w:val="en-US" w:eastAsia="zh-CN"/>
                    </w:rPr>
                    <w:t>816.23</w:t>
                  </w:r>
                  <w:r>
                    <w:rPr>
                      <w:rFonts w:hint="default" w:ascii="Times New Roman" w:hAnsi="Times New Roman" w:eastAsia="宋体" w:cs="Times New Roman"/>
                      <w:color w:val="auto"/>
                      <w:spacing w:val="0"/>
                      <w:kern w:val="0"/>
                      <w:position w:val="0"/>
                      <w:sz w:val="21"/>
                      <w:szCs w:val="21"/>
                      <w:lang w:val="en-US" w:eastAsia="zh-CN"/>
                    </w:rPr>
                    <w:t>m×</w:t>
                  </w:r>
                  <w:r>
                    <w:rPr>
                      <w:rFonts w:hint="eastAsia" w:ascii="Times New Roman" w:hAnsi="Times New Roman" w:eastAsia="宋体" w:cs="Times New Roman"/>
                      <w:color w:val="auto"/>
                      <w:spacing w:val="0"/>
                      <w:kern w:val="0"/>
                      <w:position w:val="0"/>
                      <w:sz w:val="21"/>
                      <w:szCs w:val="21"/>
                      <w:lang w:val="en-US" w:eastAsia="zh-CN"/>
                    </w:rPr>
                    <w:t>34.2m，箱位172个</w:t>
                  </w:r>
                  <w:r>
                    <w:rPr>
                      <w:rFonts w:hint="default" w:ascii="Times New Roman" w:hAnsi="Times New Roman" w:eastAsia="宋体" w:cs="Times New Roman"/>
                      <w:color w:val="auto"/>
                      <w:spacing w:val="0"/>
                      <w:kern w:val="0"/>
                      <w:position w:val="0"/>
                      <w:sz w:val="21"/>
                      <w:szCs w:val="21"/>
                      <w:lang w:val="en-US" w:eastAsia="zh-CN"/>
                    </w:rPr>
                    <w:t>。具体铺面结构为：</w:t>
                  </w:r>
                  <w:r>
                    <w:rPr>
                      <w:rFonts w:hint="eastAsia" w:ascii="Times New Roman" w:hAnsi="Times New Roman" w:eastAsia="宋体" w:cs="Times New Roman"/>
                      <w:color w:val="auto"/>
                      <w:spacing w:val="0"/>
                      <w:kern w:val="0"/>
                      <w:position w:val="0"/>
                      <w:sz w:val="21"/>
                      <w:szCs w:val="21"/>
                      <w:lang w:val="en-US" w:eastAsia="zh-CN"/>
                    </w:rPr>
                    <w:t>①</w:t>
                  </w:r>
                  <w:r>
                    <w:rPr>
                      <w:rFonts w:hint="default" w:ascii="Times New Roman" w:hAnsi="Times New Roman" w:eastAsia="宋体" w:cs="Times New Roman"/>
                      <w:color w:val="auto"/>
                      <w:spacing w:val="0"/>
                      <w:kern w:val="0"/>
                      <w:position w:val="0"/>
                      <w:sz w:val="21"/>
                      <w:szCs w:val="21"/>
                      <w:lang w:val="en-US" w:eastAsia="zh-CN"/>
                    </w:rPr>
                    <w:t>普通堆场及道路路面结构选用标准：C30混凝土厚25cm+5%水泥稳定碎石20cm+级配碎石垫层20cm=65cm</w:t>
                  </w:r>
                  <w:r>
                    <w:rPr>
                      <w:rFonts w:hint="eastAsia" w:ascii="Times New Roman" w:hAnsi="Times New Roman" w:eastAsia="宋体" w:cs="Times New Roman"/>
                      <w:color w:val="auto"/>
                      <w:spacing w:val="0"/>
                      <w:kern w:val="0"/>
                      <w:position w:val="0"/>
                      <w:sz w:val="21"/>
                      <w:szCs w:val="21"/>
                      <w:lang w:val="en-US" w:eastAsia="zh-CN"/>
                    </w:rPr>
                    <w:t>；②集装箱道路、集装箱堆场结构选用标准：C30砼厚46cm+5%水泥稳定碎石30cm+级配碎石垫层20cm=96cm</w:t>
                  </w:r>
                  <w:r>
                    <w:rPr>
                      <w:rFonts w:hint="default" w:ascii="Times New Roman" w:hAnsi="Times New Roman" w:eastAsia="宋体" w:cs="Times New Roman"/>
                      <w:color w:val="auto"/>
                      <w:spacing w:val="0"/>
                      <w:kern w:val="0"/>
                      <w:position w:val="0"/>
                      <w:sz w:val="21"/>
                      <w:szCs w:val="21"/>
                      <w:lang w:val="en-US" w:eastAsia="zh-CN"/>
                    </w:rPr>
                    <w:t>。</w:t>
                  </w:r>
                </w:p>
              </w:tc>
            </w:tr>
            <w:tr w14:paraId="21F9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restart"/>
                  <w:vAlign w:val="center"/>
                </w:tcPr>
                <w:p w14:paraId="2D23A187">
                  <w:pPr>
                    <w:adjustRightInd w:val="0"/>
                    <w:snapToGrid w:val="0"/>
                    <w:jc w:val="center"/>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辅助工程</w:t>
                  </w:r>
                </w:p>
              </w:tc>
              <w:tc>
                <w:tcPr>
                  <w:tcW w:w="695" w:type="pct"/>
                  <w:vAlign w:val="center"/>
                </w:tcPr>
                <w:p w14:paraId="22A05EE2">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货运综合楼</w:t>
                  </w:r>
                </w:p>
              </w:tc>
              <w:tc>
                <w:tcPr>
                  <w:tcW w:w="3607" w:type="pct"/>
                  <w:vAlign w:val="center"/>
                </w:tcPr>
                <w:p w14:paraId="2AB4D5E4">
                  <w:pPr>
                    <w:keepNext w:val="0"/>
                    <w:keepLines w:val="0"/>
                    <w:widowControl/>
                    <w:suppressLineNumbers w:val="0"/>
                    <w:jc w:val="left"/>
                    <w:rPr>
                      <w:rFonts w:hint="default" w:ascii="Times New Roman" w:hAnsi="Times New Roman" w:eastAsia="宋体" w:cs="Times New Roman"/>
                      <w:color w:val="auto"/>
                      <w:spacing w:val="0"/>
                      <w:kern w:val="0"/>
                      <w:position w:val="0"/>
                      <w:sz w:val="21"/>
                      <w:szCs w:val="21"/>
                    </w:rPr>
                  </w:pPr>
                  <w:r>
                    <w:rPr>
                      <w:rFonts w:hint="eastAsia" w:ascii="Times New Roman" w:hAnsi="Times New Roman" w:eastAsia="宋体" w:cs="Times New Roman"/>
                      <w:color w:val="auto"/>
                      <w:spacing w:val="0"/>
                      <w:kern w:val="0"/>
                      <w:position w:val="0"/>
                      <w:sz w:val="21"/>
                      <w:szCs w:val="21"/>
                      <w:lang w:val="en-US" w:eastAsia="zh-CN" w:bidi="ar"/>
                    </w:rPr>
                    <w:t>位于货场南侧，初期按临时设施设置临时办公楼、门卫室、厕所等临时房屋，均为集装箱式，临时办公楼占地约36m</w:t>
                  </w:r>
                  <w:r>
                    <w:rPr>
                      <w:rFonts w:hint="eastAsia" w:ascii="Times New Roman" w:hAnsi="Times New Roman" w:eastAsia="宋体" w:cs="Times New Roman"/>
                      <w:color w:val="auto"/>
                      <w:spacing w:val="0"/>
                      <w:kern w:val="0"/>
                      <w:position w:val="0"/>
                      <w:sz w:val="21"/>
                      <w:szCs w:val="21"/>
                      <w:vertAlign w:val="superscript"/>
                      <w:lang w:val="en-US" w:eastAsia="zh-CN" w:bidi="ar"/>
                    </w:rPr>
                    <w:t>2</w:t>
                  </w:r>
                  <w:r>
                    <w:rPr>
                      <w:rFonts w:hint="eastAsia" w:ascii="Times New Roman" w:hAnsi="Times New Roman" w:eastAsia="宋体" w:cs="Times New Roman"/>
                      <w:color w:val="auto"/>
                      <w:spacing w:val="0"/>
                      <w:kern w:val="0"/>
                      <w:position w:val="0"/>
                      <w:sz w:val="21"/>
                      <w:szCs w:val="21"/>
                      <w:lang w:val="en-US" w:eastAsia="zh-CN" w:bidi="ar"/>
                    </w:rPr>
                    <w:t>，2F；门卫室占地约18m</w:t>
                  </w:r>
                  <w:r>
                    <w:rPr>
                      <w:rFonts w:hint="eastAsia" w:ascii="Times New Roman" w:hAnsi="Times New Roman" w:eastAsia="宋体" w:cs="Times New Roman"/>
                      <w:color w:val="auto"/>
                      <w:spacing w:val="0"/>
                      <w:kern w:val="0"/>
                      <w:position w:val="0"/>
                      <w:sz w:val="21"/>
                      <w:szCs w:val="21"/>
                      <w:vertAlign w:val="superscript"/>
                      <w:lang w:val="en-US" w:eastAsia="zh-CN" w:bidi="ar"/>
                    </w:rPr>
                    <w:t>2</w:t>
                  </w:r>
                  <w:r>
                    <w:rPr>
                      <w:rFonts w:hint="eastAsia" w:ascii="Times New Roman" w:hAnsi="Times New Roman" w:eastAsia="宋体" w:cs="Times New Roman"/>
                      <w:color w:val="auto"/>
                      <w:spacing w:val="0"/>
                      <w:kern w:val="0"/>
                      <w:position w:val="0"/>
                      <w:sz w:val="21"/>
                      <w:szCs w:val="21"/>
                      <w:lang w:val="en-US" w:eastAsia="zh-CN" w:bidi="ar"/>
                    </w:rPr>
                    <w:t>，1F；厕所占地约18m</w:t>
                  </w:r>
                  <w:r>
                    <w:rPr>
                      <w:rFonts w:hint="eastAsia" w:ascii="Times New Roman" w:hAnsi="Times New Roman" w:eastAsia="宋体" w:cs="Times New Roman"/>
                      <w:color w:val="auto"/>
                      <w:spacing w:val="0"/>
                      <w:kern w:val="0"/>
                      <w:position w:val="0"/>
                      <w:sz w:val="21"/>
                      <w:szCs w:val="21"/>
                      <w:vertAlign w:val="superscript"/>
                      <w:lang w:val="en-US" w:eastAsia="zh-CN" w:bidi="ar"/>
                    </w:rPr>
                    <w:t>2</w:t>
                  </w:r>
                  <w:r>
                    <w:rPr>
                      <w:rFonts w:hint="eastAsia" w:ascii="Times New Roman" w:hAnsi="Times New Roman" w:eastAsia="宋体" w:cs="Times New Roman"/>
                      <w:color w:val="auto"/>
                      <w:spacing w:val="0"/>
                      <w:kern w:val="0"/>
                      <w:position w:val="0"/>
                      <w:sz w:val="21"/>
                      <w:szCs w:val="21"/>
                      <w:lang w:val="en-US" w:eastAsia="zh-CN" w:bidi="ar"/>
                    </w:rPr>
                    <w:t>，1F。</w:t>
                  </w:r>
                </w:p>
              </w:tc>
            </w:tr>
            <w:tr w14:paraId="35B1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59F447AF">
                  <w:pPr>
                    <w:adjustRightInd w:val="0"/>
                    <w:snapToGrid w:val="0"/>
                    <w:jc w:val="center"/>
                    <w:rPr>
                      <w:rFonts w:hint="eastAsia" w:ascii="Times New Roman" w:hAnsi="Times New Roman" w:eastAsia="宋体" w:cs="宋体"/>
                      <w:color w:val="auto"/>
                      <w:spacing w:val="0"/>
                      <w:kern w:val="0"/>
                      <w:position w:val="0"/>
                      <w:sz w:val="21"/>
                      <w:szCs w:val="21"/>
                    </w:rPr>
                  </w:pPr>
                </w:p>
              </w:tc>
              <w:tc>
                <w:tcPr>
                  <w:tcW w:w="695" w:type="pct"/>
                  <w:vAlign w:val="center"/>
                </w:tcPr>
                <w:p w14:paraId="1B4789AC">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通站道路、改移道路</w:t>
                  </w:r>
                </w:p>
              </w:tc>
              <w:tc>
                <w:tcPr>
                  <w:tcW w:w="3607" w:type="pct"/>
                  <w:vAlign w:val="center"/>
                </w:tcPr>
                <w:p w14:paraId="54F5C1E4">
                  <w:pPr>
                    <w:keepNext w:val="0"/>
                    <w:keepLines w:val="0"/>
                    <w:widowControl/>
                    <w:suppressLineNumbers w:val="0"/>
                    <w:jc w:val="left"/>
                    <w:rPr>
                      <w:rFonts w:hint="default" w:ascii="Times New Roman" w:hAnsi="Times New Roman" w:eastAsia="宋体" w:cs="Times New Roman"/>
                      <w:color w:val="auto"/>
                      <w:spacing w:val="0"/>
                      <w:kern w:val="0"/>
                      <w:position w:val="0"/>
                      <w:sz w:val="21"/>
                      <w:szCs w:val="21"/>
                      <w:lang w:val="en-US" w:eastAsia="zh-CN" w:bidi="ar"/>
                    </w:rPr>
                  </w:pPr>
                  <w:r>
                    <w:rPr>
                      <w:rFonts w:hint="eastAsia" w:cs="Times New Roman"/>
                      <w:color w:val="auto"/>
                      <w:spacing w:val="0"/>
                      <w:kern w:val="0"/>
                      <w:position w:val="0"/>
                      <w:sz w:val="21"/>
                      <w:szCs w:val="21"/>
                      <w:lang w:val="en-US" w:eastAsia="zh-CN" w:bidi="ar"/>
                    </w:rPr>
                    <w:t>仅作为本项目进出车辆内部道路，无等级。</w:t>
                  </w:r>
                </w:p>
              </w:tc>
            </w:tr>
            <w:tr w14:paraId="1F3A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5AE9EABD">
                  <w:pPr>
                    <w:adjustRightInd w:val="0"/>
                    <w:snapToGrid w:val="0"/>
                    <w:jc w:val="center"/>
                    <w:rPr>
                      <w:rFonts w:hint="eastAsia" w:ascii="Times New Roman" w:hAnsi="Times New Roman" w:eastAsia="宋体" w:cs="宋体"/>
                      <w:color w:val="auto"/>
                      <w:spacing w:val="0"/>
                      <w:kern w:val="0"/>
                      <w:position w:val="0"/>
                      <w:sz w:val="21"/>
                      <w:szCs w:val="21"/>
                    </w:rPr>
                  </w:pPr>
                </w:p>
              </w:tc>
              <w:tc>
                <w:tcPr>
                  <w:tcW w:w="695" w:type="pct"/>
                  <w:vAlign w:val="center"/>
                </w:tcPr>
                <w:p w14:paraId="7D347683">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围栏</w:t>
                  </w:r>
                </w:p>
              </w:tc>
              <w:tc>
                <w:tcPr>
                  <w:tcW w:w="3607" w:type="pct"/>
                  <w:vAlign w:val="center"/>
                </w:tcPr>
                <w:p w14:paraId="64B9E129">
                  <w:pPr>
                    <w:keepNext w:val="0"/>
                    <w:keepLines w:val="0"/>
                    <w:widowControl/>
                    <w:suppressLineNumbers w:val="0"/>
                    <w:jc w:val="left"/>
                    <w:rPr>
                      <w:rFonts w:hint="default"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val="en-US" w:eastAsia="zh-CN" w:bidi="ar"/>
                    </w:rPr>
                    <w:t>1.8m高铁丝围栏</w:t>
                  </w:r>
                </w:p>
              </w:tc>
            </w:tr>
            <w:tr w14:paraId="0F00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Align w:val="center"/>
                </w:tcPr>
                <w:p w14:paraId="14D1B3BA">
                  <w:pPr>
                    <w:adjustRightInd w:val="0"/>
                    <w:snapToGrid w:val="0"/>
                    <w:jc w:val="center"/>
                    <w:rPr>
                      <w:rFonts w:hint="default" w:ascii="Times New Roman" w:hAnsi="Times New Roman" w:eastAsia="宋体" w:cs="宋体"/>
                      <w:color w:val="auto"/>
                      <w:spacing w:val="0"/>
                      <w:kern w:val="0"/>
                      <w:position w:val="0"/>
                      <w:sz w:val="21"/>
                      <w:szCs w:val="21"/>
                      <w:lang w:val="en-US" w:eastAsia="zh-CN"/>
                    </w:rPr>
                  </w:pPr>
                  <w:r>
                    <w:rPr>
                      <w:rFonts w:hint="eastAsia" w:ascii="Times New Roman" w:hAnsi="Times New Roman" w:eastAsia="宋体" w:cs="宋体"/>
                      <w:color w:val="auto"/>
                      <w:spacing w:val="0"/>
                      <w:kern w:val="0"/>
                      <w:position w:val="0"/>
                      <w:sz w:val="21"/>
                      <w:szCs w:val="21"/>
                      <w:lang w:val="en-US" w:eastAsia="zh-CN"/>
                    </w:rPr>
                    <w:t>临时工程</w:t>
                  </w:r>
                </w:p>
              </w:tc>
              <w:tc>
                <w:tcPr>
                  <w:tcW w:w="695" w:type="pct"/>
                  <w:vAlign w:val="center"/>
                </w:tcPr>
                <w:p w14:paraId="4A4BBAE9">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olor w:val="auto"/>
                      <w:spacing w:val="0"/>
                      <w:position w:val="0"/>
                      <w:sz w:val="21"/>
                      <w:szCs w:val="21"/>
                      <w:lang w:eastAsia="zh-CN"/>
                    </w:rPr>
                    <w:t>临时堆土场</w:t>
                  </w:r>
                </w:p>
              </w:tc>
              <w:tc>
                <w:tcPr>
                  <w:tcW w:w="3607" w:type="pct"/>
                  <w:vAlign w:val="center"/>
                </w:tcPr>
                <w:p w14:paraId="3DC0F277">
                  <w:pPr>
                    <w:keepNext w:val="0"/>
                    <w:keepLines w:val="0"/>
                    <w:widowControl/>
                    <w:suppressLineNumbers w:val="0"/>
                    <w:jc w:val="left"/>
                    <w:rPr>
                      <w:rFonts w:hint="eastAsia"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val="en-US" w:eastAsia="zh-CN" w:bidi="ar"/>
                    </w:rPr>
                    <w:t>位于</w:t>
                  </w:r>
                  <w:r>
                    <w:rPr>
                      <w:rFonts w:hint="eastAsia" w:ascii="Times New Roman" w:hAnsi="Times New Roman" w:eastAsia="宋体"/>
                      <w:color w:val="auto"/>
                      <w:spacing w:val="0"/>
                      <w:kern w:val="0"/>
                      <w:position w:val="0"/>
                      <w:sz w:val="21"/>
                      <w:szCs w:val="21"/>
                      <w:lang w:bidi="ar"/>
                    </w:rPr>
                    <w:t>项目永久占地范围内，外侧布设临时排水沟，排水沟末端设置临时沉沙池；施工</w:t>
                  </w:r>
                  <w:r>
                    <w:rPr>
                      <w:rFonts w:hint="eastAsia" w:ascii="Times New Roman" w:hAnsi="Times New Roman" w:eastAsia="宋体"/>
                      <w:color w:val="auto"/>
                      <w:spacing w:val="0"/>
                      <w:kern w:val="0"/>
                      <w:position w:val="0"/>
                      <w:sz w:val="21"/>
                      <w:szCs w:val="21"/>
                      <w:lang w:val="en-US" w:eastAsia="zh-CN" w:bidi="ar"/>
                    </w:rPr>
                    <w:t>结束后</w:t>
                  </w:r>
                  <w:r>
                    <w:rPr>
                      <w:rFonts w:hint="eastAsia" w:ascii="Times New Roman" w:hAnsi="Times New Roman" w:eastAsia="宋体"/>
                      <w:color w:val="auto"/>
                      <w:spacing w:val="0"/>
                      <w:kern w:val="0"/>
                      <w:position w:val="0"/>
                      <w:sz w:val="21"/>
                      <w:szCs w:val="21"/>
                      <w:lang w:bidi="ar"/>
                    </w:rPr>
                    <w:t>临时表土堆放场归还给主体建设使用</w:t>
                  </w:r>
                  <w:r>
                    <w:rPr>
                      <w:rFonts w:hint="eastAsia" w:ascii="Times New Roman" w:hAnsi="Times New Roman" w:eastAsia="宋体"/>
                      <w:color w:val="auto"/>
                      <w:spacing w:val="0"/>
                      <w:kern w:val="0"/>
                      <w:position w:val="0"/>
                      <w:sz w:val="21"/>
                      <w:szCs w:val="21"/>
                      <w:lang w:eastAsia="zh-CN" w:bidi="ar"/>
                    </w:rPr>
                    <w:t>；</w:t>
                  </w:r>
                  <w:r>
                    <w:rPr>
                      <w:rFonts w:hint="eastAsia" w:ascii="Times New Roman" w:hAnsi="Times New Roman" w:eastAsia="宋体" w:cs="宋体"/>
                      <w:color w:val="auto"/>
                      <w:spacing w:val="0"/>
                      <w:kern w:val="0"/>
                      <w:position w:val="0"/>
                      <w:sz w:val="21"/>
                      <w:szCs w:val="21"/>
                    </w:rPr>
                    <w:t>项目不设</w:t>
                  </w:r>
                  <w:r>
                    <w:rPr>
                      <w:rFonts w:hint="eastAsia" w:ascii="Times New Roman" w:hAnsi="Times New Roman" w:eastAsia="宋体" w:cs="宋体"/>
                      <w:color w:val="auto"/>
                      <w:spacing w:val="0"/>
                      <w:kern w:val="0"/>
                      <w:position w:val="0"/>
                      <w:sz w:val="21"/>
                      <w:szCs w:val="21"/>
                      <w:lang w:val="en-US" w:eastAsia="zh-CN"/>
                    </w:rPr>
                    <w:t>取土场和</w:t>
                  </w:r>
                  <w:r>
                    <w:rPr>
                      <w:rFonts w:hint="eastAsia" w:ascii="Times New Roman" w:hAnsi="Times New Roman" w:eastAsia="宋体" w:cs="宋体"/>
                      <w:color w:val="auto"/>
                      <w:spacing w:val="0"/>
                      <w:kern w:val="0"/>
                      <w:position w:val="0"/>
                      <w:sz w:val="21"/>
                      <w:szCs w:val="21"/>
                    </w:rPr>
                    <w:t>施工营地</w:t>
                  </w:r>
                  <w:r>
                    <w:rPr>
                      <w:rFonts w:hint="eastAsia" w:ascii="Times New Roman" w:hAnsi="Times New Roman" w:eastAsia="宋体" w:cs="宋体"/>
                      <w:color w:val="auto"/>
                      <w:spacing w:val="0"/>
                      <w:kern w:val="0"/>
                      <w:position w:val="0"/>
                      <w:sz w:val="21"/>
                      <w:szCs w:val="21"/>
                      <w:lang w:eastAsia="zh-CN"/>
                    </w:rPr>
                    <w:t>。</w:t>
                  </w:r>
                </w:p>
              </w:tc>
            </w:tr>
            <w:tr w14:paraId="4BF6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restart"/>
                  <w:vAlign w:val="center"/>
                </w:tcPr>
                <w:p w14:paraId="2FAA45DD">
                  <w:pPr>
                    <w:adjustRightInd w:val="0"/>
                    <w:snapToGrid w:val="0"/>
                    <w:jc w:val="center"/>
                    <w:rPr>
                      <w:rFonts w:hint="default" w:ascii="Times New Roman" w:hAnsi="Times New Roman" w:eastAsia="宋体" w:cs="宋体"/>
                      <w:color w:val="auto"/>
                      <w:spacing w:val="0"/>
                      <w:kern w:val="0"/>
                      <w:position w:val="0"/>
                      <w:sz w:val="21"/>
                      <w:szCs w:val="21"/>
                      <w:lang w:val="en-US" w:eastAsia="zh-CN"/>
                    </w:rPr>
                  </w:pPr>
                  <w:r>
                    <w:rPr>
                      <w:rFonts w:hint="eastAsia" w:ascii="Times New Roman" w:hAnsi="Times New Roman" w:eastAsia="宋体" w:cs="宋体"/>
                      <w:color w:val="auto"/>
                      <w:spacing w:val="0"/>
                      <w:kern w:val="0"/>
                      <w:position w:val="0"/>
                      <w:sz w:val="21"/>
                      <w:szCs w:val="21"/>
                      <w:lang w:val="en-US" w:eastAsia="zh-CN"/>
                    </w:rPr>
                    <w:t>公共工程</w:t>
                  </w:r>
                </w:p>
              </w:tc>
              <w:tc>
                <w:tcPr>
                  <w:tcW w:w="695" w:type="pct"/>
                  <w:vAlign w:val="center"/>
                </w:tcPr>
                <w:p w14:paraId="35B71538">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供水</w:t>
                  </w:r>
                </w:p>
              </w:tc>
              <w:tc>
                <w:tcPr>
                  <w:tcW w:w="3607" w:type="pct"/>
                  <w:vAlign w:val="center"/>
                </w:tcPr>
                <w:p w14:paraId="3C783F7B">
                  <w:pPr>
                    <w:keepNext w:val="0"/>
                    <w:keepLines w:val="0"/>
                    <w:widowControl/>
                    <w:suppressLineNumbers w:val="0"/>
                    <w:jc w:val="left"/>
                    <w:rPr>
                      <w:rFonts w:hint="eastAsia"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val="en-US" w:eastAsia="zh-CN" w:bidi="ar"/>
                    </w:rPr>
                    <w:t>城市自来水</w:t>
                  </w:r>
                </w:p>
              </w:tc>
            </w:tr>
            <w:tr w14:paraId="38D3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2CF7DD83">
                  <w:pPr>
                    <w:adjustRightInd w:val="0"/>
                    <w:snapToGrid w:val="0"/>
                    <w:jc w:val="center"/>
                    <w:rPr>
                      <w:rFonts w:hint="eastAsia" w:ascii="Times New Roman" w:hAnsi="Times New Roman" w:eastAsia="宋体" w:cs="宋体"/>
                      <w:color w:val="auto"/>
                      <w:spacing w:val="0"/>
                      <w:kern w:val="0"/>
                      <w:position w:val="0"/>
                      <w:sz w:val="21"/>
                      <w:szCs w:val="21"/>
                    </w:rPr>
                  </w:pPr>
                </w:p>
              </w:tc>
              <w:tc>
                <w:tcPr>
                  <w:tcW w:w="695" w:type="pct"/>
                  <w:vAlign w:val="center"/>
                </w:tcPr>
                <w:p w14:paraId="7ABE7124">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排水</w:t>
                  </w:r>
                </w:p>
              </w:tc>
              <w:tc>
                <w:tcPr>
                  <w:tcW w:w="3607" w:type="pct"/>
                  <w:vAlign w:val="center"/>
                </w:tcPr>
                <w:p w14:paraId="188C8295">
                  <w:pPr>
                    <w:keepNext w:val="0"/>
                    <w:keepLines w:val="0"/>
                    <w:widowControl/>
                    <w:suppressLineNumbers w:val="0"/>
                    <w:jc w:val="left"/>
                    <w:rPr>
                      <w:rFonts w:hint="eastAsia"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val="en-US" w:eastAsia="zh-CN" w:bidi="ar"/>
                    </w:rPr>
                    <w:t>雨污分流</w:t>
                  </w:r>
                </w:p>
              </w:tc>
            </w:tr>
            <w:tr w14:paraId="4BF6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19A5DC4E">
                  <w:pPr>
                    <w:adjustRightInd w:val="0"/>
                    <w:snapToGrid w:val="0"/>
                    <w:jc w:val="center"/>
                    <w:rPr>
                      <w:rFonts w:hint="eastAsia" w:ascii="Times New Roman" w:hAnsi="Times New Roman" w:eastAsia="宋体" w:cs="宋体"/>
                      <w:color w:val="auto"/>
                      <w:spacing w:val="0"/>
                      <w:kern w:val="0"/>
                      <w:position w:val="0"/>
                      <w:sz w:val="21"/>
                      <w:szCs w:val="21"/>
                    </w:rPr>
                  </w:pPr>
                </w:p>
              </w:tc>
              <w:tc>
                <w:tcPr>
                  <w:tcW w:w="695" w:type="pct"/>
                  <w:vAlign w:val="center"/>
                </w:tcPr>
                <w:p w14:paraId="66A8CB31">
                  <w:pPr>
                    <w:adjustRightInd w:val="0"/>
                    <w:snapToGrid w:val="0"/>
                    <w:jc w:val="center"/>
                    <w:rPr>
                      <w:rFonts w:hint="default"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供电</w:t>
                  </w:r>
                </w:p>
              </w:tc>
              <w:tc>
                <w:tcPr>
                  <w:tcW w:w="3607" w:type="pct"/>
                  <w:vAlign w:val="center"/>
                </w:tcPr>
                <w:p w14:paraId="6F8C3A13">
                  <w:pPr>
                    <w:keepNext w:val="0"/>
                    <w:keepLines w:val="0"/>
                    <w:widowControl/>
                    <w:suppressLineNumbers w:val="0"/>
                    <w:jc w:val="left"/>
                    <w:rPr>
                      <w:rFonts w:hint="eastAsia" w:ascii="Times New Roman" w:hAnsi="Times New Roman" w:eastAsia="宋体" w:cs="Times New Roman"/>
                      <w:color w:val="auto"/>
                      <w:spacing w:val="0"/>
                      <w:kern w:val="0"/>
                      <w:position w:val="0"/>
                      <w:sz w:val="21"/>
                      <w:szCs w:val="21"/>
                      <w:lang w:val="en-US" w:eastAsia="zh-CN" w:bidi="ar"/>
                    </w:rPr>
                  </w:pPr>
                  <w:r>
                    <w:rPr>
                      <w:rFonts w:hint="eastAsia" w:ascii="Times New Roman" w:hAnsi="Times New Roman" w:eastAsia="宋体" w:cs="Times New Roman"/>
                      <w:color w:val="auto"/>
                      <w:spacing w:val="0"/>
                      <w:kern w:val="0"/>
                      <w:position w:val="0"/>
                      <w:sz w:val="21"/>
                      <w:szCs w:val="21"/>
                      <w:lang w:val="en-US" w:eastAsia="zh-CN" w:bidi="ar"/>
                    </w:rPr>
                    <w:t>外设置1座10kV电缆分接箱（一进三出），进线与既有10kV地方线路连接，1路馈线至云约站既有变电所，1路馈线至新建100kVA箱式变电站。货场新增负荷均由该箱变供电。</w:t>
                  </w:r>
                </w:p>
              </w:tc>
            </w:tr>
            <w:tr w14:paraId="24F4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restart"/>
                  <w:vAlign w:val="center"/>
                </w:tcPr>
                <w:p w14:paraId="54CED232">
                  <w:pPr>
                    <w:adjustRightInd w:val="0"/>
                    <w:snapToGrid w:val="0"/>
                    <w:jc w:val="center"/>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环保工程</w:t>
                  </w:r>
                </w:p>
              </w:tc>
              <w:tc>
                <w:tcPr>
                  <w:tcW w:w="695" w:type="pct"/>
                  <w:vAlign w:val="center"/>
                </w:tcPr>
                <w:p w14:paraId="6C471F3B">
                  <w:pPr>
                    <w:adjustRightInd w:val="0"/>
                    <w:snapToGrid w:val="0"/>
                    <w:jc w:val="center"/>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废气</w:t>
                  </w:r>
                </w:p>
              </w:tc>
              <w:tc>
                <w:tcPr>
                  <w:tcW w:w="3607" w:type="pct"/>
                  <w:vAlign w:val="center"/>
                </w:tcPr>
                <w:p w14:paraId="0B0255AF">
                  <w:pPr>
                    <w:numPr>
                      <w:ilvl w:val="0"/>
                      <w:numId w:val="0"/>
                    </w:numPr>
                    <w:adjustRightInd w:val="0"/>
                    <w:snapToGrid w:val="0"/>
                    <w:ind w:left="0" w:leftChars="0" w:firstLine="0" w:firstLineChars="0"/>
                    <w:jc w:val="left"/>
                    <w:rPr>
                      <w:rFonts w:hint="default" w:ascii="Times New Roman" w:hAnsi="Times New Roman" w:eastAsia="宋体" w:cs="宋体"/>
                      <w:color w:val="auto"/>
                      <w:spacing w:val="0"/>
                      <w:kern w:val="0"/>
                      <w:position w:val="0"/>
                      <w:sz w:val="21"/>
                      <w:szCs w:val="21"/>
                      <w:lang w:val="en-US" w:eastAsia="zh-CN"/>
                    </w:rPr>
                  </w:pPr>
                  <w:r>
                    <w:rPr>
                      <w:rFonts w:hint="eastAsia" w:ascii="Times New Roman" w:hAnsi="Times New Roman" w:eastAsia="宋体" w:cs="宋体"/>
                      <w:color w:val="auto"/>
                      <w:spacing w:val="0"/>
                      <w:kern w:val="0"/>
                      <w:position w:val="0"/>
                      <w:sz w:val="21"/>
                      <w:szCs w:val="21"/>
                      <w:lang w:val="en-US" w:eastAsia="zh-CN" w:bidi="ar-SA"/>
                    </w:rPr>
                    <w:t>①</w:t>
                  </w:r>
                  <w:r>
                    <w:rPr>
                      <w:rFonts w:hint="eastAsia" w:ascii="Times New Roman" w:hAnsi="Times New Roman" w:eastAsia="宋体" w:cs="宋体"/>
                      <w:color w:val="auto"/>
                      <w:spacing w:val="0"/>
                      <w:kern w:val="0"/>
                      <w:position w:val="0"/>
                      <w:sz w:val="21"/>
                      <w:szCs w:val="21"/>
                      <w:lang w:val="en-US" w:eastAsia="zh-CN"/>
                    </w:rPr>
                    <w:t>地面硬化、洒水降尘；</w:t>
                  </w:r>
                </w:p>
                <w:p w14:paraId="2E476CF0">
                  <w:pPr>
                    <w:numPr>
                      <w:ilvl w:val="0"/>
                      <w:numId w:val="0"/>
                    </w:numPr>
                    <w:adjustRightInd w:val="0"/>
                    <w:snapToGrid w:val="0"/>
                    <w:ind w:left="0" w:leftChars="0" w:firstLine="0" w:firstLineChars="0"/>
                    <w:jc w:val="left"/>
                    <w:rPr>
                      <w:rFonts w:hint="default" w:ascii="Times New Roman" w:hAnsi="Times New Roman" w:eastAsia="宋体" w:cs="宋体"/>
                      <w:color w:val="auto"/>
                      <w:spacing w:val="0"/>
                      <w:kern w:val="0"/>
                      <w:position w:val="0"/>
                      <w:sz w:val="21"/>
                      <w:szCs w:val="21"/>
                      <w:lang w:val="en-US" w:eastAsia="zh-CN"/>
                    </w:rPr>
                  </w:pPr>
                  <w:r>
                    <w:rPr>
                      <w:rFonts w:hint="eastAsia" w:ascii="Times New Roman" w:hAnsi="Times New Roman" w:eastAsia="宋体" w:cs="宋体"/>
                      <w:color w:val="auto"/>
                      <w:spacing w:val="0"/>
                      <w:kern w:val="0"/>
                      <w:position w:val="0"/>
                      <w:sz w:val="21"/>
                      <w:szCs w:val="21"/>
                      <w:lang w:val="en-US" w:eastAsia="zh-CN" w:bidi="ar-SA"/>
                    </w:rPr>
                    <w:t>②</w:t>
                  </w:r>
                  <w:r>
                    <w:rPr>
                      <w:rFonts w:hint="default" w:ascii="Times New Roman" w:hAnsi="Times New Roman" w:eastAsia="宋体" w:cs="宋体"/>
                      <w:color w:val="auto"/>
                      <w:spacing w:val="0"/>
                      <w:kern w:val="0"/>
                      <w:position w:val="0"/>
                      <w:sz w:val="21"/>
                      <w:szCs w:val="21"/>
                    </w:rPr>
                    <w:t>取选用符合环保要求低排放的内燃机车，加强内燃机调节，提高燃料燃烧率等</w:t>
                  </w:r>
                  <w:r>
                    <w:rPr>
                      <w:rFonts w:hint="eastAsia" w:ascii="Times New Roman" w:hAnsi="Times New Roman" w:eastAsia="宋体" w:cs="宋体"/>
                      <w:color w:val="auto"/>
                      <w:spacing w:val="0"/>
                      <w:kern w:val="0"/>
                      <w:position w:val="0"/>
                      <w:sz w:val="21"/>
                      <w:szCs w:val="21"/>
                      <w:lang w:eastAsia="zh-CN"/>
                    </w:rPr>
                    <w:t>。</w:t>
                  </w:r>
                </w:p>
              </w:tc>
            </w:tr>
            <w:tr w14:paraId="31CF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60BFB096">
                  <w:pPr>
                    <w:adjustRightInd w:val="0"/>
                    <w:snapToGrid w:val="0"/>
                    <w:jc w:val="center"/>
                    <w:rPr>
                      <w:rFonts w:ascii="Times New Roman" w:hAnsi="Times New Roman" w:eastAsia="宋体" w:cs="宋体"/>
                      <w:color w:val="auto"/>
                      <w:spacing w:val="0"/>
                      <w:kern w:val="0"/>
                      <w:position w:val="0"/>
                      <w:sz w:val="21"/>
                      <w:szCs w:val="21"/>
                    </w:rPr>
                  </w:pPr>
                </w:p>
              </w:tc>
              <w:tc>
                <w:tcPr>
                  <w:tcW w:w="695" w:type="pct"/>
                  <w:vAlign w:val="center"/>
                </w:tcPr>
                <w:p w14:paraId="2F679789">
                  <w:pPr>
                    <w:adjustRightInd w:val="0"/>
                    <w:snapToGrid w:val="0"/>
                    <w:jc w:val="center"/>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废水</w:t>
                  </w:r>
                </w:p>
              </w:tc>
              <w:tc>
                <w:tcPr>
                  <w:tcW w:w="3607" w:type="pct"/>
                  <w:vAlign w:val="center"/>
                </w:tcPr>
                <w:p w14:paraId="09EB91EF">
                  <w:pPr>
                    <w:numPr>
                      <w:ilvl w:val="-1"/>
                      <w:numId w:val="0"/>
                    </w:numPr>
                    <w:adjustRightInd w:val="0"/>
                    <w:snapToGrid w:val="0"/>
                    <w:ind w:firstLine="0" w:firstLineChars="0"/>
                    <w:jc w:val="left"/>
                    <w:rPr>
                      <w:rFonts w:hint="eastAsia" w:ascii="Times New Roman" w:hAnsi="Times New Roman" w:eastAsia="宋体" w:cs="宋体"/>
                      <w:color w:val="auto"/>
                      <w:spacing w:val="0"/>
                      <w:kern w:val="0"/>
                      <w:position w:val="0"/>
                      <w:sz w:val="21"/>
                      <w:szCs w:val="21"/>
                      <w:lang w:val="en-US" w:eastAsia="zh-CN"/>
                    </w:rPr>
                  </w:pPr>
                  <w:r>
                    <w:rPr>
                      <w:rFonts w:hint="eastAsia" w:ascii="Times New Roman" w:hAnsi="Times New Roman" w:eastAsia="宋体" w:cs="宋体"/>
                      <w:color w:val="auto"/>
                      <w:spacing w:val="0"/>
                      <w:kern w:val="0"/>
                      <w:position w:val="0"/>
                      <w:sz w:val="21"/>
                      <w:szCs w:val="21"/>
                      <w:lang w:val="en-US" w:eastAsia="zh-CN"/>
                    </w:rPr>
                    <w:t>生活污水经三级化粪池处理后定期对化粪池进行清理外运施肥。</w:t>
                  </w:r>
                </w:p>
              </w:tc>
            </w:tr>
            <w:tr w14:paraId="6EED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7745E9F9">
                  <w:pPr>
                    <w:adjustRightInd w:val="0"/>
                    <w:snapToGrid w:val="0"/>
                    <w:jc w:val="center"/>
                    <w:rPr>
                      <w:rFonts w:ascii="Times New Roman" w:hAnsi="Times New Roman" w:eastAsia="宋体" w:cs="宋体"/>
                      <w:color w:val="auto"/>
                      <w:spacing w:val="0"/>
                      <w:kern w:val="0"/>
                      <w:position w:val="0"/>
                      <w:sz w:val="21"/>
                      <w:szCs w:val="21"/>
                    </w:rPr>
                  </w:pPr>
                </w:p>
              </w:tc>
              <w:tc>
                <w:tcPr>
                  <w:tcW w:w="695" w:type="pct"/>
                  <w:vAlign w:val="center"/>
                </w:tcPr>
                <w:p w14:paraId="33A21168">
                  <w:pPr>
                    <w:adjustRightInd w:val="0"/>
                    <w:snapToGrid w:val="0"/>
                    <w:jc w:val="center"/>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噪声</w:t>
                  </w:r>
                </w:p>
              </w:tc>
              <w:tc>
                <w:tcPr>
                  <w:tcW w:w="3607" w:type="pct"/>
                  <w:vAlign w:val="center"/>
                </w:tcPr>
                <w:p w14:paraId="42940E30">
                  <w:pPr>
                    <w:adjustRightInd w:val="0"/>
                    <w:snapToGrid w:val="0"/>
                    <w:jc w:val="left"/>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①铁路两侧种植绿化防护林带；</w:t>
                  </w:r>
                </w:p>
                <w:p w14:paraId="1EEC3ED0">
                  <w:pPr>
                    <w:adjustRightInd w:val="0"/>
                    <w:snapToGrid w:val="0"/>
                    <w:jc w:val="left"/>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②</w:t>
                  </w:r>
                  <w:r>
                    <w:rPr>
                      <w:rFonts w:hint="eastAsia" w:ascii="Times New Roman" w:hAnsi="Times New Roman" w:eastAsia="宋体" w:cs="宋体"/>
                      <w:color w:val="auto"/>
                      <w:spacing w:val="0"/>
                      <w:kern w:val="0"/>
                      <w:position w:val="0"/>
                      <w:sz w:val="21"/>
                      <w:szCs w:val="20"/>
                      <w:lang w:val="en-US" w:eastAsia="zh-CN" w:bidi="ar"/>
                    </w:rPr>
                    <w:t>控制车速，</w:t>
                  </w:r>
                  <w:r>
                    <w:rPr>
                      <w:rFonts w:hint="eastAsia" w:ascii="Times New Roman" w:hAnsi="Times New Roman" w:eastAsia="宋体" w:cs="宋体"/>
                      <w:color w:val="auto"/>
                      <w:spacing w:val="0"/>
                      <w:kern w:val="0"/>
                      <w:position w:val="0"/>
                      <w:sz w:val="21"/>
                      <w:szCs w:val="21"/>
                    </w:rPr>
                    <w:t>加强线路管理和车辆保养</w:t>
                  </w:r>
                  <w:r>
                    <w:rPr>
                      <w:rFonts w:hint="eastAsia" w:ascii="Times New Roman" w:hAnsi="Times New Roman" w:eastAsia="宋体" w:cs="宋体"/>
                      <w:color w:val="auto"/>
                      <w:spacing w:val="0"/>
                      <w:kern w:val="0"/>
                      <w:position w:val="0"/>
                      <w:sz w:val="21"/>
                      <w:szCs w:val="21"/>
                      <w:lang w:eastAsia="zh-CN"/>
                    </w:rPr>
                    <w:t>。</w:t>
                  </w:r>
                </w:p>
              </w:tc>
            </w:tr>
            <w:tr w14:paraId="63A9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1EE47FE7">
                  <w:pPr>
                    <w:adjustRightInd w:val="0"/>
                    <w:snapToGrid w:val="0"/>
                    <w:jc w:val="center"/>
                    <w:rPr>
                      <w:rFonts w:ascii="Times New Roman" w:hAnsi="Times New Roman" w:eastAsia="宋体" w:cs="宋体"/>
                      <w:color w:val="auto"/>
                      <w:spacing w:val="0"/>
                      <w:kern w:val="0"/>
                      <w:position w:val="0"/>
                      <w:sz w:val="21"/>
                      <w:szCs w:val="21"/>
                    </w:rPr>
                  </w:pPr>
                </w:p>
              </w:tc>
              <w:tc>
                <w:tcPr>
                  <w:tcW w:w="695" w:type="pct"/>
                  <w:vAlign w:val="center"/>
                </w:tcPr>
                <w:p w14:paraId="79390DAE">
                  <w:pPr>
                    <w:adjustRightInd w:val="0"/>
                    <w:snapToGrid w:val="0"/>
                    <w:jc w:val="center"/>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振动</w:t>
                  </w:r>
                </w:p>
              </w:tc>
              <w:tc>
                <w:tcPr>
                  <w:tcW w:w="3607" w:type="pct"/>
                  <w:vAlign w:val="center"/>
                </w:tcPr>
                <w:p w14:paraId="0BBD9640">
                  <w:pPr>
                    <w:adjustRightInd w:val="0"/>
                    <w:snapToGrid w:val="0"/>
                    <w:jc w:val="both"/>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轨道结构减振</w:t>
                  </w:r>
                </w:p>
              </w:tc>
            </w:tr>
            <w:tr w14:paraId="59F8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79E65CE4">
                  <w:pPr>
                    <w:adjustRightInd w:val="0"/>
                    <w:snapToGrid w:val="0"/>
                    <w:jc w:val="center"/>
                    <w:rPr>
                      <w:rFonts w:ascii="Times New Roman" w:hAnsi="Times New Roman" w:eastAsia="宋体" w:cs="宋体"/>
                      <w:color w:val="auto"/>
                      <w:spacing w:val="0"/>
                      <w:kern w:val="0"/>
                      <w:position w:val="0"/>
                      <w:sz w:val="21"/>
                      <w:szCs w:val="21"/>
                    </w:rPr>
                  </w:pPr>
                </w:p>
              </w:tc>
              <w:tc>
                <w:tcPr>
                  <w:tcW w:w="695" w:type="pct"/>
                  <w:vAlign w:val="center"/>
                </w:tcPr>
                <w:p w14:paraId="1B9A34B9">
                  <w:pPr>
                    <w:adjustRightInd w:val="0"/>
                    <w:snapToGrid w:val="0"/>
                    <w:jc w:val="center"/>
                    <w:rPr>
                      <w:rFonts w:ascii="Times New Roman" w:hAnsi="Times New Roman" w:eastAsia="宋体" w:cs="宋体"/>
                      <w:color w:val="auto"/>
                      <w:spacing w:val="0"/>
                      <w:kern w:val="0"/>
                      <w:position w:val="0"/>
                      <w:sz w:val="21"/>
                      <w:szCs w:val="21"/>
                    </w:rPr>
                  </w:pPr>
                  <w:r>
                    <w:rPr>
                      <w:rFonts w:hint="eastAsia" w:ascii="Times New Roman" w:hAnsi="Times New Roman" w:eastAsia="宋体" w:cs="宋体"/>
                      <w:color w:val="auto"/>
                      <w:spacing w:val="0"/>
                      <w:kern w:val="0"/>
                      <w:position w:val="0"/>
                      <w:sz w:val="21"/>
                      <w:szCs w:val="21"/>
                    </w:rPr>
                    <w:t>固废</w:t>
                  </w:r>
                </w:p>
              </w:tc>
              <w:tc>
                <w:tcPr>
                  <w:tcW w:w="3607" w:type="pct"/>
                  <w:vAlign w:val="center"/>
                </w:tcPr>
                <w:p w14:paraId="4460115E">
                  <w:pPr>
                    <w:keepNext w:val="0"/>
                    <w:keepLines w:val="0"/>
                    <w:widowControl/>
                    <w:suppressLineNumbers w:val="0"/>
                    <w:jc w:val="left"/>
                    <w:rPr>
                      <w:rFonts w:hint="eastAsia" w:ascii="Times New Roman" w:hAnsi="Times New Roman" w:eastAsia="宋体" w:cs="宋体"/>
                      <w:color w:val="auto"/>
                      <w:spacing w:val="0"/>
                      <w:kern w:val="0"/>
                      <w:position w:val="0"/>
                      <w:sz w:val="21"/>
                      <w:szCs w:val="20"/>
                      <w:lang w:bidi="ar"/>
                    </w:rPr>
                  </w:pPr>
                  <w:r>
                    <w:rPr>
                      <w:rFonts w:hint="eastAsia" w:ascii="Times New Roman" w:hAnsi="Times New Roman" w:eastAsia="宋体" w:cs="宋体"/>
                      <w:color w:val="auto"/>
                      <w:spacing w:val="0"/>
                      <w:kern w:val="0"/>
                      <w:position w:val="0"/>
                      <w:sz w:val="21"/>
                      <w:szCs w:val="20"/>
                      <w:lang w:val="en-US" w:eastAsia="zh-CN" w:bidi="ar"/>
                    </w:rPr>
                    <w:t>生活垃圾由垃圾桶收集后，由环卫部门集中处理。</w:t>
                  </w:r>
                </w:p>
              </w:tc>
            </w:tr>
            <w:tr w14:paraId="72C3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pct"/>
                  <w:vMerge w:val="continue"/>
                  <w:vAlign w:val="center"/>
                </w:tcPr>
                <w:p w14:paraId="43C97965">
                  <w:pPr>
                    <w:adjustRightInd w:val="0"/>
                    <w:snapToGrid w:val="0"/>
                    <w:jc w:val="center"/>
                    <w:rPr>
                      <w:rFonts w:ascii="Times New Roman" w:hAnsi="Times New Roman" w:eastAsia="宋体" w:cs="宋体"/>
                      <w:color w:val="auto"/>
                      <w:spacing w:val="0"/>
                      <w:kern w:val="0"/>
                      <w:position w:val="0"/>
                      <w:sz w:val="21"/>
                      <w:szCs w:val="21"/>
                    </w:rPr>
                  </w:pPr>
                </w:p>
              </w:tc>
              <w:tc>
                <w:tcPr>
                  <w:tcW w:w="695" w:type="pct"/>
                  <w:vAlign w:val="center"/>
                </w:tcPr>
                <w:p w14:paraId="5450F8A4">
                  <w:pPr>
                    <w:adjustRightInd w:val="0"/>
                    <w:snapToGrid w:val="0"/>
                    <w:jc w:val="center"/>
                    <w:rPr>
                      <w:rFonts w:hint="eastAsia" w:ascii="Times New Roman" w:hAnsi="Times New Roman" w:eastAsia="宋体" w:cs="宋体"/>
                      <w:color w:val="auto"/>
                      <w:spacing w:val="0"/>
                      <w:kern w:val="0"/>
                      <w:position w:val="0"/>
                      <w:sz w:val="21"/>
                      <w:szCs w:val="21"/>
                      <w:lang w:eastAsia="zh-CN"/>
                    </w:rPr>
                  </w:pPr>
                  <w:r>
                    <w:rPr>
                      <w:rFonts w:hint="eastAsia" w:ascii="Times New Roman" w:hAnsi="Times New Roman" w:eastAsia="宋体" w:cs="宋体"/>
                      <w:color w:val="auto"/>
                      <w:spacing w:val="0"/>
                      <w:kern w:val="0"/>
                      <w:position w:val="0"/>
                      <w:sz w:val="21"/>
                      <w:szCs w:val="21"/>
                      <w:lang w:eastAsia="zh-CN"/>
                    </w:rPr>
                    <w:t>生态</w:t>
                  </w:r>
                </w:p>
              </w:tc>
              <w:tc>
                <w:tcPr>
                  <w:tcW w:w="3607" w:type="pct"/>
                  <w:vAlign w:val="center"/>
                </w:tcPr>
                <w:p w14:paraId="5BBA38BF">
                  <w:pPr>
                    <w:keepNext w:val="0"/>
                    <w:keepLines w:val="0"/>
                    <w:widowControl/>
                    <w:suppressLineNumbers w:val="0"/>
                    <w:jc w:val="left"/>
                    <w:rPr>
                      <w:rFonts w:hint="eastAsia" w:ascii="Times New Roman" w:hAnsi="Times New Roman" w:eastAsia="宋体" w:cs="宋体"/>
                      <w:color w:val="auto"/>
                      <w:spacing w:val="0"/>
                      <w:kern w:val="0"/>
                      <w:position w:val="0"/>
                      <w:sz w:val="21"/>
                      <w:szCs w:val="20"/>
                      <w:lang w:val="en-US" w:eastAsia="zh-CN" w:bidi="ar"/>
                    </w:rPr>
                  </w:pPr>
                  <w:r>
                    <w:rPr>
                      <w:rFonts w:hint="eastAsia" w:ascii="Times New Roman" w:hAnsi="Times New Roman" w:eastAsia="宋体" w:cs="宋体"/>
                      <w:bCs w:val="0"/>
                      <w:color w:val="auto"/>
                      <w:spacing w:val="0"/>
                      <w:kern w:val="0"/>
                      <w:position w:val="0"/>
                      <w:sz w:val="21"/>
                      <w:szCs w:val="20"/>
                      <w:lang w:bidi="ar"/>
                    </w:rPr>
                    <w:t>运营期应加强巡护和管理</w:t>
                  </w:r>
                  <w:r>
                    <w:rPr>
                      <w:rFonts w:hint="eastAsia" w:ascii="Times New Roman" w:hAnsi="Times New Roman" w:eastAsia="宋体" w:cs="宋体"/>
                      <w:bCs w:val="0"/>
                      <w:color w:val="auto"/>
                      <w:spacing w:val="0"/>
                      <w:kern w:val="0"/>
                      <w:position w:val="0"/>
                      <w:sz w:val="21"/>
                      <w:szCs w:val="20"/>
                      <w:lang w:eastAsia="zh-CN" w:bidi="ar"/>
                    </w:rPr>
                    <w:t>，</w:t>
                  </w:r>
                  <w:r>
                    <w:rPr>
                      <w:rFonts w:hint="eastAsia" w:ascii="Times New Roman" w:hAnsi="Times New Roman" w:eastAsia="宋体" w:cs="宋体"/>
                      <w:bCs w:val="0"/>
                      <w:color w:val="auto"/>
                      <w:spacing w:val="0"/>
                      <w:kern w:val="0"/>
                      <w:position w:val="0"/>
                      <w:sz w:val="21"/>
                      <w:szCs w:val="20"/>
                      <w:lang w:bidi="ar"/>
                    </w:rPr>
                    <w:t>按照施工设计要求，采取绿化措施，运营过程及时维护，确保绿化效果。</w:t>
                  </w:r>
                </w:p>
              </w:tc>
            </w:tr>
          </w:tbl>
          <w:p w14:paraId="3CC3001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eastAsia="宋体" w:cs="宋体"/>
                <w:color w:val="auto"/>
                <w:spacing w:val="0"/>
                <w:kern w:val="0"/>
                <w:position w:val="0"/>
                <w:sz w:val="24"/>
                <w:lang w:eastAsia="zh-CN"/>
              </w:rPr>
            </w:pPr>
            <w:r>
              <w:rPr>
                <w:rFonts w:hint="eastAsia" w:cs="宋体"/>
                <w:color w:val="auto"/>
                <w:spacing w:val="0"/>
                <w:kern w:val="0"/>
                <w:position w:val="0"/>
                <w:sz w:val="24"/>
              </w:rPr>
              <w:t>项目主要工程数量</w:t>
            </w:r>
            <w:r>
              <w:rPr>
                <w:rFonts w:hint="eastAsia" w:cs="宋体"/>
                <w:color w:val="auto"/>
                <w:spacing w:val="0"/>
                <w:kern w:val="0"/>
                <w:position w:val="0"/>
                <w:sz w:val="24"/>
                <w:lang w:val="en-US" w:eastAsia="zh-CN"/>
              </w:rPr>
              <w:t>如下</w:t>
            </w:r>
            <w:r>
              <w:rPr>
                <w:rFonts w:hint="eastAsia" w:cs="宋体"/>
                <w:color w:val="auto"/>
                <w:spacing w:val="0"/>
                <w:kern w:val="0"/>
                <w:position w:val="0"/>
                <w:sz w:val="24"/>
                <w:lang w:eastAsia="zh-CN"/>
              </w:rPr>
              <w:t>：</w:t>
            </w:r>
          </w:p>
          <w:p w14:paraId="0FDDA48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cs="宋体"/>
                <w:color w:val="auto"/>
                <w:spacing w:val="0"/>
                <w:kern w:val="0"/>
                <w:position w:val="0"/>
                <w:sz w:val="24"/>
              </w:rPr>
            </w:pPr>
            <w:r>
              <w:rPr>
                <w:rFonts w:hint="eastAsia" w:cs="宋体"/>
                <w:color w:val="auto"/>
                <w:spacing w:val="0"/>
                <w:kern w:val="0"/>
                <w:position w:val="0"/>
                <w:sz w:val="24"/>
                <w:lang w:val="en-US" w:eastAsia="zh-CN"/>
              </w:rPr>
              <w:t>路基主要工程数量：站场土石方</w:t>
            </w:r>
            <w:r>
              <w:rPr>
                <w:rFonts w:hint="default" w:cs="宋体"/>
                <w:color w:val="auto"/>
                <w:spacing w:val="0"/>
                <w:kern w:val="0"/>
                <w:position w:val="0"/>
                <w:sz w:val="24"/>
                <w:lang w:val="en-US" w:eastAsia="zh-CN"/>
              </w:rPr>
              <w:t>18.</w:t>
            </w:r>
            <w:r>
              <w:rPr>
                <w:rFonts w:hint="eastAsia" w:cs="宋体"/>
                <w:color w:val="auto"/>
                <w:spacing w:val="0"/>
                <w:kern w:val="0"/>
                <w:position w:val="0"/>
                <w:sz w:val="24"/>
                <w:lang w:val="en-US" w:eastAsia="zh-CN"/>
              </w:rPr>
              <w:t>25×</w:t>
            </w:r>
            <w:r>
              <w:rPr>
                <w:rFonts w:hint="default" w:cs="宋体"/>
                <w:color w:val="auto"/>
                <w:spacing w:val="0"/>
                <w:kern w:val="0"/>
                <w:position w:val="0"/>
                <w:sz w:val="24"/>
                <w:lang w:val="en-US" w:eastAsia="zh-CN"/>
              </w:rPr>
              <w:t>10</w:t>
            </w:r>
            <w:r>
              <w:rPr>
                <w:rFonts w:hint="default" w:cs="宋体"/>
                <w:color w:val="auto"/>
                <w:spacing w:val="0"/>
                <w:kern w:val="0"/>
                <w:position w:val="0"/>
                <w:sz w:val="24"/>
                <w:vertAlign w:val="superscript"/>
                <w:lang w:val="en-US" w:eastAsia="zh-CN"/>
              </w:rPr>
              <w:t>4</w:t>
            </w:r>
            <w:r>
              <w:rPr>
                <w:rFonts w:hint="eastAsia" w:cs="宋体"/>
                <w:color w:val="auto"/>
                <w:spacing w:val="0"/>
                <w:kern w:val="0"/>
                <w:position w:val="0"/>
                <w:sz w:val="24"/>
                <w:lang w:val="en-US" w:eastAsia="zh-CN"/>
              </w:rPr>
              <w:t>断面方，路基防护</w:t>
            </w:r>
            <w:r>
              <w:rPr>
                <w:rFonts w:hint="default" w:cs="宋体"/>
                <w:color w:val="auto"/>
                <w:spacing w:val="0"/>
                <w:kern w:val="0"/>
                <w:position w:val="0"/>
                <w:sz w:val="24"/>
                <w:lang w:val="en-US" w:eastAsia="zh-CN"/>
              </w:rPr>
              <w:t>0.42</w:t>
            </w:r>
            <w:r>
              <w:rPr>
                <w:rFonts w:hint="eastAsia" w:cs="宋体"/>
                <w:color w:val="auto"/>
                <w:spacing w:val="0"/>
                <w:kern w:val="0"/>
                <w:position w:val="0"/>
                <w:sz w:val="24"/>
                <w:lang w:val="en-US" w:eastAsia="zh-CN"/>
              </w:rPr>
              <w:t>×</w:t>
            </w:r>
            <w:r>
              <w:rPr>
                <w:rFonts w:hint="default" w:cs="宋体"/>
                <w:color w:val="auto"/>
                <w:spacing w:val="0"/>
                <w:kern w:val="0"/>
                <w:position w:val="0"/>
                <w:sz w:val="24"/>
                <w:lang w:val="en-US" w:eastAsia="zh-CN"/>
              </w:rPr>
              <w:t>10</w:t>
            </w:r>
            <w:r>
              <w:rPr>
                <w:rFonts w:hint="default" w:cs="宋体"/>
                <w:color w:val="auto"/>
                <w:spacing w:val="0"/>
                <w:kern w:val="0"/>
                <w:position w:val="0"/>
                <w:sz w:val="24"/>
                <w:vertAlign w:val="superscript"/>
                <w:lang w:val="en-US" w:eastAsia="zh-CN"/>
              </w:rPr>
              <w:t>4</w:t>
            </w:r>
            <w:r>
              <w:rPr>
                <w:rFonts w:hint="eastAsia" w:cs="宋体"/>
                <w:color w:val="auto"/>
                <w:spacing w:val="0"/>
                <w:kern w:val="0"/>
                <w:position w:val="0"/>
                <w:sz w:val="24"/>
                <w:lang w:val="en-US" w:eastAsia="zh-CN"/>
              </w:rPr>
              <w:t>圬工方，钢轨桩</w:t>
            </w:r>
            <w:r>
              <w:rPr>
                <w:rFonts w:hint="default" w:cs="宋体"/>
                <w:color w:val="auto"/>
                <w:spacing w:val="0"/>
                <w:kern w:val="0"/>
                <w:position w:val="0"/>
                <w:sz w:val="24"/>
                <w:lang w:val="en-US" w:eastAsia="zh-CN"/>
              </w:rPr>
              <w:t>573.6</w:t>
            </w:r>
            <w:r>
              <w:rPr>
                <w:rFonts w:hint="eastAsia" w:cs="宋体"/>
                <w:color w:val="auto"/>
                <w:spacing w:val="0"/>
                <w:kern w:val="0"/>
                <w:position w:val="0"/>
                <w:sz w:val="24"/>
                <w:lang w:val="en-US" w:eastAsia="zh-CN"/>
              </w:rPr>
              <w:t>吨，土工合成材料</w:t>
            </w:r>
            <w:r>
              <w:rPr>
                <w:rFonts w:hint="default" w:cs="宋体"/>
                <w:color w:val="auto"/>
                <w:spacing w:val="0"/>
                <w:kern w:val="0"/>
                <w:position w:val="0"/>
                <w:sz w:val="24"/>
                <w:lang w:val="en-US" w:eastAsia="zh-CN"/>
              </w:rPr>
              <w:t>0.51</w:t>
            </w:r>
            <w:r>
              <w:rPr>
                <w:rFonts w:hint="eastAsia" w:cs="宋体"/>
                <w:color w:val="auto"/>
                <w:spacing w:val="0"/>
                <w:kern w:val="0"/>
                <w:position w:val="0"/>
                <w:sz w:val="24"/>
                <w:lang w:val="en-US" w:eastAsia="zh-CN"/>
              </w:rPr>
              <w:t>×</w:t>
            </w:r>
            <w:r>
              <w:rPr>
                <w:rFonts w:hint="default" w:cs="宋体"/>
                <w:color w:val="auto"/>
                <w:spacing w:val="0"/>
                <w:kern w:val="0"/>
                <w:position w:val="0"/>
                <w:sz w:val="24"/>
                <w:lang w:val="en-US" w:eastAsia="zh-CN"/>
              </w:rPr>
              <w:t>10</w:t>
            </w:r>
            <w:r>
              <w:rPr>
                <w:rFonts w:hint="default" w:cs="宋体"/>
                <w:color w:val="auto"/>
                <w:spacing w:val="0"/>
                <w:kern w:val="0"/>
                <w:position w:val="0"/>
                <w:sz w:val="24"/>
                <w:vertAlign w:val="superscript"/>
                <w:lang w:val="en-US" w:eastAsia="zh-CN"/>
              </w:rPr>
              <w:t>4</w:t>
            </w:r>
            <w:r>
              <w:rPr>
                <w:rFonts w:hint="eastAsia" w:cs="宋体"/>
                <w:color w:val="auto"/>
                <w:spacing w:val="0"/>
                <w:kern w:val="0"/>
                <w:position w:val="0"/>
                <w:sz w:val="24"/>
                <w:lang w:val="en-US" w:eastAsia="zh-CN"/>
              </w:rPr>
              <w:t>平方米，支挡工程</w:t>
            </w:r>
            <w:r>
              <w:rPr>
                <w:rFonts w:hint="default" w:cs="宋体"/>
                <w:color w:val="auto"/>
                <w:spacing w:val="0"/>
                <w:kern w:val="0"/>
                <w:position w:val="0"/>
                <w:sz w:val="24"/>
                <w:lang w:val="en-US" w:eastAsia="zh-CN"/>
              </w:rPr>
              <w:t>0.29</w:t>
            </w:r>
            <w:r>
              <w:rPr>
                <w:rFonts w:hint="eastAsia" w:cs="宋体"/>
                <w:color w:val="auto"/>
                <w:spacing w:val="0"/>
                <w:kern w:val="0"/>
                <w:position w:val="0"/>
                <w:sz w:val="24"/>
                <w:lang w:val="en-US" w:eastAsia="zh-CN"/>
              </w:rPr>
              <w:t>×</w:t>
            </w:r>
            <w:r>
              <w:rPr>
                <w:rFonts w:hint="default" w:cs="宋体"/>
                <w:color w:val="auto"/>
                <w:spacing w:val="0"/>
                <w:kern w:val="0"/>
                <w:position w:val="0"/>
                <w:sz w:val="24"/>
                <w:lang w:val="en-US" w:eastAsia="zh-CN"/>
              </w:rPr>
              <w:t>10</w:t>
            </w:r>
            <w:r>
              <w:rPr>
                <w:rFonts w:hint="default" w:cs="宋体"/>
                <w:color w:val="auto"/>
                <w:spacing w:val="0"/>
                <w:kern w:val="0"/>
                <w:position w:val="0"/>
                <w:sz w:val="24"/>
                <w:vertAlign w:val="superscript"/>
                <w:lang w:val="en-US" w:eastAsia="zh-CN"/>
              </w:rPr>
              <w:t>4</w:t>
            </w:r>
            <w:r>
              <w:rPr>
                <w:rFonts w:hint="eastAsia" w:cs="宋体"/>
                <w:color w:val="auto"/>
                <w:spacing w:val="0"/>
                <w:kern w:val="0"/>
                <w:position w:val="0"/>
                <w:sz w:val="24"/>
                <w:lang w:val="en-US" w:eastAsia="zh-CN"/>
              </w:rPr>
              <w:t>圬工方，沟渠</w:t>
            </w:r>
            <w:r>
              <w:rPr>
                <w:rFonts w:hint="default" w:cs="宋体"/>
                <w:color w:val="auto"/>
                <w:spacing w:val="0"/>
                <w:kern w:val="0"/>
                <w:position w:val="0"/>
                <w:sz w:val="24"/>
                <w:lang w:val="en-US" w:eastAsia="zh-CN"/>
              </w:rPr>
              <w:t>0.16</w:t>
            </w:r>
            <w:r>
              <w:rPr>
                <w:rFonts w:hint="eastAsia" w:cs="宋体"/>
                <w:color w:val="auto"/>
                <w:spacing w:val="0"/>
                <w:kern w:val="0"/>
                <w:position w:val="0"/>
                <w:sz w:val="24"/>
                <w:lang w:val="en-US" w:eastAsia="zh-CN"/>
              </w:rPr>
              <w:t>×</w:t>
            </w:r>
            <w:r>
              <w:rPr>
                <w:rFonts w:hint="default" w:cs="宋体"/>
                <w:color w:val="auto"/>
                <w:spacing w:val="0"/>
                <w:kern w:val="0"/>
                <w:position w:val="0"/>
                <w:sz w:val="24"/>
                <w:lang w:val="en-US" w:eastAsia="zh-CN"/>
              </w:rPr>
              <w:t>10</w:t>
            </w:r>
            <w:r>
              <w:rPr>
                <w:rFonts w:hint="default" w:cs="宋体"/>
                <w:color w:val="auto"/>
                <w:spacing w:val="0"/>
                <w:kern w:val="0"/>
                <w:position w:val="0"/>
                <w:sz w:val="24"/>
                <w:vertAlign w:val="superscript"/>
                <w:lang w:val="en-US" w:eastAsia="zh-CN"/>
              </w:rPr>
              <w:t>4</w:t>
            </w:r>
            <w:r>
              <w:rPr>
                <w:rFonts w:hint="eastAsia" w:cs="宋体"/>
                <w:color w:val="auto"/>
                <w:spacing w:val="0"/>
                <w:kern w:val="0"/>
                <w:position w:val="0"/>
                <w:sz w:val="24"/>
                <w:lang w:val="en-US" w:eastAsia="zh-CN"/>
              </w:rPr>
              <w:t>圬工方，拆除房屋</w:t>
            </w:r>
            <w:r>
              <w:rPr>
                <w:rFonts w:hint="default" w:cs="宋体"/>
                <w:color w:val="auto"/>
                <w:spacing w:val="0"/>
                <w:kern w:val="0"/>
                <w:position w:val="0"/>
                <w:sz w:val="24"/>
                <w:lang w:val="en-US" w:eastAsia="zh-CN"/>
              </w:rPr>
              <w:t>0.65</w:t>
            </w:r>
            <w:r>
              <w:rPr>
                <w:rFonts w:hint="eastAsia" w:cs="宋体"/>
                <w:color w:val="auto"/>
                <w:spacing w:val="0"/>
                <w:kern w:val="0"/>
                <w:position w:val="0"/>
                <w:sz w:val="24"/>
                <w:lang w:val="en-US" w:eastAsia="zh-CN"/>
              </w:rPr>
              <w:t>×</w:t>
            </w:r>
            <w:r>
              <w:rPr>
                <w:rFonts w:hint="default" w:cs="宋体"/>
                <w:color w:val="auto"/>
                <w:spacing w:val="0"/>
                <w:kern w:val="0"/>
                <w:position w:val="0"/>
                <w:sz w:val="24"/>
                <w:lang w:val="en-US" w:eastAsia="zh-CN"/>
              </w:rPr>
              <w:t>10</w:t>
            </w:r>
            <w:r>
              <w:rPr>
                <w:rFonts w:hint="default" w:cs="宋体"/>
                <w:color w:val="auto"/>
                <w:spacing w:val="0"/>
                <w:kern w:val="0"/>
                <w:position w:val="0"/>
                <w:sz w:val="24"/>
                <w:vertAlign w:val="superscript"/>
                <w:lang w:val="en-US" w:eastAsia="zh-CN"/>
              </w:rPr>
              <w:t>4</w:t>
            </w:r>
            <w:r>
              <w:rPr>
                <w:rFonts w:hint="eastAsia" w:cs="宋体"/>
                <w:color w:val="auto"/>
                <w:spacing w:val="0"/>
                <w:kern w:val="0"/>
                <w:position w:val="0"/>
                <w:sz w:val="24"/>
                <w:lang w:val="en-US" w:eastAsia="zh-CN"/>
              </w:rPr>
              <w:t>平方米。</w:t>
            </w:r>
          </w:p>
          <w:p w14:paraId="55B4544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cs="宋体"/>
                <w:color w:val="auto"/>
                <w:spacing w:val="0"/>
                <w:kern w:val="0"/>
                <w:position w:val="0"/>
                <w:sz w:val="24"/>
              </w:rPr>
            </w:pPr>
            <w:r>
              <w:rPr>
                <w:rFonts w:hint="eastAsia" w:cs="宋体"/>
                <w:color w:val="auto"/>
                <w:spacing w:val="0"/>
                <w:kern w:val="0"/>
                <w:position w:val="0"/>
                <w:sz w:val="24"/>
                <w:lang w:val="en-US" w:eastAsia="zh-CN"/>
              </w:rPr>
              <w:t>桥涵主要工程数量：涵洞</w:t>
            </w:r>
            <w:r>
              <w:rPr>
                <w:rFonts w:hint="default" w:cs="宋体"/>
                <w:color w:val="auto"/>
                <w:spacing w:val="0"/>
                <w:kern w:val="0"/>
                <w:position w:val="0"/>
                <w:sz w:val="24"/>
                <w:lang w:val="en-US" w:eastAsia="zh-CN"/>
              </w:rPr>
              <w:t>10</w:t>
            </w:r>
            <w:r>
              <w:rPr>
                <w:rFonts w:hint="eastAsia" w:cs="宋体"/>
                <w:color w:val="auto"/>
                <w:spacing w:val="0"/>
                <w:kern w:val="0"/>
                <w:position w:val="0"/>
                <w:sz w:val="24"/>
                <w:lang w:val="en-US" w:eastAsia="zh-CN"/>
              </w:rPr>
              <w:t>座共计</w:t>
            </w:r>
            <w:r>
              <w:rPr>
                <w:rFonts w:hint="default" w:cs="宋体"/>
                <w:color w:val="auto"/>
                <w:spacing w:val="0"/>
                <w:kern w:val="0"/>
                <w:position w:val="0"/>
                <w:sz w:val="24"/>
                <w:lang w:val="en-US" w:eastAsia="zh-CN"/>
              </w:rPr>
              <w:t>297.93</w:t>
            </w:r>
            <w:r>
              <w:rPr>
                <w:rFonts w:hint="eastAsia" w:cs="宋体"/>
                <w:color w:val="auto"/>
                <w:spacing w:val="0"/>
                <w:kern w:val="0"/>
                <w:position w:val="0"/>
                <w:sz w:val="24"/>
                <w:lang w:val="en-US" w:eastAsia="zh-CN"/>
              </w:rPr>
              <w:t>横延米；新建涵洞</w:t>
            </w:r>
            <w:r>
              <w:rPr>
                <w:rFonts w:hint="default" w:cs="宋体"/>
                <w:color w:val="auto"/>
                <w:spacing w:val="0"/>
                <w:kern w:val="0"/>
                <w:position w:val="0"/>
                <w:sz w:val="24"/>
                <w:lang w:val="en-US" w:eastAsia="zh-CN"/>
              </w:rPr>
              <w:t>5</w:t>
            </w:r>
            <w:r>
              <w:rPr>
                <w:rFonts w:hint="eastAsia" w:cs="宋体"/>
                <w:color w:val="auto"/>
                <w:spacing w:val="0"/>
                <w:kern w:val="0"/>
                <w:position w:val="0"/>
                <w:sz w:val="24"/>
                <w:lang w:val="en-US" w:eastAsia="zh-CN"/>
              </w:rPr>
              <w:t>座，计</w:t>
            </w:r>
            <w:r>
              <w:rPr>
                <w:rFonts w:hint="default" w:cs="宋体"/>
                <w:color w:val="auto"/>
                <w:spacing w:val="0"/>
                <w:kern w:val="0"/>
                <w:position w:val="0"/>
                <w:sz w:val="24"/>
                <w:lang w:val="en-US" w:eastAsia="zh-CN"/>
              </w:rPr>
              <w:t>271.35</w:t>
            </w:r>
            <w:r>
              <w:rPr>
                <w:rFonts w:hint="eastAsia" w:cs="宋体"/>
                <w:color w:val="auto"/>
                <w:spacing w:val="0"/>
                <w:kern w:val="0"/>
                <w:position w:val="0"/>
                <w:sz w:val="24"/>
                <w:lang w:val="en-US" w:eastAsia="zh-CN"/>
              </w:rPr>
              <w:t>横延米；接长涵洞</w:t>
            </w:r>
            <w:r>
              <w:rPr>
                <w:rFonts w:hint="default" w:cs="宋体"/>
                <w:color w:val="auto"/>
                <w:spacing w:val="0"/>
                <w:kern w:val="0"/>
                <w:position w:val="0"/>
                <w:sz w:val="24"/>
                <w:lang w:val="en-US" w:eastAsia="zh-CN"/>
              </w:rPr>
              <w:t>5</w:t>
            </w:r>
            <w:r>
              <w:rPr>
                <w:rFonts w:hint="eastAsia" w:cs="宋体"/>
                <w:color w:val="auto"/>
                <w:spacing w:val="0"/>
                <w:kern w:val="0"/>
                <w:position w:val="0"/>
                <w:sz w:val="24"/>
                <w:lang w:val="en-US" w:eastAsia="zh-CN"/>
              </w:rPr>
              <w:t>座，计</w:t>
            </w:r>
            <w:r>
              <w:rPr>
                <w:rFonts w:hint="default" w:cs="宋体"/>
                <w:color w:val="auto"/>
                <w:spacing w:val="0"/>
                <w:kern w:val="0"/>
                <w:position w:val="0"/>
                <w:sz w:val="24"/>
                <w:lang w:val="en-US" w:eastAsia="zh-CN"/>
              </w:rPr>
              <w:t>26.58</w:t>
            </w:r>
            <w:r>
              <w:rPr>
                <w:rFonts w:hint="eastAsia" w:cs="宋体"/>
                <w:color w:val="auto"/>
                <w:spacing w:val="0"/>
                <w:kern w:val="0"/>
                <w:position w:val="0"/>
                <w:sz w:val="24"/>
                <w:lang w:val="en-US" w:eastAsia="zh-CN"/>
              </w:rPr>
              <w:t>横延米。</w:t>
            </w:r>
          </w:p>
          <w:p w14:paraId="7E7B0DC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宋体" w:hAnsi="宋体" w:cs="宋体"/>
                <w:color w:val="auto"/>
                <w:spacing w:val="0"/>
                <w:kern w:val="0"/>
                <w:position w:val="0"/>
                <w:sz w:val="20"/>
                <w:szCs w:val="20"/>
                <w:lang w:bidi="ar"/>
              </w:rPr>
            </w:pPr>
            <w:r>
              <w:rPr>
                <w:rFonts w:hint="eastAsia" w:cs="宋体"/>
                <w:color w:val="auto"/>
                <w:spacing w:val="0"/>
                <w:kern w:val="0"/>
                <w:position w:val="0"/>
                <w:sz w:val="24"/>
                <w:lang w:val="en-US" w:eastAsia="zh-CN"/>
              </w:rPr>
              <w:t>轨道主要工程数量：站线铺轨</w:t>
            </w:r>
            <w:r>
              <w:rPr>
                <w:rFonts w:hint="default" w:cs="宋体"/>
                <w:color w:val="auto"/>
                <w:spacing w:val="0"/>
                <w:kern w:val="0"/>
                <w:position w:val="0"/>
                <w:sz w:val="24"/>
                <w:lang w:val="en-US" w:eastAsia="zh-CN"/>
              </w:rPr>
              <w:t>1.571</w:t>
            </w:r>
            <w:r>
              <w:rPr>
                <w:rFonts w:hint="eastAsia" w:cs="宋体"/>
                <w:color w:val="auto"/>
                <w:spacing w:val="0"/>
                <w:kern w:val="0"/>
                <w:position w:val="0"/>
                <w:sz w:val="24"/>
                <w:lang w:val="en-US" w:eastAsia="zh-CN"/>
              </w:rPr>
              <w:t>铺轨公里，铺道岔</w:t>
            </w:r>
            <w:r>
              <w:rPr>
                <w:rFonts w:hint="default" w:cs="宋体"/>
                <w:color w:val="auto"/>
                <w:spacing w:val="0"/>
                <w:kern w:val="0"/>
                <w:position w:val="0"/>
                <w:sz w:val="24"/>
                <w:lang w:val="en-US" w:eastAsia="zh-CN"/>
              </w:rPr>
              <w:t>4</w:t>
            </w:r>
            <w:r>
              <w:rPr>
                <w:rFonts w:hint="eastAsia" w:cs="宋体"/>
                <w:color w:val="auto"/>
                <w:spacing w:val="0"/>
                <w:kern w:val="0"/>
                <w:position w:val="0"/>
                <w:sz w:val="24"/>
                <w:lang w:val="en-US" w:eastAsia="zh-CN"/>
              </w:rPr>
              <w:t>组，铺设道碴</w:t>
            </w:r>
            <w:r>
              <w:rPr>
                <w:rFonts w:hint="default" w:cs="宋体"/>
                <w:color w:val="auto"/>
                <w:spacing w:val="0"/>
                <w:kern w:val="0"/>
                <w:position w:val="0"/>
                <w:sz w:val="24"/>
                <w:lang w:val="en-US" w:eastAsia="zh-CN"/>
              </w:rPr>
              <w:t>0.4</w:t>
            </w:r>
            <w:r>
              <w:rPr>
                <w:rFonts w:hint="eastAsia" w:cs="宋体"/>
                <w:color w:val="auto"/>
                <w:spacing w:val="0"/>
                <w:kern w:val="0"/>
                <w:position w:val="0"/>
                <w:sz w:val="24"/>
                <w:lang w:val="en-US" w:eastAsia="zh-CN"/>
              </w:rPr>
              <w:t>×</w:t>
            </w:r>
            <w:r>
              <w:rPr>
                <w:rFonts w:hint="default" w:cs="宋体"/>
                <w:color w:val="auto"/>
                <w:spacing w:val="0"/>
                <w:kern w:val="0"/>
                <w:position w:val="0"/>
                <w:sz w:val="24"/>
                <w:lang w:val="en-US" w:eastAsia="zh-CN"/>
              </w:rPr>
              <w:t>10</w:t>
            </w:r>
            <w:r>
              <w:rPr>
                <w:rFonts w:hint="default" w:cs="宋体"/>
                <w:color w:val="auto"/>
                <w:spacing w:val="0"/>
                <w:kern w:val="0"/>
                <w:position w:val="0"/>
                <w:sz w:val="24"/>
                <w:vertAlign w:val="superscript"/>
                <w:lang w:val="en-US" w:eastAsia="zh-CN"/>
              </w:rPr>
              <w:t>4</w:t>
            </w:r>
            <w:r>
              <w:rPr>
                <w:rFonts w:hint="eastAsia" w:cs="宋体"/>
                <w:color w:val="auto"/>
                <w:spacing w:val="0"/>
                <w:kern w:val="0"/>
                <w:position w:val="0"/>
                <w:sz w:val="24"/>
                <w:lang w:val="en-US" w:eastAsia="zh-CN"/>
              </w:rPr>
              <w:t>立方米</w:t>
            </w:r>
            <w:r>
              <w:rPr>
                <w:rFonts w:hint="eastAsia" w:cs="宋体"/>
                <w:color w:val="auto"/>
                <w:spacing w:val="0"/>
                <w:kern w:val="0"/>
                <w:position w:val="0"/>
                <w:sz w:val="24"/>
              </w:rPr>
              <w:t>。</w:t>
            </w:r>
          </w:p>
          <w:p w14:paraId="0722906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eastAsia="宋体" w:cs="宋体"/>
                <w:b/>
                <w:bCs/>
                <w:color w:val="auto"/>
                <w:spacing w:val="0"/>
                <w:kern w:val="0"/>
                <w:position w:val="0"/>
                <w:sz w:val="24"/>
                <w:lang w:val="en-US" w:eastAsia="zh-CN"/>
              </w:rPr>
            </w:pPr>
            <w:r>
              <w:rPr>
                <w:rFonts w:cs="宋体"/>
                <w:b/>
                <w:bCs/>
                <w:color w:val="auto"/>
                <w:spacing w:val="0"/>
                <w:kern w:val="0"/>
                <w:position w:val="0"/>
                <w:sz w:val="24"/>
              </w:rPr>
              <w:t>2</w:t>
            </w:r>
            <w:r>
              <w:rPr>
                <w:rFonts w:hint="eastAsia" w:cs="宋体"/>
                <w:b/>
                <w:bCs/>
                <w:color w:val="auto"/>
                <w:spacing w:val="0"/>
                <w:kern w:val="0"/>
                <w:position w:val="0"/>
                <w:sz w:val="24"/>
              </w:rPr>
              <w:t>、本项目货运量</w:t>
            </w:r>
            <w:r>
              <w:rPr>
                <w:rFonts w:hint="eastAsia" w:cs="宋体"/>
                <w:b/>
                <w:bCs/>
                <w:color w:val="auto"/>
                <w:spacing w:val="0"/>
                <w:kern w:val="0"/>
                <w:position w:val="0"/>
                <w:sz w:val="24"/>
                <w:lang w:val="en-US" w:eastAsia="zh-CN"/>
              </w:rPr>
              <w:t>及存储方案</w:t>
            </w:r>
          </w:p>
          <w:p w14:paraId="7982FB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cs="宋体"/>
                <w:color w:val="auto"/>
                <w:spacing w:val="0"/>
                <w:kern w:val="0"/>
                <w:position w:val="0"/>
                <w:sz w:val="24"/>
                <w:lang w:val="en-US" w:eastAsia="zh-CN"/>
              </w:rPr>
            </w:pPr>
            <w:r>
              <w:rPr>
                <w:rFonts w:hint="eastAsia" w:cs="宋体"/>
                <w:color w:val="auto"/>
                <w:spacing w:val="0"/>
                <w:kern w:val="0"/>
                <w:position w:val="0"/>
                <w:sz w:val="24"/>
              </w:rPr>
              <w:t>根据</w:t>
            </w:r>
            <w:r>
              <w:rPr>
                <w:rFonts w:hint="eastAsia" w:cs="宋体"/>
                <w:color w:val="auto"/>
                <w:spacing w:val="0"/>
                <w:kern w:val="0"/>
                <w:position w:val="0"/>
                <w:sz w:val="24"/>
                <w:lang w:val="en-US" w:eastAsia="zh-CN"/>
              </w:rPr>
              <w:t>项目可行性研究报告</w:t>
            </w:r>
            <w:r>
              <w:rPr>
                <w:rFonts w:hint="eastAsia" w:cs="宋体"/>
                <w:color w:val="auto"/>
                <w:spacing w:val="0"/>
                <w:kern w:val="0"/>
                <w:position w:val="0"/>
                <w:sz w:val="24"/>
              </w:rPr>
              <w:t>，本项目运输货物种类主要为</w:t>
            </w:r>
            <w:r>
              <w:rPr>
                <w:rFonts w:hint="eastAsia" w:cs="宋体"/>
                <w:color w:val="auto"/>
                <w:spacing w:val="0"/>
                <w:kern w:val="0"/>
                <w:position w:val="0"/>
                <w:sz w:val="24"/>
                <w:lang w:val="en-US" w:eastAsia="zh-CN"/>
              </w:rPr>
              <w:t>氧化铝、塑料制品、集装箱（麦芽、电缆等），不涉及危险化学品</w:t>
            </w:r>
            <w:r>
              <w:rPr>
                <w:rFonts w:hint="eastAsia" w:cs="宋体"/>
                <w:color w:val="auto"/>
                <w:spacing w:val="0"/>
                <w:kern w:val="0"/>
                <w:position w:val="0"/>
                <w:sz w:val="24"/>
                <w:lang w:eastAsia="zh-CN"/>
              </w:rPr>
              <w:t>，</w:t>
            </w:r>
            <w:r>
              <w:rPr>
                <w:rFonts w:hint="eastAsia" w:ascii="宋体" w:hAnsi="宋体" w:eastAsia="宋体" w:cs="宋体"/>
                <w:color w:val="auto"/>
                <w:spacing w:val="0"/>
                <w:kern w:val="0"/>
                <w:position w:val="0"/>
                <w:sz w:val="24"/>
                <w:szCs w:val="24"/>
                <w:lang w:val="en-US" w:eastAsia="zh-CN" w:bidi="ar"/>
              </w:rPr>
              <w:t>初、近、远期云约站铁路货场铁路运量分别为</w:t>
            </w:r>
            <w:r>
              <w:rPr>
                <w:rFonts w:hint="default" w:ascii="Times New Roman" w:hAnsi="Times New Roman" w:eastAsia="宋体" w:cs="Times New Roman"/>
                <w:color w:val="auto"/>
                <w:spacing w:val="0"/>
                <w:kern w:val="0"/>
                <w:position w:val="0"/>
                <w:sz w:val="24"/>
                <w:szCs w:val="24"/>
                <w:lang w:val="en-US" w:eastAsia="zh-CN" w:bidi="ar"/>
              </w:rPr>
              <w:t>460</w:t>
            </w:r>
            <w:r>
              <w:rPr>
                <w:rFonts w:hint="eastAsia" w:ascii="宋体" w:hAnsi="宋体" w:eastAsia="宋体" w:cs="宋体"/>
                <w:color w:val="auto"/>
                <w:spacing w:val="0"/>
                <w:kern w:val="0"/>
                <w:position w:val="0"/>
                <w:sz w:val="24"/>
                <w:szCs w:val="24"/>
                <w:lang w:val="en-US" w:eastAsia="zh-CN" w:bidi="ar"/>
              </w:rPr>
              <w:t>万吨、</w:t>
            </w:r>
            <w:r>
              <w:rPr>
                <w:rFonts w:hint="default" w:ascii="Times New Roman" w:hAnsi="Times New Roman" w:eastAsia="宋体" w:cs="Times New Roman"/>
                <w:color w:val="auto"/>
                <w:spacing w:val="0"/>
                <w:kern w:val="0"/>
                <w:position w:val="0"/>
                <w:sz w:val="24"/>
                <w:szCs w:val="24"/>
                <w:lang w:val="en-US" w:eastAsia="zh-CN" w:bidi="ar"/>
              </w:rPr>
              <w:t>208</w:t>
            </w:r>
            <w:r>
              <w:rPr>
                <w:rFonts w:hint="eastAsia" w:ascii="宋体" w:hAnsi="宋体" w:eastAsia="宋体" w:cs="宋体"/>
                <w:color w:val="auto"/>
                <w:spacing w:val="0"/>
                <w:kern w:val="0"/>
                <w:position w:val="0"/>
                <w:sz w:val="24"/>
                <w:szCs w:val="24"/>
                <w:lang w:val="en-US" w:eastAsia="zh-CN" w:bidi="ar"/>
              </w:rPr>
              <w:t>万吨和</w:t>
            </w:r>
            <w:r>
              <w:rPr>
                <w:rFonts w:hint="default" w:ascii="Times New Roman" w:hAnsi="Times New Roman" w:eastAsia="宋体" w:cs="Times New Roman"/>
                <w:color w:val="auto"/>
                <w:spacing w:val="0"/>
                <w:kern w:val="0"/>
                <w:position w:val="0"/>
                <w:sz w:val="24"/>
                <w:szCs w:val="24"/>
                <w:lang w:val="en-US" w:eastAsia="zh-CN" w:bidi="ar"/>
              </w:rPr>
              <w:t>338</w:t>
            </w:r>
            <w:r>
              <w:rPr>
                <w:rFonts w:hint="eastAsia" w:ascii="宋体" w:hAnsi="宋体" w:eastAsia="宋体" w:cs="宋体"/>
                <w:color w:val="auto"/>
                <w:spacing w:val="0"/>
                <w:kern w:val="0"/>
                <w:position w:val="0"/>
                <w:sz w:val="24"/>
                <w:szCs w:val="24"/>
                <w:lang w:val="en-US" w:eastAsia="zh-CN" w:bidi="ar"/>
              </w:rPr>
              <w:t>万吨，其中发送量分别为</w:t>
            </w:r>
            <w:r>
              <w:rPr>
                <w:rFonts w:hint="default" w:ascii="Times New Roman" w:hAnsi="Times New Roman" w:eastAsia="宋体" w:cs="Times New Roman"/>
                <w:color w:val="auto"/>
                <w:spacing w:val="0"/>
                <w:kern w:val="0"/>
                <w:position w:val="0"/>
                <w:sz w:val="24"/>
                <w:szCs w:val="24"/>
                <w:lang w:val="en-US" w:eastAsia="zh-CN" w:bidi="ar"/>
              </w:rPr>
              <w:t>450</w:t>
            </w:r>
            <w:r>
              <w:rPr>
                <w:rFonts w:hint="eastAsia" w:ascii="宋体" w:hAnsi="宋体" w:eastAsia="宋体" w:cs="宋体"/>
                <w:color w:val="auto"/>
                <w:spacing w:val="0"/>
                <w:kern w:val="0"/>
                <w:position w:val="0"/>
                <w:sz w:val="24"/>
                <w:szCs w:val="24"/>
                <w:lang w:val="en-US" w:eastAsia="zh-CN" w:bidi="ar"/>
              </w:rPr>
              <w:t>万吨、</w:t>
            </w:r>
            <w:r>
              <w:rPr>
                <w:rFonts w:hint="default" w:ascii="Times New Roman" w:hAnsi="Times New Roman" w:eastAsia="宋体" w:cs="Times New Roman"/>
                <w:color w:val="auto"/>
                <w:spacing w:val="0"/>
                <w:kern w:val="0"/>
                <w:position w:val="0"/>
                <w:sz w:val="24"/>
                <w:szCs w:val="24"/>
                <w:lang w:val="en-US" w:eastAsia="zh-CN" w:bidi="ar"/>
              </w:rPr>
              <w:t>178</w:t>
            </w:r>
            <w:r>
              <w:rPr>
                <w:rFonts w:hint="eastAsia" w:ascii="宋体" w:hAnsi="宋体" w:eastAsia="宋体" w:cs="宋体"/>
                <w:color w:val="auto"/>
                <w:spacing w:val="0"/>
                <w:kern w:val="0"/>
                <w:position w:val="0"/>
                <w:sz w:val="24"/>
                <w:szCs w:val="24"/>
                <w:lang w:val="en-US" w:eastAsia="zh-CN" w:bidi="ar"/>
              </w:rPr>
              <w:t>万吨和</w:t>
            </w:r>
            <w:r>
              <w:rPr>
                <w:rFonts w:hint="default" w:ascii="Times New Roman" w:hAnsi="Times New Roman" w:eastAsia="宋体" w:cs="Times New Roman"/>
                <w:color w:val="auto"/>
                <w:spacing w:val="0"/>
                <w:kern w:val="0"/>
                <w:position w:val="0"/>
                <w:sz w:val="24"/>
                <w:szCs w:val="24"/>
                <w:lang w:val="en-US" w:eastAsia="zh-CN" w:bidi="ar"/>
              </w:rPr>
              <w:t>278</w:t>
            </w:r>
            <w:r>
              <w:rPr>
                <w:rFonts w:hint="eastAsia" w:ascii="宋体" w:hAnsi="宋体" w:eastAsia="宋体" w:cs="宋体"/>
                <w:color w:val="auto"/>
                <w:spacing w:val="0"/>
                <w:kern w:val="0"/>
                <w:position w:val="0"/>
                <w:sz w:val="24"/>
                <w:szCs w:val="24"/>
                <w:lang w:val="en-US" w:eastAsia="zh-CN" w:bidi="ar"/>
              </w:rPr>
              <w:t>万吨，到达量分别为</w:t>
            </w:r>
            <w:r>
              <w:rPr>
                <w:rFonts w:hint="default" w:ascii="Times New Roman" w:hAnsi="Times New Roman" w:eastAsia="宋体" w:cs="Times New Roman"/>
                <w:color w:val="auto"/>
                <w:spacing w:val="0"/>
                <w:kern w:val="0"/>
                <w:position w:val="0"/>
                <w:sz w:val="24"/>
                <w:szCs w:val="24"/>
                <w:lang w:val="en-US" w:eastAsia="zh-CN" w:bidi="ar"/>
              </w:rPr>
              <w:t>10</w:t>
            </w:r>
            <w:r>
              <w:rPr>
                <w:rFonts w:hint="eastAsia" w:ascii="宋体" w:hAnsi="宋体" w:eastAsia="宋体" w:cs="宋体"/>
                <w:color w:val="auto"/>
                <w:spacing w:val="0"/>
                <w:kern w:val="0"/>
                <w:position w:val="0"/>
                <w:sz w:val="24"/>
                <w:szCs w:val="24"/>
                <w:lang w:val="en-US" w:eastAsia="zh-CN" w:bidi="ar"/>
              </w:rPr>
              <w:t>万吨、</w:t>
            </w:r>
            <w:r>
              <w:rPr>
                <w:rFonts w:hint="default" w:ascii="Times New Roman" w:hAnsi="Times New Roman" w:eastAsia="宋体" w:cs="Times New Roman"/>
                <w:color w:val="auto"/>
                <w:spacing w:val="0"/>
                <w:kern w:val="0"/>
                <w:position w:val="0"/>
                <w:sz w:val="24"/>
                <w:szCs w:val="24"/>
                <w:lang w:val="en-US" w:eastAsia="zh-CN" w:bidi="ar"/>
              </w:rPr>
              <w:t>30</w:t>
            </w:r>
            <w:r>
              <w:rPr>
                <w:rFonts w:hint="eastAsia" w:ascii="宋体" w:hAnsi="宋体" w:eastAsia="宋体" w:cs="宋体"/>
                <w:color w:val="auto"/>
                <w:spacing w:val="0"/>
                <w:kern w:val="0"/>
                <w:position w:val="0"/>
                <w:sz w:val="24"/>
                <w:szCs w:val="24"/>
                <w:lang w:val="en-US" w:eastAsia="zh-CN" w:bidi="ar"/>
              </w:rPr>
              <w:t>万吨和</w:t>
            </w:r>
            <w:r>
              <w:rPr>
                <w:rFonts w:hint="default" w:ascii="Times New Roman" w:hAnsi="Times New Roman" w:eastAsia="宋体" w:cs="Times New Roman"/>
                <w:color w:val="auto"/>
                <w:spacing w:val="0"/>
                <w:kern w:val="0"/>
                <w:position w:val="0"/>
                <w:sz w:val="24"/>
                <w:szCs w:val="24"/>
                <w:lang w:val="en-US" w:eastAsia="zh-CN" w:bidi="ar"/>
              </w:rPr>
              <w:t>60</w:t>
            </w:r>
            <w:r>
              <w:rPr>
                <w:rFonts w:hint="eastAsia" w:ascii="宋体" w:hAnsi="宋体" w:eastAsia="宋体" w:cs="宋体"/>
                <w:color w:val="auto"/>
                <w:spacing w:val="0"/>
                <w:kern w:val="0"/>
                <w:position w:val="0"/>
                <w:sz w:val="24"/>
                <w:szCs w:val="24"/>
                <w:lang w:val="en-US" w:eastAsia="zh-CN" w:bidi="ar"/>
              </w:rPr>
              <w:t>万吨</w:t>
            </w:r>
            <w:r>
              <w:rPr>
                <w:rFonts w:hint="eastAsia" w:cs="宋体"/>
                <w:color w:val="auto"/>
                <w:spacing w:val="0"/>
                <w:kern w:val="0"/>
                <w:position w:val="0"/>
                <w:sz w:val="24"/>
                <w:szCs w:val="24"/>
                <w:lang w:val="en-US" w:eastAsia="zh-CN"/>
              </w:rPr>
              <w:t>，</w:t>
            </w:r>
            <w:r>
              <w:rPr>
                <w:rFonts w:hint="eastAsia" w:cs="宋体"/>
                <w:color w:val="auto"/>
                <w:spacing w:val="0"/>
                <w:kern w:val="0"/>
                <w:position w:val="0"/>
                <w:sz w:val="24"/>
                <w:lang w:val="en-US" w:eastAsia="zh-CN"/>
              </w:rPr>
              <w:t>均以来时集装箱形态暂存于集装箱堆场，不在本集装箱堆场开箱卸货或散装分装，后续统一运输至目的地。</w:t>
            </w:r>
          </w:p>
          <w:p w14:paraId="5F53050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宋体"/>
                <w:color w:val="auto"/>
                <w:spacing w:val="0"/>
                <w:kern w:val="0"/>
                <w:position w:val="0"/>
                <w:sz w:val="24"/>
                <w:lang w:val="en-US" w:eastAsia="zh-CN"/>
              </w:rPr>
            </w:pPr>
            <w:r>
              <w:rPr>
                <w:rFonts w:hint="eastAsia" w:cs="宋体"/>
                <w:color w:val="auto"/>
                <w:spacing w:val="0"/>
                <w:kern w:val="0"/>
                <w:position w:val="0"/>
                <w:sz w:val="24"/>
                <w:lang w:val="en-US" w:eastAsia="zh-CN"/>
              </w:rPr>
              <w:t>本项目货运对象中防城港中丝路新材料科技有限公司预计在2035年后建成铁路专用线，在初期铁路发送运量主要通过云约站、皇城坳货场发送；在其铁路专用线建成后，在专用线内发送，因此本项目货运量近期、远期均少于初期。</w:t>
            </w:r>
          </w:p>
          <w:p w14:paraId="36AA243E">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bCs/>
                <w:color w:val="auto"/>
                <w:spacing w:val="0"/>
                <w:position w:val="0"/>
                <w:sz w:val="24"/>
                <w:szCs w:val="32"/>
              </w:rPr>
            </w:pPr>
            <w:r>
              <w:rPr>
                <w:rFonts w:hint="eastAsia" w:cs="宋体"/>
                <w:b/>
                <w:bCs/>
                <w:color w:val="auto"/>
                <w:spacing w:val="0"/>
                <w:kern w:val="0"/>
                <w:position w:val="0"/>
                <w:sz w:val="24"/>
                <w:szCs w:val="24"/>
              </w:rPr>
              <w:t>表2</w:t>
            </w:r>
            <w:r>
              <w:rPr>
                <w:rFonts w:cs="宋体"/>
                <w:b/>
                <w:bCs/>
                <w:color w:val="auto"/>
                <w:spacing w:val="0"/>
                <w:kern w:val="0"/>
                <w:position w:val="0"/>
                <w:sz w:val="24"/>
                <w:szCs w:val="24"/>
              </w:rPr>
              <w:t>-</w:t>
            </w:r>
            <w:r>
              <w:rPr>
                <w:rFonts w:hint="eastAsia" w:cs="宋体"/>
                <w:b/>
                <w:bCs/>
                <w:color w:val="auto"/>
                <w:spacing w:val="0"/>
                <w:kern w:val="0"/>
                <w:position w:val="0"/>
                <w:sz w:val="24"/>
                <w:szCs w:val="24"/>
                <w:lang w:val="en-US" w:eastAsia="zh-CN"/>
              </w:rPr>
              <w:t>3</w:t>
            </w:r>
            <w:r>
              <w:rPr>
                <w:rFonts w:hint="eastAsia"/>
                <w:b/>
                <w:bCs/>
                <w:color w:val="auto"/>
                <w:spacing w:val="0"/>
                <w:position w:val="0"/>
                <w:sz w:val="24"/>
                <w:szCs w:val="32"/>
              </w:rPr>
              <w:t>货运量一览表</w:t>
            </w:r>
          </w:p>
          <w:tbl>
            <w:tblPr>
              <w:tblStyle w:val="29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0"/>
              <w:gridCol w:w="805"/>
              <w:gridCol w:w="909"/>
              <w:gridCol w:w="849"/>
              <w:gridCol w:w="879"/>
              <w:gridCol w:w="967"/>
              <w:gridCol w:w="872"/>
              <w:gridCol w:w="1876"/>
            </w:tblGrid>
            <w:tr w14:paraId="25E2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vMerge w:val="restart"/>
                  <w:vAlign w:val="center"/>
                </w:tcPr>
                <w:p w14:paraId="09A2BF6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品类</w:t>
                  </w:r>
                </w:p>
              </w:tc>
              <w:tc>
                <w:tcPr>
                  <w:tcW w:w="1018" w:type="pct"/>
                  <w:gridSpan w:val="2"/>
                  <w:shd w:val="clear" w:color="auto" w:fill="auto"/>
                  <w:vAlign w:val="center"/>
                </w:tcPr>
                <w:p w14:paraId="335F522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bCs/>
                      <w:color w:val="auto"/>
                      <w:spacing w:val="0"/>
                      <w:position w:val="0"/>
                      <w:sz w:val="21"/>
                      <w:szCs w:val="21"/>
                      <w:lang w:val="en-US" w:eastAsia="zh-CN"/>
                    </w:rPr>
                  </w:pPr>
                  <w:r>
                    <w:rPr>
                      <w:rFonts w:hint="eastAsia" w:ascii="宋体" w:hAnsi="宋体" w:cs="宋体"/>
                      <w:b/>
                      <w:bCs/>
                      <w:color w:val="auto"/>
                      <w:spacing w:val="0"/>
                      <w:position w:val="0"/>
                      <w:sz w:val="21"/>
                      <w:szCs w:val="21"/>
                      <w:lang w:val="en-US" w:eastAsia="zh-CN"/>
                    </w:rPr>
                    <w:t>初期</w:t>
                  </w:r>
                  <w:r>
                    <w:rPr>
                      <w:rFonts w:hint="eastAsia" w:ascii="宋体" w:hAnsi="宋体" w:cs="宋体"/>
                      <w:b/>
                      <w:bCs/>
                      <w:color w:val="auto"/>
                      <w:spacing w:val="0"/>
                      <w:position w:val="0"/>
                      <w:sz w:val="21"/>
                      <w:szCs w:val="21"/>
                      <w:lang w:eastAsia="zh-CN"/>
                    </w:rPr>
                    <w:t>（</w:t>
                  </w:r>
                  <w:r>
                    <w:rPr>
                      <w:rFonts w:hint="eastAsia" w:cs="宋体"/>
                      <w:b/>
                      <w:bCs/>
                      <w:color w:val="auto"/>
                      <w:spacing w:val="0"/>
                      <w:kern w:val="0"/>
                      <w:position w:val="0"/>
                      <w:sz w:val="21"/>
                      <w:szCs w:val="21"/>
                      <w:lang w:eastAsia="zh-CN"/>
                    </w:rPr>
                    <w:t>万吨</w:t>
                  </w:r>
                  <w:r>
                    <w:rPr>
                      <w:rFonts w:hint="eastAsia"/>
                      <w:b/>
                      <w:bCs/>
                      <w:color w:val="auto"/>
                      <w:spacing w:val="0"/>
                      <w:position w:val="0"/>
                      <w:lang w:val="en-US" w:eastAsia="zh-CN"/>
                    </w:rPr>
                    <w:t>/a</w:t>
                  </w:r>
                  <w:r>
                    <w:rPr>
                      <w:rFonts w:hint="eastAsia" w:ascii="宋体" w:hAnsi="宋体" w:cs="宋体"/>
                      <w:b/>
                      <w:bCs/>
                      <w:color w:val="auto"/>
                      <w:spacing w:val="0"/>
                      <w:position w:val="0"/>
                      <w:sz w:val="21"/>
                      <w:szCs w:val="21"/>
                      <w:lang w:eastAsia="zh-CN"/>
                    </w:rPr>
                    <w:t>）</w:t>
                  </w:r>
                </w:p>
              </w:tc>
              <w:tc>
                <w:tcPr>
                  <w:tcW w:w="1026" w:type="pct"/>
                  <w:gridSpan w:val="2"/>
                  <w:shd w:val="clear" w:color="auto" w:fill="auto"/>
                  <w:vAlign w:val="center"/>
                </w:tcPr>
                <w:p w14:paraId="621612B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b/>
                      <w:bCs/>
                      <w:color w:val="auto"/>
                      <w:spacing w:val="0"/>
                      <w:kern w:val="2"/>
                      <w:position w:val="0"/>
                      <w:sz w:val="21"/>
                      <w:szCs w:val="21"/>
                      <w:lang w:val="en-US" w:eastAsia="zh-CN" w:bidi="ar-SA"/>
                    </w:rPr>
                  </w:pPr>
                  <w:r>
                    <w:rPr>
                      <w:rFonts w:ascii="宋体" w:hAnsi="宋体" w:eastAsia="宋体" w:cs="宋体"/>
                      <w:b/>
                      <w:bCs/>
                      <w:color w:val="auto"/>
                      <w:spacing w:val="0"/>
                      <w:position w:val="0"/>
                      <w:sz w:val="21"/>
                      <w:szCs w:val="21"/>
                    </w:rPr>
                    <w:t>近期</w:t>
                  </w:r>
                  <w:r>
                    <w:rPr>
                      <w:rFonts w:hint="eastAsia" w:ascii="宋体" w:hAnsi="宋体" w:cs="宋体"/>
                      <w:b/>
                      <w:bCs/>
                      <w:color w:val="auto"/>
                      <w:spacing w:val="0"/>
                      <w:position w:val="0"/>
                      <w:sz w:val="21"/>
                      <w:szCs w:val="21"/>
                      <w:lang w:eastAsia="zh-CN"/>
                    </w:rPr>
                    <w:t>（</w:t>
                  </w:r>
                  <w:r>
                    <w:rPr>
                      <w:rFonts w:hint="eastAsia" w:cs="宋体"/>
                      <w:b/>
                      <w:bCs/>
                      <w:color w:val="auto"/>
                      <w:spacing w:val="0"/>
                      <w:kern w:val="0"/>
                      <w:position w:val="0"/>
                      <w:sz w:val="21"/>
                      <w:szCs w:val="21"/>
                      <w:lang w:eastAsia="zh-CN"/>
                    </w:rPr>
                    <w:t>万吨</w:t>
                  </w:r>
                  <w:r>
                    <w:rPr>
                      <w:rFonts w:hint="eastAsia"/>
                      <w:b/>
                      <w:bCs/>
                      <w:color w:val="auto"/>
                      <w:spacing w:val="0"/>
                      <w:position w:val="0"/>
                      <w:lang w:val="en-US" w:eastAsia="zh-CN"/>
                    </w:rPr>
                    <w:t>/a</w:t>
                  </w:r>
                  <w:r>
                    <w:rPr>
                      <w:rFonts w:hint="eastAsia" w:ascii="宋体" w:hAnsi="宋体" w:cs="宋体"/>
                      <w:b/>
                      <w:bCs/>
                      <w:color w:val="auto"/>
                      <w:spacing w:val="0"/>
                      <w:position w:val="0"/>
                      <w:sz w:val="21"/>
                      <w:szCs w:val="21"/>
                      <w:lang w:eastAsia="zh-CN"/>
                    </w:rPr>
                    <w:t>）</w:t>
                  </w:r>
                </w:p>
              </w:tc>
              <w:tc>
                <w:tcPr>
                  <w:tcW w:w="1092" w:type="pct"/>
                  <w:gridSpan w:val="2"/>
                  <w:vAlign w:val="center"/>
                </w:tcPr>
                <w:p w14:paraId="27E428A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远期</w:t>
                  </w:r>
                  <w:r>
                    <w:rPr>
                      <w:rFonts w:hint="eastAsia" w:cs="Times New Roman"/>
                      <w:b/>
                      <w:bCs/>
                      <w:color w:val="auto"/>
                      <w:spacing w:val="0"/>
                      <w:position w:val="0"/>
                      <w:sz w:val="21"/>
                      <w:szCs w:val="21"/>
                      <w:lang w:eastAsia="zh-CN"/>
                    </w:rPr>
                    <w:t>（</w:t>
                  </w:r>
                  <w:r>
                    <w:rPr>
                      <w:rFonts w:hint="eastAsia" w:cs="宋体"/>
                      <w:b/>
                      <w:bCs/>
                      <w:color w:val="auto"/>
                      <w:spacing w:val="0"/>
                      <w:kern w:val="0"/>
                      <w:position w:val="0"/>
                      <w:sz w:val="21"/>
                      <w:szCs w:val="21"/>
                      <w:lang w:eastAsia="zh-CN"/>
                    </w:rPr>
                    <w:t>万吨</w:t>
                  </w:r>
                  <w:r>
                    <w:rPr>
                      <w:rFonts w:hint="eastAsia"/>
                      <w:b/>
                      <w:bCs/>
                      <w:color w:val="auto"/>
                      <w:spacing w:val="0"/>
                      <w:position w:val="0"/>
                      <w:lang w:val="en-US" w:eastAsia="zh-CN"/>
                    </w:rPr>
                    <w:t>/a</w:t>
                  </w:r>
                  <w:r>
                    <w:rPr>
                      <w:rFonts w:hint="eastAsia" w:cs="宋体"/>
                      <w:b/>
                      <w:bCs/>
                      <w:color w:val="auto"/>
                      <w:spacing w:val="0"/>
                      <w:kern w:val="0"/>
                      <w:position w:val="0"/>
                      <w:sz w:val="21"/>
                      <w:szCs w:val="21"/>
                      <w:lang w:eastAsia="zh-CN"/>
                    </w:rPr>
                    <w:t>）</w:t>
                  </w:r>
                </w:p>
              </w:tc>
              <w:tc>
                <w:tcPr>
                  <w:tcW w:w="1114" w:type="pct"/>
                  <w:vMerge w:val="restart"/>
                  <w:vAlign w:val="center"/>
                </w:tcPr>
                <w:p w14:paraId="5D6A191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来源/发送地</w:t>
                  </w:r>
                </w:p>
              </w:tc>
            </w:tr>
            <w:tr w14:paraId="25EB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vMerge w:val="continue"/>
                  <w:vAlign w:val="center"/>
                </w:tcPr>
                <w:p w14:paraId="66204C2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rPr>
                  </w:pPr>
                </w:p>
              </w:tc>
              <w:tc>
                <w:tcPr>
                  <w:tcW w:w="478" w:type="pct"/>
                  <w:shd w:val="clear" w:color="auto" w:fill="auto"/>
                  <w:vAlign w:val="center"/>
                </w:tcPr>
                <w:p w14:paraId="311B53C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b/>
                      <w:bCs/>
                      <w:color w:val="auto"/>
                      <w:spacing w:val="0"/>
                      <w:position w:val="0"/>
                      <w:sz w:val="21"/>
                      <w:szCs w:val="21"/>
                    </w:rPr>
                  </w:pPr>
                  <w:r>
                    <w:rPr>
                      <w:rFonts w:ascii="宋体" w:hAnsi="宋体" w:eastAsia="宋体" w:cs="宋体"/>
                      <w:b/>
                      <w:bCs/>
                      <w:color w:val="auto"/>
                      <w:spacing w:val="0"/>
                      <w:position w:val="0"/>
                      <w:sz w:val="21"/>
                      <w:szCs w:val="21"/>
                    </w:rPr>
                    <w:t>到达</w:t>
                  </w:r>
                </w:p>
              </w:tc>
              <w:tc>
                <w:tcPr>
                  <w:tcW w:w="540" w:type="pct"/>
                  <w:shd w:val="clear" w:color="auto" w:fill="auto"/>
                  <w:vAlign w:val="center"/>
                </w:tcPr>
                <w:p w14:paraId="4E90022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ascii="宋体" w:hAnsi="宋体" w:eastAsia="宋体" w:cs="宋体"/>
                      <w:b/>
                      <w:bCs/>
                      <w:color w:val="auto"/>
                      <w:spacing w:val="0"/>
                      <w:position w:val="0"/>
                      <w:sz w:val="21"/>
                      <w:szCs w:val="21"/>
                    </w:rPr>
                  </w:pPr>
                  <w:r>
                    <w:rPr>
                      <w:rFonts w:ascii="宋体" w:hAnsi="宋体" w:eastAsia="宋体" w:cs="宋体"/>
                      <w:b/>
                      <w:bCs/>
                      <w:color w:val="auto"/>
                      <w:spacing w:val="0"/>
                      <w:position w:val="0"/>
                      <w:sz w:val="21"/>
                      <w:szCs w:val="21"/>
                    </w:rPr>
                    <w:t>发送</w:t>
                  </w:r>
                </w:p>
              </w:tc>
              <w:tc>
                <w:tcPr>
                  <w:tcW w:w="504" w:type="pct"/>
                  <w:shd w:val="clear" w:color="auto" w:fill="auto"/>
                  <w:vAlign w:val="center"/>
                </w:tcPr>
                <w:p w14:paraId="20467BC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bCs/>
                      <w:color w:val="auto"/>
                      <w:spacing w:val="0"/>
                      <w:kern w:val="2"/>
                      <w:position w:val="0"/>
                      <w:sz w:val="21"/>
                      <w:szCs w:val="21"/>
                      <w:lang w:val="en-US" w:eastAsia="zh-CN" w:bidi="ar-SA"/>
                    </w:rPr>
                  </w:pPr>
                  <w:r>
                    <w:rPr>
                      <w:rFonts w:ascii="宋体" w:hAnsi="宋体" w:eastAsia="宋体" w:cs="宋体"/>
                      <w:b/>
                      <w:bCs/>
                      <w:color w:val="auto"/>
                      <w:spacing w:val="0"/>
                      <w:position w:val="0"/>
                      <w:sz w:val="21"/>
                      <w:szCs w:val="21"/>
                    </w:rPr>
                    <w:t>到达</w:t>
                  </w:r>
                </w:p>
              </w:tc>
              <w:tc>
                <w:tcPr>
                  <w:tcW w:w="522" w:type="pct"/>
                  <w:shd w:val="clear" w:color="auto" w:fill="auto"/>
                  <w:vAlign w:val="center"/>
                </w:tcPr>
                <w:p w14:paraId="0F1BE9F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bCs/>
                      <w:color w:val="auto"/>
                      <w:spacing w:val="0"/>
                      <w:kern w:val="2"/>
                      <w:position w:val="0"/>
                      <w:sz w:val="21"/>
                      <w:szCs w:val="21"/>
                      <w:lang w:val="en-US" w:eastAsia="zh-CN" w:bidi="ar-SA"/>
                    </w:rPr>
                  </w:pPr>
                  <w:r>
                    <w:rPr>
                      <w:rFonts w:ascii="宋体" w:hAnsi="宋体" w:eastAsia="宋体" w:cs="宋体"/>
                      <w:b/>
                      <w:bCs/>
                      <w:color w:val="auto"/>
                      <w:spacing w:val="0"/>
                      <w:position w:val="0"/>
                      <w:sz w:val="21"/>
                      <w:szCs w:val="21"/>
                    </w:rPr>
                    <w:t>发送</w:t>
                  </w:r>
                </w:p>
              </w:tc>
              <w:tc>
                <w:tcPr>
                  <w:tcW w:w="574" w:type="pct"/>
                  <w:vAlign w:val="center"/>
                </w:tcPr>
                <w:p w14:paraId="5516DB2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到达</w:t>
                  </w:r>
                </w:p>
              </w:tc>
              <w:tc>
                <w:tcPr>
                  <w:tcW w:w="518" w:type="pct"/>
                  <w:vAlign w:val="center"/>
                </w:tcPr>
                <w:p w14:paraId="54ACC16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发送</w:t>
                  </w:r>
                </w:p>
              </w:tc>
              <w:tc>
                <w:tcPr>
                  <w:tcW w:w="1114" w:type="pct"/>
                  <w:vMerge w:val="continue"/>
                  <w:vAlign w:val="center"/>
                </w:tcPr>
                <w:p w14:paraId="6F49686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p>
              </w:tc>
            </w:tr>
            <w:tr w14:paraId="7564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vAlign w:val="center"/>
                </w:tcPr>
                <w:p w14:paraId="1EE9908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氧化铝</w:t>
                  </w:r>
                </w:p>
              </w:tc>
              <w:tc>
                <w:tcPr>
                  <w:tcW w:w="478" w:type="pct"/>
                  <w:shd w:val="clear" w:color="auto" w:fill="auto"/>
                  <w:vAlign w:val="center"/>
                </w:tcPr>
                <w:p w14:paraId="76D0513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w:t>
                  </w:r>
                </w:p>
              </w:tc>
              <w:tc>
                <w:tcPr>
                  <w:tcW w:w="540" w:type="pct"/>
                  <w:shd w:val="clear" w:color="auto" w:fill="auto"/>
                  <w:vAlign w:val="center"/>
                </w:tcPr>
                <w:p w14:paraId="107393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400</w:t>
                  </w:r>
                </w:p>
              </w:tc>
              <w:tc>
                <w:tcPr>
                  <w:tcW w:w="504" w:type="pct"/>
                  <w:shd w:val="clear" w:color="auto" w:fill="auto"/>
                  <w:vAlign w:val="center"/>
                </w:tcPr>
                <w:p w14:paraId="3AA5345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w:t>
                  </w:r>
                </w:p>
              </w:tc>
              <w:tc>
                <w:tcPr>
                  <w:tcW w:w="522" w:type="pct"/>
                  <w:shd w:val="clear" w:color="auto" w:fill="auto"/>
                  <w:vAlign w:val="center"/>
                </w:tcPr>
                <w:p w14:paraId="706DD6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48</w:t>
                  </w:r>
                </w:p>
              </w:tc>
              <w:tc>
                <w:tcPr>
                  <w:tcW w:w="574" w:type="pct"/>
                  <w:vAlign w:val="center"/>
                </w:tcPr>
                <w:p w14:paraId="750D944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rPr>
                  </w:pPr>
                  <w:r>
                    <w:rPr>
                      <w:rFonts w:hint="default" w:ascii="Times New Roman" w:hAnsi="Times New Roman" w:eastAsia="Times New Roman" w:cs="Times New Roman"/>
                      <w:color w:val="auto"/>
                      <w:spacing w:val="0"/>
                      <w:position w:val="0"/>
                      <w:sz w:val="21"/>
                      <w:szCs w:val="21"/>
                      <w:lang w:val="en-US" w:eastAsia="zh-CN"/>
                    </w:rPr>
                    <w:t>/</w:t>
                  </w:r>
                </w:p>
              </w:tc>
              <w:tc>
                <w:tcPr>
                  <w:tcW w:w="518" w:type="pct"/>
                  <w:vAlign w:val="center"/>
                </w:tcPr>
                <w:p w14:paraId="04D4979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48</w:t>
                  </w:r>
                </w:p>
              </w:tc>
              <w:tc>
                <w:tcPr>
                  <w:tcW w:w="1114" w:type="pct"/>
                  <w:vAlign w:val="center"/>
                </w:tcPr>
                <w:p w14:paraId="70D950D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云南、四川、西北、百色、来宾</w:t>
                  </w:r>
                </w:p>
              </w:tc>
            </w:tr>
            <w:tr w14:paraId="193D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vAlign w:val="center"/>
                </w:tcPr>
                <w:p w14:paraId="2DFEAFD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塑料制品</w:t>
                  </w:r>
                </w:p>
              </w:tc>
              <w:tc>
                <w:tcPr>
                  <w:tcW w:w="478" w:type="pct"/>
                  <w:shd w:val="clear" w:color="auto" w:fill="auto"/>
                  <w:vAlign w:val="center"/>
                </w:tcPr>
                <w:p w14:paraId="01D63F7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w:t>
                  </w:r>
                </w:p>
              </w:tc>
              <w:tc>
                <w:tcPr>
                  <w:tcW w:w="540" w:type="pct"/>
                  <w:shd w:val="clear" w:color="auto" w:fill="auto"/>
                  <w:vAlign w:val="center"/>
                </w:tcPr>
                <w:p w14:paraId="13F1075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30</w:t>
                  </w:r>
                </w:p>
              </w:tc>
              <w:tc>
                <w:tcPr>
                  <w:tcW w:w="504" w:type="pct"/>
                  <w:shd w:val="clear" w:color="auto" w:fill="auto"/>
                  <w:vAlign w:val="center"/>
                </w:tcPr>
                <w:p w14:paraId="59A33D7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default" w:ascii="Times New Roman" w:hAnsi="Times New Roman" w:eastAsia="Times New Roman" w:cs="Times New Roman"/>
                      <w:color w:val="auto"/>
                      <w:spacing w:val="0"/>
                      <w:position w:val="0"/>
                      <w:sz w:val="21"/>
                      <w:szCs w:val="21"/>
                      <w:lang w:val="en-US" w:eastAsia="zh-CN"/>
                    </w:rPr>
                    <w:t>/</w:t>
                  </w:r>
                </w:p>
              </w:tc>
              <w:tc>
                <w:tcPr>
                  <w:tcW w:w="522" w:type="pct"/>
                  <w:shd w:val="clear" w:color="auto" w:fill="auto"/>
                  <w:vAlign w:val="center"/>
                </w:tcPr>
                <w:p w14:paraId="5B838B2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30</w:t>
                  </w:r>
                </w:p>
              </w:tc>
              <w:tc>
                <w:tcPr>
                  <w:tcW w:w="574" w:type="pct"/>
                  <w:vAlign w:val="center"/>
                </w:tcPr>
                <w:p w14:paraId="4AE224B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Times New Roman" w:cs="Times New Roman"/>
                      <w:color w:val="auto"/>
                      <w:spacing w:val="0"/>
                      <w:position w:val="0"/>
                      <w:sz w:val="21"/>
                      <w:szCs w:val="21"/>
                      <w:lang w:val="en-US" w:eastAsia="zh-CN"/>
                    </w:rPr>
                  </w:pPr>
                  <w:r>
                    <w:rPr>
                      <w:rFonts w:hint="eastAsia" w:ascii="Times New Roman" w:hAnsi="Times New Roman" w:eastAsia="Times New Roman" w:cs="Times New Roman"/>
                      <w:color w:val="auto"/>
                      <w:spacing w:val="0"/>
                      <w:position w:val="0"/>
                      <w:sz w:val="21"/>
                      <w:szCs w:val="21"/>
                      <w:lang w:val="en-US" w:eastAsia="zh-CN"/>
                    </w:rPr>
                    <w:t>/</w:t>
                  </w:r>
                </w:p>
              </w:tc>
              <w:tc>
                <w:tcPr>
                  <w:tcW w:w="518" w:type="pct"/>
                  <w:vAlign w:val="center"/>
                </w:tcPr>
                <w:p w14:paraId="22DAFA7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30</w:t>
                  </w:r>
                </w:p>
              </w:tc>
              <w:tc>
                <w:tcPr>
                  <w:tcW w:w="1114" w:type="pct"/>
                  <w:vAlign w:val="center"/>
                </w:tcPr>
                <w:p w14:paraId="3082B10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w:t>
                  </w:r>
                </w:p>
              </w:tc>
            </w:tr>
            <w:tr w14:paraId="6153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vAlign w:val="center"/>
                </w:tcPr>
                <w:p w14:paraId="3D7D52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集装箱</w:t>
                  </w:r>
                </w:p>
              </w:tc>
              <w:tc>
                <w:tcPr>
                  <w:tcW w:w="478" w:type="pct"/>
                  <w:shd w:val="clear" w:color="auto" w:fill="auto"/>
                  <w:vAlign w:val="center"/>
                </w:tcPr>
                <w:p w14:paraId="2CF99E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10</w:t>
                  </w:r>
                </w:p>
              </w:tc>
              <w:tc>
                <w:tcPr>
                  <w:tcW w:w="540" w:type="pct"/>
                  <w:shd w:val="clear" w:color="auto" w:fill="auto"/>
                  <w:vAlign w:val="center"/>
                </w:tcPr>
                <w:p w14:paraId="1EEB72F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20</w:t>
                  </w:r>
                </w:p>
              </w:tc>
              <w:tc>
                <w:tcPr>
                  <w:tcW w:w="504" w:type="pct"/>
                  <w:shd w:val="clear" w:color="auto" w:fill="auto"/>
                  <w:vAlign w:val="center"/>
                </w:tcPr>
                <w:p w14:paraId="75256D2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30</w:t>
                  </w:r>
                </w:p>
              </w:tc>
              <w:tc>
                <w:tcPr>
                  <w:tcW w:w="522" w:type="pct"/>
                  <w:shd w:val="clear" w:color="auto" w:fill="auto"/>
                  <w:vAlign w:val="center"/>
                </w:tcPr>
                <w:p w14:paraId="45F2597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100</w:t>
                  </w:r>
                </w:p>
              </w:tc>
              <w:tc>
                <w:tcPr>
                  <w:tcW w:w="574" w:type="pct"/>
                  <w:vAlign w:val="center"/>
                </w:tcPr>
                <w:p w14:paraId="1B0FC53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60</w:t>
                  </w:r>
                </w:p>
              </w:tc>
              <w:tc>
                <w:tcPr>
                  <w:tcW w:w="518" w:type="pct"/>
                  <w:vAlign w:val="center"/>
                </w:tcPr>
                <w:p w14:paraId="4CD9F0B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200</w:t>
                  </w:r>
                </w:p>
              </w:tc>
              <w:tc>
                <w:tcPr>
                  <w:tcW w:w="1114" w:type="pct"/>
                  <w:vAlign w:val="center"/>
                </w:tcPr>
                <w:p w14:paraId="7D078EF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val="en-US" w:eastAsia="zh-CN"/>
                    </w:rPr>
                    <w:t>/</w:t>
                  </w:r>
                </w:p>
              </w:tc>
            </w:tr>
            <w:tr w14:paraId="6BFF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vMerge w:val="restart"/>
                  <w:vAlign w:val="center"/>
                </w:tcPr>
                <w:p w14:paraId="6ECBA4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合计</w:t>
                  </w:r>
                </w:p>
              </w:tc>
              <w:tc>
                <w:tcPr>
                  <w:tcW w:w="478" w:type="pct"/>
                  <w:shd w:val="clear" w:color="auto" w:fill="auto"/>
                  <w:vAlign w:val="center"/>
                </w:tcPr>
                <w:p w14:paraId="77B3FAE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10</w:t>
                  </w:r>
                </w:p>
              </w:tc>
              <w:tc>
                <w:tcPr>
                  <w:tcW w:w="540" w:type="pct"/>
                  <w:shd w:val="clear" w:color="auto" w:fill="auto"/>
                  <w:vAlign w:val="center"/>
                </w:tcPr>
                <w:p w14:paraId="7A67D61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450</w:t>
                  </w:r>
                </w:p>
              </w:tc>
              <w:tc>
                <w:tcPr>
                  <w:tcW w:w="504" w:type="pct"/>
                  <w:shd w:val="clear" w:color="auto" w:fill="auto"/>
                  <w:vAlign w:val="center"/>
                </w:tcPr>
                <w:p w14:paraId="56C3391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30</w:t>
                  </w:r>
                </w:p>
              </w:tc>
              <w:tc>
                <w:tcPr>
                  <w:tcW w:w="522" w:type="pct"/>
                  <w:shd w:val="clear" w:color="auto" w:fill="auto"/>
                  <w:vAlign w:val="center"/>
                </w:tcPr>
                <w:p w14:paraId="7071DFC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Times New Roman" w:cs="Times New Roman"/>
                      <w:color w:val="auto"/>
                      <w:spacing w:val="0"/>
                      <w:position w:val="0"/>
                      <w:sz w:val="21"/>
                      <w:szCs w:val="21"/>
                      <w:lang w:val="en-US" w:eastAsia="zh-CN"/>
                    </w:rPr>
                  </w:pPr>
                  <w:r>
                    <w:rPr>
                      <w:rFonts w:hint="eastAsia" w:eastAsia="Times New Roman" w:cs="Times New Roman"/>
                      <w:color w:val="auto"/>
                      <w:spacing w:val="0"/>
                      <w:position w:val="0"/>
                      <w:sz w:val="21"/>
                      <w:szCs w:val="21"/>
                      <w:lang w:val="en-US" w:eastAsia="zh-CN"/>
                    </w:rPr>
                    <w:t>178</w:t>
                  </w:r>
                </w:p>
              </w:tc>
              <w:tc>
                <w:tcPr>
                  <w:tcW w:w="574" w:type="pct"/>
                  <w:vAlign w:val="center"/>
                </w:tcPr>
                <w:p w14:paraId="1E3BCAB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60</w:t>
                  </w:r>
                </w:p>
              </w:tc>
              <w:tc>
                <w:tcPr>
                  <w:tcW w:w="518" w:type="pct"/>
                  <w:vAlign w:val="center"/>
                </w:tcPr>
                <w:p w14:paraId="5D7DF0A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eastAsia="宋体" w:cs="Times New Roman"/>
                      <w:color w:val="auto"/>
                      <w:spacing w:val="0"/>
                      <w:position w:val="0"/>
                      <w:sz w:val="21"/>
                      <w:szCs w:val="21"/>
                      <w:lang w:val="en-US" w:eastAsia="zh-CN"/>
                    </w:rPr>
                    <w:t>278</w:t>
                  </w:r>
                </w:p>
              </w:tc>
              <w:tc>
                <w:tcPr>
                  <w:tcW w:w="1114" w:type="pct"/>
                  <w:vAlign w:val="center"/>
                </w:tcPr>
                <w:p w14:paraId="0638366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w:t>
                  </w:r>
                </w:p>
              </w:tc>
            </w:tr>
            <w:tr w14:paraId="3F56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8" w:type="pct"/>
                  <w:vMerge w:val="continue"/>
                  <w:vAlign w:val="center"/>
                </w:tcPr>
                <w:p w14:paraId="3BAE8CD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p>
              </w:tc>
              <w:tc>
                <w:tcPr>
                  <w:tcW w:w="1018" w:type="pct"/>
                  <w:gridSpan w:val="2"/>
                  <w:shd w:val="clear" w:color="auto" w:fill="auto"/>
                  <w:vAlign w:val="center"/>
                </w:tcPr>
                <w:p w14:paraId="0700EAE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460</w:t>
                  </w:r>
                </w:p>
              </w:tc>
              <w:tc>
                <w:tcPr>
                  <w:tcW w:w="1026" w:type="pct"/>
                  <w:gridSpan w:val="2"/>
                  <w:shd w:val="clear" w:color="auto" w:fill="auto"/>
                  <w:vAlign w:val="center"/>
                </w:tcPr>
                <w:p w14:paraId="0FE0847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208</w:t>
                  </w:r>
                </w:p>
              </w:tc>
              <w:tc>
                <w:tcPr>
                  <w:tcW w:w="1092" w:type="pct"/>
                  <w:gridSpan w:val="2"/>
                  <w:vAlign w:val="center"/>
                </w:tcPr>
                <w:p w14:paraId="53B5265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338</w:t>
                  </w:r>
                </w:p>
              </w:tc>
              <w:tc>
                <w:tcPr>
                  <w:tcW w:w="1114" w:type="pct"/>
                  <w:vAlign w:val="center"/>
                </w:tcPr>
                <w:p w14:paraId="23385F2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w:t>
                  </w:r>
                </w:p>
              </w:tc>
            </w:tr>
          </w:tbl>
          <w:p w14:paraId="58D181D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eastAsia="宋体" w:cs="宋体"/>
                <w:b/>
                <w:bCs/>
                <w:color w:val="auto"/>
                <w:spacing w:val="0"/>
                <w:kern w:val="0"/>
                <w:position w:val="0"/>
                <w:sz w:val="24"/>
                <w:lang w:val="en-US" w:eastAsia="zh-CN"/>
              </w:rPr>
            </w:pPr>
            <w:r>
              <w:rPr>
                <w:rFonts w:cs="宋体"/>
                <w:b/>
                <w:bCs/>
                <w:color w:val="auto"/>
                <w:spacing w:val="0"/>
                <w:kern w:val="0"/>
                <w:position w:val="0"/>
                <w:sz w:val="24"/>
              </w:rPr>
              <w:t>3</w:t>
            </w:r>
            <w:r>
              <w:rPr>
                <w:rFonts w:hint="eastAsia" w:cs="宋体"/>
                <w:b/>
                <w:bCs/>
                <w:color w:val="auto"/>
                <w:spacing w:val="0"/>
                <w:kern w:val="0"/>
                <w:position w:val="0"/>
                <w:sz w:val="24"/>
              </w:rPr>
              <w:t>、项目运输组织</w:t>
            </w:r>
            <w:r>
              <w:rPr>
                <w:rFonts w:hint="eastAsia" w:cs="宋体"/>
                <w:b/>
                <w:bCs/>
                <w:color w:val="auto"/>
                <w:spacing w:val="0"/>
                <w:kern w:val="0"/>
                <w:position w:val="0"/>
                <w:sz w:val="24"/>
                <w:lang w:val="en-US" w:eastAsia="zh-CN"/>
              </w:rPr>
              <w:t>及运营管理方式</w:t>
            </w:r>
          </w:p>
          <w:p w14:paraId="20136F90">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rPr>
              <w:t>（</w:t>
            </w:r>
            <w:r>
              <w:rPr>
                <w:rFonts w:hint="eastAsia" w:cs="宋体"/>
                <w:color w:val="auto"/>
                <w:spacing w:val="0"/>
                <w:kern w:val="0"/>
                <w:position w:val="0"/>
                <w:sz w:val="24"/>
                <w:lang w:val="en-US" w:eastAsia="zh-CN"/>
              </w:rPr>
              <w:t>1</w:t>
            </w:r>
            <w:r>
              <w:rPr>
                <w:rFonts w:hint="eastAsia" w:cs="宋体"/>
                <w:color w:val="auto"/>
                <w:spacing w:val="0"/>
                <w:kern w:val="0"/>
                <w:position w:val="0"/>
                <w:sz w:val="24"/>
              </w:rPr>
              <w:t>）车流特点分析</w:t>
            </w:r>
          </w:p>
          <w:p w14:paraId="40C970CA">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lang w:val="en-US" w:eastAsia="zh-CN"/>
              </w:rPr>
              <w:t>本项目为云约站铁路货场区辐射范围内相应企业提供铁路货物运输服务，上行为重车方向，主要为发送的氧化铝、塑料制品等集装箱；下行为轻车方向，主要为到达的集装箱货物；空重车方向较明显。</w:t>
            </w:r>
          </w:p>
          <w:p w14:paraId="3CD07646">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rPr>
              <w:t>（</w:t>
            </w:r>
            <w:r>
              <w:rPr>
                <w:rFonts w:hint="eastAsia" w:cs="宋体"/>
                <w:color w:val="auto"/>
                <w:spacing w:val="0"/>
                <w:kern w:val="0"/>
                <w:position w:val="0"/>
                <w:sz w:val="24"/>
                <w:lang w:val="en-US" w:eastAsia="zh-CN"/>
              </w:rPr>
              <w:t>2</w:t>
            </w:r>
            <w:r>
              <w:rPr>
                <w:rFonts w:hint="eastAsia" w:cs="宋体"/>
                <w:color w:val="auto"/>
                <w:spacing w:val="0"/>
                <w:kern w:val="0"/>
                <w:position w:val="0"/>
                <w:sz w:val="24"/>
              </w:rPr>
              <w:t>）车流组织原则</w:t>
            </w:r>
          </w:p>
          <w:p w14:paraId="2F751F3A">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lang w:val="en-US" w:eastAsia="zh-CN"/>
              </w:rPr>
              <w:t>结合本项目车流特点，氧化铝、塑料制品等集装箱货物组织开行由云约站至南宁、柳州及以远的直达列车；集装箱组织开行南宁及以远方向至云约站、云约站至柳州及以远的集装箱班列。卸后空车考虑代用，其余空车按照空重车出入平衡及运输径路最短原则进行调配。</w:t>
            </w:r>
          </w:p>
          <w:p w14:paraId="2E819323">
            <w:pPr>
              <w:adjustRightInd w:val="0"/>
              <w:snapToGrid w:val="0"/>
              <w:spacing w:line="360" w:lineRule="auto"/>
              <w:ind w:firstLine="480" w:firstLineChars="200"/>
              <w:rPr>
                <w:rFonts w:hint="eastAsia" w:cs="宋体"/>
                <w:color w:val="auto"/>
                <w:spacing w:val="0"/>
                <w:kern w:val="0"/>
                <w:position w:val="0"/>
                <w:sz w:val="24"/>
              </w:rPr>
            </w:pPr>
            <w:bookmarkStart w:id="5" w:name="bookmark58"/>
            <w:bookmarkEnd w:id="5"/>
            <w:bookmarkStart w:id="6" w:name="bookmark59"/>
            <w:bookmarkEnd w:id="6"/>
            <w:r>
              <w:rPr>
                <w:rFonts w:hint="eastAsia" w:cs="宋体"/>
                <w:color w:val="auto"/>
                <w:spacing w:val="0"/>
                <w:kern w:val="0"/>
                <w:position w:val="0"/>
                <w:sz w:val="24"/>
                <w:lang w:eastAsia="zh-CN"/>
              </w:rPr>
              <w:t>（</w:t>
            </w:r>
            <w:r>
              <w:rPr>
                <w:rFonts w:hint="eastAsia" w:cs="宋体"/>
                <w:color w:val="auto"/>
                <w:spacing w:val="0"/>
                <w:kern w:val="0"/>
                <w:position w:val="0"/>
                <w:sz w:val="24"/>
                <w:lang w:val="en-US" w:eastAsia="zh-CN"/>
              </w:rPr>
              <w:t>3</w:t>
            </w:r>
            <w:r>
              <w:rPr>
                <w:rFonts w:hint="eastAsia" w:cs="宋体"/>
                <w:color w:val="auto"/>
                <w:spacing w:val="0"/>
                <w:kern w:val="0"/>
                <w:position w:val="0"/>
                <w:sz w:val="24"/>
                <w:lang w:eastAsia="zh-CN"/>
              </w:rPr>
              <w:t>）</w:t>
            </w:r>
            <w:r>
              <w:rPr>
                <w:rFonts w:hint="eastAsia" w:cs="宋体"/>
                <w:color w:val="auto"/>
                <w:spacing w:val="0"/>
                <w:kern w:val="0"/>
                <w:position w:val="0"/>
                <w:sz w:val="24"/>
              </w:rPr>
              <w:t>行车量及车站工作量</w:t>
            </w:r>
          </w:p>
          <w:p w14:paraId="52ED570D">
            <w:pPr>
              <w:numPr>
                <w:ilvl w:val="0"/>
                <w:numId w:val="0"/>
              </w:numPr>
              <w:adjustRightInd w:val="0"/>
              <w:snapToGrid w:val="0"/>
              <w:spacing w:line="360" w:lineRule="auto"/>
              <w:ind w:leftChars="200"/>
              <w:rPr>
                <w:rFonts w:hint="eastAsia" w:cs="宋体"/>
                <w:color w:val="auto"/>
                <w:spacing w:val="0"/>
                <w:kern w:val="0"/>
                <w:position w:val="0"/>
                <w:sz w:val="24"/>
              </w:rPr>
            </w:pPr>
            <w:r>
              <w:rPr>
                <w:rFonts w:hint="eastAsia" w:cs="宋体"/>
                <w:color w:val="auto"/>
                <w:spacing w:val="0"/>
                <w:kern w:val="0"/>
                <w:position w:val="0"/>
                <w:sz w:val="24"/>
                <w:lang w:val="en-US" w:eastAsia="zh-CN"/>
              </w:rPr>
              <w:t>①</w:t>
            </w:r>
            <w:r>
              <w:rPr>
                <w:rFonts w:hint="eastAsia" w:cs="宋体"/>
                <w:color w:val="auto"/>
                <w:spacing w:val="0"/>
                <w:kern w:val="0"/>
                <w:position w:val="0"/>
                <w:sz w:val="24"/>
              </w:rPr>
              <w:t>计算参数</w:t>
            </w:r>
          </w:p>
          <w:p w14:paraId="150E7E70">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rPr>
              <w:t>本项目运输货物考虑集装箱X</w:t>
            </w:r>
            <w:r>
              <w:rPr>
                <w:rFonts w:hint="eastAsia" w:cs="宋体"/>
                <w:color w:val="auto"/>
                <w:spacing w:val="0"/>
                <w:kern w:val="0"/>
                <w:position w:val="0"/>
                <w:sz w:val="24"/>
                <w:lang w:val="en-US" w:eastAsia="zh-CN"/>
              </w:rPr>
              <w:t>6A</w:t>
            </w:r>
            <w:r>
              <w:rPr>
                <w:rFonts w:hint="eastAsia" w:cs="宋体"/>
                <w:color w:val="auto"/>
                <w:spacing w:val="0"/>
                <w:kern w:val="0"/>
                <w:position w:val="0"/>
                <w:sz w:val="24"/>
              </w:rPr>
              <w:t>车型运输，X</w:t>
            </w:r>
            <w:r>
              <w:rPr>
                <w:rFonts w:hint="eastAsia" w:cs="宋体"/>
                <w:color w:val="auto"/>
                <w:spacing w:val="0"/>
                <w:kern w:val="0"/>
                <w:position w:val="0"/>
                <w:sz w:val="24"/>
                <w:lang w:val="en-US" w:eastAsia="zh-CN"/>
              </w:rPr>
              <w:t>6A</w:t>
            </w:r>
            <w:r>
              <w:rPr>
                <w:rFonts w:hint="eastAsia" w:cs="宋体"/>
                <w:color w:val="auto"/>
                <w:spacing w:val="0"/>
                <w:kern w:val="0"/>
                <w:position w:val="0"/>
                <w:sz w:val="24"/>
              </w:rPr>
              <w:t>车辆自重</w:t>
            </w:r>
            <w:r>
              <w:rPr>
                <w:rFonts w:hint="eastAsia" w:cs="宋体"/>
                <w:color w:val="auto"/>
                <w:spacing w:val="0"/>
                <w:kern w:val="0"/>
                <w:position w:val="0"/>
                <w:sz w:val="24"/>
                <w:lang w:val="en-US" w:eastAsia="zh-CN"/>
              </w:rPr>
              <w:t>17.8</w:t>
            </w:r>
            <w:r>
              <w:rPr>
                <w:rFonts w:hint="eastAsia" w:cs="宋体"/>
                <w:color w:val="auto"/>
                <w:spacing w:val="0"/>
                <w:kern w:val="0"/>
                <w:position w:val="0"/>
                <w:sz w:val="24"/>
              </w:rPr>
              <w:t>t，</w:t>
            </w:r>
            <w:r>
              <w:rPr>
                <w:rFonts w:hint="eastAsia" w:cs="宋体"/>
                <w:color w:val="auto"/>
                <w:spacing w:val="0"/>
                <w:kern w:val="0"/>
                <w:position w:val="0"/>
                <w:sz w:val="24"/>
                <w:lang w:val="en-US" w:eastAsia="zh-CN"/>
              </w:rPr>
              <w:t>平均换算长度1.3，每辆车装载20英尺标箱2个，每列编组53辆。其中装载氧化铝的集装箱平均净载重26</w:t>
            </w:r>
            <w:r>
              <w:rPr>
                <w:rFonts w:hint="eastAsia" w:cs="宋体"/>
                <w:color w:val="auto"/>
                <w:spacing w:val="0"/>
                <w:kern w:val="0"/>
                <w:position w:val="0"/>
                <w:sz w:val="24"/>
              </w:rPr>
              <w:t>t，</w:t>
            </w:r>
            <w:r>
              <w:rPr>
                <w:rFonts w:hint="eastAsia" w:cs="宋体"/>
                <w:color w:val="auto"/>
                <w:spacing w:val="0"/>
                <w:kern w:val="0"/>
                <w:position w:val="0"/>
                <w:sz w:val="24"/>
                <w:lang w:val="en-US" w:eastAsia="zh-CN"/>
              </w:rPr>
              <w:t>装载其余货物的集装箱平均净载重18t</w:t>
            </w:r>
            <w:r>
              <w:rPr>
                <w:rFonts w:hint="eastAsia" w:cs="宋体"/>
                <w:color w:val="auto"/>
                <w:spacing w:val="0"/>
                <w:kern w:val="0"/>
                <w:position w:val="0"/>
                <w:sz w:val="24"/>
              </w:rPr>
              <w:t>。货物波动系数近远期均采用1.0</w:t>
            </w:r>
            <w:r>
              <w:rPr>
                <w:rFonts w:hint="eastAsia" w:cs="宋体"/>
                <w:color w:val="auto"/>
                <w:spacing w:val="0"/>
                <w:kern w:val="0"/>
                <w:position w:val="0"/>
                <w:sz w:val="24"/>
                <w:lang w:val="en-US" w:eastAsia="zh-CN"/>
              </w:rPr>
              <w:t>3</w:t>
            </w:r>
            <w:r>
              <w:rPr>
                <w:rFonts w:hint="eastAsia" w:cs="宋体"/>
                <w:color w:val="auto"/>
                <w:spacing w:val="0"/>
                <w:kern w:val="0"/>
                <w:position w:val="0"/>
                <w:sz w:val="24"/>
              </w:rPr>
              <w:t>。</w:t>
            </w:r>
          </w:p>
          <w:p w14:paraId="5FCD2F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宋体"/>
                <w:b w:val="0"/>
                <w:bCs w:val="0"/>
                <w:color w:val="auto"/>
                <w:spacing w:val="0"/>
                <w:kern w:val="0"/>
                <w:position w:val="0"/>
                <w:sz w:val="24"/>
                <w:lang w:val="en-US" w:eastAsia="zh-CN"/>
              </w:rPr>
            </w:pPr>
            <w:r>
              <w:rPr>
                <w:rFonts w:hint="eastAsia" w:cs="宋体"/>
                <w:b w:val="0"/>
                <w:bCs w:val="0"/>
                <w:color w:val="auto"/>
                <w:spacing w:val="0"/>
                <w:kern w:val="0"/>
                <w:position w:val="0"/>
                <w:sz w:val="24"/>
                <w:lang w:val="en-US" w:eastAsia="zh-CN"/>
              </w:rPr>
              <w:t>②装卸车数</w:t>
            </w:r>
          </w:p>
          <w:p w14:paraId="0A6B15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cs="宋体"/>
                <w:b w:val="0"/>
                <w:bCs w:val="0"/>
                <w:color w:val="auto"/>
                <w:spacing w:val="0"/>
                <w:kern w:val="0"/>
                <w:position w:val="0"/>
                <w:sz w:val="24"/>
                <w:lang w:val="en-US" w:eastAsia="zh-CN"/>
              </w:rPr>
            </w:pPr>
            <w:r>
              <w:rPr>
                <w:rFonts w:hint="eastAsia" w:cs="宋体"/>
                <w:b w:val="0"/>
                <w:bCs w:val="0"/>
                <w:color w:val="auto"/>
                <w:spacing w:val="0"/>
                <w:kern w:val="0"/>
                <w:position w:val="0"/>
                <w:sz w:val="24"/>
                <w:lang w:val="en-US" w:eastAsia="zh-CN"/>
              </w:rPr>
              <w:t>本项目运输的货物品类主要为氧化铝、塑料制品、集装箱，根据运量预测结果计算研究年度近远期装卸车数如表2-4所示。</w:t>
            </w:r>
          </w:p>
          <w:p w14:paraId="7B8E36AB">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jc w:val="center"/>
              <w:textAlignment w:val="auto"/>
              <w:rPr>
                <w:rFonts w:hint="eastAsia" w:cs="宋体"/>
                <w:b/>
                <w:bCs/>
                <w:color w:val="auto"/>
                <w:spacing w:val="0"/>
                <w:kern w:val="0"/>
                <w:position w:val="0"/>
                <w:sz w:val="24"/>
                <w:lang w:val="en-US" w:eastAsia="zh-CN"/>
              </w:rPr>
            </w:pPr>
          </w:p>
          <w:p w14:paraId="238DCED3">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jc w:val="center"/>
              <w:textAlignment w:val="auto"/>
              <w:rPr>
                <w:rFonts w:hint="eastAsia" w:cs="宋体"/>
                <w:b/>
                <w:bCs/>
                <w:color w:val="auto"/>
                <w:spacing w:val="0"/>
                <w:kern w:val="0"/>
                <w:position w:val="0"/>
                <w:sz w:val="24"/>
                <w:lang w:val="en-US" w:eastAsia="zh-CN"/>
              </w:rPr>
            </w:pPr>
          </w:p>
          <w:p w14:paraId="5B1C2963">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jc w:val="center"/>
              <w:textAlignment w:val="auto"/>
              <w:rPr>
                <w:rFonts w:hint="eastAsia" w:cs="宋体"/>
                <w:color w:val="auto"/>
                <w:spacing w:val="0"/>
                <w:kern w:val="0"/>
                <w:position w:val="0"/>
                <w:sz w:val="24"/>
                <w:lang w:val="en-US" w:eastAsia="zh-CN"/>
              </w:rPr>
            </w:pPr>
            <w:r>
              <w:rPr>
                <w:rFonts w:hint="eastAsia" w:cs="宋体"/>
                <w:b/>
                <w:bCs/>
                <w:color w:val="auto"/>
                <w:spacing w:val="0"/>
                <w:kern w:val="0"/>
                <w:position w:val="0"/>
                <w:sz w:val="24"/>
                <w:lang w:val="en-US" w:eastAsia="zh-CN"/>
              </w:rPr>
              <w:t>表2-4年度装卸车数单位：车/日</w:t>
            </w:r>
          </w:p>
          <w:tbl>
            <w:tblPr>
              <w:tblStyle w:val="29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1"/>
              <w:gridCol w:w="1061"/>
              <w:gridCol w:w="1065"/>
              <w:gridCol w:w="1302"/>
              <w:gridCol w:w="1304"/>
              <w:gridCol w:w="1304"/>
              <w:gridCol w:w="1323"/>
            </w:tblGrid>
            <w:tr w14:paraId="2BE9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pct"/>
                  <w:vMerge w:val="restart"/>
                  <w:vAlign w:val="center"/>
                </w:tcPr>
                <w:p w14:paraId="5F5F04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类别</w:t>
                  </w:r>
                </w:p>
              </w:tc>
              <w:tc>
                <w:tcPr>
                  <w:tcW w:w="1262" w:type="pct"/>
                  <w:gridSpan w:val="2"/>
                  <w:vAlign w:val="center"/>
                </w:tcPr>
                <w:p w14:paraId="0B8E67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初期</w:t>
                  </w:r>
                </w:p>
              </w:tc>
              <w:tc>
                <w:tcPr>
                  <w:tcW w:w="1547" w:type="pct"/>
                  <w:gridSpan w:val="2"/>
                  <w:vAlign w:val="center"/>
                </w:tcPr>
                <w:p w14:paraId="7D95691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近期</w:t>
                  </w:r>
                </w:p>
              </w:tc>
              <w:tc>
                <w:tcPr>
                  <w:tcW w:w="1559" w:type="pct"/>
                  <w:gridSpan w:val="2"/>
                  <w:vAlign w:val="center"/>
                </w:tcPr>
                <w:p w14:paraId="4EDF6F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远期</w:t>
                  </w:r>
                </w:p>
              </w:tc>
            </w:tr>
            <w:tr w14:paraId="6249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pct"/>
                  <w:vMerge w:val="continue"/>
                  <w:vAlign w:val="center"/>
                </w:tcPr>
                <w:p w14:paraId="37064C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cs="宋体"/>
                      <w:b/>
                      <w:bCs/>
                      <w:color w:val="auto"/>
                      <w:spacing w:val="0"/>
                      <w:kern w:val="0"/>
                      <w:position w:val="0"/>
                      <w:sz w:val="21"/>
                      <w:szCs w:val="21"/>
                      <w:lang w:val="en-US" w:eastAsia="zh-CN"/>
                    </w:rPr>
                  </w:pPr>
                </w:p>
              </w:tc>
              <w:tc>
                <w:tcPr>
                  <w:tcW w:w="630" w:type="pct"/>
                  <w:vAlign w:val="center"/>
                </w:tcPr>
                <w:p w14:paraId="219710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装车</w:t>
                  </w:r>
                </w:p>
              </w:tc>
              <w:tc>
                <w:tcPr>
                  <w:tcW w:w="632" w:type="pct"/>
                  <w:vAlign w:val="center"/>
                </w:tcPr>
                <w:p w14:paraId="7A73B36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卸车</w:t>
                  </w:r>
                </w:p>
              </w:tc>
              <w:tc>
                <w:tcPr>
                  <w:tcW w:w="773" w:type="pct"/>
                  <w:vAlign w:val="center"/>
                </w:tcPr>
                <w:p w14:paraId="4384CB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装车</w:t>
                  </w:r>
                </w:p>
              </w:tc>
              <w:tc>
                <w:tcPr>
                  <w:tcW w:w="774" w:type="pct"/>
                  <w:vAlign w:val="center"/>
                </w:tcPr>
                <w:p w14:paraId="1EF5D3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卸车</w:t>
                  </w:r>
                </w:p>
              </w:tc>
              <w:tc>
                <w:tcPr>
                  <w:tcW w:w="774" w:type="pct"/>
                  <w:vAlign w:val="center"/>
                </w:tcPr>
                <w:p w14:paraId="70B8E4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装车</w:t>
                  </w:r>
                </w:p>
              </w:tc>
              <w:tc>
                <w:tcPr>
                  <w:tcW w:w="785" w:type="pct"/>
                  <w:vAlign w:val="center"/>
                </w:tcPr>
                <w:p w14:paraId="1ED8BF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cs="宋体"/>
                      <w:b/>
                      <w:bCs/>
                      <w:color w:val="auto"/>
                      <w:spacing w:val="0"/>
                      <w:kern w:val="0"/>
                      <w:position w:val="0"/>
                      <w:sz w:val="21"/>
                      <w:szCs w:val="21"/>
                      <w:lang w:val="en-US" w:eastAsia="zh-CN"/>
                    </w:rPr>
                  </w:pPr>
                  <w:r>
                    <w:rPr>
                      <w:rFonts w:hint="eastAsia" w:cs="宋体"/>
                      <w:b/>
                      <w:bCs/>
                      <w:color w:val="auto"/>
                      <w:spacing w:val="0"/>
                      <w:kern w:val="0"/>
                      <w:position w:val="0"/>
                      <w:sz w:val="21"/>
                      <w:szCs w:val="21"/>
                      <w:lang w:val="en-US" w:eastAsia="zh-CN"/>
                    </w:rPr>
                    <w:t>卸车</w:t>
                  </w:r>
                </w:p>
              </w:tc>
            </w:tr>
            <w:tr w14:paraId="062D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pct"/>
                  <w:vAlign w:val="center"/>
                </w:tcPr>
                <w:p w14:paraId="6DDCFC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本项目</w:t>
                  </w:r>
                </w:p>
              </w:tc>
              <w:tc>
                <w:tcPr>
                  <w:tcW w:w="630" w:type="pct"/>
                  <w:vAlign w:val="center"/>
                </w:tcPr>
                <w:p w14:paraId="31844A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256</w:t>
                  </w:r>
                </w:p>
              </w:tc>
              <w:tc>
                <w:tcPr>
                  <w:tcW w:w="632" w:type="pct"/>
                  <w:vAlign w:val="center"/>
                </w:tcPr>
                <w:p w14:paraId="1298444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8</w:t>
                  </w:r>
                </w:p>
              </w:tc>
              <w:tc>
                <w:tcPr>
                  <w:tcW w:w="773" w:type="pct"/>
                  <w:vAlign w:val="center"/>
                </w:tcPr>
                <w:p w14:paraId="448223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128</w:t>
                  </w:r>
                </w:p>
              </w:tc>
              <w:tc>
                <w:tcPr>
                  <w:tcW w:w="774" w:type="pct"/>
                  <w:vAlign w:val="center"/>
                </w:tcPr>
                <w:p w14:paraId="164832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24</w:t>
                  </w:r>
                </w:p>
              </w:tc>
              <w:tc>
                <w:tcPr>
                  <w:tcW w:w="774" w:type="pct"/>
                  <w:vAlign w:val="center"/>
                </w:tcPr>
                <w:p w14:paraId="45A984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206</w:t>
                  </w:r>
                </w:p>
              </w:tc>
              <w:tc>
                <w:tcPr>
                  <w:tcW w:w="785" w:type="pct"/>
                  <w:vAlign w:val="center"/>
                </w:tcPr>
                <w:p w14:paraId="6047B6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47</w:t>
                  </w:r>
                </w:p>
              </w:tc>
            </w:tr>
            <w:tr w14:paraId="5145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30" w:type="pct"/>
                  <w:vAlign w:val="center"/>
                </w:tcPr>
                <w:p w14:paraId="24FEA9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合计</w:t>
                  </w:r>
                </w:p>
              </w:tc>
              <w:tc>
                <w:tcPr>
                  <w:tcW w:w="1262" w:type="pct"/>
                  <w:gridSpan w:val="2"/>
                  <w:vAlign w:val="center"/>
                </w:tcPr>
                <w:p w14:paraId="18600E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264</w:t>
                  </w:r>
                </w:p>
              </w:tc>
              <w:tc>
                <w:tcPr>
                  <w:tcW w:w="1547" w:type="pct"/>
                  <w:gridSpan w:val="2"/>
                  <w:vAlign w:val="center"/>
                </w:tcPr>
                <w:p w14:paraId="51A1DE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152</w:t>
                  </w:r>
                </w:p>
              </w:tc>
              <w:tc>
                <w:tcPr>
                  <w:tcW w:w="1559" w:type="pct"/>
                  <w:gridSpan w:val="2"/>
                  <w:vAlign w:val="center"/>
                </w:tcPr>
                <w:p w14:paraId="0F9726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cs="宋体"/>
                      <w:color w:val="auto"/>
                      <w:spacing w:val="0"/>
                      <w:kern w:val="0"/>
                      <w:position w:val="0"/>
                      <w:sz w:val="21"/>
                      <w:szCs w:val="21"/>
                      <w:lang w:val="en-US" w:eastAsia="zh-CN"/>
                    </w:rPr>
                  </w:pPr>
                  <w:r>
                    <w:rPr>
                      <w:rFonts w:hint="eastAsia" w:cs="宋体"/>
                      <w:color w:val="auto"/>
                      <w:spacing w:val="0"/>
                      <w:kern w:val="0"/>
                      <w:position w:val="0"/>
                      <w:sz w:val="21"/>
                      <w:szCs w:val="21"/>
                      <w:lang w:val="en-US" w:eastAsia="zh-CN"/>
                    </w:rPr>
                    <w:t>253</w:t>
                  </w:r>
                </w:p>
              </w:tc>
            </w:tr>
          </w:tbl>
          <w:p w14:paraId="62425558">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s="宋体"/>
                <w:color w:val="auto"/>
                <w:spacing w:val="0"/>
                <w:kern w:val="0"/>
                <w:position w:val="0"/>
                <w:sz w:val="24"/>
              </w:rPr>
            </w:pPr>
            <w:r>
              <w:rPr>
                <w:rFonts w:hint="eastAsia" w:cs="宋体"/>
                <w:color w:val="auto"/>
                <w:spacing w:val="0"/>
                <w:kern w:val="0"/>
                <w:position w:val="0"/>
                <w:sz w:val="24"/>
                <w:lang w:val="en-US" w:eastAsia="zh-CN"/>
              </w:rPr>
              <w:t>③</w:t>
            </w:r>
            <w:r>
              <w:rPr>
                <w:rFonts w:hint="eastAsia" w:cs="宋体"/>
                <w:color w:val="auto"/>
                <w:spacing w:val="0"/>
                <w:kern w:val="0"/>
                <w:position w:val="0"/>
                <w:sz w:val="24"/>
              </w:rPr>
              <w:t>取送车次数</w:t>
            </w:r>
          </w:p>
          <w:p w14:paraId="7328B8FF">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rPr>
              <w:t>根据装卸车数及站线布置方案，</w:t>
            </w:r>
            <w:r>
              <w:rPr>
                <w:rFonts w:hint="eastAsia" w:cs="宋体"/>
                <w:color w:val="auto"/>
                <w:spacing w:val="0"/>
                <w:kern w:val="0"/>
                <w:position w:val="0"/>
                <w:sz w:val="24"/>
                <w:lang w:val="en-US" w:eastAsia="zh-CN"/>
              </w:rPr>
              <w:t>初</w:t>
            </w:r>
            <w:r>
              <w:rPr>
                <w:rFonts w:hint="eastAsia" w:cs="宋体"/>
                <w:color w:val="auto"/>
                <w:spacing w:val="0"/>
                <w:kern w:val="0"/>
                <w:position w:val="0"/>
                <w:sz w:val="24"/>
              </w:rPr>
              <w:t>期取送车次数为</w:t>
            </w:r>
            <w:r>
              <w:rPr>
                <w:rFonts w:hint="eastAsia" w:cs="宋体"/>
                <w:color w:val="auto"/>
                <w:spacing w:val="0"/>
                <w:kern w:val="0"/>
                <w:position w:val="0"/>
                <w:sz w:val="24"/>
                <w:lang w:val="en-US" w:eastAsia="zh-CN"/>
              </w:rPr>
              <w:t>4.98</w:t>
            </w:r>
            <w:r>
              <w:rPr>
                <w:rFonts w:hint="eastAsia" w:cs="宋体"/>
                <w:color w:val="auto"/>
                <w:spacing w:val="0"/>
                <w:kern w:val="0"/>
                <w:position w:val="0"/>
                <w:sz w:val="24"/>
              </w:rPr>
              <w:t>次/日，</w:t>
            </w:r>
            <w:r>
              <w:rPr>
                <w:rFonts w:hint="eastAsia" w:cs="宋体"/>
                <w:color w:val="auto"/>
                <w:spacing w:val="0"/>
                <w:kern w:val="0"/>
                <w:position w:val="0"/>
                <w:sz w:val="24"/>
                <w:lang w:val="en-US" w:eastAsia="zh-CN"/>
              </w:rPr>
              <w:t>近</w:t>
            </w:r>
            <w:r>
              <w:rPr>
                <w:rFonts w:hint="eastAsia" w:cs="宋体"/>
                <w:color w:val="auto"/>
                <w:spacing w:val="0"/>
                <w:kern w:val="0"/>
                <w:position w:val="0"/>
                <w:sz w:val="24"/>
              </w:rPr>
              <w:t>期取送车次数为</w:t>
            </w:r>
            <w:r>
              <w:rPr>
                <w:rFonts w:hint="eastAsia" w:cs="宋体"/>
                <w:color w:val="auto"/>
                <w:spacing w:val="0"/>
                <w:kern w:val="0"/>
                <w:position w:val="0"/>
                <w:sz w:val="24"/>
                <w:lang w:val="en-US" w:eastAsia="zh-CN"/>
              </w:rPr>
              <w:t>2.87</w:t>
            </w:r>
            <w:r>
              <w:rPr>
                <w:rFonts w:hint="eastAsia" w:cs="宋体"/>
                <w:color w:val="auto"/>
                <w:spacing w:val="0"/>
                <w:kern w:val="0"/>
                <w:position w:val="0"/>
                <w:sz w:val="24"/>
              </w:rPr>
              <w:t>次/日，远期取送车次数为</w:t>
            </w:r>
            <w:r>
              <w:rPr>
                <w:rFonts w:hint="eastAsia" w:cs="宋体"/>
                <w:color w:val="auto"/>
                <w:spacing w:val="0"/>
                <w:kern w:val="0"/>
                <w:position w:val="0"/>
                <w:sz w:val="24"/>
                <w:lang w:val="en-US" w:eastAsia="zh-CN"/>
              </w:rPr>
              <w:t>4.78</w:t>
            </w:r>
            <w:r>
              <w:rPr>
                <w:rFonts w:hint="eastAsia" w:cs="宋体"/>
                <w:color w:val="auto"/>
                <w:spacing w:val="0"/>
                <w:kern w:val="0"/>
                <w:position w:val="0"/>
                <w:sz w:val="24"/>
              </w:rPr>
              <w:t>次/日。</w:t>
            </w:r>
          </w:p>
          <w:p w14:paraId="4102FBA7">
            <w:pPr>
              <w:adjustRightInd w:val="0"/>
              <w:snapToGrid w:val="0"/>
              <w:spacing w:line="360" w:lineRule="auto"/>
              <w:ind w:firstLine="480" w:firstLineChars="200"/>
              <w:rPr>
                <w:rFonts w:hint="eastAsia" w:cs="宋体"/>
                <w:color w:val="auto"/>
                <w:spacing w:val="0"/>
                <w:kern w:val="0"/>
                <w:position w:val="0"/>
                <w:sz w:val="24"/>
                <w:lang w:eastAsia="zh-CN"/>
              </w:rPr>
            </w:pPr>
            <w:r>
              <w:rPr>
                <w:rFonts w:hint="eastAsia" w:cs="宋体"/>
                <w:color w:val="auto"/>
                <w:spacing w:val="0"/>
                <w:kern w:val="0"/>
                <w:position w:val="0"/>
                <w:sz w:val="24"/>
                <w:lang w:eastAsia="zh-CN"/>
              </w:rPr>
              <w:t>（</w:t>
            </w:r>
            <w:r>
              <w:rPr>
                <w:rFonts w:hint="eastAsia" w:cs="宋体"/>
                <w:color w:val="auto"/>
                <w:spacing w:val="0"/>
                <w:kern w:val="0"/>
                <w:position w:val="0"/>
                <w:sz w:val="24"/>
                <w:lang w:val="en-US" w:eastAsia="zh-CN"/>
              </w:rPr>
              <w:t>4</w:t>
            </w:r>
            <w:r>
              <w:rPr>
                <w:rFonts w:hint="eastAsia" w:cs="宋体"/>
                <w:color w:val="auto"/>
                <w:spacing w:val="0"/>
                <w:kern w:val="0"/>
                <w:position w:val="0"/>
                <w:sz w:val="24"/>
                <w:lang w:eastAsia="zh-CN"/>
              </w:rPr>
              <w:t>）运营管理方式</w:t>
            </w:r>
          </w:p>
          <w:p w14:paraId="6EE31ECC">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lang w:val="en-US" w:eastAsia="zh-CN"/>
              </w:rPr>
              <w:t>本项目投资及既有云约站运营管理均由广西沿海铁路股份有限公司负责，本项目运营管理方式按纳入车站统一管理考虑</w:t>
            </w:r>
            <w:r>
              <w:rPr>
                <w:rFonts w:hint="eastAsia" w:cs="宋体"/>
                <w:color w:val="auto"/>
                <w:spacing w:val="0"/>
                <w:kern w:val="0"/>
                <w:position w:val="0"/>
                <w:sz w:val="24"/>
              </w:rPr>
              <w:t>。</w:t>
            </w:r>
          </w:p>
          <w:p w14:paraId="3E761F41">
            <w:pPr>
              <w:adjustRightInd w:val="0"/>
              <w:snapToGrid w:val="0"/>
              <w:spacing w:line="360" w:lineRule="auto"/>
              <w:ind w:firstLine="482" w:firstLineChars="200"/>
              <w:rPr>
                <w:rFonts w:hint="eastAsia" w:cs="宋体"/>
                <w:b/>
                <w:bCs/>
                <w:color w:val="auto"/>
                <w:spacing w:val="0"/>
                <w:kern w:val="0"/>
                <w:position w:val="0"/>
                <w:sz w:val="24"/>
              </w:rPr>
            </w:pPr>
            <w:r>
              <w:rPr>
                <w:rFonts w:cs="宋体"/>
                <w:b/>
                <w:bCs/>
                <w:color w:val="auto"/>
                <w:spacing w:val="0"/>
                <w:kern w:val="0"/>
                <w:position w:val="0"/>
                <w:sz w:val="24"/>
              </w:rPr>
              <w:t>4</w:t>
            </w:r>
            <w:r>
              <w:rPr>
                <w:rFonts w:hint="eastAsia" w:cs="宋体"/>
                <w:b/>
                <w:bCs/>
                <w:color w:val="auto"/>
                <w:spacing w:val="0"/>
                <w:kern w:val="0"/>
                <w:position w:val="0"/>
                <w:sz w:val="24"/>
              </w:rPr>
              <w:t>、铁路主要技术标准</w:t>
            </w:r>
          </w:p>
          <w:p w14:paraId="6B6B017F">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lang w:val="en-US" w:eastAsia="zh-CN"/>
              </w:rPr>
              <w:t>货物线</w:t>
            </w:r>
            <w:r>
              <w:rPr>
                <w:rFonts w:hint="eastAsia" w:cs="宋体"/>
                <w:color w:val="auto"/>
                <w:spacing w:val="0"/>
                <w:kern w:val="0"/>
                <w:position w:val="0"/>
                <w:sz w:val="24"/>
              </w:rPr>
              <w:t>主要技术标准如下：</w:t>
            </w:r>
          </w:p>
          <w:p w14:paraId="592B1C9B">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rPr>
              <w:t>1.正线数目：单线；</w:t>
            </w:r>
          </w:p>
          <w:p w14:paraId="73E2FA81">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lang w:val="en-US" w:eastAsia="zh-CN"/>
              </w:rPr>
              <w:t>2</w:t>
            </w:r>
            <w:r>
              <w:rPr>
                <w:rFonts w:hint="eastAsia" w:cs="宋体"/>
                <w:color w:val="auto"/>
                <w:spacing w:val="0"/>
                <w:kern w:val="0"/>
                <w:position w:val="0"/>
                <w:sz w:val="24"/>
              </w:rPr>
              <w:t>.最小曲线半径：</w:t>
            </w:r>
            <w:r>
              <w:rPr>
                <w:rFonts w:hint="eastAsia" w:cs="宋体"/>
                <w:color w:val="auto"/>
                <w:spacing w:val="0"/>
                <w:kern w:val="0"/>
                <w:position w:val="0"/>
                <w:sz w:val="24"/>
                <w:lang w:val="en-US" w:eastAsia="zh-CN"/>
              </w:rPr>
              <w:t>货物装卸线应设在直线上，困难条件，不小于600m，特别困难，不应小于500m</w:t>
            </w:r>
            <w:r>
              <w:rPr>
                <w:rFonts w:hint="eastAsia" w:cs="宋体"/>
                <w:color w:val="auto"/>
                <w:spacing w:val="0"/>
                <w:kern w:val="0"/>
                <w:position w:val="0"/>
                <w:sz w:val="24"/>
              </w:rPr>
              <w:t>；</w:t>
            </w:r>
          </w:p>
          <w:p w14:paraId="177A62E0">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lang w:val="en-US" w:eastAsia="zh-CN"/>
              </w:rPr>
              <w:t>3</w:t>
            </w:r>
            <w:r>
              <w:rPr>
                <w:rFonts w:hint="eastAsia" w:cs="宋体"/>
                <w:color w:val="auto"/>
                <w:spacing w:val="0"/>
                <w:kern w:val="0"/>
                <w:position w:val="0"/>
                <w:sz w:val="24"/>
              </w:rPr>
              <w:t>.限制坡度：</w:t>
            </w:r>
            <w:r>
              <w:rPr>
                <w:rFonts w:hint="eastAsia" w:cs="宋体"/>
                <w:color w:val="auto"/>
                <w:spacing w:val="0"/>
                <w:kern w:val="0"/>
                <w:position w:val="0"/>
                <w:sz w:val="24"/>
                <w:lang w:val="en-US" w:eastAsia="zh-CN"/>
              </w:rPr>
              <w:t>5</w:t>
            </w:r>
            <w:r>
              <w:rPr>
                <w:rFonts w:hint="eastAsia" w:cs="宋体"/>
                <w:color w:val="auto"/>
                <w:spacing w:val="0"/>
                <w:kern w:val="0"/>
                <w:position w:val="0"/>
                <w:sz w:val="24"/>
              </w:rPr>
              <w:t>‰；</w:t>
            </w:r>
          </w:p>
          <w:p w14:paraId="6F5CCEF6">
            <w:pPr>
              <w:adjustRightInd w:val="0"/>
              <w:snapToGrid w:val="0"/>
              <w:spacing w:line="360" w:lineRule="auto"/>
              <w:ind w:firstLine="480" w:firstLineChars="200"/>
              <w:rPr>
                <w:rFonts w:hint="eastAsia" w:eastAsia="宋体" w:cs="宋体"/>
                <w:color w:val="auto"/>
                <w:spacing w:val="0"/>
                <w:kern w:val="0"/>
                <w:position w:val="0"/>
                <w:sz w:val="24"/>
                <w:lang w:eastAsia="zh-CN"/>
              </w:rPr>
            </w:pPr>
            <w:r>
              <w:rPr>
                <w:rFonts w:hint="eastAsia" w:cs="宋体"/>
                <w:color w:val="auto"/>
                <w:spacing w:val="0"/>
                <w:kern w:val="0"/>
                <w:position w:val="0"/>
                <w:sz w:val="24"/>
                <w:lang w:val="en-US" w:eastAsia="zh-CN"/>
              </w:rPr>
              <w:t>4</w:t>
            </w:r>
            <w:r>
              <w:rPr>
                <w:rFonts w:hint="eastAsia" w:cs="宋体"/>
                <w:color w:val="auto"/>
                <w:spacing w:val="0"/>
                <w:kern w:val="0"/>
                <w:position w:val="0"/>
                <w:sz w:val="24"/>
              </w:rPr>
              <w:t>.线路有效长度：</w:t>
            </w:r>
            <w:r>
              <w:rPr>
                <w:rFonts w:hint="eastAsia" w:cs="宋体"/>
                <w:color w:val="auto"/>
                <w:spacing w:val="0"/>
                <w:kern w:val="0"/>
                <w:position w:val="0"/>
                <w:sz w:val="24"/>
                <w:lang w:val="en-US" w:eastAsia="zh-CN"/>
              </w:rPr>
              <w:t>本线</w:t>
            </w:r>
            <w:r>
              <w:rPr>
                <w:rFonts w:hint="eastAsia" w:cs="宋体"/>
                <w:color w:val="auto"/>
                <w:spacing w:val="0"/>
                <w:kern w:val="0"/>
                <w:position w:val="0"/>
                <w:sz w:val="24"/>
              </w:rPr>
              <w:t>有效长度</w:t>
            </w:r>
            <w:r>
              <w:rPr>
                <w:rFonts w:hint="eastAsia" w:cs="宋体"/>
                <w:color w:val="auto"/>
                <w:spacing w:val="0"/>
                <w:kern w:val="0"/>
                <w:position w:val="0"/>
                <w:sz w:val="24"/>
                <w:lang w:val="en-US" w:eastAsia="zh-CN"/>
              </w:rPr>
              <w:t>770</w:t>
            </w:r>
            <w:r>
              <w:rPr>
                <w:rFonts w:hint="eastAsia" w:cs="宋体"/>
                <w:color w:val="auto"/>
                <w:spacing w:val="0"/>
                <w:kern w:val="0"/>
                <w:position w:val="0"/>
                <w:sz w:val="24"/>
              </w:rPr>
              <w:t>m</w:t>
            </w:r>
            <w:r>
              <w:rPr>
                <w:rFonts w:hint="eastAsia" w:cs="宋体"/>
                <w:color w:val="auto"/>
                <w:spacing w:val="0"/>
                <w:kern w:val="0"/>
                <w:position w:val="0"/>
                <w:sz w:val="24"/>
                <w:lang w:eastAsia="zh-CN"/>
              </w:rPr>
              <w:t>；</w:t>
            </w:r>
          </w:p>
          <w:p w14:paraId="44DD73AC">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lang w:val="en-US" w:eastAsia="zh-CN"/>
              </w:rPr>
              <w:t>5</w:t>
            </w:r>
            <w:r>
              <w:rPr>
                <w:rFonts w:hint="eastAsia" w:cs="宋体"/>
                <w:color w:val="auto"/>
                <w:spacing w:val="0"/>
                <w:kern w:val="0"/>
                <w:position w:val="0"/>
                <w:sz w:val="24"/>
              </w:rPr>
              <w:t>.行车方式：按调车办理；</w:t>
            </w:r>
          </w:p>
          <w:p w14:paraId="54526BE1">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lang w:val="en-US" w:eastAsia="zh-CN"/>
              </w:rPr>
              <w:t>6</w:t>
            </w:r>
            <w:r>
              <w:rPr>
                <w:rFonts w:hint="eastAsia" w:cs="宋体"/>
                <w:color w:val="auto"/>
                <w:spacing w:val="0"/>
                <w:kern w:val="0"/>
                <w:position w:val="0"/>
                <w:sz w:val="24"/>
              </w:rPr>
              <w:t>.牵引种类：内燃；</w:t>
            </w:r>
          </w:p>
          <w:p w14:paraId="730F9544">
            <w:pPr>
              <w:adjustRightInd w:val="0"/>
              <w:snapToGrid w:val="0"/>
              <w:spacing w:line="360" w:lineRule="auto"/>
              <w:ind w:firstLine="480" w:firstLineChars="200"/>
              <w:rPr>
                <w:rFonts w:hint="eastAsia" w:cs="宋体"/>
                <w:color w:val="auto"/>
                <w:spacing w:val="0"/>
                <w:kern w:val="0"/>
                <w:position w:val="0"/>
                <w:sz w:val="24"/>
              </w:rPr>
            </w:pPr>
            <w:r>
              <w:rPr>
                <w:rFonts w:hint="eastAsia" w:cs="宋体"/>
                <w:color w:val="auto"/>
                <w:spacing w:val="0"/>
                <w:kern w:val="0"/>
                <w:position w:val="0"/>
                <w:sz w:val="24"/>
                <w:lang w:val="en-US" w:eastAsia="zh-CN"/>
              </w:rPr>
              <w:t>7</w:t>
            </w:r>
            <w:r>
              <w:rPr>
                <w:rFonts w:hint="eastAsia" w:cs="宋体"/>
                <w:color w:val="auto"/>
                <w:spacing w:val="0"/>
                <w:kern w:val="0"/>
                <w:position w:val="0"/>
                <w:sz w:val="24"/>
              </w:rPr>
              <w:t>.机车类型：HX</w:t>
            </w:r>
            <w:r>
              <w:rPr>
                <w:rFonts w:hint="eastAsia" w:cs="宋体"/>
                <w:color w:val="auto"/>
                <w:spacing w:val="0"/>
                <w:kern w:val="0"/>
                <w:position w:val="0"/>
                <w:sz w:val="24"/>
                <w:lang w:val="en-US" w:eastAsia="zh-CN"/>
              </w:rPr>
              <w:t>D</w:t>
            </w:r>
            <w:r>
              <w:rPr>
                <w:rFonts w:hint="eastAsia" w:cs="宋体"/>
                <w:color w:val="auto"/>
                <w:spacing w:val="0"/>
                <w:kern w:val="0"/>
                <w:position w:val="0"/>
                <w:sz w:val="24"/>
              </w:rPr>
              <w:t>；</w:t>
            </w:r>
          </w:p>
          <w:p w14:paraId="48BCDA0F">
            <w:pPr>
              <w:adjustRightInd w:val="0"/>
              <w:snapToGrid w:val="0"/>
              <w:spacing w:line="360" w:lineRule="auto"/>
              <w:ind w:firstLine="480" w:firstLineChars="200"/>
              <w:rPr>
                <w:rFonts w:hint="eastAsia" w:eastAsia="宋体" w:cs="宋体"/>
                <w:color w:val="auto"/>
                <w:spacing w:val="0"/>
                <w:kern w:val="0"/>
                <w:position w:val="0"/>
                <w:sz w:val="24"/>
                <w:lang w:eastAsia="zh-CN"/>
              </w:rPr>
            </w:pPr>
            <w:r>
              <w:rPr>
                <w:rFonts w:hint="eastAsia" w:cs="宋体"/>
                <w:color w:val="auto"/>
                <w:spacing w:val="0"/>
                <w:kern w:val="0"/>
                <w:position w:val="0"/>
                <w:sz w:val="24"/>
                <w:lang w:val="en-US" w:eastAsia="zh-CN"/>
              </w:rPr>
              <w:t>8</w:t>
            </w:r>
            <w:r>
              <w:rPr>
                <w:rFonts w:hint="eastAsia" w:cs="宋体"/>
                <w:color w:val="auto"/>
                <w:spacing w:val="0"/>
                <w:kern w:val="0"/>
                <w:position w:val="0"/>
                <w:sz w:val="24"/>
              </w:rPr>
              <w:t>.牵引质量：4000t</w:t>
            </w:r>
            <w:r>
              <w:rPr>
                <w:rFonts w:hint="eastAsia" w:cs="宋体"/>
                <w:color w:val="auto"/>
                <w:spacing w:val="0"/>
                <w:kern w:val="0"/>
                <w:position w:val="0"/>
                <w:sz w:val="24"/>
                <w:lang w:eastAsia="zh-CN"/>
              </w:rPr>
              <w:t>；</w:t>
            </w:r>
          </w:p>
          <w:p w14:paraId="676F67F4">
            <w:pPr>
              <w:adjustRightInd w:val="0"/>
              <w:snapToGrid w:val="0"/>
              <w:spacing w:line="360" w:lineRule="auto"/>
              <w:ind w:firstLine="480" w:firstLineChars="200"/>
              <w:rPr>
                <w:rFonts w:hint="default" w:eastAsia="宋体" w:cs="宋体"/>
                <w:color w:val="auto"/>
                <w:spacing w:val="0"/>
                <w:kern w:val="0"/>
                <w:position w:val="0"/>
                <w:sz w:val="24"/>
                <w:lang w:val="en-US" w:eastAsia="zh-CN"/>
              </w:rPr>
            </w:pPr>
            <w:r>
              <w:rPr>
                <w:rFonts w:hint="eastAsia"/>
                <w:color w:val="auto"/>
                <w:sz w:val="24"/>
                <w:szCs w:val="32"/>
                <w:lang w:val="en-US" w:eastAsia="zh-CN"/>
              </w:rPr>
              <w:t>9.行驶速度：30km/h。</w:t>
            </w:r>
          </w:p>
          <w:p w14:paraId="7EF75038">
            <w:pPr>
              <w:adjustRightInd w:val="0"/>
              <w:snapToGrid w:val="0"/>
              <w:spacing w:line="360" w:lineRule="auto"/>
              <w:ind w:firstLine="482" w:firstLineChars="200"/>
              <w:rPr>
                <w:rFonts w:cs="宋体"/>
                <w:b/>
                <w:bCs/>
                <w:color w:val="auto"/>
                <w:spacing w:val="0"/>
                <w:kern w:val="0"/>
                <w:position w:val="0"/>
                <w:sz w:val="24"/>
              </w:rPr>
            </w:pPr>
            <w:r>
              <w:rPr>
                <w:rFonts w:hint="eastAsia" w:cs="宋体"/>
                <w:b/>
                <w:bCs/>
                <w:color w:val="auto"/>
                <w:spacing w:val="0"/>
                <w:kern w:val="0"/>
                <w:position w:val="0"/>
                <w:sz w:val="24"/>
                <w:lang w:val="en-US" w:eastAsia="zh-CN"/>
              </w:rPr>
              <w:t>5、</w:t>
            </w:r>
            <w:r>
              <w:rPr>
                <w:rFonts w:hint="eastAsia" w:cs="宋体"/>
                <w:b/>
                <w:bCs/>
                <w:color w:val="auto"/>
                <w:spacing w:val="0"/>
                <w:kern w:val="0"/>
                <w:position w:val="0"/>
                <w:sz w:val="24"/>
              </w:rPr>
              <w:t>主要工程内容</w:t>
            </w:r>
          </w:p>
          <w:p w14:paraId="1420E4CB">
            <w:pPr>
              <w:numPr>
                <w:ilvl w:val="0"/>
                <w:numId w:val="0"/>
              </w:numPr>
              <w:adjustRightInd w:val="0"/>
              <w:snapToGrid w:val="0"/>
              <w:spacing w:line="360" w:lineRule="auto"/>
              <w:ind w:leftChars="200"/>
              <w:rPr>
                <w:rFonts w:hint="eastAsia" w:cs="宋体"/>
                <w:b/>
                <w:bCs/>
                <w:color w:val="auto"/>
                <w:spacing w:val="0"/>
                <w:kern w:val="0"/>
                <w:position w:val="0"/>
                <w:sz w:val="24"/>
              </w:rPr>
            </w:pPr>
            <w:r>
              <w:rPr>
                <w:rFonts w:hint="eastAsia" w:cs="宋体"/>
                <w:b/>
                <w:bCs/>
                <w:color w:val="auto"/>
                <w:spacing w:val="0"/>
                <w:kern w:val="0"/>
                <w:position w:val="0"/>
                <w:sz w:val="24"/>
                <w:lang w:eastAsia="zh-CN"/>
              </w:rPr>
              <w:t>（</w:t>
            </w:r>
            <w:r>
              <w:rPr>
                <w:rFonts w:hint="eastAsia" w:cs="宋体"/>
                <w:b/>
                <w:bCs/>
                <w:color w:val="auto"/>
                <w:spacing w:val="0"/>
                <w:kern w:val="0"/>
                <w:position w:val="0"/>
                <w:sz w:val="24"/>
                <w:lang w:val="en-US" w:eastAsia="zh-CN"/>
              </w:rPr>
              <w:t>1</w:t>
            </w:r>
            <w:r>
              <w:rPr>
                <w:rFonts w:hint="eastAsia" w:cs="宋体"/>
                <w:b/>
                <w:bCs/>
                <w:color w:val="auto"/>
                <w:spacing w:val="0"/>
                <w:kern w:val="0"/>
                <w:position w:val="0"/>
                <w:sz w:val="24"/>
                <w:lang w:eastAsia="zh-CN"/>
              </w:rPr>
              <w:t>）</w:t>
            </w:r>
            <w:r>
              <w:rPr>
                <w:rFonts w:hint="eastAsia" w:cs="宋体"/>
                <w:b/>
                <w:bCs/>
                <w:color w:val="auto"/>
                <w:spacing w:val="0"/>
                <w:kern w:val="0"/>
                <w:position w:val="0"/>
                <w:sz w:val="24"/>
                <w:lang w:val="en-US" w:eastAsia="zh-CN"/>
              </w:rPr>
              <w:t>车站</w:t>
            </w:r>
            <w:r>
              <w:rPr>
                <w:rFonts w:hint="eastAsia" w:cs="宋体"/>
                <w:b/>
                <w:bCs/>
                <w:color w:val="auto"/>
                <w:spacing w:val="0"/>
                <w:kern w:val="0"/>
                <w:position w:val="0"/>
                <w:sz w:val="24"/>
              </w:rPr>
              <w:t>平面设计原则</w:t>
            </w:r>
          </w:p>
          <w:p w14:paraId="7EE87E48">
            <w:pPr>
              <w:numPr>
                <w:ilvl w:val="0"/>
                <w:numId w:val="0"/>
              </w:numPr>
              <w:adjustRightInd w:val="0"/>
              <w:snapToGrid w:val="0"/>
              <w:spacing w:line="360" w:lineRule="auto"/>
              <w:ind w:left="0" w:leftChars="0" w:firstLine="480" w:firstLineChars="200"/>
              <w:rPr>
                <w:rFonts w:hint="eastAsia" w:ascii="Times New Roman" w:hAnsi="Times New Roman" w:eastAsia="宋体" w:cs="宋体"/>
                <w:color w:val="auto"/>
                <w:spacing w:val="0"/>
                <w:kern w:val="0"/>
                <w:position w:val="0"/>
                <w:sz w:val="24"/>
                <w:szCs w:val="24"/>
                <w:lang w:val="en-US" w:eastAsia="zh-CN" w:bidi="ar-SA"/>
              </w:rPr>
            </w:pPr>
            <w:r>
              <w:rPr>
                <w:rFonts w:hint="eastAsia" w:cs="宋体"/>
                <w:color w:val="auto"/>
                <w:spacing w:val="0"/>
                <w:kern w:val="0"/>
                <w:position w:val="0"/>
                <w:sz w:val="24"/>
                <w:szCs w:val="24"/>
                <w:lang w:val="en-US" w:eastAsia="zh-CN" w:bidi="ar-SA"/>
              </w:rPr>
              <w:t>①</w:t>
            </w:r>
            <w:r>
              <w:rPr>
                <w:rFonts w:hint="eastAsia" w:ascii="Times New Roman" w:hAnsi="Times New Roman" w:eastAsia="宋体" w:cs="宋体"/>
                <w:color w:val="auto"/>
                <w:spacing w:val="0"/>
                <w:kern w:val="0"/>
                <w:position w:val="0"/>
                <w:sz w:val="24"/>
                <w:szCs w:val="24"/>
                <w:lang w:val="en-US" w:eastAsia="zh-CN" w:bidi="ar-SA"/>
              </w:rPr>
              <w:t>在铁路车站线路直线地段，主要建（构）筑物和设备至线路中心的距离应符合《站规》第3.1.1条有关规定。货物装卸线宜设在直线上，困难条件下可设在不小于500m的曲线上；不靠站台的装卸线（易燃、易爆、危险货物的装卸线除外）可设在半径不小于300m的曲线上，如无车辆摘挂作业可设在半径不小于200m的曲线上。</w:t>
            </w:r>
          </w:p>
          <w:p w14:paraId="066724F5">
            <w:pPr>
              <w:numPr>
                <w:ilvl w:val="0"/>
                <w:numId w:val="0"/>
              </w:numPr>
              <w:adjustRightInd w:val="0"/>
              <w:snapToGrid w:val="0"/>
              <w:spacing w:line="360" w:lineRule="auto"/>
              <w:ind w:left="0" w:leftChars="0" w:firstLine="480" w:firstLineChars="200"/>
              <w:rPr>
                <w:rFonts w:hint="eastAsia" w:ascii="Times New Roman" w:hAnsi="Times New Roman" w:eastAsia="宋体" w:cs="宋体"/>
                <w:color w:val="auto"/>
                <w:spacing w:val="0"/>
                <w:kern w:val="0"/>
                <w:position w:val="0"/>
                <w:sz w:val="24"/>
                <w:szCs w:val="24"/>
                <w:lang w:val="en-US" w:eastAsia="zh-CN" w:bidi="ar-SA"/>
              </w:rPr>
            </w:pPr>
            <w:r>
              <w:rPr>
                <w:rFonts w:hint="eastAsia" w:cs="宋体"/>
                <w:color w:val="auto"/>
                <w:spacing w:val="0"/>
                <w:kern w:val="0"/>
                <w:position w:val="0"/>
                <w:sz w:val="24"/>
                <w:szCs w:val="24"/>
                <w:lang w:val="en-US" w:eastAsia="zh-CN" w:bidi="ar-SA"/>
              </w:rPr>
              <w:t>②</w:t>
            </w:r>
            <w:r>
              <w:rPr>
                <w:rFonts w:hint="eastAsia" w:ascii="Times New Roman" w:hAnsi="Times New Roman" w:eastAsia="宋体" w:cs="宋体"/>
                <w:color w:val="auto"/>
                <w:spacing w:val="0"/>
                <w:kern w:val="0"/>
                <w:position w:val="0"/>
                <w:sz w:val="24"/>
                <w:szCs w:val="24"/>
                <w:lang w:val="en-US" w:eastAsia="zh-CN" w:bidi="ar-SA"/>
              </w:rPr>
              <w:t>站内线路的线间距参照《站规》第3.1.2条有关规定设计，并满足设备安装及运输需要。线间设特殊设备时，线间距需根据设备计算确定。本项目到发线线间距按5.0m设计。</w:t>
            </w:r>
          </w:p>
          <w:p w14:paraId="3CD20AC4">
            <w:pPr>
              <w:numPr>
                <w:ilvl w:val="0"/>
                <w:numId w:val="0"/>
              </w:numPr>
              <w:adjustRightInd w:val="0"/>
              <w:snapToGrid w:val="0"/>
              <w:spacing w:line="360" w:lineRule="auto"/>
              <w:ind w:left="0" w:leftChars="0" w:firstLine="480" w:firstLineChars="200"/>
              <w:rPr>
                <w:rFonts w:hint="eastAsia" w:ascii="Times New Roman" w:hAnsi="Times New Roman" w:eastAsia="宋体" w:cs="宋体"/>
                <w:color w:val="auto"/>
                <w:spacing w:val="0"/>
                <w:kern w:val="0"/>
                <w:position w:val="0"/>
                <w:sz w:val="24"/>
                <w:szCs w:val="24"/>
                <w:lang w:val="en-US" w:eastAsia="zh-CN" w:bidi="ar-SA"/>
              </w:rPr>
            </w:pPr>
            <w:r>
              <w:rPr>
                <w:rFonts w:hint="eastAsia" w:cs="宋体"/>
                <w:color w:val="auto"/>
                <w:spacing w:val="0"/>
                <w:kern w:val="0"/>
                <w:position w:val="0"/>
                <w:sz w:val="24"/>
                <w:szCs w:val="24"/>
                <w:lang w:val="en-US" w:eastAsia="zh-CN" w:bidi="ar-SA"/>
              </w:rPr>
              <w:t>③</w:t>
            </w:r>
            <w:r>
              <w:rPr>
                <w:rFonts w:hint="eastAsia" w:ascii="Times New Roman" w:hAnsi="Times New Roman" w:eastAsia="宋体" w:cs="宋体"/>
                <w:color w:val="auto"/>
                <w:spacing w:val="0"/>
                <w:kern w:val="0"/>
                <w:position w:val="0"/>
                <w:sz w:val="24"/>
                <w:szCs w:val="24"/>
                <w:lang w:val="en-US" w:eastAsia="zh-CN" w:bidi="ar-SA"/>
              </w:rPr>
              <w:t>通行列车的站线，两曲线间应设置不小于20m的直线段，不通行列车的站线，两曲线间应设置不小于15m的直线段，在困难条件下，可设置不小于10m的直线段。</w:t>
            </w:r>
          </w:p>
          <w:p w14:paraId="0C916109">
            <w:pPr>
              <w:numPr>
                <w:ilvl w:val="0"/>
                <w:numId w:val="0"/>
              </w:numPr>
              <w:adjustRightInd w:val="0"/>
              <w:snapToGrid w:val="0"/>
              <w:spacing w:line="360" w:lineRule="auto"/>
              <w:ind w:left="0" w:leftChars="0" w:firstLine="480" w:firstLineChars="200"/>
              <w:rPr>
                <w:rFonts w:hint="eastAsia" w:ascii="Times New Roman" w:hAnsi="Times New Roman" w:eastAsia="宋体" w:cs="宋体"/>
                <w:color w:val="auto"/>
                <w:spacing w:val="0"/>
                <w:kern w:val="0"/>
                <w:position w:val="0"/>
                <w:sz w:val="24"/>
                <w:szCs w:val="24"/>
                <w:lang w:val="en-US" w:eastAsia="zh-CN" w:bidi="ar-SA"/>
              </w:rPr>
            </w:pPr>
            <w:r>
              <w:rPr>
                <w:rFonts w:hint="eastAsia" w:cs="宋体"/>
                <w:color w:val="auto"/>
                <w:spacing w:val="0"/>
                <w:kern w:val="0"/>
                <w:position w:val="0"/>
                <w:sz w:val="24"/>
                <w:szCs w:val="24"/>
                <w:lang w:val="en-US" w:eastAsia="zh-CN" w:bidi="ar-SA"/>
              </w:rPr>
              <w:t>④</w:t>
            </w:r>
            <w:r>
              <w:rPr>
                <w:rFonts w:hint="eastAsia" w:ascii="Times New Roman" w:hAnsi="Times New Roman" w:eastAsia="宋体" w:cs="宋体"/>
                <w:color w:val="auto"/>
                <w:spacing w:val="0"/>
                <w:kern w:val="0"/>
                <w:position w:val="0"/>
                <w:sz w:val="24"/>
                <w:szCs w:val="24"/>
                <w:lang w:val="en-US" w:eastAsia="zh-CN" w:bidi="ar-SA"/>
              </w:rPr>
              <w:t>道岔后连接曲线半径不小于道岔附带曲线半径。站线曲线超高采用15mm，超高顺坡率不应大于2‰。</w:t>
            </w:r>
          </w:p>
          <w:p w14:paraId="208DC1FC">
            <w:pPr>
              <w:numPr>
                <w:ilvl w:val="0"/>
                <w:numId w:val="0"/>
              </w:numPr>
              <w:adjustRightInd w:val="0"/>
              <w:snapToGrid w:val="0"/>
              <w:spacing w:line="360" w:lineRule="auto"/>
              <w:ind w:left="0" w:leftChars="0" w:firstLine="480" w:firstLineChars="200"/>
              <w:rPr>
                <w:rFonts w:hint="eastAsia" w:ascii="Times New Roman" w:hAnsi="Times New Roman" w:eastAsia="宋体" w:cs="宋体"/>
                <w:color w:val="auto"/>
                <w:spacing w:val="0"/>
                <w:kern w:val="0"/>
                <w:position w:val="0"/>
                <w:sz w:val="24"/>
                <w:szCs w:val="24"/>
                <w:lang w:val="en-US" w:eastAsia="zh-CN" w:bidi="ar-SA"/>
              </w:rPr>
            </w:pPr>
            <w:r>
              <w:rPr>
                <w:rFonts w:hint="eastAsia" w:cs="宋体"/>
                <w:color w:val="auto"/>
                <w:spacing w:val="0"/>
                <w:kern w:val="0"/>
                <w:position w:val="0"/>
                <w:sz w:val="24"/>
                <w:szCs w:val="24"/>
                <w:lang w:val="en-US" w:eastAsia="zh-CN" w:bidi="ar-SA"/>
              </w:rPr>
              <w:t>⑤</w:t>
            </w:r>
            <w:r>
              <w:rPr>
                <w:rFonts w:hint="eastAsia" w:ascii="Times New Roman" w:hAnsi="Times New Roman" w:eastAsia="宋体" w:cs="宋体"/>
                <w:color w:val="auto"/>
                <w:spacing w:val="0"/>
                <w:kern w:val="0"/>
                <w:position w:val="0"/>
                <w:sz w:val="24"/>
                <w:szCs w:val="24"/>
                <w:lang w:val="en-US" w:eastAsia="zh-CN" w:bidi="ar-SA"/>
              </w:rPr>
              <w:t>牵出线应设在直线上，困难条件下，可设在半径不小于1000m的曲线上；仅办理摘挂、取送作业的物流中心或其他场、段的牵出线，特别困难条件下，曲线半径不应小于300m；牵出线不宜设在反向曲线上，改建特别困难条件下且调车作业量较小时，可设在反向曲线上，也可保留既有曲线半径。</w:t>
            </w:r>
          </w:p>
          <w:p w14:paraId="76C606C4">
            <w:pPr>
              <w:numPr>
                <w:ilvl w:val="0"/>
                <w:numId w:val="0"/>
              </w:numPr>
              <w:adjustRightInd w:val="0"/>
              <w:snapToGrid w:val="0"/>
              <w:spacing w:line="360" w:lineRule="auto"/>
              <w:ind w:left="0" w:leftChars="0" w:firstLine="480" w:firstLineChars="200"/>
              <w:rPr>
                <w:rFonts w:hint="eastAsia" w:ascii="Times New Roman" w:hAnsi="Times New Roman" w:eastAsia="宋体" w:cs="宋体"/>
                <w:color w:val="auto"/>
                <w:spacing w:val="0"/>
                <w:kern w:val="0"/>
                <w:position w:val="0"/>
                <w:sz w:val="24"/>
                <w:szCs w:val="24"/>
                <w:lang w:val="en-US" w:eastAsia="zh-CN" w:bidi="ar-SA"/>
              </w:rPr>
            </w:pPr>
            <w:r>
              <w:rPr>
                <w:rFonts w:hint="eastAsia" w:cs="宋体"/>
                <w:color w:val="auto"/>
                <w:spacing w:val="0"/>
                <w:kern w:val="0"/>
                <w:position w:val="0"/>
                <w:sz w:val="24"/>
                <w:szCs w:val="24"/>
                <w:lang w:val="en-US" w:eastAsia="zh-CN" w:bidi="ar-SA"/>
              </w:rPr>
              <w:t>⑥</w:t>
            </w:r>
            <w:r>
              <w:rPr>
                <w:rFonts w:hint="eastAsia" w:ascii="Times New Roman" w:hAnsi="Times New Roman" w:eastAsia="宋体" w:cs="宋体"/>
                <w:color w:val="auto"/>
                <w:spacing w:val="0"/>
                <w:kern w:val="0"/>
                <w:position w:val="0"/>
                <w:sz w:val="24"/>
                <w:szCs w:val="24"/>
                <w:lang w:val="en-US" w:eastAsia="zh-CN" w:bidi="ar-SA"/>
              </w:rPr>
              <w:t>与正线、到发线接轨时，均应铺设安全线。岔线与站内到发线接轨，当站内有平行进路及隔开道岔并有联锁装置时，可不设安全线。安全线有效长度一般不应小于50m，困难时其有效长度应满足救援列车停放。</w:t>
            </w:r>
          </w:p>
          <w:p w14:paraId="39EA1716">
            <w:pPr>
              <w:adjustRightInd w:val="0"/>
              <w:snapToGrid w:val="0"/>
              <w:spacing w:line="360" w:lineRule="auto"/>
              <w:ind w:firstLine="482" w:firstLineChars="200"/>
              <w:rPr>
                <w:rFonts w:hint="eastAsia" w:cs="宋体"/>
                <w:b/>
                <w:bCs/>
                <w:color w:val="auto"/>
                <w:spacing w:val="0"/>
                <w:kern w:val="0"/>
                <w:position w:val="0"/>
                <w:sz w:val="24"/>
              </w:rPr>
            </w:pPr>
            <w:r>
              <w:rPr>
                <w:rFonts w:hint="eastAsia" w:cs="宋体"/>
                <w:b/>
                <w:bCs/>
                <w:color w:val="auto"/>
                <w:spacing w:val="0"/>
                <w:kern w:val="0"/>
                <w:position w:val="0"/>
                <w:sz w:val="24"/>
                <w:lang w:eastAsia="zh-CN"/>
              </w:rPr>
              <w:t>（</w:t>
            </w:r>
            <w:r>
              <w:rPr>
                <w:rFonts w:hint="eastAsia" w:cs="宋体"/>
                <w:b/>
                <w:bCs/>
                <w:color w:val="auto"/>
                <w:spacing w:val="0"/>
                <w:kern w:val="0"/>
                <w:position w:val="0"/>
                <w:sz w:val="24"/>
                <w:lang w:val="en-US" w:eastAsia="zh-CN"/>
              </w:rPr>
              <w:t>2</w:t>
            </w:r>
            <w:r>
              <w:rPr>
                <w:rFonts w:hint="eastAsia" w:cs="宋体"/>
                <w:b/>
                <w:bCs/>
                <w:color w:val="auto"/>
                <w:spacing w:val="0"/>
                <w:kern w:val="0"/>
                <w:position w:val="0"/>
                <w:sz w:val="24"/>
                <w:lang w:eastAsia="zh-CN"/>
              </w:rPr>
              <w:t>）</w:t>
            </w:r>
            <w:r>
              <w:rPr>
                <w:rFonts w:hint="eastAsia" w:cs="宋体"/>
                <w:b/>
                <w:bCs/>
                <w:color w:val="auto"/>
                <w:spacing w:val="0"/>
                <w:kern w:val="0"/>
                <w:position w:val="0"/>
                <w:sz w:val="24"/>
                <w:lang w:val="en-US" w:eastAsia="zh-CN"/>
              </w:rPr>
              <w:t>车站</w:t>
            </w:r>
            <w:r>
              <w:rPr>
                <w:rFonts w:hint="eastAsia" w:cs="宋体"/>
                <w:b/>
                <w:bCs/>
                <w:color w:val="auto"/>
                <w:spacing w:val="0"/>
                <w:kern w:val="0"/>
                <w:position w:val="0"/>
                <w:sz w:val="24"/>
              </w:rPr>
              <w:t>纵断面设计原则</w:t>
            </w:r>
          </w:p>
          <w:p w14:paraId="1702DE11">
            <w:pPr>
              <w:numPr>
                <w:ilvl w:val="0"/>
                <w:numId w:val="0"/>
              </w:numPr>
              <w:adjustRightInd w:val="0"/>
              <w:snapToGrid w:val="0"/>
              <w:spacing w:line="360" w:lineRule="auto"/>
              <w:ind w:left="0" w:leftChars="0" w:firstLine="400" w:firstLineChars="0"/>
              <w:rPr>
                <w:rFonts w:hint="eastAsia" w:ascii="Times New Roman" w:hAnsi="Times New Roman" w:eastAsia="宋体" w:cs="宋体"/>
                <w:color w:val="auto"/>
                <w:spacing w:val="0"/>
                <w:kern w:val="0"/>
                <w:position w:val="0"/>
                <w:sz w:val="24"/>
                <w:szCs w:val="24"/>
                <w:lang w:val="en-US" w:eastAsia="zh-CN" w:bidi="ar-SA"/>
              </w:rPr>
            </w:pPr>
            <w:r>
              <w:rPr>
                <w:rFonts w:hint="eastAsia" w:ascii="Times New Roman" w:hAnsi="Times New Roman" w:eastAsia="宋体" w:cs="宋体"/>
                <w:color w:val="auto"/>
                <w:spacing w:val="0"/>
                <w:kern w:val="0"/>
                <w:position w:val="0"/>
                <w:sz w:val="24"/>
                <w:szCs w:val="24"/>
                <w:lang w:val="en-US" w:eastAsia="zh-CN" w:bidi="ar-SA"/>
              </w:rPr>
              <w:t>①车站纵断面需根据车站性质合理确定。一般车站宜设为平坡，困难条件下，有摘挂作业的车站到发线、存车线、装卸线有效长内的坡度不应大于1‰；货物装卸线（装卸有效长范围内）应设在平道上，困难条件下可设在不大于1‰的坡道上；货物装卸线起迄点距离凸形竖曲线始、终点不宜小于15m。安装轨道衡、货车超偏载检测装置、定量装车系统的线路一般设于平道上，也可根据设备技术要求设计，一般不大于2‰。</w:t>
            </w:r>
          </w:p>
          <w:p w14:paraId="4F853EB1">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ascii="Times New Roman" w:hAnsi="Times New Roman" w:eastAsia="宋体" w:cs="宋体"/>
                <w:color w:val="auto"/>
                <w:spacing w:val="0"/>
                <w:kern w:val="0"/>
                <w:position w:val="0"/>
                <w:sz w:val="24"/>
                <w:szCs w:val="24"/>
                <w:lang w:val="en-US" w:eastAsia="zh-CN" w:bidi="ar-SA"/>
              </w:rPr>
              <w:t>②车站到发线有效长范围内宜设计为一个坡段，在困难条件下坡段长度不应小于350m；其他站线的坡段长通行列车时不应小于200m，不通行列车时不应小于50m。到发线、装卸线等通行列车的线路相邻坡段的坡度差大于4‰时，采用5000m半径的竖曲线；其他不通行列车的线路相邻坡段的坡度差大于5‰时，采用3000m半径的竖曲线</w:t>
            </w:r>
            <w:r>
              <w:rPr>
                <w:rFonts w:hint="eastAsia" w:cs="宋体"/>
                <w:color w:val="auto"/>
                <w:spacing w:val="0"/>
                <w:kern w:val="0"/>
                <w:position w:val="0"/>
                <w:sz w:val="24"/>
              </w:rPr>
              <w:t>。</w:t>
            </w:r>
          </w:p>
          <w:p w14:paraId="4C49A795">
            <w:pPr>
              <w:numPr>
                <w:ilvl w:val="0"/>
                <w:numId w:val="0"/>
              </w:numPr>
              <w:adjustRightInd w:val="0"/>
              <w:snapToGrid w:val="0"/>
              <w:spacing w:line="360" w:lineRule="auto"/>
              <w:ind w:left="0" w:leftChars="0" w:firstLine="400" w:firstLineChars="0"/>
              <w:rPr>
                <w:rFonts w:hint="eastAsia" w:ascii="Times New Roman" w:hAnsi="Times New Roman" w:eastAsia="宋体" w:cs="宋体"/>
                <w:color w:val="auto"/>
                <w:spacing w:val="0"/>
                <w:kern w:val="0"/>
                <w:position w:val="0"/>
                <w:sz w:val="24"/>
                <w:szCs w:val="24"/>
                <w:lang w:val="en-US" w:eastAsia="zh-CN" w:bidi="ar-SA"/>
              </w:rPr>
            </w:pPr>
            <w:r>
              <w:rPr>
                <w:rFonts w:hint="eastAsia" w:ascii="Times New Roman" w:hAnsi="Times New Roman" w:eastAsia="宋体" w:cs="宋体"/>
                <w:color w:val="auto"/>
                <w:spacing w:val="0"/>
                <w:kern w:val="0"/>
                <w:position w:val="0"/>
                <w:sz w:val="24"/>
                <w:szCs w:val="24"/>
                <w:lang w:val="en-US" w:eastAsia="zh-CN" w:bidi="ar-SA"/>
              </w:rPr>
              <w:t>③道岔范围内不应与竖曲线或变坡点重叠</w:t>
            </w:r>
            <w:r>
              <w:rPr>
                <w:rFonts w:hint="eastAsia" w:cs="宋体"/>
                <w:color w:val="auto"/>
                <w:spacing w:val="0"/>
                <w:kern w:val="0"/>
                <w:position w:val="0"/>
                <w:sz w:val="24"/>
                <w:szCs w:val="24"/>
                <w:lang w:val="en-US" w:eastAsia="zh-CN" w:bidi="ar-SA"/>
              </w:rPr>
              <w:t>。</w:t>
            </w:r>
          </w:p>
          <w:p w14:paraId="13136D97">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④相邻线路轨面有高差时，宜在咽喉区结合限制坡度、站坪坡度、路基横向排水坡度和道床厚度等因素设计线路的顺接坡道。顺坡范围宜为道岔普通岔枕（困难时为长岔枕）后至警冲标或货物线装卸有效长起点。顺接坡度的相邻坡度差，到发线和通行列车的站线不宜大于4‰，其他站线不宜大于5‰，坡段长不应小于50m。落差不满足顺接坡度要求时，可根据实际情况采用减缓路基面横向坡度、加厚道床、和将顺接坡道适当伸入线路有效长度范围内等措施予以调整。</w:t>
            </w:r>
          </w:p>
          <w:p w14:paraId="71642351">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⑤办理解编作业的牵出线宜设在平道上，也可设在不大于2.5‰的面向调车线的下坡道上。办理摘挂、取送作业的物流中心或其他场、段的牵出线，宜设在不大于1‰的坡道上，困难条件下可设在不大于6‰的坡道上。</w:t>
            </w:r>
          </w:p>
          <w:p w14:paraId="431B35FE">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⑥安全线的纵坡应设计为平道或面向车挡的上坡道。</w:t>
            </w:r>
          </w:p>
          <w:p w14:paraId="3BCAFE2C">
            <w:pPr>
              <w:numPr>
                <w:ilvl w:val="0"/>
                <w:numId w:val="0"/>
              </w:numPr>
              <w:adjustRightInd w:val="0"/>
              <w:snapToGrid w:val="0"/>
              <w:spacing w:line="360" w:lineRule="auto"/>
              <w:ind w:left="0" w:leftChars="0" w:firstLine="400" w:firstLineChars="0"/>
              <w:rPr>
                <w:rFonts w:hint="default" w:eastAsia="宋体" w:cs="宋体"/>
                <w:b/>
                <w:bCs/>
                <w:color w:val="auto"/>
                <w:spacing w:val="0"/>
                <w:kern w:val="0"/>
                <w:position w:val="0"/>
                <w:sz w:val="24"/>
                <w:lang w:val="en-US" w:eastAsia="zh-CN"/>
              </w:rPr>
            </w:pPr>
            <w:r>
              <w:rPr>
                <w:rFonts w:hint="eastAsia" w:cs="宋体"/>
                <w:b/>
                <w:bCs/>
                <w:color w:val="auto"/>
                <w:spacing w:val="0"/>
                <w:kern w:val="0"/>
                <w:position w:val="0"/>
                <w:sz w:val="24"/>
                <w:lang w:eastAsia="zh-CN"/>
              </w:rPr>
              <w:t>（</w:t>
            </w:r>
            <w:r>
              <w:rPr>
                <w:rFonts w:hint="eastAsia" w:cs="宋体"/>
                <w:b/>
                <w:bCs/>
                <w:color w:val="auto"/>
                <w:spacing w:val="0"/>
                <w:kern w:val="0"/>
                <w:position w:val="0"/>
                <w:sz w:val="24"/>
                <w:lang w:val="en-US" w:eastAsia="zh-CN"/>
              </w:rPr>
              <w:t>3</w:t>
            </w:r>
            <w:r>
              <w:rPr>
                <w:rFonts w:hint="eastAsia" w:cs="宋体"/>
                <w:b/>
                <w:bCs/>
                <w:color w:val="auto"/>
                <w:spacing w:val="0"/>
                <w:kern w:val="0"/>
                <w:position w:val="0"/>
                <w:sz w:val="24"/>
                <w:lang w:eastAsia="zh-CN"/>
              </w:rPr>
              <w:t>）</w:t>
            </w:r>
            <w:r>
              <w:rPr>
                <w:rFonts w:hint="eastAsia" w:cs="宋体"/>
                <w:b/>
                <w:bCs/>
                <w:color w:val="auto"/>
                <w:spacing w:val="0"/>
                <w:kern w:val="0"/>
                <w:position w:val="0"/>
                <w:sz w:val="24"/>
                <w:lang w:val="en-US" w:eastAsia="zh-CN"/>
              </w:rPr>
              <w:t>铺面设计原则</w:t>
            </w:r>
          </w:p>
          <w:p w14:paraId="06E91F21">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 xml:space="preserve">①设计原则 </w:t>
            </w:r>
          </w:p>
          <w:p w14:paraId="272F272B">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 xml:space="preserve">1）依据《港口道路、堆场铺面设计与施工规范》JTJ_296-96 等国内相关铺面有关要求设计； </w:t>
            </w:r>
          </w:p>
          <w:p w14:paraId="446C44A2">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2）铺面结构由面层、基层和垫层组成，选材设计需综合考虑地质地基条件、温度湿度、作业荷载、经济指标、运输条件等因素，满足排水需要，做到结构适用、安全、耐久。</w:t>
            </w:r>
          </w:p>
          <w:p w14:paraId="34A5FE9E">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②设计标准</w:t>
            </w:r>
          </w:p>
          <w:p w14:paraId="7C27CBEB">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集装箱作业区按堆箱3层、正面吊作业考虑。依据规范并借鉴国内类似项目经验，采用水泥混凝土铺面结构不仅耐磨耗、强度高且整体性能好，比连锁块铺面能较好控制不均匀沉降。</w:t>
            </w:r>
          </w:p>
          <w:p w14:paraId="5B77C948">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铺面干湿类型：干燥；交通等级：重交通；设计基准期：30 年。</w:t>
            </w:r>
          </w:p>
          <w:p w14:paraId="7E1D3F6B">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本货场储存货物主要以集装箱等大宗货物为主，综合考虑路面要求承载力、减少运营维护作业量、节省投资因素，铺面结构如下：</w:t>
            </w:r>
          </w:p>
          <w:p w14:paraId="3544A477">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1）普通堆场及道路路面结构选用标准：C30混凝土厚25cm+5%水泥稳定碎石20cm+级配碎石垫层20cm=65cm；</w:t>
            </w:r>
          </w:p>
          <w:p w14:paraId="06473CE1">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2）集装箱道路、集装箱堆场结构选用标准：C30砼厚46cm+5%水泥稳定碎石30cm+级配碎石垫层20cm=96cm。</w:t>
            </w:r>
          </w:p>
          <w:p w14:paraId="4C3AD42A">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集装箱作业区地面排水横坡为0.5%，其它地面横坡为1~2%。</w:t>
            </w:r>
          </w:p>
          <w:p w14:paraId="3B73F261">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lang w:val="en-US" w:eastAsia="zh-CN"/>
              </w:rPr>
            </w:pPr>
            <w:r>
              <w:rPr>
                <w:rFonts w:hint="eastAsia" w:cs="宋体"/>
                <w:color w:val="auto"/>
                <w:spacing w:val="0"/>
                <w:kern w:val="0"/>
                <w:position w:val="0"/>
                <w:sz w:val="24"/>
                <w:lang w:eastAsia="zh-CN"/>
              </w:rPr>
              <w:t>（</w:t>
            </w:r>
            <w:r>
              <w:rPr>
                <w:rFonts w:hint="eastAsia" w:cs="宋体"/>
                <w:color w:val="auto"/>
                <w:spacing w:val="0"/>
                <w:kern w:val="0"/>
                <w:position w:val="0"/>
                <w:sz w:val="24"/>
                <w:lang w:val="en-US" w:eastAsia="zh-CN"/>
              </w:rPr>
              <w:t>4</w:t>
            </w:r>
            <w:r>
              <w:rPr>
                <w:rFonts w:hint="eastAsia" w:cs="宋体"/>
                <w:color w:val="auto"/>
                <w:spacing w:val="0"/>
                <w:kern w:val="0"/>
                <w:position w:val="0"/>
                <w:sz w:val="24"/>
                <w:lang w:eastAsia="zh-CN"/>
              </w:rPr>
              <w:t>）</w:t>
            </w:r>
            <w:r>
              <w:rPr>
                <w:rFonts w:hint="eastAsia" w:cs="宋体"/>
                <w:color w:val="auto"/>
                <w:spacing w:val="0"/>
                <w:kern w:val="0"/>
                <w:position w:val="0"/>
                <w:sz w:val="24"/>
                <w:lang w:val="en-US" w:eastAsia="zh-CN"/>
              </w:rPr>
              <w:t>站场设计方案说明</w:t>
            </w:r>
          </w:p>
          <w:p w14:paraId="79D2D529">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本项目根据规划用地条件、云约站现状及预留规模、防城港企沙工业区规划，结合装卸车作业数量、货物装卸要求、运输组织等因素进行设计。按逐步发展、适时建设的标准考虑，并本着节约初期投资、吸引货流、逐步发展、提高货场设施利用率和充分发挥货场设施功能效益的原则先行实施初期工程，具体建设规模如下。</w:t>
            </w:r>
          </w:p>
          <w:p w14:paraId="31677CD1">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rPr>
            </w:pPr>
            <w:r>
              <w:rPr>
                <w:rFonts w:hint="eastAsia" w:cs="宋体"/>
                <w:color w:val="auto"/>
                <w:spacing w:val="0"/>
                <w:kern w:val="0"/>
                <w:position w:val="0"/>
                <w:sz w:val="24"/>
                <w:lang w:val="en-US" w:eastAsia="zh-CN"/>
              </w:rPr>
              <w:t>货场初期规模：云约站铁路货场设于云约站与沙企一级路间，结合车站规划预留规模及用地条件，利用车站站房对侧预留最外侧股道设贯通式整列货物装卸线1条，装卸有效长770m，按正面吊作业条件设置集装箱堆场，硬化面积27975平方米，货物线两端分别设安全线隔开，并配套轨道衡、进站道路、货运综合楼、给排水、电力等工程设施设备。</w:t>
            </w:r>
          </w:p>
          <w:p w14:paraId="2E025682">
            <w:pPr>
              <w:numPr>
                <w:ilvl w:val="0"/>
                <w:numId w:val="0"/>
              </w:numPr>
              <w:adjustRightInd w:val="0"/>
              <w:snapToGrid w:val="0"/>
              <w:spacing w:line="360" w:lineRule="auto"/>
              <w:ind w:left="0" w:leftChars="0" w:firstLine="400" w:firstLineChars="0"/>
              <w:rPr>
                <w:rFonts w:hint="eastAsia" w:cs="宋体"/>
                <w:color w:val="auto"/>
                <w:spacing w:val="0"/>
                <w:kern w:val="0"/>
                <w:position w:val="0"/>
                <w:sz w:val="24"/>
                <w:lang w:val="en-US" w:eastAsia="zh-CN"/>
              </w:rPr>
            </w:pPr>
            <w:r>
              <w:rPr>
                <w:rFonts w:hint="eastAsia" w:cs="宋体"/>
                <w:color w:val="auto"/>
                <w:spacing w:val="0"/>
                <w:kern w:val="0"/>
                <w:position w:val="0"/>
                <w:sz w:val="24"/>
                <w:lang w:val="en-US" w:eastAsia="zh-CN"/>
              </w:rPr>
              <w:t>预留工程：在南端设牵出线1条，有效长850m，未来到发线全部实施后，按尽端式预留还建整列货物装卸线2条，预留配套的货物堆场、生产用房等设施设备。后期随着货场运量的增长，适时建设预留工程。</w:t>
            </w:r>
          </w:p>
          <w:p w14:paraId="1C9A5205">
            <w:pPr>
              <w:numPr>
                <w:ilvl w:val="0"/>
                <w:numId w:val="0"/>
              </w:numPr>
              <w:adjustRightInd w:val="0"/>
              <w:snapToGrid w:val="0"/>
              <w:spacing w:line="360" w:lineRule="auto"/>
              <w:ind w:left="0" w:leftChars="0" w:firstLine="400" w:firstLineChars="0"/>
              <w:rPr>
                <w:rFonts w:hint="default" w:eastAsia="宋体" w:cs="宋体"/>
                <w:color w:val="auto"/>
                <w:spacing w:val="0"/>
                <w:kern w:val="0"/>
                <w:position w:val="0"/>
                <w:sz w:val="24"/>
                <w:lang w:val="en-US" w:eastAsia="zh-CN"/>
              </w:rPr>
            </w:pPr>
            <w:r>
              <w:rPr>
                <w:rFonts w:hint="eastAsia" w:cs="宋体"/>
                <w:color w:val="auto"/>
                <w:spacing w:val="0"/>
                <w:kern w:val="0"/>
                <w:position w:val="0"/>
                <w:sz w:val="24"/>
                <w:lang w:val="en-US" w:eastAsia="zh-CN"/>
              </w:rPr>
              <w:t>本次评价仅评价初期规模，不对远期预留工程进行评价。</w:t>
            </w:r>
          </w:p>
          <w:p w14:paraId="00BBE2F7">
            <w:pPr>
              <w:numPr>
                <w:ilvl w:val="0"/>
                <w:numId w:val="0"/>
              </w:numPr>
              <w:adjustRightInd w:val="0"/>
              <w:snapToGrid w:val="0"/>
              <w:spacing w:line="360" w:lineRule="auto"/>
              <w:jc w:val="center"/>
              <w:rPr>
                <w:rFonts w:hint="eastAsia" w:cs="宋体"/>
                <w:color w:val="auto"/>
                <w:spacing w:val="0"/>
                <w:kern w:val="0"/>
                <w:position w:val="0"/>
                <w:sz w:val="24"/>
              </w:rPr>
            </w:pPr>
            <w:r>
              <w:rPr>
                <w:rFonts w:hint="eastAsia" w:cs="宋体"/>
                <w:color w:val="auto"/>
                <w:spacing w:val="0"/>
                <w:kern w:val="0"/>
                <w:position w:val="0"/>
                <w:sz w:val="24"/>
              </w:rPr>
              <w:drawing>
                <wp:inline distT="0" distB="0" distL="114300" distR="114300">
                  <wp:extent cx="5335270" cy="3093085"/>
                  <wp:effectExtent l="0" t="0" r="17780" b="1206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5335270" cy="3093085"/>
                          </a:xfrm>
                          <a:prstGeom prst="rect">
                            <a:avLst/>
                          </a:prstGeom>
                          <a:noFill/>
                          <a:ln>
                            <a:noFill/>
                          </a:ln>
                        </pic:spPr>
                      </pic:pic>
                    </a:graphicData>
                  </a:graphic>
                </wp:inline>
              </w:drawing>
            </w:r>
          </w:p>
          <w:p w14:paraId="1BF94F51">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outlineLvl w:val="3"/>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b/>
                <w:bCs/>
                <w:color w:val="auto"/>
                <w:spacing w:val="0"/>
                <w:position w:val="0"/>
                <w:sz w:val="24"/>
                <w:szCs w:val="24"/>
                <w:lang w:eastAsia="zh-CN"/>
              </w:rPr>
              <w:t>（</w:t>
            </w:r>
            <w:r>
              <w:rPr>
                <w:rFonts w:hint="eastAsia" w:cs="Times New Roman"/>
                <w:b/>
                <w:bCs/>
                <w:color w:val="auto"/>
                <w:spacing w:val="0"/>
                <w:position w:val="0"/>
                <w:sz w:val="24"/>
                <w:szCs w:val="24"/>
                <w:lang w:val="en-US" w:eastAsia="zh-CN"/>
              </w:rPr>
              <w:t>4</w:t>
            </w:r>
            <w:r>
              <w:rPr>
                <w:rFonts w:hint="default" w:ascii="Times New Roman" w:hAnsi="Times New Roman" w:eastAsia="宋体" w:cs="Times New Roman"/>
                <w:b/>
                <w:bCs/>
                <w:color w:val="auto"/>
                <w:spacing w:val="0"/>
                <w:position w:val="0"/>
                <w:sz w:val="24"/>
                <w:szCs w:val="24"/>
                <w:lang w:eastAsia="zh-CN"/>
              </w:rPr>
              <w:t>）</w:t>
            </w:r>
            <w:r>
              <w:rPr>
                <w:rFonts w:hint="default" w:ascii="Times New Roman" w:hAnsi="Times New Roman" w:eastAsia="宋体" w:cs="Times New Roman"/>
                <w:b/>
                <w:bCs/>
                <w:color w:val="auto"/>
                <w:spacing w:val="0"/>
                <w:position w:val="0"/>
                <w:sz w:val="24"/>
                <w:szCs w:val="24"/>
              </w:rPr>
              <w:t>轨道</w:t>
            </w:r>
          </w:p>
          <w:p w14:paraId="084741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3"/>
              <w:rPr>
                <w:rFonts w:hint="eastAsia" w:ascii="Times New Roman" w:hAnsi="Times New Roman" w:eastAsia="宋体" w:cs="Times New Roman"/>
                <w:color w:val="auto"/>
                <w:spacing w:val="0"/>
                <w:kern w:val="2"/>
                <w:position w:val="0"/>
                <w:sz w:val="24"/>
                <w:szCs w:val="24"/>
                <w:lang w:val="en-US" w:eastAsia="zh-CN" w:bidi="ar-SA"/>
              </w:rPr>
            </w:pPr>
            <w:r>
              <w:rPr>
                <w:rFonts w:hint="eastAsia" w:ascii="Times New Roman" w:hAnsi="Times New Roman" w:eastAsia="宋体" w:cs="Times New Roman"/>
                <w:color w:val="auto"/>
                <w:spacing w:val="0"/>
                <w:kern w:val="2"/>
                <w:position w:val="0"/>
                <w:sz w:val="24"/>
                <w:szCs w:val="24"/>
                <w:lang w:val="en-US" w:eastAsia="zh-CN" w:bidi="ar-SA"/>
              </w:rPr>
              <w:t>本项目建设货场货物线，参照站线轨道设计，铺轨长1.571km。站线轨道类型按《站规》第16.1 条规定采用有砟轨道类型标准，按有缝线路轨道设计，一般线路铺设有砟轨道，轨道</w:t>
            </w:r>
            <w:r>
              <w:rPr>
                <w:rFonts w:hint="eastAsia" w:cs="Times New Roman"/>
                <w:color w:val="auto"/>
                <w:spacing w:val="0"/>
                <w:kern w:val="2"/>
                <w:position w:val="0"/>
                <w:sz w:val="24"/>
                <w:szCs w:val="24"/>
                <w:lang w:val="en-US" w:eastAsia="zh-CN" w:bidi="ar-SA"/>
              </w:rPr>
              <w:t>横</w:t>
            </w:r>
            <w:r>
              <w:rPr>
                <w:rFonts w:hint="eastAsia" w:ascii="Times New Roman" w:hAnsi="Times New Roman" w:eastAsia="宋体" w:cs="Times New Roman"/>
                <w:color w:val="auto"/>
                <w:spacing w:val="0"/>
                <w:kern w:val="2"/>
                <w:position w:val="0"/>
                <w:sz w:val="24"/>
                <w:szCs w:val="24"/>
                <w:lang w:val="en-US" w:eastAsia="zh-CN" w:bidi="ar-SA"/>
              </w:rPr>
              <w:t>地段铺设整体道床56.4m，整体道床与有砟轨道之间设5m过渡段，过渡段两处长度共计10m。</w:t>
            </w:r>
          </w:p>
          <w:p w14:paraId="4402AA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3"/>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①有砟轨道设计</w:t>
            </w:r>
          </w:p>
          <w:p w14:paraId="5820748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除轨道衡地段外，按有缝线路、有砟轨道标准设计。考虑近远结合，为减少废弃工程，本次6道按到发线轨道标准建设</w:t>
            </w:r>
            <w:r>
              <w:rPr>
                <w:rFonts w:hint="eastAsia" w:cs="Times New Roman"/>
                <w:color w:val="auto"/>
                <w:spacing w:val="0"/>
                <w:position w:val="0"/>
                <w:sz w:val="24"/>
                <w:szCs w:val="24"/>
                <w:lang w:val="en-US" w:eastAsia="zh-CN"/>
              </w:rPr>
              <w:t>。</w:t>
            </w:r>
          </w:p>
          <w:p w14:paraId="6E0234F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1）钢轨</w:t>
            </w:r>
          </w:p>
          <w:p w14:paraId="2EF8232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采用50kg/m、25m定尺长、U75V有螺栓孔新钢轨，钢轨技术要求满足《钢轨 第1部分：43kg/m～75kg/m钢轨》（TB/T 2344.1-2020）的相关规定</w:t>
            </w:r>
            <w:r>
              <w:rPr>
                <w:rFonts w:hint="default" w:ascii="Times New Roman" w:hAnsi="Times New Roman" w:eastAsia="宋体" w:cs="Times New Roman"/>
                <w:color w:val="auto"/>
                <w:spacing w:val="0"/>
                <w:position w:val="0"/>
                <w:sz w:val="24"/>
                <w:szCs w:val="24"/>
              </w:rPr>
              <w:t>。</w:t>
            </w:r>
          </w:p>
          <w:p w14:paraId="378DC6A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2）轨枕及扣件</w:t>
            </w:r>
          </w:p>
          <w:p w14:paraId="4D30818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到发线、其他站线及次要站线均采用XII型钢筋混凝土枕（研线0322），每千米铺设1600根；曲线半径小于300m的地段采用小半径专用混凝土枕；安全线、桥梁等需设置护轮轨地段采用桥枕</w:t>
            </w:r>
            <w:r>
              <w:rPr>
                <w:rFonts w:hint="default" w:ascii="Times New Roman" w:hAnsi="Times New Roman" w:eastAsia="宋体" w:cs="Times New Roman"/>
                <w:color w:val="auto"/>
                <w:spacing w:val="0"/>
                <w:position w:val="0"/>
                <w:sz w:val="24"/>
                <w:szCs w:val="24"/>
              </w:rPr>
              <w:t>。</w:t>
            </w:r>
          </w:p>
          <w:p w14:paraId="2293CED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根据确定的轨道类型采用轨枕扣件，站线混凝土枕地段采用弹条Ⅰ型扣件。其余要求按《铁路轨道设计规范》（TB10082-2017）第7.2条规定办理。</w:t>
            </w:r>
          </w:p>
          <w:p w14:paraId="36AF85F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3）道床</w:t>
            </w:r>
          </w:p>
          <w:p w14:paraId="08FE1D5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eastAsia" w:cs="Times New Roman"/>
                <w:color w:val="auto"/>
                <w:spacing w:val="0"/>
                <w:position w:val="0"/>
                <w:sz w:val="24"/>
                <w:szCs w:val="24"/>
                <w:lang w:val="en-US" w:eastAsia="zh-CN"/>
              </w:rPr>
              <w:t>新建6道</w:t>
            </w:r>
            <w:r>
              <w:rPr>
                <w:rFonts w:hint="default" w:ascii="Times New Roman" w:hAnsi="Times New Roman" w:eastAsia="宋体" w:cs="Times New Roman"/>
                <w:color w:val="auto"/>
                <w:spacing w:val="0"/>
                <w:position w:val="0"/>
                <w:sz w:val="24"/>
                <w:szCs w:val="24"/>
                <w:lang w:val="en-US" w:eastAsia="zh-CN"/>
              </w:rPr>
              <w:t>货物线道床面砟采用一级碎石道砟，土质路基采用双层道床，面砟20cm，底砟20cm；其他站线、次要站线采用单层道砟，面砟厚度不小于25cm。道床顶面宽度为2.9m，道床边坡1：1.5</w:t>
            </w:r>
            <w:r>
              <w:rPr>
                <w:rFonts w:hint="default" w:ascii="Times New Roman" w:hAnsi="Times New Roman" w:eastAsia="宋体" w:cs="Times New Roman"/>
                <w:color w:val="auto"/>
                <w:spacing w:val="0"/>
                <w:position w:val="0"/>
                <w:sz w:val="24"/>
                <w:szCs w:val="24"/>
              </w:rPr>
              <w:t>。</w:t>
            </w:r>
          </w:p>
          <w:p w14:paraId="05F1EE6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4）轨道加强设备</w:t>
            </w:r>
          </w:p>
          <w:p w14:paraId="64296E3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按《铁路轨道设计规范》（TB10082-2017）第10条相关规定办理</w:t>
            </w:r>
            <w:r>
              <w:rPr>
                <w:rFonts w:hint="default" w:ascii="Times New Roman" w:hAnsi="Times New Roman" w:eastAsia="宋体" w:cs="Times New Roman"/>
                <w:color w:val="auto"/>
                <w:spacing w:val="0"/>
                <w:position w:val="0"/>
                <w:sz w:val="24"/>
                <w:szCs w:val="24"/>
              </w:rPr>
              <w:t>。</w:t>
            </w:r>
          </w:p>
          <w:p w14:paraId="112A756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5）轨道高度</w:t>
            </w:r>
          </w:p>
          <w:p w14:paraId="30ED2346">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bCs/>
                <w:color w:val="auto"/>
                <w:spacing w:val="0"/>
                <w:position w:val="0"/>
                <w:sz w:val="24"/>
                <w:szCs w:val="24"/>
              </w:rPr>
              <w:t>表</w:t>
            </w:r>
            <w:r>
              <w:rPr>
                <w:rFonts w:hint="default" w:ascii="Times New Roman" w:hAnsi="Times New Roman" w:eastAsia="宋体" w:cs="Times New Roman"/>
                <w:b/>
                <w:bCs/>
                <w:color w:val="auto"/>
                <w:spacing w:val="0"/>
                <w:position w:val="0"/>
                <w:sz w:val="24"/>
                <w:szCs w:val="24"/>
                <w:lang w:val="en-US" w:eastAsia="zh-CN"/>
              </w:rPr>
              <w:t>2-5</w:t>
            </w:r>
            <w:r>
              <w:rPr>
                <w:rFonts w:hint="default" w:ascii="Times New Roman" w:hAnsi="Times New Roman" w:eastAsia="宋体" w:cs="Times New Roman"/>
                <w:b/>
                <w:bCs/>
                <w:color w:val="auto"/>
                <w:spacing w:val="0"/>
                <w:position w:val="0"/>
                <w:sz w:val="24"/>
                <w:szCs w:val="24"/>
              </w:rPr>
              <w:t>有砟轨道结构高度表</w:t>
            </w:r>
          </w:p>
          <w:tbl>
            <w:tblPr>
              <w:tblStyle w:val="29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44"/>
              <w:gridCol w:w="2235"/>
              <w:gridCol w:w="1969"/>
              <w:gridCol w:w="1969"/>
            </w:tblGrid>
            <w:tr w14:paraId="4661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33" w:type="pct"/>
                  <w:vAlign w:val="center"/>
                </w:tcPr>
                <w:p w14:paraId="61EC6F7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项目</w:t>
                  </w:r>
                </w:p>
              </w:tc>
              <w:tc>
                <w:tcPr>
                  <w:tcW w:w="1326" w:type="pct"/>
                  <w:vAlign w:val="center"/>
                </w:tcPr>
                <w:p w14:paraId="5247CC9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类型</w:t>
                  </w:r>
                </w:p>
              </w:tc>
              <w:tc>
                <w:tcPr>
                  <w:tcW w:w="1169" w:type="pct"/>
                  <w:vAlign w:val="center"/>
                </w:tcPr>
                <w:p w14:paraId="72A1C7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pacing w:val="0"/>
                      <w:position w:val="0"/>
                      <w:sz w:val="21"/>
                      <w:szCs w:val="21"/>
                      <w:lang w:val="en-US"/>
                    </w:rPr>
                  </w:pPr>
                  <w:r>
                    <w:rPr>
                      <w:rFonts w:hint="eastAsia" w:cs="Times New Roman"/>
                      <w:b/>
                      <w:bCs/>
                      <w:color w:val="auto"/>
                      <w:spacing w:val="0"/>
                      <w:position w:val="0"/>
                      <w:sz w:val="21"/>
                      <w:szCs w:val="21"/>
                      <w:lang w:val="en-US" w:eastAsia="zh-CN"/>
                    </w:rPr>
                    <w:t>6道</w:t>
                  </w:r>
                </w:p>
              </w:tc>
              <w:tc>
                <w:tcPr>
                  <w:tcW w:w="1169" w:type="pct"/>
                  <w:vAlign w:val="center"/>
                </w:tcPr>
                <w:p w14:paraId="3FDF62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bCs/>
                      <w:color w:val="auto"/>
                      <w:spacing w:val="0"/>
                      <w:position w:val="0"/>
                      <w:sz w:val="21"/>
                      <w:szCs w:val="21"/>
                      <w:lang w:val="en-US" w:eastAsia="zh-CN"/>
                    </w:rPr>
                  </w:pPr>
                  <w:r>
                    <w:rPr>
                      <w:rFonts w:hint="eastAsia" w:cs="Times New Roman"/>
                      <w:b/>
                      <w:bCs/>
                      <w:color w:val="auto"/>
                      <w:spacing w:val="0"/>
                      <w:position w:val="0"/>
                      <w:sz w:val="21"/>
                      <w:szCs w:val="21"/>
                      <w:lang w:val="en-US" w:eastAsia="zh-CN"/>
                    </w:rPr>
                    <w:t>其他站线</w:t>
                  </w:r>
                </w:p>
              </w:tc>
            </w:tr>
            <w:tr w14:paraId="1677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33" w:type="pct"/>
                  <w:vAlign w:val="center"/>
                </w:tcPr>
                <w:p w14:paraId="58613E6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钢轨</w:t>
                  </w:r>
                </w:p>
              </w:tc>
              <w:tc>
                <w:tcPr>
                  <w:tcW w:w="1326" w:type="pct"/>
                  <w:vAlign w:val="center"/>
                </w:tcPr>
                <w:p w14:paraId="49B404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50kg/m</w:t>
                  </w:r>
                </w:p>
              </w:tc>
              <w:tc>
                <w:tcPr>
                  <w:tcW w:w="1169" w:type="pct"/>
                  <w:vAlign w:val="center"/>
                </w:tcPr>
                <w:p w14:paraId="59ED666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0.152</w:t>
                  </w:r>
                </w:p>
              </w:tc>
              <w:tc>
                <w:tcPr>
                  <w:tcW w:w="2016" w:type="dxa"/>
                  <w:vAlign w:val="center"/>
                </w:tcPr>
                <w:p w14:paraId="574D32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0.152</w:t>
                  </w:r>
                </w:p>
              </w:tc>
            </w:tr>
            <w:tr w14:paraId="6430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33" w:type="pct"/>
                  <w:vAlign w:val="center"/>
                </w:tcPr>
                <w:p w14:paraId="0F0B2F4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垫板</w:t>
                  </w:r>
                </w:p>
              </w:tc>
              <w:tc>
                <w:tcPr>
                  <w:tcW w:w="1326" w:type="pct"/>
                  <w:vAlign w:val="center"/>
                </w:tcPr>
                <w:p w14:paraId="01A75F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橡胶</w:t>
                  </w:r>
                </w:p>
              </w:tc>
              <w:tc>
                <w:tcPr>
                  <w:tcW w:w="1169" w:type="pct"/>
                  <w:vAlign w:val="center"/>
                </w:tcPr>
                <w:p w14:paraId="6A9092E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0.01</w:t>
                  </w:r>
                </w:p>
              </w:tc>
              <w:tc>
                <w:tcPr>
                  <w:tcW w:w="2016" w:type="dxa"/>
                  <w:vAlign w:val="center"/>
                </w:tcPr>
                <w:p w14:paraId="633DF5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0.01</w:t>
                  </w:r>
                </w:p>
              </w:tc>
            </w:tr>
            <w:tr w14:paraId="4738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33" w:type="pct"/>
                  <w:vAlign w:val="center"/>
                </w:tcPr>
                <w:p w14:paraId="4B5385B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轨枕</w:t>
                  </w:r>
                </w:p>
              </w:tc>
              <w:tc>
                <w:tcPr>
                  <w:tcW w:w="1326" w:type="pct"/>
                  <w:vAlign w:val="center"/>
                </w:tcPr>
                <w:p w14:paraId="5A2AF98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新II型</w:t>
                  </w:r>
                </w:p>
              </w:tc>
              <w:tc>
                <w:tcPr>
                  <w:tcW w:w="1169" w:type="pct"/>
                  <w:vAlign w:val="center"/>
                </w:tcPr>
                <w:p w14:paraId="745A7CA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0.205</w:t>
                  </w:r>
                </w:p>
              </w:tc>
              <w:tc>
                <w:tcPr>
                  <w:tcW w:w="2016" w:type="dxa"/>
                  <w:vAlign w:val="center"/>
                </w:tcPr>
                <w:p w14:paraId="370F6B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0.205</w:t>
                  </w:r>
                </w:p>
              </w:tc>
            </w:tr>
            <w:tr w14:paraId="523E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33" w:type="pct"/>
                  <w:vAlign w:val="center"/>
                </w:tcPr>
                <w:p w14:paraId="4231D0F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道床</w:t>
                  </w:r>
                </w:p>
              </w:tc>
              <w:tc>
                <w:tcPr>
                  <w:tcW w:w="1326" w:type="pct"/>
                  <w:vAlign w:val="center"/>
                </w:tcPr>
                <w:p w14:paraId="39B27D3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碎石道砟</w:t>
                  </w:r>
                </w:p>
              </w:tc>
              <w:tc>
                <w:tcPr>
                  <w:tcW w:w="1169" w:type="pct"/>
                  <w:vAlign w:val="center"/>
                </w:tcPr>
                <w:p w14:paraId="429F5CA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0.40</w:t>
                  </w:r>
                </w:p>
              </w:tc>
              <w:tc>
                <w:tcPr>
                  <w:tcW w:w="2016" w:type="dxa"/>
                  <w:vAlign w:val="center"/>
                </w:tcPr>
                <w:p w14:paraId="64CFD8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0.25</w:t>
                  </w:r>
                </w:p>
              </w:tc>
            </w:tr>
            <w:tr w14:paraId="71510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60" w:type="pct"/>
                  <w:gridSpan w:val="2"/>
                  <w:vAlign w:val="center"/>
                </w:tcPr>
                <w:p w14:paraId="606451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轨底处最小轨道结构高度</w:t>
                  </w:r>
                </w:p>
              </w:tc>
              <w:tc>
                <w:tcPr>
                  <w:tcW w:w="1169" w:type="pct"/>
                  <w:vAlign w:val="center"/>
                </w:tcPr>
                <w:p w14:paraId="6E7300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0.767</w:t>
                  </w:r>
                </w:p>
              </w:tc>
              <w:tc>
                <w:tcPr>
                  <w:tcW w:w="2016" w:type="dxa"/>
                  <w:vAlign w:val="center"/>
                </w:tcPr>
                <w:p w14:paraId="61B10F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0.617</w:t>
                  </w:r>
                </w:p>
              </w:tc>
            </w:tr>
          </w:tbl>
          <w:p w14:paraId="188A33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cs="Times New Roman"/>
                <w:color w:val="auto"/>
                <w:spacing w:val="0"/>
                <w:kern w:val="2"/>
                <w:position w:val="0"/>
                <w:sz w:val="24"/>
                <w:szCs w:val="24"/>
                <w:lang w:val="en-US" w:eastAsia="zh-CN" w:bidi="ar-SA"/>
              </w:rPr>
              <w:t>6）</w:t>
            </w:r>
            <w:r>
              <w:rPr>
                <w:rFonts w:hint="default" w:ascii="Times New Roman" w:hAnsi="Times New Roman" w:eastAsia="宋体" w:cs="Times New Roman"/>
                <w:color w:val="auto"/>
                <w:spacing w:val="0"/>
                <w:position w:val="0"/>
                <w:sz w:val="24"/>
                <w:szCs w:val="24"/>
              </w:rPr>
              <w:t>道岔</w:t>
            </w:r>
          </w:p>
          <w:p w14:paraId="2B7C5C9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新铺12号单开道岔采用50kg/m-12号单开混凝土岔枕道岔（研线1512）</w:t>
            </w:r>
            <w:r>
              <w:rPr>
                <w:rFonts w:hint="eastAsia" w:cs="Times New Roman"/>
                <w:color w:val="auto"/>
                <w:spacing w:val="0"/>
                <w:position w:val="0"/>
                <w:sz w:val="24"/>
                <w:szCs w:val="24"/>
                <w:lang w:val="en-US" w:eastAsia="zh-CN"/>
              </w:rPr>
              <w:t>。</w:t>
            </w:r>
          </w:p>
          <w:p w14:paraId="0B7C7D8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新铺9号单开道岔采用50kg/m-9号单开混凝土岔枕道岔（研线1509）</w:t>
            </w:r>
            <w:r>
              <w:rPr>
                <w:rFonts w:hint="default" w:ascii="Times New Roman" w:hAnsi="Times New Roman" w:eastAsia="宋体" w:cs="Times New Roman"/>
                <w:color w:val="auto"/>
                <w:spacing w:val="0"/>
                <w:position w:val="0"/>
                <w:sz w:val="24"/>
                <w:szCs w:val="24"/>
              </w:rPr>
              <w:t>。</w:t>
            </w:r>
          </w:p>
          <w:p w14:paraId="4C8C3E8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eastAsia" w:cs="Times New Roman"/>
                <w:b w:val="0"/>
                <w:bCs w:val="0"/>
                <w:color w:val="auto"/>
                <w:spacing w:val="0"/>
                <w:position w:val="0"/>
                <w:sz w:val="24"/>
                <w:szCs w:val="24"/>
                <w:lang w:val="en-US" w:eastAsia="zh-CN"/>
              </w:rPr>
              <w:t>7）既有线改善</w:t>
            </w:r>
          </w:p>
          <w:p w14:paraId="33DC866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b w:val="0"/>
                <w:bCs w:val="0"/>
                <w:color w:val="auto"/>
                <w:spacing w:val="0"/>
                <w:position w:val="0"/>
                <w:sz w:val="24"/>
                <w:szCs w:val="24"/>
                <w:lang w:eastAsia="zh-CN"/>
              </w:rPr>
            </w:pPr>
            <w:r>
              <w:rPr>
                <w:rFonts w:hint="default" w:ascii="Times New Roman" w:hAnsi="Times New Roman" w:eastAsia="宋体" w:cs="Times New Roman"/>
                <w:b w:val="0"/>
                <w:bCs w:val="0"/>
                <w:color w:val="auto"/>
                <w:spacing w:val="0"/>
                <w:position w:val="0"/>
                <w:sz w:val="24"/>
                <w:szCs w:val="24"/>
                <w:lang w:val="en-US" w:eastAsia="zh-CN"/>
              </w:rPr>
              <w:t>起（落）道：线路抬高量小于0.5m按起道计列工程数量，大于0.5m按拆铺计列工程数量；落道量小于0.2m按落道计列工程数量，大于0.2m按拆铺计列工程数量。</w:t>
            </w:r>
          </w:p>
          <w:p w14:paraId="7B28EDB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改移、改拨：小于0.3m按改拨计列工程数量；0.3～2.0m（含2.0m）按改移计列工程数量；改移量超过2.0m、起道过高或落道过低需动路基、原轨道标准与设计标准不符及利用拆除线路等均作为拆铺。</w:t>
            </w:r>
          </w:p>
          <w:p w14:paraId="36DD767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b w:val="0"/>
                <w:bCs w:val="0"/>
                <w:color w:val="auto"/>
                <w:spacing w:val="0"/>
                <w:position w:val="0"/>
                <w:sz w:val="24"/>
                <w:szCs w:val="24"/>
                <w:lang w:val="en-US" w:eastAsia="zh-CN"/>
              </w:rPr>
            </w:pPr>
            <w:r>
              <w:rPr>
                <w:rFonts w:hint="eastAsia" w:cs="Times New Roman"/>
                <w:b w:val="0"/>
                <w:bCs w:val="0"/>
                <w:color w:val="auto"/>
                <w:spacing w:val="0"/>
                <w:position w:val="0"/>
                <w:sz w:val="24"/>
                <w:szCs w:val="24"/>
                <w:lang w:val="en-US" w:eastAsia="zh-CN"/>
              </w:rPr>
              <w:t>8）挡砟墙</w:t>
            </w:r>
          </w:p>
          <w:p w14:paraId="2189898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b w:val="0"/>
                <w:bCs w:val="0"/>
                <w:color w:val="auto"/>
                <w:spacing w:val="0"/>
                <w:position w:val="0"/>
                <w:sz w:val="24"/>
                <w:szCs w:val="24"/>
                <w:lang w:eastAsia="zh-CN"/>
              </w:rPr>
            </w:pPr>
            <w:r>
              <w:rPr>
                <w:rFonts w:hint="default" w:ascii="Times New Roman" w:hAnsi="Times New Roman" w:eastAsia="宋体" w:cs="Times New Roman"/>
                <w:b w:val="0"/>
                <w:bCs w:val="0"/>
                <w:color w:val="auto"/>
                <w:spacing w:val="0"/>
                <w:position w:val="0"/>
                <w:sz w:val="24"/>
                <w:szCs w:val="24"/>
                <w:lang w:val="en-US" w:eastAsia="zh-CN"/>
              </w:rPr>
              <w:t>装卸线应考虑现浇C25混凝土挡砟墙</w:t>
            </w:r>
            <w:r>
              <w:rPr>
                <w:rFonts w:hint="eastAsia" w:cs="Times New Roman"/>
                <w:b w:val="0"/>
                <w:bCs w:val="0"/>
                <w:color w:val="auto"/>
                <w:spacing w:val="0"/>
                <w:position w:val="0"/>
                <w:sz w:val="24"/>
                <w:szCs w:val="24"/>
                <w:lang w:val="en-US" w:eastAsia="zh-CN"/>
              </w:rPr>
              <w:t>。</w:t>
            </w:r>
          </w:p>
          <w:p w14:paraId="4627B3D4">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lang w:eastAsia="zh-CN"/>
              </w:rPr>
              <w:t>（</w:t>
            </w:r>
            <w:r>
              <w:rPr>
                <w:rFonts w:hint="eastAsia" w:cs="Times New Roman"/>
                <w:b/>
                <w:bCs/>
                <w:color w:val="auto"/>
                <w:spacing w:val="0"/>
                <w:position w:val="0"/>
                <w:sz w:val="24"/>
                <w:szCs w:val="24"/>
                <w:lang w:val="en-US" w:eastAsia="zh-CN"/>
              </w:rPr>
              <w:t>5</w:t>
            </w:r>
            <w:r>
              <w:rPr>
                <w:rFonts w:hint="default" w:ascii="Times New Roman" w:hAnsi="Times New Roman" w:eastAsia="宋体" w:cs="Times New Roman"/>
                <w:b/>
                <w:bCs/>
                <w:color w:val="auto"/>
                <w:spacing w:val="0"/>
                <w:position w:val="0"/>
                <w:sz w:val="24"/>
                <w:szCs w:val="24"/>
                <w:lang w:eastAsia="zh-CN"/>
              </w:rPr>
              <w:t>）</w:t>
            </w:r>
            <w:r>
              <w:rPr>
                <w:rFonts w:hint="default" w:ascii="Times New Roman" w:hAnsi="Times New Roman" w:eastAsia="宋体" w:cs="Times New Roman"/>
                <w:b/>
                <w:bCs/>
                <w:color w:val="auto"/>
                <w:spacing w:val="0"/>
                <w:position w:val="0"/>
                <w:sz w:val="24"/>
                <w:szCs w:val="24"/>
              </w:rPr>
              <w:t>整体道床</w:t>
            </w:r>
          </w:p>
          <w:p w14:paraId="022B60F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初期工程设轨道衡1座，根据设备要求设置整体道床。整体道床按《铁路轨道设计规范》（TB10082-2017）第6条规定办理。整体道床长56.4m，整体道床与有砟轨道之间设5m过渡段。无砟轨道应采用配套弹性扣件，轨道板或道床板内钢筋应进行接地和绝缘，轨道结构应根据线下基础和环境条件设置性能良好的防排水系统</w:t>
            </w:r>
            <w:r>
              <w:rPr>
                <w:rFonts w:hint="default" w:ascii="Times New Roman" w:hAnsi="Times New Roman" w:eastAsia="宋体" w:cs="Times New Roman"/>
                <w:color w:val="auto"/>
                <w:spacing w:val="0"/>
                <w:position w:val="0"/>
                <w:sz w:val="24"/>
                <w:szCs w:val="24"/>
              </w:rPr>
              <w:t>。</w:t>
            </w:r>
          </w:p>
          <w:p w14:paraId="4EC2BF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①</w:t>
            </w:r>
            <w:r>
              <w:rPr>
                <w:rFonts w:hint="default" w:ascii="Times New Roman" w:hAnsi="Times New Roman" w:eastAsia="宋体" w:cs="Times New Roman"/>
                <w:color w:val="auto"/>
                <w:spacing w:val="0"/>
                <w:position w:val="0"/>
                <w:sz w:val="24"/>
                <w:szCs w:val="24"/>
              </w:rPr>
              <w:t>钢轨</w:t>
            </w:r>
          </w:p>
          <w:p w14:paraId="1FED948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采用50kg/m、25m定尺长、U75V有孔新轨；钢轨接头避免设在轨道衡衡体地段</w:t>
            </w:r>
            <w:r>
              <w:rPr>
                <w:rFonts w:hint="default" w:ascii="Times New Roman" w:hAnsi="Times New Roman" w:eastAsia="宋体" w:cs="Times New Roman"/>
                <w:color w:val="auto"/>
                <w:spacing w:val="0"/>
                <w:position w:val="0"/>
                <w:sz w:val="24"/>
                <w:szCs w:val="24"/>
              </w:rPr>
              <w:t>。</w:t>
            </w:r>
          </w:p>
          <w:p w14:paraId="62CF2E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②</w:t>
            </w:r>
            <w:r>
              <w:rPr>
                <w:rFonts w:hint="default" w:ascii="Times New Roman" w:hAnsi="Times New Roman" w:eastAsia="宋体" w:cs="Times New Roman"/>
                <w:color w:val="auto"/>
                <w:spacing w:val="0"/>
                <w:position w:val="0"/>
                <w:sz w:val="24"/>
                <w:szCs w:val="24"/>
              </w:rPr>
              <w:t>轨枕及扣件</w:t>
            </w:r>
          </w:p>
          <w:p w14:paraId="3C87FA3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轨道衡两侧整体道床采用新Ⅱ型混凝土枕，间距570mm，道床顶面与轨枕中部顶面平齐；轨道衡衡体地段采用A型专用钢轨枕和B型专用钢轨枕，间距620mm。轨道衡两侧采用与新Ⅱ型混凝土枕相适用的弹条Ⅰ型扣件；轨道衡衡体地段铺设与A型专用钢轨枕和B型专用钢轨枕相配套扣件。</w:t>
            </w:r>
          </w:p>
          <w:p w14:paraId="31528A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③</w:t>
            </w:r>
            <w:r>
              <w:rPr>
                <w:rFonts w:hint="default" w:ascii="Times New Roman" w:hAnsi="Times New Roman" w:eastAsia="宋体" w:cs="Times New Roman"/>
                <w:color w:val="auto"/>
                <w:spacing w:val="0"/>
                <w:position w:val="0"/>
                <w:sz w:val="24"/>
                <w:szCs w:val="24"/>
              </w:rPr>
              <w:t>道床板</w:t>
            </w:r>
          </w:p>
          <w:p w14:paraId="40008CE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轨道衡两侧道床板采用C40钢筋混凝土现场整体浇筑，宽度为3000mm，厚度为540mm。道床板采用单元结构，分块长度6250mm</w:t>
            </w:r>
            <w:r>
              <w:rPr>
                <w:rFonts w:hint="eastAsia"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val="en-US" w:eastAsia="zh-CN"/>
              </w:rPr>
              <w:t>轨道衡衡体地段道床板采用C40钢筋混凝土现场整体浇筑，长度为6240mm</w:t>
            </w:r>
            <w:r>
              <w:rPr>
                <w:rFonts w:hint="eastAsia"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val="en-US" w:eastAsia="zh-CN"/>
              </w:rPr>
              <w:t>宽度为3000mm，厚度为500mm。相邻道床板间设宽20mm伸缩缝。伸缩缝在两轨枕的中间设置，采用聚乙烯泡沫塑料板填充。伸缩缝在两轨枕的中间设置；轨道衡道床板不设伸缩缝。</w:t>
            </w:r>
          </w:p>
          <w:p w14:paraId="0315D4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④</w:t>
            </w:r>
            <w:r>
              <w:rPr>
                <w:rFonts w:hint="default" w:ascii="Times New Roman" w:hAnsi="Times New Roman" w:eastAsia="宋体" w:cs="Times New Roman"/>
                <w:color w:val="auto"/>
                <w:spacing w:val="0"/>
                <w:position w:val="0"/>
                <w:sz w:val="24"/>
                <w:szCs w:val="24"/>
              </w:rPr>
              <w:t>底座或支撑层</w:t>
            </w:r>
          </w:p>
          <w:p w14:paraId="2E1B338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底座结构设计根据列车荷载、温度荷载及混凝土收缩等共同作用，并考虑下部基础变形的影响，进行承载能力、裂缝宽度等检算轨道衡衡体地段和轨道衡两侧道床板下设置C20素混凝土支承层，支承层宽度在衡体范围内为3400mm，衡体范围外为3000mm，厚度为396mm。支承层对应道床板伸缩缝处设置假缝，假缝深度70mm，缝宽3mm～5mm。</w:t>
            </w:r>
          </w:p>
          <w:p w14:paraId="0E97A3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⑤</w:t>
            </w:r>
            <w:r>
              <w:rPr>
                <w:rFonts w:hint="default" w:ascii="Times New Roman" w:hAnsi="Times New Roman" w:eastAsia="宋体" w:cs="Times New Roman"/>
                <w:color w:val="auto"/>
                <w:spacing w:val="0"/>
                <w:position w:val="0"/>
                <w:sz w:val="24"/>
                <w:szCs w:val="24"/>
              </w:rPr>
              <w:t>过渡段</w:t>
            </w:r>
          </w:p>
          <w:p w14:paraId="65A8C0D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整休道床与碎石道床间设5m长过渡段,过渡段采用新II型混凝土枕，1600根/km，弹条I型扣件。道昨厚度为400mm；道床底部设置C30钢筋混凝土搭板，厚度为200mm，宽度为2900mm</w:t>
            </w:r>
            <w:r>
              <w:rPr>
                <w:rFonts w:hint="default" w:ascii="Times New Roman" w:hAnsi="Times New Roman" w:eastAsia="宋体" w:cs="Times New Roman"/>
                <w:color w:val="auto"/>
                <w:spacing w:val="0"/>
                <w:position w:val="0"/>
                <w:sz w:val="24"/>
                <w:szCs w:val="24"/>
              </w:rPr>
              <w:t>。</w:t>
            </w:r>
          </w:p>
          <w:p w14:paraId="04830D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spacing w:val="0"/>
                <w:kern w:val="2"/>
                <w:position w:val="0"/>
                <w:sz w:val="24"/>
                <w:szCs w:val="24"/>
                <w:lang w:val="en-US" w:eastAsia="zh-CN" w:bidi="ar-SA"/>
              </w:rPr>
            </w:pPr>
            <w:r>
              <w:rPr>
                <w:rFonts w:hint="eastAsia" w:ascii="Times New Roman" w:hAnsi="Times New Roman" w:eastAsia="宋体" w:cs="Times New Roman"/>
                <w:color w:val="auto"/>
                <w:spacing w:val="0"/>
                <w:kern w:val="2"/>
                <w:position w:val="0"/>
                <w:sz w:val="24"/>
                <w:szCs w:val="24"/>
                <w:lang w:val="en-US" w:eastAsia="zh-CN" w:bidi="ar-SA"/>
              </w:rPr>
              <w:t>⑥伸缩缝填料</w:t>
            </w:r>
          </w:p>
          <w:p w14:paraId="277204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color w:val="auto"/>
                <w:spacing w:val="0"/>
                <w:kern w:val="2"/>
                <w:position w:val="0"/>
                <w:sz w:val="24"/>
                <w:szCs w:val="24"/>
                <w:lang w:val="en-US" w:eastAsia="zh-CN" w:bidi="ar-SA"/>
              </w:rPr>
            </w:pPr>
            <w:r>
              <w:rPr>
                <w:rFonts w:hint="eastAsia" w:ascii="Times New Roman" w:hAnsi="Times New Roman" w:eastAsia="宋体" w:cs="Times New Roman"/>
                <w:color w:val="auto"/>
                <w:spacing w:val="0"/>
                <w:kern w:val="2"/>
                <w:position w:val="0"/>
                <w:sz w:val="24"/>
                <w:szCs w:val="24"/>
                <w:lang w:val="en-US" w:eastAsia="zh-CN" w:bidi="ar-SA"/>
              </w:rPr>
              <w:t>采用聚乙烯泡沫塑料板填缝，并用聚氨酯材料密封。伸缩缝材料性能满足《铁路无砟轨道嵌缝材料》（Q/CR 601-2017）的相关规定</w:t>
            </w:r>
            <w:r>
              <w:rPr>
                <w:rFonts w:hint="eastAsia" w:cs="Times New Roman"/>
                <w:color w:val="auto"/>
                <w:spacing w:val="0"/>
                <w:kern w:val="2"/>
                <w:position w:val="0"/>
                <w:sz w:val="24"/>
                <w:szCs w:val="24"/>
                <w:lang w:val="en-US" w:eastAsia="zh-CN" w:bidi="ar-SA"/>
              </w:rPr>
              <w:t>。</w:t>
            </w:r>
          </w:p>
          <w:p w14:paraId="5810F3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cs="Times New Roman"/>
                <w:color w:val="auto"/>
                <w:spacing w:val="0"/>
                <w:position w:val="0"/>
                <w:sz w:val="24"/>
                <w:szCs w:val="24"/>
                <w:lang w:val="en-US" w:eastAsia="zh-CN"/>
              </w:rPr>
              <w:t>⑦</w:t>
            </w:r>
            <w:r>
              <w:rPr>
                <w:rFonts w:hint="default" w:ascii="Times New Roman" w:hAnsi="Times New Roman" w:eastAsia="宋体" w:cs="Times New Roman"/>
                <w:color w:val="auto"/>
                <w:spacing w:val="0"/>
                <w:position w:val="0"/>
                <w:sz w:val="24"/>
                <w:szCs w:val="24"/>
              </w:rPr>
              <w:t>基础处理</w:t>
            </w:r>
          </w:p>
          <w:p w14:paraId="3A57782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整体道床及轨道过渡段范围要求基础不均匀沉降小于15mm/20m，差异沉降不大于5mm，不均匀沉降造成的折角不大于1/1000，工后总沉降小于 20mm，地基承载力≥160kPa</w:t>
            </w:r>
            <w:r>
              <w:rPr>
                <w:rFonts w:hint="default" w:ascii="Times New Roman" w:hAnsi="Times New Roman" w:eastAsia="宋体" w:cs="Times New Roman"/>
                <w:color w:val="auto"/>
                <w:spacing w:val="0"/>
                <w:position w:val="0"/>
                <w:sz w:val="24"/>
                <w:szCs w:val="24"/>
              </w:rPr>
              <w:t>。</w:t>
            </w:r>
          </w:p>
          <w:p w14:paraId="728C4986">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lang w:eastAsia="zh-CN"/>
              </w:rPr>
              <w:t>（</w:t>
            </w:r>
            <w:r>
              <w:rPr>
                <w:rFonts w:hint="eastAsia" w:cs="Times New Roman"/>
                <w:b/>
                <w:bCs/>
                <w:color w:val="auto"/>
                <w:spacing w:val="0"/>
                <w:position w:val="0"/>
                <w:sz w:val="24"/>
                <w:szCs w:val="24"/>
                <w:lang w:val="en-US" w:eastAsia="zh-CN"/>
              </w:rPr>
              <w:t>6</w:t>
            </w:r>
            <w:r>
              <w:rPr>
                <w:rFonts w:hint="default" w:ascii="Times New Roman" w:hAnsi="Times New Roman" w:eastAsia="宋体" w:cs="Times New Roman"/>
                <w:b/>
                <w:bCs/>
                <w:color w:val="auto"/>
                <w:spacing w:val="0"/>
                <w:position w:val="0"/>
                <w:sz w:val="24"/>
                <w:szCs w:val="24"/>
                <w:lang w:eastAsia="zh-CN"/>
              </w:rPr>
              <w:t>）</w:t>
            </w:r>
            <w:r>
              <w:rPr>
                <w:rFonts w:hint="default" w:ascii="Times New Roman" w:hAnsi="Times New Roman" w:eastAsia="宋体" w:cs="Times New Roman"/>
                <w:b/>
                <w:bCs/>
                <w:color w:val="auto"/>
                <w:spacing w:val="0"/>
                <w:position w:val="0"/>
                <w:sz w:val="24"/>
                <w:szCs w:val="24"/>
              </w:rPr>
              <w:t>轨道附属设备和常备材料</w:t>
            </w:r>
          </w:p>
          <w:p w14:paraId="0EF787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①</w:t>
            </w:r>
            <w:r>
              <w:rPr>
                <w:rFonts w:hint="default" w:ascii="Times New Roman" w:hAnsi="Times New Roman" w:eastAsia="宋体" w:cs="Times New Roman"/>
                <w:color w:val="auto"/>
                <w:spacing w:val="0"/>
                <w:position w:val="0"/>
                <w:sz w:val="24"/>
                <w:szCs w:val="24"/>
              </w:rPr>
              <w:t>轨道附属设备</w:t>
            </w:r>
          </w:p>
          <w:p w14:paraId="7DF6E9B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依据《铁路轨道设计规范（TB10082-2017）》第10条规定执行。在电力牵引区段曲线半径小于等于600m和其他牵引区段半径小于或等于350m的曲线地段设置轨距杆或轨撑。装设轨道电路时，设置绝缘轨距杆。铁路线路安全保护区标志、铁路线路安全保护标志及警示标志的设置应符合相关标准的规定</w:t>
            </w:r>
            <w:r>
              <w:rPr>
                <w:rFonts w:hint="eastAsia" w:cs="Times New Roman"/>
                <w:color w:val="auto"/>
                <w:spacing w:val="0"/>
                <w:position w:val="0"/>
                <w:sz w:val="24"/>
                <w:szCs w:val="24"/>
                <w:lang w:val="en-US" w:eastAsia="zh-CN"/>
              </w:rPr>
              <w:t>。</w:t>
            </w:r>
          </w:p>
          <w:p w14:paraId="413FED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②</w:t>
            </w:r>
            <w:r>
              <w:rPr>
                <w:rFonts w:hint="default" w:ascii="Times New Roman" w:hAnsi="Times New Roman" w:eastAsia="宋体" w:cs="Times New Roman"/>
                <w:color w:val="auto"/>
                <w:spacing w:val="0"/>
                <w:position w:val="0"/>
                <w:sz w:val="24"/>
                <w:szCs w:val="24"/>
              </w:rPr>
              <w:t>常备材料</w:t>
            </w:r>
          </w:p>
          <w:p w14:paraId="2CF2067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轨道常备材料种类及数量应满足故障抢修需要。依据《铁路轨道设计规范（TB10082-2017）》第10.0.5条规定执行。</w:t>
            </w:r>
          </w:p>
          <w:p w14:paraId="1F103E54">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w:t>
            </w:r>
            <w:r>
              <w:rPr>
                <w:rFonts w:hint="eastAsia" w:cs="Times New Roman"/>
                <w:b/>
                <w:bCs/>
                <w:color w:val="auto"/>
                <w:spacing w:val="0"/>
                <w:position w:val="0"/>
                <w:sz w:val="24"/>
                <w:szCs w:val="24"/>
                <w:lang w:val="en-US" w:eastAsia="zh-CN"/>
              </w:rPr>
              <w:t>7</w:t>
            </w:r>
            <w:r>
              <w:rPr>
                <w:rFonts w:hint="default" w:ascii="Times New Roman" w:hAnsi="Times New Roman" w:eastAsia="宋体" w:cs="Times New Roman"/>
                <w:b/>
                <w:bCs/>
                <w:color w:val="auto"/>
                <w:spacing w:val="0"/>
                <w:position w:val="0"/>
                <w:sz w:val="24"/>
                <w:szCs w:val="24"/>
              </w:rPr>
              <w:t>）站场路基</w:t>
            </w:r>
          </w:p>
          <w:p w14:paraId="1F2F5986">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eastAsia" w:cs="Times New Roman"/>
                <w:b/>
                <w:bCs/>
                <w:color w:val="auto"/>
                <w:spacing w:val="0"/>
                <w:position w:val="0"/>
                <w:sz w:val="24"/>
                <w:szCs w:val="24"/>
                <w:lang w:val="en-US" w:eastAsia="zh-CN"/>
              </w:rPr>
            </w:pPr>
            <w:r>
              <w:rPr>
                <w:rFonts w:hint="eastAsia" w:cs="Times New Roman"/>
                <w:b/>
                <w:bCs/>
                <w:color w:val="auto"/>
                <w:spacing w:val="0"/>
                <w:position w:val="0"/>
                <w:sz w:val="24"/>
                <w:szCs w:val="24"/>
                <w:lang w:val="en-US" w:eastAsia="zh-CN"/>
              </w:rPr>
              <w:t>路基工程概况</w:t>
            </w:r>
          </w:p>
          <w:p w14:paraId="79FC724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云约站铁路货场改造工程位于广西壮族自治区防城港市云约站，本次工程路基部分均为站场路基，按照《铁路车站及枢纽设计规范）》（TB10099-2017）设计，并参考《铁路路基设计规范》（TB10001-2016）</w:t>
            </w:r>
            <w:r>
              <w:rPr>
                <w:rFonts w:hint="default" w:ascii="Times New Roman" w:hAnsi="Times New Roman" w:eastAsia="宋体" w:cs="Times New Roman"/>
                <w:color w:val="auto"/>
                <w:spacing w:val="0"/>
                <w:position w:val="0"/>
                <w:sz w:val="24"/>
                <w:szCs w:val="24"/>
              </w:rPr>
              <w:t>。</w:t>
            </w:r>
          </w:p>
          <w:p w14:paraId="1BBF8C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lang w:val="en-US"/>
              </w:rPr>
            </w:pPr>
            <w:r>
              <w:rPr>
                <w:rFonts w:hint="eastAsia" w:ascii="Times New Roman" w:hAnsi="Times New Roman" w:eastAsia="宋体" w:cs="Times New Roman"/>
                <w:color w:val="auto"/>
                <w:spacing w:val="0"/>
                <w:kern w:val="2"/>
                <w:position w:val="0"/>
                <w:sz w:val="24"/>
                <w:szCs w:val="24"/>
                <w:lang w:val="en-US" w:eastAsia="zh-CN" w:bidi="ar-SA"/>
              </w:rPr>
              <w:t>①</w:t>
            </w:r>
            <w:r>
              <w:rPr>
                <w:rFonts w:hint="eastAsia" w:cs="Times New Roman"/>
                <w:color w:val="auto"/>
                <w:spacing w:val="0"/>
                <w:kern w:val="2"/>
                <w:position w:val="0"/>
                <w:sz w:val="24"/>
                <w:szCs w:val="24"/>
                <w:lang w:val="en-US" w:eastAsia="zh-CN" w:bidi="ar-SA"/>
              </w:rPr>
              <w:t>路基面宽度</w:t>
            </w:r>
          </w:p>
          <w:p w14:paraId="606111D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站线中心线至路基边缘的宽度：非电气化铁路及各种电（光）缆沟槽不设于路肩上时，车场最外侧线路不应小于3.0m；有列检作业的车场最外侧线路不应小于4.0m；困难条件下，采用挡砟墙时不应小于3.5m；最外侧梯线和平面调车牵出线有调车人员上、下车作业的一侧不小于3.5m。在电气化区段及需要在路基改扩建路肩立接触网支柱时，还应考虑触网支柱基础宽度要求。</w:t>
            </w:r>
          </w:p>
          <w:p w14:paraId="0EA978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②</w:t>
            </w:r>
            <w:r>
              <w:rPr>
                <w:rFonts w:hint="default" w:ascii="Times New Roman" w:hAnsi="Times New Roman" w:eastAsia="宋体" w:cs="Times New Roman"/>
                <w:color w:val="auto"/>
                <w:spacing w:val="0"/>
                <w:position w:val="0"/>
                <w:sz w:val="24"/>
                <w:szCs w:val="24"/>
              </w:rPr>
              <w:t>路基形式</w:t>
            </w:r>
          </w:p>
          <w:p w14:paraId="46B5043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场路基设计需结合远期线路排水及堆场设备要求，站场路基面设2%~4%的单面排水横坡</w:t>
            </w:r>
            <w:r>
              <w:rPr>
                <w:rFonts w:hint="default" w:ascii="Times New Roman" w:hAnsi="Times New Roman" w:eastAsia="宋体" w:cs="Times New Roman"/>
                <w:color w:val="auto"/>
                <w:spacing w:val="0"/>
                <w:position w:val="0"/>
                <w:sz w:val="24"/>
                <w:szCs w:val="24"/>
              </w:rPr>
              <w:t>。</w:t>
            </w:r>
          </w:p>
          <w:p w14:paraId="278FE6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③</w:t>
            </w:r>
            <w:r>
              <w:rPr>
                <w:rFonts w:hint="default" w:ascii="Times New Roman" w:hAnsi="Times New Roman" w:eastAsia="宋体" w:cs="Times New Roman"/>
                <w:color w:val="auto"/>
                <w:spacing w:val="0"/>
                <w:position w:val="0"/>
                <w:sz w:val="24"/>
                <w:szCs w:val="24"/>
              </w:rPr>
              <w:t>路基基床及压实标准</w:t>
            </w:r>
          </w:p>
          <w:p w14:paraId="5E9CB42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1）路基基床</w:t>
            </w:r>
          </w:p>
          <w:p w14:paraId="69C403D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站线路基基床分为表层和底层两部分，总厚度1.2m。基床表层厚度为0.3m，底层厚0.9m</w:t>
            </w:r>
            <w:r>
              <w:rPr>
                <w:rFonts w:hint="default" w:ascii="Times New Roman" w:hAnsi="Times New Roman" w:eastAsia="宋体" w:cs="Times New Roman"/>
                <w:color w:val="auto"/>
                <w:spacing w:val="0"/>
                <w:position w:val="0"/>
                <w:sz w:val="24"/>
                <w:szCs w:val="24"/>
              </w:rPr>
              <w:t>。</w:t>
            </w:r>
          </w:p>
          <w:p w14:paraId="4E68BC3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2）路基填料</w:t>
            </w:r>
          </w:p>
          <w:p w14:paraId="239EEE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kern w:val="2"/>
                <w:position w:val="0"/>
                <w:sz w:val="24"/>
                <w:szCs w:val="24"/>
                <w:lang w:val="en-US" w:eastAsia="zh-CN" w:bidi="ar-SA"/>
              </w:rPr>
              <w:t>a.</w:t>
            </w:r>
            <w:r>
              <w:rPr>
                <w:rFonts w:hint="default" w:ascii="Times New Roman" w:hAnsi="Times New Roman" w:eastAsia="宋体" w:cs="Times New Roman"/>
                <w:color w:val="auto"/>
                <w:spacing w:val="0"/>
                <w:position w:val="0"/>
                <w:sz w:val="24"/>
                <w:szCs w:val="24"/>
                <w:lang w:val="en-US" w:eastAsia="zh-CN"/>
              </w:rPr>
              <w:t>路堤基床表层可选用 AB 组填料，路堤基床表层填料颗粒粒径不应大于100mm；与既有线路基相衔接的地段，较既有路基面高时考虑采用渗</w:t>
            </w:r>
            <w:r>
              <w:rPr>
                <w:rFonts w:hint="default" w:ascii="Times New Roman" w:hAnsi="Times New Roman" w:eastAsia="宋体" w:cs="Times New Roman"/>
                <w:color w:val="auto"/>
                <w:spacing w:val="0"/>
                <w:kern w:val="2"/>
                <w:position w:val="0"/>
                <w:sz w:val="24"/>
                <w:szCs w:val="24"/>
                <w:lang w:val="en-US" w:eastAsia="zh-CN" w:bidi="ar-SA"/>
              </w:rPr>
              <w:t>.</w:t>
            </w:r>
            <w:r>
              <w:rPr>
                <w:rFonts w:hint="default" w:ascii="Times New Roman" w:hAnsi="Times New Roman" w:eastAsia="宋体" w:cs="Times New Roman"/>
                <w:color w:val="auto"/>
                <w:spacing w:val="0"/>
                <w:position w:val="0"/>
                <w:sz w:val="24"/>
                <w:szCs w:val="24"/>
                <w:lang w:val="en-US" w:eastAsia="zh-CN"/>
              </w:rPr>
              <w:t>水土和加厚基床表层厚度</w:t>
            </w:r>
            <w:r>
              <w:rPr>
                <w:rFonts w:hint="default" w:ascii="Times New Roman" w:hAnsi="Times New Roman" w:eastAsia="宋体" w:cs="Times New Roman"/>
                <w:color w:val="auto"/>
                <w:spacing w:val="0"/>
                <w:position w:val="0"/>
                <w:sz w:val="24"/>
                <w:szCs w:val="24"/>
              </w:rPr>
              <w:t>。</w:t>
            </w:r>
          </w:p>
          <w:p w14:paraId="68010D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cs="Times New Roman"/>
                <w:color w:val="auto"/>
                <w:spacing w:val="0"/>
                <w:kern w:val="2"/>
                <w:position w:val="0"/>
                <w:sz w:val="24"/>
                <w:szCs w:val="24"/>
                <w:lang w:val="en-US" w:eastAsia="zh-CN" w:bidi="ar-SA"/>
              </w:rPr>
              <w:t>b</w:t>
            </w:r>
            <w:r>
              <w:rPr>
                <w:rFonts w:hint="default" w:ascii="Times New Roman" w:hAnsi="Times New Roman" w:eastAsia="宋体" w:cs="Times New Roman"/>
                <w:color w:val="auto"/>
                <w:spacing w:val="0"/>
                <w:kern w:val="2"/>
                <w:position w:val="0"/>
                <w:sz w:val="24"/>
                <w:szCs w:val="24"/>
                <w:lang w:val="en-US" w:eastAsia="zh-CN" w:bidi="ar-SA"/>
              </w:rPr>
              <w:t>.</w:t>
            </w:r>
            <w:r>
              <w:rPr>
                <w:rFonts w:hint="default" w:ascii="Times New Roman" w:hAnsi="Times New Roman" w:eastAsia="宋体" w:cs="Times New Roman"/>
                <w:color w:val="auto"/>
                <w:spacing w:val="0"/>
                <w:position w:val="0"/>
                <w:sz w:val="24"/>
                <w:szCs w:val="24"/>
                <w:lang w:val="en-US" w:eastAsia="zh-CN"/>
              </w:rPr>
              <w:t>路堤基床底层可选用C组及以上填料，在困难条件下采用D组填料时，应采取改良或加固措施。填料颗粒粒径不应大于200mm</w:t>
            </w:r>
            <w:r>
              <w:rPr>
                <w:rFonts w:hint="default" w:ascii="Times New Roman" w:hAnsi="Times New Roman" w:eastAsia="宋体" w:cs="Times New Roman"/>
                <w:color w:val="auto"/>
                <w:spacing w:val="0"/>
                <w:position w:val="0"/>
                <w:sz w:val="24"/>
                <w:szCs w:val="24"/>
              </w:rPr>
              <w:t>。</w:t>
            </w:r>
          </w:p>
          <w:p w14:paraId="709CF1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cs="Times New Roman"/>
                <w:color w:val="auto"/>
                <w:spacing w:val="0"/>
                <w:kern w:val="2"/>
                <w:position w:val="0"/>
                <w:sz w:val="24"/>
                <w:szCs w:val="24"/>
                <w:lang w:val="en-US" w:eastAsia="zh-CN" w:bidi="ar-SA"/>
              </w:rPr>
              <w:t>c</w:t>
            </w:r>
            <w:r>
              <w:rPr>
                <w:rFonts w:hint="default" w:ascii="Times New Roman" w:hAnsi="Times New Roman" w:eastAsia="宋体" w:cs="Times New Roman"/>
                <w:color w:val="auto"/>
                <w:spacing w:val="0"/>
                <w:position w:val="0"/>
                <w:sz w:val="24"/>
                <w:szCs w:val="24"/>
                <w:lang w:val="en-US" w:eastAsia="zh-CN"/>
              </w:rPr>
              <w:t>路堑基床基床底层范围内的天然地基基本承载力不小于150kPa，否则应采取换填、改良土质等措施。路堑基床表层如换填渗水土，其底面应设横向坡度排水</w:t>
            </w:r>
            <w:r>
              <w:rPr>
                <w:rFonts w:hint="default" w:ascii="Times New Roman" w:hAnsi="Times New Roman" w:eastAsia="宋体" w:cs="Times New Roman"/>
                <w:color w:val="auto"/>
                <w:spacing w:val="0"/>
                <w:position w:val="0"/>
                <w:sz w:val="24"/>
                <w:szCs w:val="24"/>
              </w:rPr>
              <w:t>。</w:t>
            </w:r>
          </w:p>
          <w:p w14:paraId="5D0CE7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cs="Times New Roman"/>
                <w:color w:val="auto"/>
                <w:spacing w:val="0"/>
                <w:kern w:val="2"/>
                <w:position w:val="0"/>
                <w:sz w:val="24"/>
                <w:szCs w:val="24"/>
                <w:lang w:val="en-US" w:eastAsia="zh-CN" w:bidi="ar-SA"/>
              </w:rPr>
              <w:t>d</w:t>
            </w:r>
            <w:r>
              <w:rPr>
                <w:rFonts w:hint="default" w:ascii="Times New Roman" w:hAnsi="Times New Roman" w:eastAsia="宋体" w:cs="Times New Roman"/>
                <w:color w:val="auto"/>
                <w:spacing w:val="0"/>
                <w:kern w:val="2"/>
                <w:position w:val="0"/>
                <w:sz w:val="24"/>
                <w:szCs w:val="24"/>
                <w:lang w:val="en-US" w:eastAsia="zh-CN" w:bidi="ar-SA"/>
              </w:rPr>
              <w:t>.</w:t>
            </w:r>
            <w:r>
              <w:rPr>
                <w:rFonts w:hint="default" w:ascii="Times New Roman" w:hAnsi="Times New Roman" w:eastAsia="宋体" w:cs="Times New Roman"/>
                <w:color w:val="auto"/>
                <w:spacing w:val="0"/>
                <w:position w:val="0"/>
                <w:sz w:val="24"/>
                <w:szCs w:val="24"/>
                <w:lang w:val="en-US" w:eastAsia="zh-CN"/>
              </w:rPr>
              <w:t>路堤基床以下部分填料宜选用C组及以上填料，如采用D组填料时应采取包心、隔离或加固等措施。路堤浸水部分，宜采用渗水土或水稳性好的填料，或采取封闭隔水措施。填料颗粒粒径不应大于摊铺厚度的2/3且不应大于300mm</w:t>
            </w:r>
            <w:r>
              <w:rPr>
                <w:rFonts w:hint="default" w:ascii="Times New Roman" w:hAnsi="Times New Roman" w:eastAsia="宋体" w:cs="Times New Roman"/>
                <w:color w:val="auto"/>
                <w:spacing w:val="0"/>
                <w:position w:val="0"/>
                <w:sz w:val="24"/>
                <w:szCs w:val="24"/>
              </w:rPr>
              <w:t>。</w:t>
            </w:r>
          </w:p>
          <w:p w14:paraId="79A290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⑦</w:t>
            </w:r>
            <w:r>
              <w:rPr>
                <w:rFonts w:hint="default" w:ascii="Times New Roman" w:hAnsi="Times New Roman" w:eastAsia="宋体" w:cs="Times New Roman"/>
                <w:color w:val="auto"/>
                <w:spacing w:val="0"/>
                <w:position w:val="0"/>
                <w:sz w:val="24"/>
                <w:szCs w:val="24"/>
              </w:rPr>
              <w:t>路基边坡</w:t>
            </w:r>
          </w:p>
          <w:p w14:paraId="654B7F9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lang w:val="en-US" w:eastAsia="zh-CN"/>
              </w:rPr>
            </w:pPr>
            <w:r>
              <w:rPr>
                <w:rFonts w:hint="default" w:ascii="Times New Roman" w:hAnsi="Times New Roman" w:eastAsia="宋体" w:cs="Times New Roman"/>
                <w:color w:val="auto"/>
                <w:spacing w:val="0"/>
                <w:position w:val="0"/>
                <w:sz w:val="24"/>
                <w:szCs w:val="24"/>
                <w:lang w:val="en-US" w:eastAsia="zh-CN"/>
              </w:rPr>
              <w:t>1</w:t>
            </w:r>
            <w:r>
              <w:rPr>
                <w:rFonts w:hint="default" w:ascii="Times New Roman" w:hAnsi="Times New Roman" w:eastAsia="宋体" w:cs="Times New Roman"/>
                <w:color w:val="auto"/>
                <w:spacing w:val="0"/>
                <w:position w:val="0"/>
                <w:sz w:val="24"/>
                <w:szCs w:val="24"/>
                <w:lang w:eastAsia="zh-CN"/>
              </w:rPr>
              <w:t>）</w:t>
            </w:r>
            <w:r>
              <w:rPr>
                <w:rFonts w:hint="eastAsia" w:cs="Times New Roman"/>
                <w:color w:val="auto"/>
                <w:spacing w:val="0"/>
                <w:position w:val="0"/>
                <w:sz w:val="24"/>
                <w:szCs w:val="24"/>
                <w:lang w:val="en-US" w:eastAsia="zh-CN"/>
              </w:rPr>
              <w:t>路堤边坡坡率见下表2-6。</w:t>
            </w:r>
          </w:p>
          <w:p w14:paraId="227BFD54">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default" w:ascii="Times New Roman" w:hAnsi="Times New Roman" w:eastAsia="宋体" w:cs="Times New Roman"/>
                <w:color w:val="auto"/>
                <w:spacing w:val="0"/>
                <w:position w:val="0"/>
                <w:sz w:val="24"/>
                <w:szCs w:val="24"/>
                <w:lang w:val="en-US" w:eastAsia="zh-CN"/>
              </w:rPr>
            </w:pPr>
            <w:r>
              <w:rPr>
                <w:rFonts w:hint="eastAsia" w:cs="Times New Roman"/>
                <w:b/>
                <w:bCs/>
                <w:color w:val="auto"/>
                <w:spacing w:val="0"/>
                <w:position w:val="0"/>
                <w:sz w:val="24"/>
                <w:szCs w:val="24"/>
                <w:lang w:val="en-US" w:eastAsia="zh-CN"/>
              </w:rPr>
              <w:t>表2-6  路堤边坡形式和坡率</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1066"/>
              <w:gridCol w:w="1080"/>
              <w:gridCol w:w="1080"/>
              <w:gridCol w:w="1061"/>
              <w:gridCol w:w="1090"/>
              <w:gridCol w:w="1099"/>
            </w:tblGrid>
            <w:tr w14:paraId="3539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3" w:type="dxa"/>
                  <w:vMerge w:val="restart"/>
                  <w:vAlign w:val="center"/>
                </w:tcPr>
                <w:p w14:paraId="2DA7F66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填料种类</w:t>
                  </w:r>
                </w:p>
              </w:tc>
              <w:tc>
                <w:tcPr>
                  <w:tcW w:w="3315" w:type="dxa"/>
                  <w:gridSpan w:val="3"/>
                  <w:vAlign w:val="center"/>
                </w:tcPr>
                <w:p w14:paraId="3E6FBAF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spacing w:val="0"/>
                      <w:position w:val="0"/>
                      <w:sz w:val="21"/>
                      <w:szCs w:val="21"/>
                      <w:vertAlign w:val="baseline"/>
                    </w:rPr>
                  </w:pPr>
                  <w:r>
                    <w:rPr>
                      <w:rFonts w:hint="eastAsia" w:cs="Times New Roman"/>
                      <w:b/>
                      <w:bCs/>
                      <w:color w:val="auto"/>
                      <w:spacing w:val="0"/>
                      <w:position w:val="0"/>
                      <w:sz w:val="21"/>
                      <w:szCs w:val="21"/>
                      <w:vertAlign w:val="baseline"/>
                      <w:lang w:val="en-US" w:eastAsia="zh-CN"/>
                    </w:rPr>
                    <w:t>路堤边坡高度（m）</w:t>
                  </w:r>
                </w:p>
              </w:tc>
              <w:tc>
                <w:tcPr>
                  <w:tcW w:w="3304" w:type="dxa"/>
                  <w:gridSpan w:val="3"/>
                  <w:vAlign w:val="center"/>
                </w:tcPr>
                <w:p w14:paraId="1604985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spacing w:val="0"/>
                      <w:position w:val="0"/>
                      <w:sz w:val="21"/>
                      <w:szCs w:val="21"/>
                      <w:vertAlign w:val="baseline"/>
                    </w:rPr>
                  </w:pPr>
                  <w:r>
                    <w:rPr>
                      <w:rFonts w:hint="eastAsia" w:cs="Times New Roman"/>
                      <w:b/>
                      <w:bCs/>
                      <w:color w:val="auto"/>
                      <w:spacing w:val="0"/>
                      <w:position w:val="0"/>
                      <w:sz w:val="21"/>
                      <w:szCs w:val="21"/>
                      <w:vertAlign w:val="baseline"/>
                      <w:lang w:val="en-US" w:eastAsia="zh-CN"/>
                    </w:rPr>
                    <w:t>路堤边坡坡率</w:t>
                  </w:r>
                </w:p>
              </w:tc>
            </w:tr>
            <w:tr w14:paraId="32D0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3" w:type="dxa"/>
                  <w:vMerge w:val="continue"/>
                  <w:vAlign w:val="center"/>
                </w:tcPr>
                <w:p w14:paraId="4500A51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spacing w:val="0"/>
                      <w:position w:val="0"/>
                      <w:sz w:val="21"/>
                      <w:szCs w:val="21"/>
                      <w:vertAlign w:val="baseline"/>
                    </w:rPr>
                  </w:pPr>
                </w:p>
              </w:tc>
              <w:tc>
                <w:tcPr>
                  <w:tcW w:w="1095" w:type="dxa"/>
                  <w:vAlign w:val="center"/>
                </w:tcPr>
                <w:p w14:paraId="0742995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全部高度</w:t>
                  </w:r>
                </w:p>
              </w:tc>
              <w:tc>
                <w:tcPr>
                  <w:tcW w:w="1110" w:type="dxa"/>
                  <w:vAlign w:val="center"/>
                </w:tcPr>
                <w:p w14:paraId="02867D6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上部高度</w:t>
                  </w:r>
                </w:p>
              </w:tc>
              <w:tc>
                <w:tcPr>
                  <w:tcW w:w="1110" w:type="dxa"/>
                  <w:vAlign w:val="center"/>
                </w:tcPr>
                <w:p w14:paraId="75EC583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下部高度</w:t>
                  </w:r>
                </w:p>
              </w:tc>
              <w:tc>
                <w:tcPr>
                  <w:tcW w:w="1080" w:type="dxa"/>
                  <w:vAlign w:val="center"/>
                </w:tcPr>
                <w:p w14:paraId="4BE62D4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全部坡率</w:t>
                  </w:r>
                </w:p>
              </w:tc>
              <w:tc>
                <w:tcPr>
                  <w:tcW w:w="1110" w:type="dxa"/>
                  <w:vAlign w:val="center"/>
                </w:tcPr>
                <w:p w14:paraId="7A56422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上部坡率</w:t>
                  </w:r>
                </w:p>
              </w:tc>
              <w:tc>
                <w:tcPr>
                  <w:tcW w:w="1114" w:type="dxa"/>
                  <w:vAlign w:val="center"/>
                </w:tcPr>
                <w:p w14:paraId="7E1BD4E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下部坡率</w:t>
                  </w:r>
                </w:p>
              </w:tc>
            </w:tr>
            <w:tr w14:paraId="2D85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3" w:type="dxa"/>
                  <w:vAlign w:val="center"/>
                </w:tcPr>
                <w:p w14:paraId="2359394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一般细粒土</w:t>
                  </w:r>
                </w:p>
              </w:tc>
              <w:tc>
                <w:tcPr>
                  <w:tcW w:w="1095" w:type="dxa"/>
                  <w:vAlign w:val="center"/>
                </w:tcPr>
                <w:p w14:paraId="2C3DB6D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20</w:t>
                  </w:r>
                </w:p>
              </w:tc>
              <w:tc>
                <w:tcPr>
                  <w:tcW w:w="1110" w:type="dxa"/>
                  <w:vAlign w:val="center"/>
                </w:tcPr>
                <w:p w14:paraId="6343BDA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8</w:t>
                  </w:r>
                </w:p>
              </w:tc>
              <w:tc>
                <w:tcPr>
                  <w:tcW w:w="1110" w:type="dxa"/>
                  <w:vAlign w:val="center"/>
                </w:tcPr>
                <w:p w14:paraId="0357E1D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12</w:t>
                  </w:r>
                </w:p>
              </w:tc>
              <w:tc>
                <w:tcPr>
                  <w:tcW w:w="1080" w:type="dxa"/>
                  <w:vAlign w:val="center"/>
                </w:tcPr>
                <w:p w14:paraId="6B80997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w:t>
                  </w:r>
                </w:p>
              </w:tc>
              <w:tc>
                <w:tcPr>
                  <w:tcW w:w="1110" w:type="dxa"/>
                  <w:vAlign w:val="center"/>
                </w:tcPr>
                <w:p w14:paraId="14C9313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1:1.5</w:t>
                  </w:r>
                </w:p>
              </w:tc>
              <w:tc>
                <w:tcPr>
                  <w:tcW w:w="1114" w:type="dxa"/>
                  <w:vAlign w:val="center"/>
                </w:tcPr>
                <w:p w14:paraId="575EFA4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1:1.75</w:t>
                  </w:r>
                </w:p>
              </w:tc>
            </w:tr>
            <w:tr w14:paraId="7FFE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3" w:type="dxa"/>
                  <w:vAlign w:val="center"/>
                </w:tcPr>
                <w:p w14:paraId="23C4140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漂石土、卵石土、碎石土、粗粒土（细砂、粉砂、黏砂除外）</w:t>
                  </w:r>
                </w:p>
              </w:tc>
              <w:tc>
                <w:tcPr>
                  <w:tcW w:w="1095" w:type="dxa"/>
                  <w:vAlign w:val="center"/>
                </w:tcPr>
                <w:p w14:paraId="22E0D7E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20</w:t>
                  </w:r>
                </w:p>
              </w:tc>
              <w:tc>
                <w:tcPr>
                  <w:tcW w:w="1110" w:type="dxa"/>
                  <w:vAlign w:val="center"/>
                </w:tcPr>
                <w:p w14:paraId="404F593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12</w:t>
                  </w:r>
                </w:p>
              </w:tc>
              <w:tc>
                <w:tcPr>
                  <w:tcW w:w="1110" w:type="dxa"/>
                  <w:vAlign w:val="center"/>
                </w:tcPr>
                <w:p w14:paraId="2651EA0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8</w:t>
                  </w:r>
                </w:p>
              </w:tc>
              <w:tc>
                <w:tcPr>
                  <w:tcW w:w="1080" w:type="dxa"/>
                  <w:vAlign w:val="center"/>
                </w:tcPr>
                <w:p w14:paraId="7BE0936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w:t>
                  </w:r>
                </w:p>
              </w:tc>
              <w:tc>
                <w:tcPr>
                  <w:tcW w:w="1110" w:type="dxa"/>
                  <w:vAlign w:val="center"/>
                </w:tcPr>
                <w:p w14:paraId="72A2761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1:1.5</w:t>
                  </w:r>
                </w:p>
              </w:tc>
              <w:tc>
                <w:tcPr>
                  <w:tcW w:w="1114" w:type="dxa"/>
                  <w:vAlign w:val="center"/>
                </w:tcPr>
                <w:p w14:paraId="6F62B3A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1:1.75</w:t>
                  </w:r>
                </w:p>
              </w:tc>
            </w:tr>
            <w:tr w14:paraId="3F3C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3" w:type="dxa"/>
                  <w:vMerge w:val="restart"/>
                  <w:vAlign w:val="center"/>
                </w:tcPr>
                <w:p w14:paraId="4560BCA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硬块石土</w:t>
                  </w:r>
                </w:p>
              </w:tc>
              <w:tc>
                <w:tcPr>
                  <w:tcW w:w="1095" w:type="dxa"/>
                  <w:vAlign w:val="center"/>
                </w:tcPr>
                <w:p w14:paraId="152D490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8</w:t>
                  </w:r>
                </w:p>
              </w:tc>
              <w:tc>
                <w:tcPr>
                  <w:tcW w:w="1110" w:type="dxa"/>
                  <w:vAlign w:val="center"/>
                </w:tcPr>
                <w:p w14:paraId="73F696A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w:t>
                  </w:r>
                </w:p>
              </w:tc>
              <w:tc>
                <w:tcPr>
                  <w:tcW w:w="1110" w:type="dxa"/>
                  <w:vAlign w:val="center"/>
                </w:tcPr>
                <w:p w14:paraId="3A38D42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w:t>
                  </w:r>
                </w:p>
              </w:tc>
              <w:tc>
                <w:tcPr>
                  <w:tcW w:w="1080" w:type="dxa"/>
                  <w:vAlign w:val="center"/>
                </w:tcPr>
                <w:p w14:paraId="0B5F61C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vertAlign w:val="baseline"/>
                      <w:lang w:val="en-US" w:eastAsia="zh-CN"/>
                    </w:rPr>
                    <w:t>1:1.</w:t>
                  </w:r>
                  <w:r>
                    <w:rPr>
                      <w:rFonts w:hint="eastAsia" w:cs="Times New Roman"/>
                      <w:color w:val="auto"/>
                      <w:spacing w:val="0"/>
                      <w:position w:val="0"/>
                      <w:sz w:val="21"/>
                      <w:szCs w:val="21"/>
                      <w:vertAlign w:val="baseline"/>
                      <w:lang w:val="en-US" w:eastAsia="zh-CN"/>
                    </w:rPr>
                    <w:t>3</w:t>
                  </w:r>
                </w:p>
              </w:tc>
              <w:tc>
                <w:tcPr>
                  <w:tcW w:w="1110" w:type="dxa"/>
                  <w:vAlign w:val="center"/>
                </w:tcPr>
                <w:p w14:paraId="6BB40CC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w:t>
                  </w:r>
                </w:p>
              </w:tc>
              <w:tc>
                <w:tcPr>
                  <w:tcW w:w="1114" w:type="dxa"/>
                  <w:vAlign w:val="center"/>
                </w:tcPr>
                <w:p w14:paraId="7B924BD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w:t>
                  </w:r>
                </w:p>
              </w:tc>
            </w:tr>
            <w:tr w14:paraId="4AE1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03" w:type="dxa"/>
                  <w:vMerge w:val="continue"/>
                  <w:vAlign w:val="center"/>
                </w:tcPr>
                <w:p w14:paraId="40B759B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rPr>
                  </w:pPr>
                </w:p>
              </w:tc>
              <w:tc>
                <w:tcPr>
                  <w:tcW w:w="1095" w:type="dxa"/>
                  <w:vAlign w:val="center"/>
                </w:tcPr>
                <w:p w14:paraId="6041211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20</w:t>
                  </w:r>
                </w:p>
              </w:tc>
              <w:tc>
                <w:tcPr>
                  <w:tcW w:w="1110" w:type="dxa"/>
                  <w:vAlign w:val="center"/>
                </w:tcPr>
                <w:p w14:paraId="311DDBB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w:t>
                  </w:r>
                </w:p>
              </w:tc>
              <w:tc>
                <w:tcPr>
                  <w:tcW w:w="1110" w:type="dxa"/>
                  <w:vAlign w:val="center"/>
                </w:tcPr>
                <w:p w14:paraId="5C0B962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w:t>
                  </w:r>
                </w:p>
              </w:tc>
              <w:tc>
                <w:tcPr>
                  <w:tcW w:w="1080" w:type="dxa"/>
                  <w:vAlign w:val="center"/>
                </w:tcPr>
                <w:p w14:paraId="7AA2837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pacing w:val="0"/>
                      <w:position w:val="0"/>
                      <w:sz w:val="21"/>
                      <w:szCs w:val="21"/>
                      <w:vertAlign w:val="baseline"/>
                    </w:rPr>
                  </w:pPr>
                  <w:r>
                    <w:rPr>
                      <w:rFonts w:hint="default" w:ascii="Times New Roman" w:hAnsi="Times New Roman" w:eastAsia="宋体" w:cs="Times New Roman"/>
                      <w:color w:val="auto"/>
                      <w:spacing w:val="0"/>
                      <w:position w:val="0"/>
                      <w:sz w:val="21"/>
                      <w:szCs w:val="21"/>
                      <w:vertAlign w:val="baseline"/>
                      <w:lang w:val="en-US" w:eastAsia="zh-CN"/>
                    </w:rPr>
                    <w:t>1:1.5</w:t>
                  </w:r>
                </w:p>
              </w:tc>
              <w:tc>
                <w:tcPr>
                  <w:tcW w:w="1110" w:type="dxa"/>
                  <w:vAlign w:val="center"/>
                </w:tcPr>
                <w:p w14:paraId="47C835E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w:t>
                  </w:r>
                </w:p>
              </w:tc>
              <w:tc>
                <w:tcPr>
                  <w:tcW w:w="1114" w:type="dxa"/>
                  <w:vAlign w:val="center"/>
                </w:tcPr>
                <w:p w14:paraId="5B302AA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0"/>
                      <w:position w:val="0"/>
                      <w:sz w:val="21"/>
                      <w:szCs w:val="21"/>
                      <w:vertAlign w:val="baseline"/>
                    </w:rPr>
                  </w:pPr>
                  <w:r>
                    <w:rPr>
                      <w:rFonts w:hint="eastAsia" w:cs="Times New Roman"/>
                      <w:color w:val="auto"/>
                      <w:spacing w:val="0"/>
                      <w:position w:val="0"/>
                      <w:sz w:val="21"/>
                      <w:szCs w:val="21"/>
                      <w:vertAlign w:val="baseline"/>
                      <w:lang w:val="en-US" w:eastAsia="zh-CN"/>
                    </w:rPr>
                    <w:t>-</w:t>
                  </w:r>
                </w:p>
              </w:tc>
            </w:tr>
          </w:tbl>
          <w:p w14:paraId="6F92C7C8">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路堤边坡高度一般不宜超过20m，超过时应按个别路基做特殊设计或与桥作进一步的技术经济比较。浸水路堤其水下边坡部分边坡坡率按上表规定放缓一级</w:t>
            </w:r>
            <w:r>
              <w:rPr>
                <w:rFonts w:hint="default" w:ascii="Times New Roman" w:hAnsi="Times New Roman" w:eastAsia="宋体" w:cs="Times New Roman"/>
                <w:color w:val="auto"/>
                <w:spacing w:val="0"/>
                <w:position w:val="0"/>
                <w:sz w:val="24"/>
                <w:szCs w:val="24"/>
              </w:rPr>
              <w:t>。</w:t>
            </w:r>
          </w:p>
          <w:p w14:paraId="63CAB9F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2）路堑边坡坡率</w:t>
            </w:r>
          </w:p>
          <w:p w14:paraId="59E13EB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路堑边坡一般采用分级设平台台阶形式，边坡坡率根据工程地质和水文地质条件、岩土的性质、岩石风化程度、岩体结构面及边坡高度等因素按相关规范的有关规定确定，一般土质路堑为1:1.25～1:1.5，特殊情况根据地质参数确定。</w:t>
            </w:r>
          </w:p>
          <w:p w14:paraId="64AE2612">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lang w:eastAsia="zh-CN"/>
              </w:rPr>
              <w:t>（</w:t>
            </w:r>
            <w:r>
              <w:rPr>
                <w:rFonts w:hint="eastAsia" w:cs="Times New Roman"/>
                <w:b/>
                <w:bCs/>
                <w:color w:val="auto"/>
                <w:spacing w:val="0"/>
                <w:position w:val="0"/>
                <w:sz w:val="24"/>
                <w:szCs w:val="24"/>
                <w:lang w:val="en-US" w:eastAsia="zh-CN"/>
              </w:rPr>
              <w:t>8</w:t>
            </w:r>
            <w:r>
              <w:rPr>
                <w:rFonts w:hint="default" w:ascii="Times New Roman" w:hAnsi="Times New Roman" w:eastAsia="宋体" w:cs="Times New Roman"/>
                <w:b/>
                <w:bCs/>
                <w:color w:val="auto"/>
                <w:spacing w:val="0"/>
                <w:position w:val="0"/>
                <w:sz w:val="24"/>
                <w:szCs w:val="24"/>
                <w:lang w:eastAsia="zh-CN"/>
              </w:rPr>
              <w:t>）</w:t>
            </w:r>
            <w:r>
              <w:rPr>
                <w:rFonts w:hint="default" w:ascii="Times New Roman" w:hAnsi="Times New Roman" w:eastAsia="宋体" w:cs="Times New Roman"/>
                <w:b/>
                <w:bCs/>
                <w:color w:val="auto"/>
                <w:spacing w:val="0"/>
                <w:position w:val="0"/>
                <w:sz w:val="24"/>
                <w:szCs w:val="24"/>
              </w:rPr>
              <w:t>站场排水及用地</w:t>
            </w:r>
          </w:p>
          <w:p w14:paraId="5D489DB6">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站场排水</w:t>
            </w:r>
          </w:p>
          <w:p w14:paraId="3215FB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①</w:t>
            </w:r>
            <w:r>
              <w:rPr>
                <w:rFonts w:hint="default" w:ascii="Times New Roman" w:hAnsi="Times New Roman" w:eastAsia="宋体" w:cs="Times New Roman"/>
                <w:color w:val="auto"/>
                <w:spacing w:val="0"/>
                <w:position w:val="0"/>
                <w:sz w:val="24"/>
                <w:szCs w:val="24"/>
              </w:rPr>
              <w:t>站场排水设计原则</w:t>
            </w:r>
          </w:p>
          <w:p w14:paraId="5A9E15C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1）路基设计应具有完整、畅通的排水系统。地面排水系统与桥涵、既有路基等排水设施相结合形成完善的排水体系。</w:t>
            </w:r>
          </w:p>
          <w:p w14:paraId="514122A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2）天沟、排水沟在地面横坡明显地段，一般在上方一侧设置。地面横坡不明显地段，一般在路基两侧设置。</w:t>
            </w:r>
          </w:p>
          <w:p w14:paraId="4775C9E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3）侧沟一般采用底宽0.4m的矩形沟，沟壁厚0.</w:t>
            </w:r>
            <w:r>
              <w:rPr>
                <w:rFonts w:hint="eastAsia" w:cs="Times New Roman"/>
                <w:color w:val="auto"/>
                <w:spacing w:val="0"/>
                <w:position w:val="0"/>
                <w:sz w:val="24"/>
                <w:szCs w:val="24"/>
                <w:lang w:val="en-US" w:eastAsia="zh-CN"/>
              </w:rPr>
              <w:t>3</w:t>
            </w:r>
            <w:r>
              <w:rPr>
                <w:rFonts w:hint="default" w:ascii="Times New Roman" w:hAnsi="Times New Roman" w:eastAsia="宋体" w:cs="Times New Roman"/>
                <w:color w:val="auto"/>
                <w:spacing w:val="0"/>
                <w:position w:val="0"/>
                <w:sz w:val="24"/>
                <w:szCs w:val="24"/>
              </w:rPr>
              <w:t>m。</w:t>
            </w:r>
            <w:r>
              <w:rPr>
                <w:rFonts w:hint="default" w:ascii="Times New Roman" w:hAnsi="Times New Roman" w:eastAsia="宋体" w:cs="Times New Roman"/>
                <w:color w:val="auto"/>
                <w:spacing w:val="0"/>
                <w:position w:val="0"/>
                <w:sz w:val="24"/>
                <w:szCs w:val="24"/>
                <w:lang w:val="en-US" w:eastAsia="zh-CN"/>
              </w:rPr>
              <w:t>侧沟在铁路侧每2m设1处φ50mmPVC管泄水孔；排水沟、天沟采用底宽0.4m深0.6m的梯形沟，沟壁厚0.2m。均采用C25混凝土浇筑</w:t>
            </w:r>
            <w:r>
              <w:rPr>
                <w:rFonts w:hint="default" w:ascii="Times New Roman" w:hAnsi="Times New Roman" w:eastAsia="宋体" w:cs="Times New Roman"/>
                <w:color w:val="auto"/>
                <w:spacing w:val="0"/>
                <w:position w:val="0"/>
                <w:sz w:val="24"/>
                <w:szCs w:val="24"/>
              </w:rPr>
              <w:t>。特殊地段根据流量计算确定水沟过水截面积。</w:t>
            </w:r>
          </w:p>
          <w:p w14:paraId="5314C72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4）排水沟、槽的纵坡一般为2‰，困难条件下不小于1‰。穿越线路的横向排水槽纵坡不小于5‰。</w:t>
            </w:r>
          </w:p>
          <w:p w14:paraId="0A04BC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②</w:t>
            </w:r>
            <w:r>
              <w:rPr>
                <w:rFonts w:hint="default" w:ascii="Times New Roman" w:hAnsi="Times New Roman" w:eastAsia="宋体" w:cs="Times New Roman"/>
                <w:color w:val="auto"/>
                <w:spacing w:val="0"/>
                <w:position w:val="0"/>
                <w:sz w:val="24"/>
                <w:szCs w:val="24"/>
              </w:rPr>
              <w:t>本工程主要内容</w:t>
            </w:r>
          </w:p>
          <w:p w14:paraId="7953860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路基两侧设置纵向混凝土矩形侧沟与梯形排水沟。站场地面排水系统与既有路基、市政排水、涵洞等排水设施相结合形成完善的排水系统</w:t>
            </w:r>
            <w:r>
              <w:rPr>
                <w:rFonts w:hint="default" w:ascii="Times New Roman" w:hAnsi="Times New Roman" w:eastAsia="宋体" w:cs="Times New Roman"/>
                <w:color w:val="auto"/>
                <w:spacing w:val="0"/>
                <w:position w:val="0"/>
                <w:sz w:val="24"/>
                <w:szCs w:val="24"/>
              </w:rPr>
              <w:t>。</w:t>
            </w:r>
          </w:p>
          <w:p w14:paraId="54FFA4C8">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pacing w:val="0"/>
                <w:position w:val="0"/>
                <w:sz w:val="24"/>
                <w:szCs w:val="24"/>
              </w:rPr>
            </w:pPr>
            <w:r>
              <w:rPr>
                <w:rFonts w:hint="default" w:ascii="Times New Roman" w:hAnsi="Times New Roman" w:eastAsia="宋体" w:cs="Times New Roman"/>
                <w:b/>
                <w:bCs/>
                <w:color w:val="auto"/>
                <w:spacing w:val="0"/>
                <w:position w:val="0"/>
                <w:sz w:val="24"/>
                <w:szCs w:val="24"/>
              </w:rPr>
              <w:t>用地及防护设施</w:t>
            </w:r>
          </w:p>
          <w:p w14:paraId="52520C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spacing w:val="0"/>
                <w:position w:val="0"/>
                <w:sz w:val="24"/>
                <w:szCs w:val="24"/>
              </w:rPr>
            </w:pPr>
            <w:r>
              <w:rPr>
                <w:rFonts w:hint="eastAsia" w:ascii="Times New Roman" w:hAnsi="Times New Roman" w:eastAsia="宋体" w:cs="Times New Roman"/>
                <w:color w:val="auto"/>
                <w:spacing w:val="0"/>
                <w:kern w:val="2"/>
                <w:position w:val="0"/>
                <w:sz w:val="24"/>
                <w:szCs w:val="24"/>
                <w:lang w:val="en-US" w:eastAsia="zh-CN" w:bidi="ar-SA"/>
              </w:rPr>
              <w:t>①</w:t>
            </w:r>
            <w:r>
              <w:rPr>
                <w:rFonts w:hint="default" w:ascii="Times New Roman" w:hAnsi="Times New Roman" w:eastAsia="宋体" w:cs="Times New Roman"/>
                <w:color w:val="auto"/>
                <w:spacing w:val="0"/>
                <w:position w:val="0"/>
                <w:sz w:val="24"/>
                <w:szCs w:val="24"/>
              </w:rPr>
              <w:t>用地设计原则</w:t>
            </w:r>
          </w:p>
          <w:p w14:paraId="6DC12D2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1）站场范围内的用地包括各场、段、所的用地以及铁路房屋、站内道路、排水、绿化等所需用地。</w:t>
            </w:r>
          </w:p>
          <w:p w14:paraId="0031F53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2）铁路生产设备房屋用地范围为房屋围墙外坡脚排水沟外1~2m，堑顶截水沟外1~2m，无截水沟时为堑顶外5m。</w:t>
            </w:r>
          </w:p>
          <w:p w14:paraId="08E1250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3）车站和站场用地预留远期发展条件。</w:t>
            </w:r>
          </w:p>
          <w:p w14:paraId="5DE1E64D">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rFonts w:hint="default" w:ascii="Times New Roman" w:hAnsi="Times New Roman" w:eastAsia="宋体" w:cs="Times New Roman"/>
                <w:b/>
                <w:bCs/>
                <w:color w:val="auto"/>
                <w:spacing w:val="0"/>
                <w:position w:val="0"/>
                <w:sz w:val="24"/>
                <w:szCs w:val="24"/>
                <w:lang w:val="en-US" w:eastAsia="zh-CN"/>
              </w:rPr>
            </w:pPr>
            <w:r>
              <w:rPr>
                <w:rFonts w:hint="default" w:ascii="Times New Roman" w:hAnsi="Times New Roman" w:eastAsia="宋体" w:cs="Times New Roman"/>
                <w:b/>
                <w:bCs/>
                <w:color w:val="auto"/>
                <w:spacing w:val="0"/>
                <w:position w:val="0"/>
                <w:sz w:val="24"/>
                <w:szCs w:val="24"/>
              </w:rPr>
              <w:t>（</w:t>
            </w:r>
            <w:r>
              <w:rPr>
                <w:rFonts w:hint="eastAsia" w:cs="Times New Roman"/>
                <w:b/>
                <w:bCs/>
                <w:color w:val="auto"/>
                <w:spacing w:val="0"/>
                <w:position w:val="0"/>
                <w:sz w:val="24"/>
                <w:szCs w:val="24"/>
                <w:lang w:val="en-US" w:eastAsia="zh-CN"/>
              </w:rPr>
              <w:t>9</w:t>
            </w:r>
            <w:r>
              <w:rPr>
                <w:rFonts w:hint="default" w:ascii="Times New Roman" w:hAnsi="Times New Roman" w:eastAsia="宋体" w:cs="Times New Roman"/>
                <w:b/>
                <w:bCs/>
                <w:color w:val="auto"/>
                <w:spacing w:val="0"/>
                <w:position w:val="0"/>
                <w:sz w:val="24"/>
                <w:szCs w:val="24"/>
              </w:rPr>
              <w:t>）</w:t>
            </w:r>
            <w:r>
              <w:rPr>
                <w:rFonts w:hint="eastAsia" w:cs="Times New Roman"/>
                <w:b/>
                <w:bCs/>
                <w:color w:val="auto"/>
                <w:spacing w:val="0"/>
                <w:position w:val="0"/>
                <w:sz w:val="24"/>
                <w:szCs w:val="24"/>
                <w:lang w:val="en-US" w:eastAsia="zh-CN"/>
              </w:rPr>
              <w:t>通站道路及改移道路说明</w:t>
            </w:r>
          </w:p>
          <w:p w14:paraId="736936E4">
            <w:pPr>
              <w:adjustRightInd w:val="0"/>
              <w:snapToGrid w:val="0"/>
              <w:spacing w:line="360" w:lineRule="auto"/>
              <w:ind w:firstLine="482" w:firstLineChars="200"/>
              <w:rPr>
                <w:rFonts w:hint="default" w:ascii="Times New Roman" w:hAnsi="Times New Roman" w:eastAsia="宋体" w:cs="Times New Roman"/>
                <w:b/>
                <w:bCs/>
                <w:color w:val="auto"/>
                <w:spacing w:val="0"/>
                <w:position w:val="0"/>
                <w:sz w:val="24"/>
                <w:szCs w:val="24"/>
                <w:lang w:val="en-US" w:eastAsia="zh-CN"/>
              </w:rPr>
            </w:pPr>
            <w:r>
              <w:rPr>
                <w:rFonts w:hint="eastAsia" w:cs="Times New Roman"/>
                <w:b/>
                <w:bCs/>
                <w:color w:val="auto"/>
                <w:spacing w:val="0"/>
                <w:position w:val="0"/>
                <w:sz w:val="24"/>
                <w:szCs w:val="24"/>
                <w:lang w:val="en-US" w:eastAsia="zh-CN"/>
              </w:rPr>
              <w:t>通站道路</w:t>
            </w:r>
          </w:p>
          <w:p w14:paraId="04F44FC2">
            <w:pPr>
              <w:adjustRightInd w:val="0"/>
              <w:snapToGrid w:val="0"/>
              <w:spacing w:line="360" w:lineRule="auto"/>
              <w:ind w:firstLine="480" w:firstLineChars="200"/>
              <w:rPr>
                <w:rFonts w:hint="eastAsia" w:ascii="Times New Roman" w:hAnsi="Times New Roman" w:eastAsia="宋体"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①设计原则</w:t>
            </w:r>
          </w:p>
          <w:p w14:paraId="5F2300E0">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通站道路原则上按《铁路站场道路和排水设计规范》设计。铁路站房及其他生产、生活场坪均需引入通段、所的道路，对无城镇发展规划、道路规划的车站，应结合施工便道综合考虑。</w:t>
            </w:r>
          </w:p>
          <w:p w14:paraId="6D46BF78">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②工程概况</w:t>
            </w:r>
          </w:p>
          <w:p w14:paraId="52802BBB">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通站道路AK线路基宽8.0m、路面宽度7.5m，通站道路BK线路基宽5.0m、路面宽度4.5m；路面结构为</w:t>
            </w:r>
            <w:r>
              <w:rPr>
                <w:rFonts w:hint="eastAsia"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val="en-US" w:eastAsia="zh-CN"/>
              </w:rPr>
              <w:t>面层0.25m厚C30混凝土、基层0.2m厚5%水泥稳定碎石、垫层0.2m厚级配碎石</w:t>
            </w:r>
            <w:r>
              <w:rPr>
                <w:rFonts w:hint="eastAsia" w:cs="Times New Roman"/>
                <w:color w:val="auto"/>
                <w:spacing w:val="0"/>
                <w:position w:val="0"/>
                <w:sz w:val="24"/>
                <w:szCs w:val="24"/>
                <w:lang w:val="en-US" w:eastAsia="zh-CN"/>
              </w:rPr>
              <w:t>。</w:t>
            </w:r>
          </w:p>
          <w:p w14:paraId="7F5066E5">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段内各站通站道路概况如下表。</w:t>
            </w:r>
          </w:p>
          <w:p w14:paraId="507D2DD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pacing w:val="0"/>
                <w:position w:val="0"/>
                <w:sz w:val="24"/>
                <w:szCs w:val="24"/>
                <w:lang w:val="en-US" w:eastAsia="zh-CN"/>
              </w:rPr>
            </w:pPr>
            <w:r>
              <w:rPr>
                <w:rFonts w:hint="eastAsia" w:cs="Times New Roman"/>
                <w:b/>
                <w:bCs/>
                <w:color w:val="auto"/>
                <w:spacing w:val="0"/>
                <w:position w:val="0"/>
                <w:sz w:val="24"/>
                <w:szCs w:val="24"/>
                <w:lang w:val="en-US" w:eastAsia="zh-CN"/>
              </w:rPr>
              <w:t>表2-7  通站道路一览表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680"/>
              <w:gridCol w:w="1953"/>
              <w:gridCol w:w="1408"/>
              <w:gridCol w:w="1699"/>
            </w:tblGrid>
            <w:tr w14:paraId="170D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Align w:val="center"/>
                </w:tcPr>
                <w:p w14:paraId="79A0D7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站名</w:t>
                  </w:r>
                </w:p>
              </w:tc>
              <w:tc>
                <w:tcPr>
                  <w:tcW w:w="1680" w:type="dxa"/>
                  <w:vAlign w:val="center"/>
                </w:tcPr>
                <w:p w14:paraId="59967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道路用途</w:t>
                  </w:r>
                </w:p>
              </w:tc>
              <w:tc>
                <w:tcPr>
                  <w:tcW w:w="1953" w:type="dxa"/>
                  <w:vAlign w:val="center"/>
                </w:tcPr>
                <w:p w14:paraId="1F8E86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与铁路交叉关系</w:t>
                  </w:r>
                </w:p>
              </w:tc>
              <w:tc>
                <w:tcPr>
                  <w:tcW w:w="1408" w:type="dxa"/>
                  <w:vAlign w:val="center"/>
                </w:tcPr>
                <w:p w14:paraId="2B58F4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路面性质</w:t>
                  </w:r>
                </w:p>
              </w:tc>
              <w:tc>
                <w:tcPr>
                  <w:tcW w:w="1699" w:type="dxa"/>
                  <w:vAlign w:val="center"/>
                </w:tcPr>
                <w:p w14:paraId="1EF69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道路长度</w:t>
                  </w:r>
                </w:p>
              </w:tc>
            </w:tr>
            <w:tr w14:paraId="6592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Align w:val="center"/>
                </w:tcPr>
                <w:p w14:paraId="3E7C2D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云约站</w:t>
                  </w:r>
                </w:p>
              </w:tc>
              <w:tc>
                <w:tcPr>
                  <w:tcW w:w="1680" w:type="dxa"/>
                  <w:vAlign w:val="center"/>
                </w:tcPr>
                <w:p w14:paraId="5C1DA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通货场</w:t>
                  </w:r>
                </w:p>
              </w:tc>
              <w:tc>
                <w:tcPr>
                  <w:tcW w:w="1953" w:type="dxa"/>
                  <w:vAlign w:val="center"/>
                </w:tcPr>
                <w:p w14:paraId="39E9CC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无交叉</w:t>
                  </w:r>
                </w:p>
              </w:tc>
              <w:tc>
                <w:tcPr>
                  <w:tcW w:w="1408" w:type="dxa"/>
                  <w:vAlign w:val="center"/>
                </w:tcPr>
                <w:p w14:paraId="7069B2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水泥路面</w:t>
                  </w:r>
                </w:p>
              </w:tc>
              <w:tc>
                <w:tcPr>
                  <w:tcW w:w="1699" w:type="dxa"/>
                  <w:vAlign w:val="center"/>
                </w:tcPr>
                <w:p w14:paraId="5AEC42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416.948</w:t>
                  </w:r>
                </w:p>
              </w:tc>
            </w:tr>
            <w:tr w14:paraId="4A7C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80" w:type="dxa"/>
                  <w:vAlign w:val="center"/>
                </w:tcPr>
                <w:p w14:paraId="76CAFE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云约站</w:t>
                  </w:r>
                </w:p>
              </w:tc>
              <w:tc>
                <w:tcPr>
                  <w:tcW w:w="1680" w:type="dxa"/>
                  <w:vAlign w:val="center"/>
                </w:tcPr>
                <w:p w14:paraId="36BE6F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通站房</w:t>
                  </w:r>
                </w:p>
              </w:tc>
              <w:tc>
                <w:tcPr>
                  <w:tcW w:w="1953" w:type="dxa"/>
                  <w:vAlign w:val="center"/>
                </w:tcPr>
                <w:p w14:paraId="2AD3B9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下穿</w:t>
                  </w:r>
                </w:p>
              </w:tc>
              <w:tc>
                <w:tcPr>
                  <w:tcW w:w="1408" w:type="dxa"/>
                  <w:vAlign w:val="center"/>
                </w:tcPr>
                <w:p w14:paraId="7D0B9B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水泥路面</w:t>
                  </w:r>
                </w:p>
              </w:tc>
              <w:tc>
                <w:tcPr>
                  <w:tcW w:w="1699" w:type="dxa"/>
                  <w:vAlign w:val="center"/>
                </w:tcPr>
                <w:p w14:paraId="6E9C8B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229.783</w:t>
                  </w:r>
                </w:p>
              </w:tc>
            </w:tr>
          </w:tbl>
          <w:p w14:paraId="506A4BB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全线(不含接轨站)各站通站道路长度合计646.731m。</w:t>
            </w:r>
          </w:p>
          <w:p w14:paraId="2C645A45">
            <w:pPr>
              <w:adjustRightInd w:val="0"/>
              <w:snapToGrid w:val="0"/>
              <w:spacing w:line="360" w:lineRule="auto"/>
              <w:ind w:firstLine="482" w:firstLineChars="200"/>
              <w:rPr>
                <w:rFonts w:hint="eastAsia" w:ascii="Times New Roman" w:hAnsi="Times New Roman" w:eastAsia="宋体" w:cs="Times New Roman"/>
                <w:b/>
                <w:bCs/>
                <w:color w:val="auto"/>
                <w:spacing w:val="0"/>
                <w:position w:val="0"/>
                <w:sz w:val="24"/>
                <w:szCs w:val="24"/>
                <w:lang w:val="en-US" w:eastAsia="zh-CN"/>
              </w:rPr>
            </w:pPr>
            <w:r>
              <w:rPr>
                <w:rFonts w:hint="eastAsia" w:cs="Times New Roman"/>
                <w:b/>
                <w:bCs/>
                <w:color w:val="auto"/>
                <w:spacing w:val="0"/>
                <w:position w:val="0"/>
                <w:sz w:val="24"/>
                <w:szCs w:val="24"/>
                <w:lang w:val="en-US" w:eastAsia="zh-CN"/>
              </w:rPr>
              <w:t>改移道路</w:t>
            </w:r>
          </w:p>
          <w:p w14:paraId="6BE49773">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①设计原则</w:t>
            </w:r>
          </w:p>
          <w:p w14:paraId="6B7BBFEB">
            <w:pPr>
              <w:adjustRightInd w:val="0"/>
              <w:snapToGrid w:val="0"/>
              <w:spacing w:line="360" w:lineRule="auto"/>
              <w:ind w:firstLine="480" w:firstLineChars="200"/>
              <w:rPr>
                <w:rFonts w:hint="eastAsia"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1）改移道路应按不低于原标准进行设计。车站范围内道路与铁路交叉，均采用立交方式。</w:t>
            </w:r>
          </w:p>
          <w:p w14:paraId="7B2AF0CD">
            <w:pPr>
              <w:adjustRightInd w:val="0"/>
              <w:snapToGrid w:val="0"/>
              <w:spacing w:line="360" w:lineRule="auto"/>
              <w:ind w:firstLine="480" w:firstLineChars="200"/>
              <w:rPr>
                <w:rFonts w:hint="eastAsia"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2）道路与铁路交叉时，一般采用道路下穿铁路的立交方式，无下穿条件时采用道路上跨铁路方案。</w:t>
            </w:r>
          </w:p>
          <w:p w14:paraId="3C187DC6">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②工程概况</w:t>
            </w:r>
          </w:p>
          <w:p w14:paraId="027DB147">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改移道路CK 线路基宽5.0m、路面宽度4.5m；路面结构为</w:t>
            </w:r>
            <w:r>
              <w:rPr>
                <w:rFonts w:hint="eastAsia" w:cs="Times New Roman"/>
                <w:color w:val="auto"/>
                <w:spacing w:val="0"/>
                <w:position w:val="0"/>
                <w:sz w:val="24"/>
                <w:szCs w:val="24"/>
                <w:lang w:val="en-US" w:eastAsia="zh-CN"/>
              </w:rPr>
              <w:t>：</w:t>
            </w:r>
            <w:r>
              <w:rPr>
                <w:rFonts w:hint="default" w:ascii="Times New Roman" w:hAnsi="Times New Roman" w:eastAsia="宋体" w:cs="Times New Roman"/>
                <w:color w:val="auto"/>
                <w:spacing w:val="0"/>
                <w:position w:val="0"/>
                <w:sz w:val="24"/>
                <w:szCs w:val="24"/>
                <w:lang w:val="en-US" w:eastAsia="zh-CN"/>
              </w:rPr>
              <w:t>面层0.25m厚C30混凝土、基层0.2m厚5%水泥稳定碎石、垫层0.2m厚级配碎石。</w:t>
            </w:r>
          </w:p>
          <w:p w14:paraId="26378348">
            <w:pPr>
              <w:adjustRightInd w:val="0"/>
              <w:snapToGrid w:val="0"/>
              <w:spacing w:line="360" w:lineRule="auto"/>
              <w:ind w:firstLine="480" w:firstLineChars="200"/>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段内各站改移道路概况如下表</w:t>
            </w:r>
          </w:p>
          <w:p w14:paraId="2B8A4280">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color w:val="auto"/>
                <w:spacing w:val="0"/>
                <w:position w:val="0"/>
                <w:sz w:val="24"/>
                <w:szCs w:val="24"/>
                <w:lang w:val="en-US" w:eastAsia="zh-CN"/>
              </w:rPr>
            </w:pPr>
            <w:r>
              <w:rPr>
                <w:rFonts w:hint="eastAsia" w:cs="Times New Roman"/>
                <w:b/>
                <w:bCs/>
                <w:color w:val="auto"/>
                <w:spacing w:val="0"/>
                <w:position w:val="0"/>
                <w:sz w:val="24"/>
                <w:szCs w:val="24"/>
                <w:lang w:val="en-US" w:eastAsia="zh-CN"/>
              </w:rPr>
              <w:t>表2-8  改移道路一览表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590"/>
              <w:gridCol w:w="2077"/>
              <w:gridCol w:w="1680"/>
              <w:gridCol w:w="1695"/>
            </w:tblGrid>
            <w:tr w14:paraId="1767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8" w:type="dxa"/>
                  <w:vAlign w:val="center"/>
                </w:tcPr>
                <w:p w14:paraId="1A7C18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站名</w:t>
                  </w:r>
                </w:p>
              </w:tc>
              <w:tc>
                <w:tcPr>
                  <w:tcW w:w="1590" w:type="dxa"/>
                  <w:vAlign w:val="center"/>
                </w:tcPr>
                <w:p w14:paraId="113C95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道路等级</w:t>
                  </w:r>
                </w:p>
              </w:tc>
              <w:tc>
                <w:tcPr>
                  <w:tcW w:w="2077" w:type="dxa"/>
                  <w:vAlign w:val="center"/>
                </w:tcPr>
                <w:p w14:paraId="612775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与铁路交叉关系</w:t>
                  </w:r>
                </w:p>
              </w:tc>
              <w:tc>
                <w:tcPr>
                  <w:tcW w:w="1680" w:type="dxa"/>
                  <w:vAlign w:val="center"/>
                </w:tcPr>
                <w:p w14:paraId="2D0551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路面性质</w:t>
                  </w:r>
                </w:p>
              </w:tc>
              <w:tc>
                <w:tcPr>
                  <w:tcW w:w="1695" w:type="dxa"/>
                  <w:vAlign w:val="center"/>
                </w:tcPr>
                <w:p w14:paraId="7F8D7C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pacing w:val="0"/>
                      <w:position w:val="0"/>
                      <w:sz w:val="21"/>
                      <w:szCs w:val="21"/>
                      <w:vertAlign w:val="baseline"/>
                      <w:lang w:val="en-US" w:eastAsia="zh-CN"/>
                    </w:rPr>
                  </w:pPr>
                  <w:r>
                    <w:rPr>
                      <w:rFonts w:hint="eastAsia" w:cs="Times New Roman"/>
                      <w:b/>
                      <w:bCs/>
                      <w:color w:val="auto"/>
                      <w:spacing w:val="0"/>
                      <w:position w:val="0"/>
                      <w:sz w:val="21"/>
                      <w:szCs w:val="21"/>
                      <w:vertAlign w:val="baseline"/>
                      <w:lang w:val="en-US" w:eastAsia="zh-CN"/>
                    </w:rPr>
                    <w:t>道路长度</w:t>
                  </w:r>
                </w:p>
              </w:tc>
            </w:tr>
            <w:tr w14:paraId="0A9E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8" w:type="dxa"/>
                  <w:vAlign w:val="center"/>
                </w:tcPr>
                <w:p w14:paraId="0A5672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云约站</w:t>
                  </w:r>
                </w:p>
              </w:tc>
              <w:tc>
                <w:tcPr>
                  <w:tcW w:w="1590" w:type="dxa"/>
                  <w:vAlign w:val="center"/>
                </w:tcPr>
                <w:p w14:paraId="694D0B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等外道路</w:t>
                  </w:r>
                </w:p>
              </w:tc>
              <w:tc>
                <w:tcPr>
                  <w:tcW w:w="2077" w:type="dxa"/>
                  <w:vAlign w:val="center"/>
                </w:tcPr>
                <w:p w14:paraId="068E2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并行货场堆场，无交叉</w:t>
                  </w:r>
                </w:p>
              </w:tc>
              <w:tc>
                <w:tcPr>
                  <w:tcW w:w="1680" w:type="dxa"/>
                  <w:vAlign w:val="center"/>
                </w:tcPr>
                <w:p w14:paraId="247815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水泥路面</w:t>
                  </w:r>
                </w:p>
              </w:tc>
              <w:tc>
                <w:tcPr>
                  <w:tcW w:w="1695" w:type="dxa"/>
                  <w:vAlign w:val="center"/>
                </w:tcPr>
                <w:p w14:paraId="05012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position w:val="0"/>
                      <w:sz w:val="21"/>
                      <w:szCs w:val="21"/>
                      <w:vertAlign w:val="baseline"/>
                      <w:lang w:val="en-US" w:eastAsia="zh-CN"/>
                    </w:rPr>
                  </w:pPr>
                  <w:r>
                    <w:rPr>
                      <w:rFonts w:hint="eastAsia" w:cs="Times New Roman"/>
                      <w:color w:val="auto"/>
                      <w:spacing w:val="0"/>
                      <w:position w:val="0"/>
                      <w:sz w:val="21"/>
                      <w:szCs w:val="21"/>
                      <w:vertAlign w:val="baseline"/>
                      <w:lang w:val="en-US" w:eastAsia="zh-CN"/>
                    </w:rPr>
                    <w:t>426.02</w:t>
                  </w:r>
                </w:p>
              </w:tc>
            </w:tr>
          </w:tbl>
          <w:p w14:paraId="1E8C542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全线（不含接轨站）各站改移道路长度合计426.02m</w:t>
            </w:r>
            <w:r>
              <w:rPr>
                <w:rFonts w:hint="default" w:ascii="Times New Roman" w:hAnsi="Times New Roman" w:eastAsia="宋体" w:cs="Times New Roman"/>
                <w:color w:val="auto"/>
                <w:spacing w:val="0"/>
                <w:position w:val="0"/>
                <w:sz w:val="24"/>
                <w:szCs w:val="24"/>
              </w:rPr>
              <w:t>。</w:t>
            </w:r>
          </w:p>
          <w:p w14:paraId="24F904F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bCs/>
                <w:color w:val="auto"/>
                <w:spacing w:val="0"/>
                <w:position w:val="0"/>
                <w:sz w:val="24"/>
                <w:szCs w:val="24"/>
                <w:lang w:val="en-US" w:eastAsia="zh-CN"/>
              </w:rPr>
            </w:pPr>
            <w:r>
              <w:rPr>
                <w:rFonts w:hint="eastAsia" w:cs="Times New Roman"/>
                <w:b/>
                <w:bCs/>
                <w:color w:val="auto"/>
                <w:spacing w:val="0"/>
                <w:position w:val="0"/>
                <w:sz w:val="24"/>
                <w:szCs w:val="24"/>
                <w:lang w:val="en-US" w:eastAsia="zh-CN"/>
              </w:rPr>
              <w:t>（10）桥涵</w:t>
            </w:r>
          </w:p>
          <w:p w14:paraId="5A10BA67">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根据施工图设计，本项目新建框架涵（排洪）5座，改建框架涵（排洪）5座，涵洞施工用地位于本项目内，无新增临时占地。本项目涵洞工程情况见表2</w:t>
            </w:r>
            <w:r>
              <w:rPr>
                <w:rFonts w:hint="eastAsia" w:ascii="Times New Roman" w:hAnsi="Times New Roman" w:cs="Times New Roman"/>
                <w:color w:val="auto"/>
                <w:spacing w:val="0"/>
                <w:position w:val="0"/>
                <w:sz w:val="24"/>
                <w:szCs w:val="24"/>
                <w:lang w:val="en-US" w:eastAsia="zh-CN"/>
              </w:rPr>
              <w:t>-9</w:t>
            </w:r>
            <w:r>
              <w:rPr>
                <w:rFonts w:hint="default" w:ascii="Times New Roman" w:hAnsi="Times New Roman" w:cs="Times New Roman"/>
                <w:color w:val="auto"/>
                <w:spacing w:val="0"/>
                <w:position w:val="0"/>
                <w:sz w:val="24"/>
                <w:szCs w:val="24"/>
                <w:lang w:val="en-US" w:eastAsia="zh-CN"/>
              </w:rPr>
              <w:t>。</w:t>
            </w:r>
          </w:p>
          <w:p w14:paraId="6C7408C8">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新建框架涵（5座）：在D1K0+284.91、D1K0+440.00、D1K0+720.00、D1K0+845.89、D1K1+004.0新建框架涵，新建框架涵采用分离式基础，出入口涵节采用整体式基础，中间涵节无基础，涵洞出入口路基边坡及锥体采用20cm或30cm厚C30混凝土预制块，下设10cm厚碎石垫层，沟床铺砌采用30cm厚C30混凝土预制块，下设10cm厚碎石垫层，涵内回填10cmC25混凝土防磨层。</w:t>
            </w:r>
          </w:p>
          <w:p w14:paraId="46437595">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color w:val="auto"/>
                <w:spacing w:val="0"/>
                <w:position w:val="0"/>
                <w:sz w:val="24"/>
                <w:szCs w:val="24"/>
                <w:lang w:val="en-US" w:eastAsia="zh-CN"/>
              </w:rPr>
            </w:pPr>
            <w:r>
              <w:rPr>
                <w:rFonts w:hint="default" w:ascii="Times New Roman" w:hAnsi="Times New Roman" w:cs="Times New Roman"/>
                <w:color w:val="auto"/>
                <w:spacing w:val="0"/>
                <w:position w:val="0"/>
                <w:sz w:val="24"/>
                <w:szCs w:val="24"/>
                <w:lang w:val="en-US" w:eastAsia="zh-CN"/>
              </w:rPr>
              <w:t>改建框架涵（5座）：在D1K0+76.08、D1K0+121.33、D1K1+225.11、D1K1+291.89、D1K1+506.89在既有箱涵的基础上进行接长，框架涵涵洞翼墙采用整体式基础，中间涵节无基础，涵洞出入口路基边坡及锥体采用30cm厚C35混凝土预制块，下设10cm厚碎石垫层，沟床铺砌采用30cm厚C35混凝土预制块，下设10cm厚碎石垫层。</w:t>
            </w:r>
          </w:p>
          <w:p w14:paraId="21D236AA">
            <w:pPr>
              <w:pStyle w:val="34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cs="Times New Roman"/>
                <w:b/>
                <w:bCs/>
                <w:color w:val="auto"/>
                <w:spacing w:val="0"/>
                <w:position w:val="0"/>
                <w:sz w:val="24"/>
                <w:szCs w:val="24"/>
                <w:lang w:val="en-US" w:eastAsia="zh-CN"/>
              </w:rPr>
            </w:pPr>
            <w:r>
              <w:rPr>
                <w:rFonts w:hint="default" w:ascii="Times New Roman" w:hAnsi="Times New Roman" w:cs="Times New Roman"/>
                <w:b/>
                <w:bCs/>
                <w:color w:val="auto"/>
                <w:spacing w:val="0"/>
                <w:position w:val="0"/>
                <w:sz w:val="24"/>
                <w:szCs w:val="24"/>
                <w:lang w:val="en-US" w:eastAsia="zh-CN"/>
              </w:rPr>
              <w:t>表2</w:t>
            </w:r>
            <w:r>
              <w:rPr>
                <w:rFonts w:hint="eastAsia" w:ascii="Times New Roman" w:hAnsi="Times New Roman" w:cs="Times New Roman"/>
                <w:b/>
                <w:bCs/>
                <w:color w:val="auto"/>
                <w:spacing w:val="0"/>
                <w:position w:val="0"/>
                <w:sz w:val="24"/>
                <w:szCs w:val="24"/>
                <w:lang w:val="en-US" w:eastAsia="zh-CN"/>
              </w:rPr>
              <w:t>-9</w:t>
            </w:r>
            <w:r>
              <w:rPr>
                <w:rFonts w:hint="default" w:ascii="Times New Roman" w:hAnsi="Times New Roman" w:cs="Times New Roman"/>
                <w:b/>
                <w:bCs/>
                <w:color w:val="auto"/>
                <w:spacing w:val="0"/>
                <w:position w:val="0"/>
                <w:sz w:val="24"/>
                <w:szCs w:val="24"/>
                <w:lang w:val="en-US" w:eastAsia="zh-CN"/>
              </w:rPr>
              <w:t xml:space="preserve">   涵洞工程</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1510"/>
              <w:gridCol w:w="993"/>
              <w:gridCol w:w="1198"/>
              <w:gridCol w:w="1198"/>
              <w:gridCol w:w="1198"/>
              <w:gridCol w:w="775"/>
            </w:tblGrid>
            <w:tr w14:paraId="0EFF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Align w:val="center"/>
                </w:tcPr>
                <w:p w14:paraId="261C95F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分类</w:t>
                  </w:r>
                </w:p>
              </w:tc>
              <w:tc>
                <w:tcPr>
                  <w:tcW w:w="459" w:type="pct"/>
                  <w:shd w:val="clear" w:color="auto" w:fill="auto"/>
                  <w:vAlign w:val="center"/>
                </w:tcPr>
                <w:p w14:paraId="3419D02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序号</w:t>
                  </w:r>
                </w:p>
              </w:tc>
              <w:tc>
                <w:tcPr>
                  <w:tcW w:w="896" w:type="pct"/>
                  <w:vAlign w:val="center"/>
                </w:tcPr>
                <w:p w14:paraId="4DEFFCD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位置桩号</w:t>
                  </w:r>
                </w:p>
              </w:tc>
              <w:tc>
                <w:tcPr>
                  <w:tcW w:w="589" w:type="pct"/>
                  <w:vAlign w:val="center"/>
                </w:tcPr>
                <w:p w14:paraId="7AAACD90">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结构类型</w:t>
                  </w:r>
                </w:p>
              </w:tc>
              <w:tc>
                <w:tcPr>
                  <w:tcW w:w="711" w:type="pct"/>
                  <w:shd w:val="clear" w:color="auto" w:fill="auto"/>
                  <w:vAlign w:val="center"/>
                </w:tcPr>
                <w:p w14:paraId="177CDAB3">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孔径</w:t>
                  </w:r>
                </w:p>
              </w:tc>
              <w:tc>
                <w:tcPr>
                  <w:tcW w:w="711" w:type="pct"/>
                  <w:shd w:val="clear" w:color="auto" w:fill="auto"/>
                  <w:vAlign w:val="center"/>
                </w:tcPr>
                <w:p w14:paraId="2952D6BE">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涵长（m）</w:t>
                  </w:r>
                </w:p>
              </w:tc>
              <w:tc>
                <w:tcPr>
                  <w:tcW w:w="711" w:type="pct"/>
                  <w:vAlign w:val="center"/>
                </w:tcPr>
                <w:p w14:paraId="701CF10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既有涵洞</w:t>
                  </w:r>
                </w:p>
              </w:tc>
              <w:tc>
                <w:tcPr>
                  <w:tcW w:w="460" w:type="pct"/>
                  <w:vAlign w:val="center"/>
                </w:tcPr>
                <w:p w14:paraId="6BE61A96">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color w:val="auto"/>
                      <w:spacing w:val="0"/>
                      <w:position w:val="0"/>
                      <w:sz w:val="21"/>
                      <w:szCs w:val="21"/>
                      <w:lang w:val="en-US" w:eastAsia="zh-CN"/>
                    </w:rPr>
                  </w:pPr>
                  <w:r>
                    <w:rPr>
                      <w:rFonts w:hint="eastAsia" w:ascii="Times New Roman" w:hAnsi="Times New Roman" w:eastAsia="宋体" w:cs="Times New Roman"/>
                      <w:b/>
                      <w:bCs/>
                      <w:color w:val="auto"/>
                      <w:spacing w:val="0"/>
                      <w:position w:val="0"/>
                      <w:sz w:val="21"/>
                      <w:szCs w:val="21"/>
                      <w:lang w:val="en-US" w:eastAsia="zh-CN"/>
                    </w:rPr>
                    <w:t>性质/作用</w:t>
                  </w:r>
                </w:p>
              </w:tc>
            </w:tr>
            <w:tr w14:paraId="5D1A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restart"/>
                  <w:vAlign w:val="center"/>
                </w:tcPr>
                <w:p w14:paraId="13D87235">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新建框架涵</w:t>
                  </w:r>
                </w:p>
              </w:tc>
              <w:tc>
                <w:tcPr>
                  <w:tcW w:w="459" w:type="pct"/>
                  <w:shd w:val="clear" w:color="auto" w:fill="auto"/>
                  <w:vAlign w:val="center"/>
                </w:tcPr>
                <w:p w14:paraId="1105817A">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w:t>
                  </w:r>
                </w:p>
              </w:tc>
              <w:tc>
                <w:tcPr>
                  <w:tcW w:w="896" w:type="pct"/>
                  <w:vAlign w:val="center"/>
                </w:tcPr>
                <w:p w14:paraId="2E69360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D1K0+284.91</w:t>
                  </w:r>
                </w:p>
              </w:tc>
              <w:tc>
                <w:tcPr>
                  <w:tcW w:w="589" w:type="pct"/>
                  <w:vAlign w:val="center"/>
                </w:tcPr>
                <w:p w14:paraId="45F7C471">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框架涵</w:t>
                  </w:r>
                </w:p>
              </w:tc>
              <w:tc>
                <w:tcPr>
                  <w:tcW w:w="711" w:type="pct"/>
                  <w:vAlign w:val="center"/>
                </w:tcPr>
                <w:p w14:paraId="12F9BAC2">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1-2.5m</w:t>
                  </w:r>
                </w:p>
              </w:tc>
              <w:tc>
                <w:tcPr>
                  <w:tcW w:w="711" w:type="pct"/>
                  <w:vAlign w:val="center"/>
                </w:tcPr>
                <w:p w14:paraId="344F56B3">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26.06</w:t>
                  </w:r>
                </w:p>
              </w:tc>
              <w:tc>
                <w:tcPr>
                  <w:tcW w:w="711" w:type="pct"/>
                  <w:vAlign w:val="center"/>
                </w:tcPr>
                <w:p w14:paraId="0D44DFAD">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w:t>
                  </w:r>
                </w:p>
              </w:tc>
              <w:tc>
                <w:tcPr>
                  <w:tcW w:w="460" w:type="pct"/>
                  <w:vMerge w:val="restart"/>
                  <w:vAlign w:val="center"/>
                </w:tcPr>
                <w:p w14:paraId="774AD1DA">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新建涵洞/排洪</w:t>
                  </w:r>
                </w:p>
              </w:tc>
            </w:tr>
            <w:tr w14:paraId="078D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7979682D">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459" w:type="pct"/>
                  <w:vAlign w:val="center"/>
                </w:tcPr>
                <w:p w14:paraId="7F199774">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2</w:t>
                  </w:r>
                </w:p>
              </w:tc>
              <w:tc>
                <w:tcPr>
                  <w:tcW w:w="896" w:type="pct"/>
                  <w:vAlign w:val="center"/>
                </w:tcPr>
                <w:p w14:paraId="3E94A756">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D1K0+440.00</w:t>
                  </w:r>
                </w:p>
              </w:tc>
              <w:tc>
                <w:tcPr>
                  <w:tcW w:w="589" w:type="pct"/>
                  <w:vAlign w:val="center"/>
                </w:tcPr>
                <w:p w14:paraId="6B7C0526">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框架涵</w:t>
                  </w:r>
                </w:p>
              </w:tc>
              <w:tc>
                <w:tcPr>
                  <w:tcW w:w="711" w:type="pct"/>
                  <w:vAlign w:val="center"/>
                </w:tcPr>
                <w:p w14:paraId="5A4D36AB">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1-2.5m</w:t>
                  </w:r>
                </w:p>
              </w:tc>
              <w:tc>
                <w:tcPr>
                  <w:tcW w:w="711" w:type="pct"/>
                  <w:vAlign w:val="center"/>
                </w:tcPr>
                <w:p w14:paraId="00C14C8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88.08</w:t>
                  </w:r>
                </w:p>
              </w:tc>
              <w:tc>
                <w:tcPr>
                  <w:tcW w:w="711" w:type="pct"/>
                  <w:vAlign w:val="center"/>
                </w:tcPr>
                <w:p w14:paraId="519FCC5E">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w:t>
                  </w:r>
                </w:p>
              </w:tc>
              <w:tc>
                <w:tcPr>
                  <w:tcW w:w="460" w:type="pct"/>
                  <w:vMerge w:val="continue"/>
                  <w:vAlign w:val="center"/>
                </w:tcPr>
                <w:p w14:paraId="2545C68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r>
            <w:tr w14:paraId="3D0A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2C0CE4C0">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459" w:type="pct"/>
                  <w:vAlign w:val="center"/>
                </w:tcPr>
                <w:p w14:paraId="4020E14E">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3</w:t>
                  </w:r>
                </w:p>
              </w:tc>
              <w:tc>
                <w:tcPr>
                  <w:tcW w:w="896" w:type="pct"/>
                  <w:vAlign w:val="center"/>
                </w:tcPr>
                <w:p w14:paraId="6A8E206D">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D1K0+720.00</w:t>
                  </w:r>
                </w:p>
              </w:tc>
              <w:tc>
                <w:tcPr>
                  <w:tcW w:w="589" w:type="pct"/>
                  <w:vAlign w:val="center"/>
                </w:tcPr>
                <w:p w14:paraId="4D313B5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框架涵</w:t>
                  </w:r>
                </w:p>
              </w:tc>
              <w:tc>
                <w:tcPr>
                  <w:tcW w:w="711" w:type="pct"/>
                  <w:vAlign w:val="center"/>
                </w:tcPr>
                <w:p w14:paraId="43BDD7CB">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1-2.5m</w:t>
                  </w:r>
                </w:p>
              </w:tc>
              <w:tc>
                <w:tcPr>
                  <w:tcW w:w="711" w:type="pct"/>
                  <w:vAlign w:val="center"/>
                </w:tcPr>
                <w:p w14:paraId="17D3ECB8">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84.51</w:t>
                  </w:r>
                </w:p>
              </w:tc>
              <w:tc>
                <w:tcPr>
                  <w:tcW w:w="711" w:type="pct"/>
                  <w:vAlign w:val="center"/>
                </w:tcPr>
                <w:p w14:paraId="2120B2FE">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w:t>
                  </w:r>
                </w:p>
              </w:tc>
              <w:tc>
                <w:tcPr>
                  <w:tcW w:w="460" w:type="pct"/>
                  <w:vMerge w:val="continue"/>
                  <w:vAlign w:val="center"/>
                </w:tcPr>
                <w:p w14:paraId="187F52E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r>
            <w:tr w14:paraId="07E2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2340DF1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459" w:type="pct"/>
                  <w:vAlign w:val="center"/>
                </w:tcPr>
                <w:p w14:paraId="6D20B606">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4</w:t>
                  </w:r>
                </w:p>
              </w:tc>
              <w:tc>
                <w:tcPr>
                  <w:tcW w:w="896" w:type="pct"/>
                  <w:vAlign w:val="center"/>
                </w:tcPr>
                <w:p w14:paraId="0B19543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D1K0+845.89</w:t>
                  </w:r>
                </w:p>
              </w:tc>
              <w:tc>
                <w:tcPr>
                  <w:tcW w:w="589" w:type="pct"/>
                  <w:vAlign w:val="center"/>
                </w:tcPr>
                <w:p w14:paraId="7973AE0A">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框架涵</w:t>
                  </w:r>
                </w:p>
              </w:tc>
              <w:tc>
                <w:tcPr>
                  <w:tcW w:w="711" w:type="pct"/>
                  <w:vAlign w:val="center"/>
                </w:tcPr>
                <w:p w14:paraId="1A87E8A8">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1-6.0m</w:t>
                  </w:r>
                </w:p>
              </w:tc>
              <w:tc>
                <w:tcPr>
                  <w:tcW w:w="711" w:type="pct"/>
                  <w:vAlign w:val="center"/>
                </w:tcPr>
                <w:p w14:paraId="565BADD8">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43.68</w:t>
                  </w:r>
                </w:p>
              </w:tc>
              <w:tc>
                <w:tcPr>
                  <w:tcW w:w="711" w:type="pct"/>
                  <w:vAlign w:val="center"/>
                </w:tcPr>
                <w:p w14:paraId="6CC2EF3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w:t>
                  </w:r>
                </w:p>
              </w:tc>
              <w:tc>
                <w:tcPr>
                  <w:tcW w:w="460" w:type="pct"/>
                  <w:vAlign w:val="center"/>
                </w:tcPr>
                <w:p w14:paraId="10778A6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新建涵洞/立交</w:t>
                  </w:r>
                </w:p>
              </w:tc>
            </w:tr>
            <w:tr w14:paraId="0940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2DCA8EE9">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459" w:type="pct"/>
                  <w:vAlign w:val="center"/>
                </w:tcPr>
                <w:p w14:paraId="080707E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5</w:t>
                  </w:r>
                </w:p>
              </w:tc>
              <w:tc>
                <w:tcPr>
                  <w:tcW w:w="896" w:type="pct"/>
                  <w:shd w:val="clear" w:color="auto" w:fill="auto"/>
                  <w:vAlign w:val="center"/>
                </w:tcPr>
                <w:p w14:paraId="5BB6B8C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D1K1+004.0</w:t>
                  </w:r>
                </w:p>
              </w:tc>
              <w:tc>
                <w:tcPr>
                  <w:tcW w:w="589" w:type="pct"/>
                  <w:vAlign w:val="center"/>
                </w:tcPr>
                <w:p w14:paraId="786A79B8">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框架涵</w:t>
                  </w:r>
                </w:p>
              </w:tc>
              <w:tc>
                <w:tcPr>
                  <w:tcW w:w="711" w:type="pct"/>
                  <w:vAlign w:val="center"/>
                </w:tcPr>
                <w:p w14:paraId="43B5C6A1">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1-2.5m</w:t>
                  </w:r>
                </w:p>
              </w:tc>
              <w:tc>
                <w:tcPr>
                  <w:tcW w:w="711" w:type="pct"/>
                  <w:vAlign w:val="center"/>
                </w:tcPr>
                <w:p w14:paraId="67BE55B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143.16</w:t>
                  </w:r>
                </w:p>
              </w:tc>
              <w:tc>
                <w:tcPr>
                  <w:tcW w:w="711" w:type="pct"/>
                  <w:vAlign w:val="center"/>
                </w:tcPr>
                <w:p w14:paraId="50DCE946">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w:t>
                  </w:r>
                </w:p>
              </w:tc>
              <w:tc>
                <w:tcPr>
                  <w:tcW w:w="460" w:type="pct"/>
                  <w:vAlign w:val="center"/>
                </w:tcPr>
                <w:p w14:paraId="1DD7E856">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新建涵洞/排洪</w:t>
                  </w:r>
                </w:p>
              </w:tc>
            </w:tr>
            <w:tr w14:paraId="2E86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restart"/>
                  <w:vAlign w:val="center"/>
                </w:tcPr>
                <w:p w14:paraId="4CB114F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改建框架涵</w:t>
                  </w:r>
                </w:p>
              </w:tc>
              <w:tc>
                <w:tcPr>
                  <w:tcW w:w="459" w:type="pct"/>
                  <w:vAlign w:val="center"/>
                </w:tcPr>
                <w:p w14:paraId="17BD376E">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w:t>
                  </w:r>
                </w:p>
              </w:tc>
              <w:tc>
                <w:tcPr>
                  <w:tcW w:w="896" w:type="pct"/>
                  <w:vAlign w:val="center"/>
                </w:tcPr>
                <w:p w14:paraId="09E79274">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D1K0+76.08</w:t>
                  </w:r>
                </w:p>
              </w:tc>
              <w:tc>
                <w:tcPr>
                  <w:tcW w:w="589" w:type="pct"/>
                  <w:vAlign w:val="center"/>
                </w:tcPr>
                <w:p w14:paraId="63AD684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框架涵</w:t>
                  </w:r>
                </w:p>
              </w:tc>
              <w:tc>
                <w:tcPr>
                  <w:tcW w:w="711" w:type="pct"/>
                  <w:vAlign w:val="center"/>
                </w:tcPr>
                <w:p w14:paraId="76F4E3A9">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1-4.0m</w:t>
                  </w:r>
                </w:p>
              </w:tc>
              <w:tc>
                <w:tcPr>
                  <w:tcW w:w="711" w:type="pct"/>
                  <w:vAlign w:val="center"/>
                </w:tcPr>
                <w:p w14:paraId="3551F5E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5.06</w:t>
                  </w:r>
                </w:p>
              </w:tc>
              <w:tc>
                <w:tcPr>
                  <w:tcW w:w="711" w:type="pct"/>
                  <w:vAlign w:val="center"/>
                </w:tcPr>
                <w:p w14:paraId="2387CDA5">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1-4.0m框架涵</w:t>
                  </w:r>
                </w:p>
              </w:tc>
              <w:tc>
                <w:tcPr>
                  <w:tcW w:w="460" w:type="pct"/>
                  <w:vAlign w:val="center"/>
                </w:tcPr>
                <w:p w14:paraId="430A9DB6">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接长涵洞/排洪</w:t>
                  </w:r>
                </w:p>
              </w:tc>
            </w:tr>
            <w:tr w14:paraId="0B0F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34C2F17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459" w:type="pct"/>
                  <w:vAlign w:val="center"/>
                </w:tcPr>
                <w:p w14:paraId="3CE6148E">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2</w:t>
                  </w:r>
                </w:p>
              </w:tc>
              <w:tc>
                <w:tcPr>
                  <w:tcW w:w="896" w:type="pct"/>
                  <w:vAlign w:val="center"/>
                </w:tcPr>
                <w:p w14:paraId="744963B0">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D1K0+121.33</w:t>
                  </w:r>
                </w:p>
              </w:tc>
              <w:tc>
                <w:tcPr>
                  <w:tcW w:w="589" w:type="pct"/>
                  <w:vAlign w:val="center"/>
                </w:tcPr>
                <w:p w14:paraId="7991F9A3">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框架涵</w:t>
                  </w:r>
                </w:p>
              </w:tc>
              <w:tc>
                <w:tcPr>
                  <w:tcW w:w="711" w:type="pct"/>
                  <w:vAlign w:val="center"/>
                </w:tcPr>
                <w:p w14:paraId="392450F1">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1-4.0m</w:t>
                  </w:r>
                </w:p>
              </w:tc>
              <w:tc>
                <w:tcPr>
                  <w:tcW w:w="711" w:type="pct"/>
                  <w:vAlign w:val="center"/>
                </w:tcPr>
                <w:p w14:paraId="51B6D9CD">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7.04</w:t>
                  </w:r>
                </w:p>
              </w:tc>
              <w:tc>
                <w:tcPr>
                  <w:tcW w:w="711" w:type="pct"/>
                  <w:shd w:val="clear" w:color="auto" w:fill="auto"/>
                  <w:vAlign w:val="center"/>
                </w:tcPr>
                <w:p w14:paraId="45760EE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1-4.0m框架涵</w:t>
                  </w:r>
                </w:p>
              </w:tc>
              <w:tc>
                <w:tcPr>
                  <w:tcW w:w="460" w:type="pct"/>
                  <w:vAlign w:val="center"/>
                </w:tcPr>
                <w:p w14:paraId="65AE538A">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接长涵洞/立交</w:t>
                  </w:r>
                </w:p>
              </w:tc>
            </w:tr>
            <w:tr w14:paraId="21F5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3EDCAD2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459" w:type="pct"/>
                  <w:vAlign w:val="center"/>
                </w:tcPr>
                <w:p w14:paraId="768297C9">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3</w:t>
                  </w:r>
                </w:p>
              </w:tc>
              <w:tc>
                <w:tcPr>
                  <w:tcW w:w="896" w:type="pct"/>
                  <w:vAlign w:val="center"/>
                </w:tcPr>
                <w:p w14:paraId="4588D745">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D1K1+225.11</w:t>
                  </w:r>
                </w:p>
              </w:tc>
              <w:tc>
                <w:tcPr>
                  <w:tcW w:w="589" w:type="pct"/>
                  <w:vAlign w:val="center"/>
                </w:tcPr>
                <w:p w14:paraId="37CBC995">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框架涵</w:t>
                  </w:r>
                </w:p>
              </w:tc>
              <w:tc>
                <w:tcPr>
                  <w:tcW w:w="711" w:type="pct"/>
                  <w:vAlign w:val="center"/>
                </w:tcPr>
                <w:p w14:paraId="5A902F42">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1-4.0m</w:t>
                  </w:r>
                </w:p>
              </w:tc>
              <w:tc>
                <w:tcPr>
                  <w:tcW w:w="711" w:type="pct"/>
                  <w:vAlign w:val="center"/>
                </w:tcPr>
                <w:p w14:paraId="11EC8E01">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5.54</w:t>
                  </w:r>
                </w:p>
              </w:tc>
              <w:tc>
                <w:tcPr>
                  <w:tcW w:w="711" w:type="pct"/>
                  <w:vAlign w:val="center"/>
                </w:tcPr>
                <w:p w14:paraId="5FAE8A4B">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1-4.0m框架涵</w:t>
                  </w:r>
                </w:p>
              </w:tc>
              <w:tc>
                <w:tcPr>
                  <w:tcW w:w="460" w:type="pct"/>
                  <w:vAlign w:val="center"/>
                </w:tcPr>
                <w:p w14:paraId="1543F3E1">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接长涵洞/排洪、人行</w:t>
                  </w:r>
                </w:p>
              </w:tc>
            </w:tr>
            <w:tr w14:paraId="023E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66FFF8FD">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459" w:type="pct"/>
                  <w:vAlign w:val="center"/>
                </w:tcPr>
                <w:p w14:paraId="1D46A31B">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4</w:t>
                  </w:r>
                </w:p>
              </w:tc>
              <w:tc>
                <w:tcPr>
                  <w:tcW w:w="896" w:type="pct"/>
                  <w:vAlign w:val="center"/>
                </w:tcPr>
                <w:p w14:paraId="355CE5A8">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D1K1+291.89</w:t>
                  </w:r>
                </w:p>
              </w:tc>
              <w:tc>
                <w:tcPr>
                  <w:tcW w:w="589" w:type="pct"/>
                  <w:vAlign w:val="center"/>
                </w:tcPr>
                <w:p w14:paraId="1676A043">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框架涵</w:t>
                  </w:r>
                </w:p>
              </w:tc>
              <w:tc>
                <w:tcPr>
                  <w:tcW w:w="711" w:type="pct"/>
                  <w:vAlign w:val="center"/>
                </w:tcPr>
                <w:p w14:paraId="1EEA0CB6">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1-1.5m</w:t>
                  </w:r>
                </w:p>
              </w:tc>
              <w:tc>
                <w:tcPr>
                  <w:tcW w:w="711" w:type="pct"/>
                  <w:vAlign w:val="center"/>
                </w:tcPr>
                <w:p w14:paraId="149D8912">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6.40</w:t>
                  </w:r>
                </w:p>
              </w:tc>
              <w:tc>
                <w:tcPr>
                  <w:tcW w:w="711" w:type="pct"/>
                  <w:vAlign w:val="center"/>
                </w:tcPr>
                <w:p w14:paraId="4D96B5FD">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1-1.5m框架涵</w:t>
                  </w:r>
                </w:p>
              </w:tc>
              <w:tc>
                <w:tcPr>
                  <w:tcW w:w="460" w:type="pct"/>
                  <w:vMerge w:val="restart"/>
                  <w:vAlign w:val="center"/>
                </w:tcPr>
                <w:p w14:paraId="7BA72EAA">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接长涵洞/排洪</w:t>
                  </w:r>
                </w:p>
              </w:tc>
            </w:tr>
            <w:tr w14:paraId="5164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35BFE75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459" w:type="pct"/>
                  <w:vAlign w:val="center"/>
                </w:tcPr>
                <w:p w14:paraId="491A7B41">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5</w:t>
                  </w:r>
                </w:p>
              </w:tc>
              <w:tc>
                <w:tcPr>
                  <w:tcW w:w="896" w:type="pct"/>
                  <w:vAlign w:val="center"/>
                </w:tcPr>
                <w:p w14:paraId="679A80C5">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D1K1+506.89</w:t>
                  </w:r>
                </w:p>
              </w:tc>
              <w:tc>
                <w:tcPr>
                  <w:tcW w:w="589" w:type="pct"/>
                  <w:vAlign w:val="center"/>
                </w:tcPr>
                <w:p w14:paraId="40E874EB">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钢筋混硬土圆管涵</w:t>
                  </w:r>
                </w:p>
              </w:tc>
              <w:tc>
                <w:tcPr>
                  <w:tcW w:w="711" w:type="pct"/>
                  <w:vAlign w:val="center"/>
                </w:tcPr>
                <w:p w14:paraId="7F08E1A7">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1-2.0m</w:t>
                  </w:r>
                </w:p>
              </w:tc>
              <w:tc>
                <w:tcPr>
                  <w:tcW w:w="711" w:type="pct"/>
                  <w:vAlign w:val="center"/>
                </w:tcPr>
                <w:p w14:paraId="209B3286">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2.54</w:t>
                  </w:r>
                </w:p>
              </w:tc>
              <w:tc>
                <w:tcPr>
                  <w:tcW w:w="711" w:type="pct"/>
                  <w:vAlign w:val="center"/>
                </w:tcPr>
                <w:p w14:paraId="515A7ACD">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1-2.5m框架涵</w:t>
                  </w:r>
                </w:p>
              </w:tc>
              <w:tc>
                <w:tcPr>
                  <w:tcW w:w="460" w:type="pct"/>
                  <w:vMerge w:val="continue"/>
                  <w:vAlign w:val="center"/>
                </w:tcPr>
                <w:p w14:paraId="72A6A81E">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r>
          </w:tbl>
          <w:p w14:paraId="17410379">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2" w:firstLineChars="200"/>
              <w:textAlignment w:val="auto"/>
              <w:rPr>
                <w:color w:val="auto"/>
                <w:spacing w:val="0"/>
                <w:position w:val="0"/>
              </w:rPr>
            </w:pPr>
            <w:r>
              <w:rPr>
                <w:rFonts w:hint="eastAsia" w:ascii="Times New Roman" w:hAnsi="Times New Roman" w:cs="Times New Roman"/>
                <w:b/>
                <w:bCs/>
                <w:color w:val="auto"/>
                <w:spacing w:val="0"/>
                <w:position w:val="0"/>
                <w:lang w:val="en-US" w:eastAsia="zh-CN"/>
              </w:rPr>
              <w:t>6</w:t>
            </w:r>
            <w:r>
              <w:rPr>
                <w:b/>
                <w:bCs/>
                <w:color w:val="auto"/>
                <w:spacing w:val="0"/>
                <w:position w:val="0"/>
              </w:rPr>
              <w:t>、公用工程</w:t>
            </w:r>
          </w:p>
          <w:p w14:paraId="0479EC58">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pacing w:val="0"/>
                <w:position w:val="0"/>
              </w:rPr>
            </w:pPr>
            <w:r>
              <w:rPr>
                <w:color w:val="auto"/>
                <w:spacing w:val="0"/>
                <w:position w:val="0"/>
              </w:rPr>
              <w:t>（</w:t>
            </w:r>
            <w:r>
              <w:rPr>
                <w:rFonts w:ascii="Times New Roman" w:hAnsi="Times New Roman" w:eastAsia="Times New Roman" w:cs="Times New Roman"/>
                <w:color w:val="auto"/>
                <w:spacing w:val="0"/>
                <w:position w:val="0"/>
              </w:rPr>
              <w:t>1</w:t>
            </w:r>
            <w:r>
              <w:rPr>
                <w:color w:val="auto"/>
                <w:spacing w:val="0"/>
                <w:position w:val="0"/>
              </w:rPr>
              <w:t>）给水</w:t>
            </w:r>
          </w:p>
          <w:p w14:paraId="0AC9F2CB">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pacing w:val="0"/>
                <w:position w:val="0"/>
              </w:rPr>
            </w:pPr>
            <w:r>
              <w:rPr>
                <w:color w:val="auto"/>
                <w:spacing w:val="0"/>
                <w:position w:val="0"/>
              </w:rPr>
              <w:t>项目用水由管网提供，可满足项目生活、生产需要。</w:t>
            </w:r>
          </w:p>
          <w:p w14:paraId="41B86571">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pacing w:val="0"/>
                <w:position w:val="0"/>
              </w:rPr>
            </w:pPr>
            <w:r>
              <w:rPr>
                <w:rFonts w:ascii="Times New Roman" w:hAnsi="Times New Roman" w:eastAsia="Times New Roman" w:cs="Times New Roman"/>
                <w:color w:val="auto"/>
                <w:spacing w:val="0"/>
                <w:position w:val="0"/>
              </w:rPr>
              <w:t>1</w:t>
            </w:r>
            <w:r>
              <w:rPr>
                <w:color w:val="auto"/>
                <w:spacing w:val="0"/>
                <w:position w:val="0"/>
              </w:rPr>
              <w:t>）生产用水</w:t>
            </w:r>
          </w:p>
          <w:p w14:paraId="2E4E438D">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color w:val="auto"/>
                <w:spacing w:val="0"/>
                <w:position w:val="0"/>
              </w:rPr>
            </w:pPr>
            <w:r>
              <w:rPr>
                <w:rFonts w:hint="default" w:ascii="Times New Roman" w:hAnsi="Times New Roman" w:cs="Times New Roman"/>
                <w:color w:val="auto"/>
                <w:spacing w:val="0"/>
                <w:position w:val="0"/>
              </w:rPr>
              <w:t>①降尘用水</w:t>
            </w:r>
          </w:p>
          <w:p w14:paraId="796FCB85">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pacing w:val="0"/>
                <w:position w:val="0"/>
              </w:rPr>
            </w:pPr>
            <w:r>
              <w:rPr>
                <w:rFonts w:hint="default" w:ascii="Times New Roman" w:hAnsi="Times New Roman" w:cs="Times New Roman"/>
                <w:color w:val="auto"/>
                <w:lang w:val="en-US" w:eastAsia="zh-CN"/>
              </w:rPr>
              <w:t>运营期间</w:t>
            </w:r>
            <w:r>
              <w:rPr>
                <w:rFonts w:hint="default" w:ascii="Times New Roman" w:hAnsi="Times New Roman" w:cs="Times New Roman"/>
                <w:color w:val="auto"/>
                <w:spacing w:val="0"/>
                <w:position w:val="0"/>
              </w:rPr>
              <w:t>抑尘用水主要分布于</w:t>
            </w:r>
            <w:r>
              <w:rPr>
                <w:rFonts w:hint="default" w:ascii="Times New Roman" w:hAnsi="Times New Roman" w:cs="Times New Roman"/>
                <w:color w:val="auto"/>
                <w:spacing w:val="0"/>
                <w:position w:val="0"/>
                <w:lang w:val="en-US" w:eastAsia="zh-CN"/>
              </w:rPr>
              <w:t>集装箱堆场</w:t>
            </w:r>
            <w:r>
              <w:rPr>
                <w:rFonts w:hint="default" w:ascii="Times New Roman" w:hAnsi="Times New Roman" w:cs="Times New Roman"/>
                <w:color w:val="auto"/>
                <w:spacing w:val="0"/>
                <w:position w:val="0"/>
              </w:rPr>
              <w:t>装卸或转运时的定点连续雾化用水。</w:t>
            </w:r>
            <w:r>
              <w:rPr>
                <w:rFonts w:hint="default" w:ascii="Times New Roman" w:hAnsi="Times New Roman" w:cs="Times New Roman"/>
                <w:color w:val="auto"/>
                <w:spacing w:val="0"/>
                <w:position w:val="0"/>
                <w:lang w:val="en-US" w:eastAsia="zh-CN"/>
              </w:rPr>
              <w:t>货场浇洒用水为1L/m</w:t>
            </w:r>
            <w:r>
              <w:rPr>
                <w:rFonts w:hint="default" w:ascii="Times New Roman" w:hAnsi="Times New Roman" w:cs="Times New Roman"/>
                <w:color w:val="auto"/>
                <w:spacing w:val="0"/>
                <w:position w:val="0"/>
                <w:vertAlign w:val="superscript"/>
                <w:lang w:val="en-US" w:eastAsia="zh-CN"/>
              </w:rPr>
              <w:t>2</w:t>
            </w:r>
            <w:r>
              <w:rPr>
                <w:rFonts w:hint="default" w:ascii="Times New Roman" w:hAnsi="Times New Roman" w:cs="Times New Roman"/>
                <w:color w:val="auto"/>
                <w:spacing w:val="0"/>
                <w:position w:val="0"/>
                <w:lang w:val="en-US" w:eastAsia="zh-CN"/>
              </w:rPr>
              <w:t>·d，货场面积共计约</w:t>
            </w:r>
            <w:r>
              <w:rPr>
                <w:rFonts w:hint="eastAsia" w:ascii="Times New Roman" w:hAnsi="Times New Roman" w:cs="Times New Roman"/>
                <w:color w:val="auto"/>
                <w:spacing w:val="0"/>
                <w:position w:val="0"/>
                <w:lang w:val="en-US" w:eastAsia="zh-CN"/>
              </w:rPr>
              <w:t>27975</w:t>
            </w:r>
            <w:r>
              <w:rPr>
                <w:rFonts w:hint="default" w:ascii="Times New Roman" w:hAnsi="Times New Roman" w:cs="Times New Roman"/>
                <w:color w:val="auto"/>
                <w:spacing w:val="0"/>
                <w:position w:val="0"/>
                <w:lang w:val="en-US" w:eastAsia="zh-CN"/>
              </w:rPr>
              <w:t>m</w:t>
            </w:r>
            <w:r>
              <w:rPr>
                <w:rFonts w:hint="default" w:ascii="Times New Roman" w:hAnsi="Times New Roman" w:cs="Times New Roman"/>
                <w:color w:val="auto"/>
                <w:spacing w:val="0"/>
                <w:position w:val="0"/>
                <w:vertAlign w:val="superscript"/>
                <w:lang w:val="en-US" w:eastAsia="zh-CN"/>
              </w:rPr>
              <w:t>2</w:t>
            </w:r>
            <w:r>
              <w:rPr>
                <w:rFonts w:hint="default" w:ascii="Times New Roman" w:hAnsi="Times New Roman" w:cs="Times New Roman"/>
                <w:color w:val="auto"/>
                <w:spacing w:val="0"/>
                <w:position w:val="0"/>
                <w:lang w:val="en-US" w:eastAsia="zh-CN"/>
              </w:rPr>
              <w:t>，则货场浇洒用水</w:t>
            </w:r>
            <w:r>
              <w:rPr>
                <w:rFonts w:hint="eastAsia" w:ascii="Times New Roman" w:hAnsi="Times New Roman" w:cs="Times New Roman"/>
                <w:color w:val="auto"/>
                <w:spacing w:val="0"/>
                <w:position w:val="0"/>
                <w:lang w:val="en-US" w:eastAsia="zh-CN"/>
              </w:rPr>
              <w:t>约28</w:t>
            </w:r>
            <w:r>
              <w:rPr>
                <w:rFonts w:hint="default" w:ascii="Times New Roman" w:hAnsi="Times New Roman" w:cs="Times New Roman"/>
                <w:color w:val="auto"/>
                <w:spacing w:val="0"/>
                <w:position w:val="0"/>
                <w:lang w:val="en-US" w:eastAsia="zh-CN"/>
              </w:rPr>
              <w:t>m</w:t>
            </w:r>
            <w:r>
              <w:rPr>
                <w:rFonts w:hint="default" w:ascii="Times New Roman" w:hAnsi="Times New Roman" w:cs="Times New Roman"/>
                <w:color w:val="auto"/>
                <w:spacing w:val="0"/>
                <w:position w:val="0"/>
                <w:vertAlign w:val="superscript"/>
                <w:lang w:val="en-US" w:eastAsia="zh-CN"/>
              </w:rPr>
              <w:t>3</w:t>
            </w:r>
            <w:r>
              <w:rPr>
                <w:rFonts w:hint="default" w:ascii="Times New Roman" w:hAnsi="Times New Roman" w:cs="Times New Roman"/>
                <w:color w:val="auto"/>
                <w:spacing w:val="0"/>
                <w:position w:val="0"/>
                <w:lang w:val="en-US" w:eastAsia="zh-CN"/>
              </w:rPr>
              <w:t>/d（</w:t>
            </w:r>
            <w:r>
              <w:rPr>
                <w:rFonts w:hint="eastAsia" w:ascii="Times New Roman" w:hAnsi="Times New Roman" w:cs="Times New Roman"/>
                <w:color w:val="auto"/>
                <w:spacing w:val="0"/>
                <w:position w:val="0"/>
                <w:lang w:val="en-US" w:eastAsia="zh-CN"/>
              </w:rPr>
              <w:t>10220</w:t>
            </w:r>
            <w:r>
              <w:rPr>
                <w:rFonts w:hint="default" w:ascii="Times New Roman" w:hAnsi="Times New Roman" w:cs="Times New Roman"/>
                <w:color w:val="auto"/>
                <w:spacing w:val="0"/>
                <w:position w:val="0"/>
                <w:lang w:val="en-US" w:eastAsia="zh-CN"/>
              </w:rPr>
              <w:t>m</w:t>
            </w:r>
            <w:r>
              <w:rPr>
                <w:rFonts w:hint="default" w:ascii="Times New Roman" w:hAnsi="Times New Roman" w:cs="Times New Roman"/>
                <w:color w:val="auto"/>
                <w:spacing w:val="0"/>
                <w:position w:val="0"/>
                <w:vertAlign w:val="superscript"/>
                <w:lang w:val="en-US" w:eastAsia="zh-CN"/>
              </w:rPr>
              <w:t>3</w:t>
            </w:r>
            <w:r>
              <w:rPr>
                <w:rFonts w:hint="default" w:ascii="Times New Roman" w:hAnsi="Times New Roman" w:cs="Times New Roman"/>
                <w:color w:val="auto"/>
                <w:spacing w:val="0"/>
                <w:position w:val="0"/>
                <w:lang w:val="en-US" w:eastAsia="zh-CN"/>
              </w:rPr>
              <w:t>/a）</w:t>
            </w:r>
            <w:r>
              <w:rPr>
                <w:rFonts w:hint="eastAsia" w:ascii="Times New Roman" w:hAnsi="Times New Roman" w:cs="Times New Roman"/>
                <w:color w:val="auto"/>
                <w:spacing w:val="0"/>
                <w:position w:val="0"/>
                <w:lang w:val="en-US" w:eastAsia="zh-CN"/>
              </w:rPr>
              <w:t>，</w:t>
            </w:r>
            <w:r>
              <w:rPr>
                <w:color w:val="auto"/>
                <w:spacing w:val="0"/>
                <w:position w:val="0"/>
              </w:rPr>
              <w:t>降尘用水全部挥发，不产生废水。</w:t>
            </w:r>
          </w:p>
          <w:p w14:paraId="57804105">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pacing w:val="0"/>
                <w:position w:val="0"/>
              </w:rPr>
            </w:pPr>
            <w:r>
              <w:rPr>
                <w:rFonts w:ascii="Times New Roman" w:hAnsi="Times New Roman" w:eastAsia="Times New Roman" w:cs="Times New Roman"/>
                <w:color w:val="auto"/>
                <w:spacing w:val="0"/>
                <w:position w:val="0"/>
              </w:rPr>
              <w:t>2</w:t>
            </w:r>
            <w:r>
              <w:rPr>
                <w:color w:val="auto"/>
                <w:spacing w:val="0"/>
                <w:position w:val="0"/>
              </w:rPr>
              <w:t>）生活用水</w:t>
            </w:r>
          </w:p>
          <w:p w14:paraId="5BDC7C60">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pacing w:val="0"/>
                <w:position w:val="0"/>
              </w:rPr>
            </w:pPr>
            <w:r>
              <w:rPr>
                <w:rFonts w:hint="default" w:ascii="Times New Roman" w:hAnsi="Times New Roman" w:eastAsia="宋体" w:cs="Times New Roman"/>
                <w:color w:val="auto"/>
                <w:spacing w:val="0"/>
                <w:position w:val="0"/>
                <w:sz w:val="24"/>
                <w:szCs w:val="24"/>
              </w:rPr>
              <w:t>项目建成后劳动人员</w:t>
            </w:r>
            <w:r>
              <w:rPr>
                <w:rFonts w:hint="eastAsia" w:ascii="Times New Roman" w:hAnsi="Times New Roman" w:cs="Times New Roman"/>
                <w:color w:val="auto"/>
                <w:spacing w:val="0"/>
                <w:position w:val="0"/>
                <w:sz w:val="24"/>
                <w:szCs w:val="24"/>
                <w:lang w:val="en-US" w:eastAsia="zh-CN"/>
              </w:rPr>
              <w:t>25</w:t>
            </w:r>
            <w:r>
              <w:rPr>
                <w:rFonts w:hint="default" w:ascii="Times New Roman" w:hAnsi="Times New Roman" w:eastAsia="宋体" w:cs="Times New Roman"/>
                <w:color w:val="auto"/>
                <w:spacing w:val="0"/>
                <w:position w:val="0"/>
                <w:sz w:val="24"/>
                <w:szCs w:val="24"/>
              </w:rPr>
              <w:t>人</w:t>
            </w:r>
            <w:r>
              <w:rPr>
                <w:rFonts w:hint="default" w:ascii="Times New Roman" w:hAnsi="Times New Roman" w:eastAsia="宋体" w:cs="Times New Roman"/>
                <w:color w:val="auto"/>
                <w:spacing w:val="0"/>
                <w:position w:val="0"/>
                <w:sz w:val="24"/>
                <w:szCs w:val="24"/>
                <w:lang w:eastAsia="zh-CN"/>
              </w:rPr>
              <w:t>，</w:t>
            </w:r>
            <w:r>
              <w:rPr>
                <w:rFonts w:hint="eastAsia" w:ascii="Times New Roman" w:hAnsi="Times New Roman" w:cs="Times New Roman"/>
                <w:color w:val="auto"/>
                <w:spacing w:val="0"/>
                <w:position w:val="0"/>
                <w:sz w:val="24"/>
                <w:szCs w:val="24"/>
                <w:lang w:val="en-US" w:eastAsia="zh-CN"/>
              </w:rPr>
              <w:t>均不</w:t>
            </w:r>
            <w:r>
              <w:rPr>
                <w:rFonts w:hint="default" w:ascii="Times New Roman" w:hAnsi="Times New Roman" w:eastAsia="宋体" w:cs="Times New Roman"/>
                <w:color w:val="auto"/>
                <w:spacing w:val="0"/>
                <w:position w:val="0"/>
                <w:sz w:val="24"/>
                <w:szCs w:val="24"/>
                <w:lang w:val="en-US" w:eastAsia="zh-CN"/>
              </w:rPr>
              <w:t>在</w:t>
            </w:r>
            <w:r>
              <w:rPr>
                <w:rFonts w:hint="default" w:ascii="Times New Roman" w:hAnsi="Times New Roman" w:eastAsia="宋体" w:cs="Times New Roman"/>
                <w:color w:val="auto"/>
                <w:spacing w:val="0"/>
                <w:position w:val="0"/>
                <w:sz w:val="24"/>
                <w:szCs w:val="24"/>
              </w:rPr>
              <w:t>场区食宿。职工生活用水定额按</w:t>
            </w:r>
            <w:r>
              <w:rPr>
                <w:rFonts w:hint="default" w:ascii="Times New Roman" w:hAnsi="Times New Roman" w:eastAsia="宋体" w:cs="Times New Roman"/>
                <w:color w:val="auto"/>
                <w:spacing w:val="0"/>
                <w:position w:val="0"/>
                <w:sz w:val="24"/>
                <w:szCs w:val="24"/>
                <w:lang w:val="en-US" w:eastAsia="zh-CN"/>
              </w:rPr>
              <w:t>5</w:t>
            </w:r>
            <w:r>
              <w:rPr>
                <w:rFonts w:hint="default" w:ascii="Times New Roman" w:hAnsi="Times New Roman" w:eastAsia="宋体" w:cs="Times New Roman"/>
                <w:color w:val="auto"/>
                <w:spacing w:val="0"/>
                <w:position w:val="0"/>
                <w:sz w:val="24"/>
                <w:szCs w:val="24"/>
              </w:rPr>
              <w:t>0L/人·d计算</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则员工生活用水量为1.</w:t>
            </w:r>
            <w:r>
              <w:rPr>
                <w:rFonts w:hint="eastAsia" w:ascii="Times New Roman" w:hAnsi="Times New Roman" w:cs="Times New Roman"/>
                <w:color w:val="auto"/>
                <w:spacing w:val="0"/>
                <w:position w:val="0"/>
                <w:sz w:val="24"/>
                <w:szCs w:val="24"/>
                <w:lang w:val="en-US" w:eastAsia="zh-CN"/>
              </w:rPr>
              <w:t>25</w:t>
            </w:r>
            <w:r>
              <w:rPr>
                <w:rFonts w:ascii="Times New Roman" w:hAnsi="Times New Roman" w:eastAsia="Times New Roman" w:cs="Times New Roman"/>
                <w:color w:val="auto"/>
                <w:spacing w:val="0"/>
                <w:position w:val="0"/>
              </w:rPr>
              <w:t>m</w:t>
            </w:r>
            <w:r>
              <w:rPr>
                <w:rFonts w:hint="eastAsia" w:ascii="Times New Roman" w:hAnsi="Times New Roman" w:eastAsia="宋体" w:cs="Times New Roman"/>
                <w:color w:val="auto"/>
                <w:spacing w:val="0"/>
                <w:position w:val="0"/>
                <w:vertAlign w:val="superscript"/>
                <w:lang w:val="en-US" w:eastAsia="zh-CN"/>
              </w:rPr>
              <w:t>3</w:t>
            </w:r>
            <w:r>
              <w:rPr>
                <w:rFonts w:hint="default" w:ascii="Times New Roman" w:hAnsi="Times New Roman" w:eastAsia="宋体" w:cs="Times New Roman"/>
                <w:color w:val="auto"/>
                <w:spacing w:val="0"/>
                <w:position w:val="0"/>
                <w:sz w:val="24"/>
                <w:szCs w:val="24"/>
              </w:rPr>
              <w:t>/d（</w:t>
            </w:r>
            <w:r>
              <w:rPr>
                <w:rFonts w:hint="eastAsia" w:ascii="Times New Roman" w:hAnsi="Times New Roman" w:cs="Times New Roman"/>
                <w:color w:val="auto"/>
                <w:spacing w:val="0"/>
                <w:position w:val="0"/>
                <w:sz w:val="24"/>
                <w:szCs w:val="24"/>
                <w:lang w:val="en-US" w:eastAsia="zh-CN"/>
              </w:rPr>
              <w:t>456.25</w:t>
            </w:r>
            <w:r>
              <w:rPr>
                <w:rFonts w:ascii="Times New Roman" w:hAnsi="Times New Roman" w:eastAsia="Times New Roman" w:cs="Times New Roman"/>
                <w:color w:val="auto"/>
                <w:spacing w:val="0"/>
                <w:position w:val="0"/>
              </w:rPr>
              <w:t>m</w:t>
            </w:r>
            <w:r>
              <w:rPr>
                <w:rFonts w:hint="eastAsia" w:ascii="Times New Roman" w:hAnsi="Times New Roman" w:eastAsia="宋体" w:cs="Times New Roman"/>
                <w:color w:val="auto"/>
                <w:spacing w:val="0"/>
                <w:position w:val="0"/>
                <w:vertAlign w:val="superscript"/>
                <w:lang w:val="en-US" w:eastAsia="zh-CN"/>
              </w:rPr>
              <w:t>3</w:t>
            </w:r>
            <w:r>
              <w:rPr>
                <w:rFonts w:hint="default" w:ascii="Times New Roman" w:hAnsi="Times New Roman" w:eastAsia="宋体" w:cs="Times New Roman"/>
                <w:color w:val="auto"/>
                <w:spacing w:val="0"/>
                <w:position w:val="0"/>
                <w:sz w:val="24"/>
                <w:szCs w:val="24"/>
              </w:rPr>
              <w:t>/a）。</w:t>
            </w:r>
          </w:p>
          <w:p w14:paraId="573CE9CC">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pacing w:val="0"/>
                <w:position w:val="0"/>
              </w:rPr>
            </w:pPr>
            <w:r>
              <w:rPr>
                <w:color w:val="auto"/>
                <w:spacing w:val="0"/>
                <w:position w:val="0"/>
              </w:rPr>
              <w:t>（</w:t>
            </w:r>
            <w:r>
              <w:rPr>
                <w:rFonts w:ascii="Times New Roman" w:hAnsi="Times New Roman" w:eastAsia="Times New Roman" w:cs="Times New Roman"/>
                <w:color w:val="auto"/>
                <w:spacing w:val="0"/>
                <w:position w:val="0"/>
              </w:rPr>
              <w:t>2</w:t>
            </w:r>
            <w:r>
              <w:rPr>
                <w:color w:val="auto"/>
                <w:spacing w:val="0"/>
                <w:position w:val="0"/>
              </w:rPr>
              <w:t>）排水</w:t>
            </w:r>
          </w:p>
          <w:p w14:paraId="55933594">
            <w:pPr>
              <w:pStyle w:val="14"/>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bCs/>
                <w:color w:val="auto"/>
                <w:spacing w:val="0"/>
                <w:position w:val="0"/>
                <w:sz w:val="24"/>
              </w:rPr>
              <w:t>项目生活污水排水量按用水量的80%计，则生活污水排放量约</w:t>
            </w:r>
            <w:r>
              <w:rPr>
                <w:rFonts w:hint="eastAsia" w:ascii="Times New Roman" w:hAnsi="Times New Roman" w:eastAsia="宋体" w:cs="Times New Roman"/>
                <w:bCs/>
                <w:color w:val="auto"/>
                <w:spacing w:val="0"/>
                <w:position w:val="0"/>
                <w:sz w:val="24"/>
                <w:lang w:val="en-US" w:eastAsia="zh-CN"/>
              </w:rPr>
              <w:t>1.</w:t>
            </w:r>
            <w:r>
              <w:rPr>
                <w:rFonts w:hint="default" w:ascii="Times New Roman" w:hAnsi="Times New Roman" w:eastAsia="宋体" w:cs="Times New Roman"/>
                <w:bCs/>
                <w:color w:val="auto"/>
                <w:spacing w:val="0"/>
                <w:position w:val="0"/>
                <w:sz w:val="24"/>
                <w:szCs w:val="24"/>
              </w:rPr>
              <w:t>m</w:t>
            </w:r>
            <w:r>
              <w:rPr>
                <w:rFonts w:hint="default" w:ascii="Times New Roman" w:hAnsi="Times New Roman" w:eastAsia="宋体" w:cs="Times New Roman"/>
                <w:bCs/>
                <w:color w:val="auto"/>
                <w:spacing w:val="0"/>
                <w:position w:val="0"/>
                <w:sz w:val="24"/>
                <w:szCs w:val="24"/>
                <w:vertAlign w:val="superscript"/>
              </w:rPr>
              <w:t>3</w:t>
            </w:r>
            <w:r>
              <w:rPr>
                <w:rFonts w:hint="default" w:ascii="Times New Roman" w:hAnsi="Times New Roman" w:eastAsia="宋体" w:cs="Times New Roman"/>
                <w:bCs/>
                <w:color w:val="auto"/>
                <w:spacing w:val="0"/>
                <w:position w:val="0"/>
                <w:sz w:val="24"/>
              </w:rPr>
              <w:t>/d（</w:t>
            </w:r>
            <w:r>
              <w:rPr>
                <w:rFonts w:hint="eastAsia" w:cs="Times New Roman"/>
                <w:bCs/>
                <w:color w:val="auto"/>
                <w:spacing w:val="0"/>
                <w:position w:val="0"/>
                <w:sz w:val="24"/>
                <w:lang w:val="en-US" w:eastAsia="zh-CN"/>
              </w:rPr>
              <w:t>365</w:t>
            </w:r>
            <w:r>
              <w:rPr>
                <w:rFonts w:hint="default" w:ascii="Times New Roman" w:hAnsi="Times New Roman" w:eastAsia="宋体" w:cs="Times New Roman"/>
                <w:bCs/>
                <w:color w:val="auto"/>
                <w:spacing w:val="0"/>
                <w:position w:val="0"/>
                <w:sz w:val="24"/>
                <w:szCs w:val="24"/>
              </w:rPr>
              <w:t>m</w:t>
            </w:r>
            <w:r>
              <w:rPr>
                <w:rFonts w:hint="default" w:ascii="Times New Roman" w:hAnsi="Times New Roman" w:eastAsia="宋体" w:cs="Times New Roman"/>
                <w:bCs/>
                <w:color w:val="auto"/>
                <w:spacing w:val="0"/>
                <w:position w:val="0"/>
                <w:sz w:val="24"/>
                <w:szCs w:val="24"/>
                <w:vertAlign w:val="superscript"/>
              </w:rPr>
              <w:t>3</w:t>
            </w:r>
            <w:r>
              <w:rPr>
                <w:rFonts w:hint="default" w:ascii="Times New Roman" w:hAnsi="Times New Roman" w:eastAsia="宋体" w:cs="Times New Roman"/>
                <w:bCs/>
                <w:color w:val="auto"/>
                <w:spacing w:val="0"/>
                <w:position w:val="0"/>
                <w:sz w:val="24"/>
              </w:rPr>
              <w:t>/a），</w:t>
            </w:r>
            <w:r>
              <w:rPr>
                <w:rFonts w:hint="eastAsia" w:cs="Times New Roman"/>
                <w:bCs/>
                <w:color w:val="auto"/>
                <w:spacing w:val="0"/>
                <w:position w:val="0"/>
                <w:sz w:val="24"/>
                <w:lang w:val="en-US" w:eastAsia="zh-CN"/>
              </w:rPr>
              <w:t>已核实项目周边无市政管网铺设接入，因此项目</w:t>
            </w:r>
            <w:r>
              <w:rPr>
                <w:rFonts w:hint="default" w:ascii="Times New Roman" w:hAnsi="Times New Roman" w:eastAsia="宋体" w:cs="Times New Roman"/>
                <w:bCs/>
                <w:color w:val="auto"/>
                <w:spacing w:val="0"/>
                <w:position w:val="0"/>
                <w:sz w:val="24"/>
              </w:rPr>
              <w:t>生活污水经化粪池处理后</w:t>
            </w:r>
            <w:r>
              <w:rPr>
                <w:rFonts w:hint="eastAsia" w:ascii="Times New Roman" w:hAnsi="Times New Roman" w:eastAsia="宋体" w:cs="Times New Roman"/>
                <w:color w:val="auto"/>
                <w:spacing w:val="0"/>
                <w:position w:val="0"/>
                <w:sz w:val="24"/>
                <w:szCs w:val="24"/>
                <w:lang w:val="en-US" w:eastAsia="zh-CN"/>
              </w:rPr>
              <w:t>定期进行清理</w:t>
            </w:r>
            <w:r>
              <w:rPr>
                <w:rFonts w:hint="eastAsia" w:cs="Times New Roman"/>
                <w:color w:val="auto"/>
                <w:spacing w:val="0"/>
                <w:position w:val="0"/>
                <w:sz w:val="24"/>
                <w:szCs w:val="24"/>
                <w:lang w:val="en-US" w:eastAsia="zh-CN"/>
              </w:rPr>
              <w:t>外运施肥</w:t>
            </w:r>
            <w:r>
              <w:rPr>
                <w:rFonts w:hint="eastAsia" w:ascii="Times New Roman" w:hAnsi="Times New Roman" w:eastAsia="宋体" w:cs="Times New Roman"/>
                <w:color w:val="auto"/>
                <w:spacing w:val="0"/>
                <w:position w:val="0"/>
                <w:sz w:val="24"/>
                <w:szCs w:val="24"/>
                <w:lang w:val="en-US" w:eastAsia="zh-CN"/>
              </w:rPr>
              <w:t>。</w:t>
            </w:r>
          </w:p>
          <w:p w14:paraId="71CF842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bCs/>
                <w:color w:val="auto"/>
                <w:spacing w:val="0"/>
                <w:position w:val="0"/>
                <w:szCs w:val="21"/>
              </w:rPr>
            </w:pPr>
            <w:r>
              <w:rPr>
                <w:b/>
                <w:bCs/>
                <w:color w:val="auto"/>
                <w:spacing w:val="0"/>
                <w:position w:val="0"/>
                <w:sz w:val="24"/>
                <w:szCs w:val="24"/>
              </w:rPr>
              <w:t>表</w:t>
            </w:r>
            <w:r>
              <w:rPr>
                <w:rFonts w:hint="eastAsia"/>
                <w:b/>
                <w:bCs/>
                <w:color w:val="auto"/>
                <w:spacing w:val="0"/>
                <w:position w:val="0"/>
                <w:sz w:val="24"/>
                <w:szCs w:val="24"/>
              </w:rPr>
              <w:t>2-</w:t>
            </w:r>
            <w:r>
              <w:rPr>
                <w:rFonts w:hint="eastAsia"/>
                <w:b/>
                <w:bCs/>
                <w:color w:val="auto"/>
                <w:spacing w:val="0"/>
                <w:position w:val="0"/>
                <w:sz w:val="24"/>
                <w:szCs w:val="24"/>
                <w:lang w:val="en-US" w:eastAsia="zh-CN"/>
              </w:rPr>
              <w:t xml:space="preserve">11  </w:t>
            </w:r>
            <w:r>
              <w:rPr>
                <w:rFonts w:hint="eastAsia"/>
                <w:b/>
                <w:bCs/>
                <w:color w:val="auto"/>
                <w:spacing w:val="0"/>
                <w:position w:val="0"/>
                <w:sz w:val="24"/>
                <w:szCs w:val="24"/>
              </w:rPr>
              <w:t>项目</w:t>
            </w:r>
            <w:r>
              <w:rPr>
                <w:b/>
                <w:bCs/>
                <w:color w:val="auto"/>
                <w:spacing w:val="0"/>
                <w:position w:val="0"/>
                <w:sz w:val="24"/>
                <w:szCs w:val="24"/>
              </w:rPr>
              <w:t>用、排水量核算一览表</w:t>
            </w:r>
          </w:p>
          <w:tbl>
            <w:tblPr>
              <w:tblStyle w:val="4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451"/>
              <w:gridCol w:w="1240"/>
              <w:gridCol w:w="1240"/>
              <w:gridCol w:w="1240"/>
              <w:gridCol w:w="1240"/>
              <w:gridCol w:w="1240"/>
            </w:tblGrid>
            <w:tr w14:paraId="5AFF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454" w:type="pct"/>
                  <w:noWrap w:val="0"/>
                  <w:vAlign w:val="center"/>
                </w:tcPr>
                <w:p w14:paraId="392548D4">
                  <w:pPr>
                    <w:autoSpaceDE w:val="0"/>
                    <w:autoSpaceDN w:val="0"/>
                    <w:adjustRightInd w:val="0"/>
                    <w:snapToGrid w:val="0"/>
                    <w:ind w:right="6"/>
                    <w:jc w:val="center"/>
                    <w:rPr>
                      <w:b/>
                      <w:bCs/>
                      <w:color w:val="auto"/>
                      <w:spacing w:val="0"/>
                      <w:kern w:val="0"/>
                      <w:position w:val="0"/>
                      <w:sz w:val="21"/>
                      <w:szCs w:val="21"/>
                    </w:rPr>
                  </w:pPr>
                  <w:r>
                    <w:rPr>
                      <w:b/>
                      <w:bCs/>
                      <w:color w:val="auto"/>
                      <w:spacing w:val="0"/>
                      <w:kern w:val="0"/>
                      <w:position w:val="0"/>
                      <w:sz w:val="21"/>
                      <w:szCs w:val="21"/>
                    </w:rPr>
                    <w:t>序号</w:t>
                  </w:r>
                </w:p>
              </w:tc>
              <w:tc>
                <w:tcPr>
                  <w:tcW w:w="862" w:type="pct"/>
                  <w:noWrap w:val="0"/>
                  <w:vAlign w:val="center"/>
                </w:tcPr>
                <w:p w14:paraId="6D9DB54E">
                  <w:pPr>
                    <w:autoSpaceDE w:val="0"/>
                    <w:autoSpaceDN w:val="0"/>
                    <w:adjustRightInd w:val="0"/>
                    <w:snapToGrid w:val="0"/>
                    <w:ind w:right="6"/>
                    <w:jc w:val="center"/>
                    <w:rPr>
                      <w:b/>
                      <w:bCs/>
                      <w:color w:val="auto"/>
                      <w:spacing w:val="0"/>
                      <w:kern w:val="0"/>
                      <w:position w:val="0"/>
                      <w:sz w:val="21"/>
                      <w:szCs w:val="21"/>
                    </w:rPr>
                  </w:pPr>
                  <w:r>
                    <w:rPr>
                      <w:b/>
                      <w:bCs/>
                      <w:color w:val="auto"/>
                      <w:spacing w:val="0"/>
                      <w:kern w:val="0"/>
                      <w:position w:val="0"/>
                      <w:sz w:val="21"/>
                      <w:szCs w:val="21"/>
                    </w:rPr>
                    <w:t>用水项目</w:t>
                  </w:r>
                </w:p>
              </w:tc>
              <w:tc>
                <w:tcPr>
                  <w:tcW w:w="736" w:type="pct"/>
                  <w:noWrap w:val="0"/>
                  <w:vAlign w:val="center"/>
                </w:tcPr>
                <w:p w14:paraId="236AC675">
                  <w:pPr>
                    <w:autoSpaceDE w:val="0"/>
                    <w:autoSpaceDN w:val="0"/>
                    <w:adjustRightInd w:val="0"/>
                    <w:snapToGrid w:val="0"/>
                    <w:ind w:right="6"/>
                    <w:jc w:val="center"/>
                    <w:rPr>
                      <w:b/>
                      <w:bCs/>
                      <w:color w:val="auto"/>
                      <w:spacing w:val="0"/>
                      <w:kern w:val="0"/>
                      <w:position w:val="0"/>
                      <w:sz w:val="21"/>
                      <w:szCs w:val="21"/>
                    </w:rPr>
                  </w:pPr>
                  <w:r>
                    <w:rPr>
                      <w:rFonts w:hint="eastAsia"/>
                      <w:b/>
                      <w:bCs/>
                      <w:color w:val="auto"/>
                      <w:spacing w:val="0"/>
                      <w:kern w:val="0"/>
                      <w:position w:val="0"/>
                      <w:sz w:val="21"/>
                      <w:szCs w:val="21"/>
                    </w:rPr>
                    <w:t>自来水水量</w:t>
                  </w:r>
                  <w:r>
                    <w:rPr>
                      <w:b/>
                      <w:bCs/>
                      <w:color w:val="auto"/>
                      <w:spacing w:val="0"/>
                      <w:kern w:val="0"/>
                      <w:position w:val="0"/>
                      <w:sz w:val="21"/>
                      <w:szCs w:val="21"/>
                    </w:rPr>
                    <w:t>（</w:t>
                  </w:r>
                  <w:r>
                    <w:rPr>
                      <w:rFonts w:hint="eastAsia"/>
                      <w:b/>
                      <w:bCs/>
                      <w:color w:val="auto"/>
                      <w:spacing w:val="0"/>
                      <w:position w:val="0"/>
                      <w:sz w:val="21"/>
                      <w:szCs w:val="21"/>
                    </w:rPr>
                    <w:t>m</w:t>
                  </w:r>
                  <w:r>
                    <w:rPr>
                      <w:rFonts w:hint="eastAsia"/>
                      <w:b/>
                      <w:bCs/>
                      <w:color w:val="auto"/>
                      <w:spacing w:val="0"/>
                      <w:position w:val="0"/>
                      <w:sz w:val="21"/>
                      <w:szCs w:val="21"/>
                      <w:vertAlign w:val="superscript"/>
                    </w:rPr>
                    <w:t>3</w:t>
                  </w:r>
                  <w:r>
                    <w:rPr>
                      <w:b/>
                      <w:bCs/>
                      <w:color w:val="auto"/>
                      <w:spacing w:val="0"/>
                      <w:kern w:val="0"/>
                      <w:position w:val="0"/>
                      <w:sz w:val="21"/>
                      <w:szCs w:val="21"/>
                    </w:rPr>
                    <w:t>/</w:t>
                  </w:r>
                  <w:r>
                    <w:rPr>
                      <w:rFonts w:hint="eastAsia"/>
                      <w:b/>
                      <w:bCs/>
                      <w:color w:val="auto"/>
                      <w:spacing w:val="0"/>
                      <w:kern w:val="0"/>
                      <w:position w:val="0"/>
                      <w:sz w:val="21"/>
                      <w:szCs w:val="21"/>
                    </w:rPr>
                    <w:t>a</w:t>
                  </w:r>
                  <w:r>
                    <w:rPr>
                      <w:b/>
                      <w:bCs/>
                      <w:color w:val="auto"/>
                      <w:spacing w:val="0"/>
                      <w:kern w:val="0"/>
                      <w:position w:val="0"/>
                      <w:sz w:val="21"/>
                      <w:szCs w:val="21"/>
                    </w:rPr>
                    <w:t>）</w:t>
                  </w:r>
                </w:p>
              </w:tc>
              <w:tc>
                <w:tcPr>
                  <w:tcW w:w="736" w:type="pct"/>
                  <w:noWrap w:val="0"/>
                  <w:vAlign w:val="center"/>
                </w:tcPr>
                <w:p w14:paraId="666A55BD">
                  <w:pPr>
                    <w:autoSpaceDE w:val="0"/>
                    <w:autoSpaceDN w:val="0"/>
                    <w:adjustRightInd w:val="0"/>
                    <w:snapToGrid w:val="0"/>
                    <w:ind w:right="6"/>
                    <w:jc w:val="center"/>
                    <w:rPr>
                      <w:b/>
                      <w:bCs/>
                      <w:color w:val="auto"/>
                      <w:spacing w:val="0"/>
                      <w:kern w:val="0"/>
                      <w:position w:val="0"/>
                      <w:sz w:val="21"/>
                      <w:szCs w:val="21"/>
                    </w:rPr>
                  </w:pPr>
                  <w:r>
                    <w:rPr>
                      <w:b/>
                      <w:bCs/>
                      <w:color w:val="auto"/>
                      <w:spacing w:val="0"/>
                      <w:kern w:val="0"/>
                      <w:position w:val="0"/>
                      <w:sz w:val="21"/>
                      <w:szCs w:val="21"/>
                    </w:rPr>
                    <w:t>新鲜水量（</w:t>
                  </w:r>
                  <w:r>
                    <w:rPr>
                      <w:rFonts w:hint="eastAsia"/>
                      <w:b/>
                      <w:bCs/>
                      <w:color w:val="auto"/>
                      <w:spacing w:val="0"/>
                      <w:position w:val="0"/>
                      <w:sz w:val="21"/>
                      <w:szCs w:val="21"/>
                    </w:rPr>
                    <w:t>m</w:t>
                  </w:r>
                  <w:r>
                    <w:rPr>
                      <w:rFonts w:hint="eastAsia"/>
                      <w:b/>
                      <w:bCs/>
                      <w:color w:val="auto"/>
                      <w:spacing w:val="0"/>
                      <w:position w:val="0"/>
                      <w:sz w:val="21"/>
                      <w:szCs w:val="21"/>
                      <w:vertAlign w:val="superscript"/>
                    </w:rPr>
                    <w:t>3</w:t>
                  </w:r>
                  <w:r>
                    <w:rPr>
                      <w:b/>
                      <w:bCs/>
                      <w:color w:val="auto"/>
                      <w:spacing w:val="0"/>
                      <w:kern w:val="0"/>
                      <w:position w:val="0"/>
                      <w:sz w:val="21"/>
                      <w:szCs w:val="21"/>
                    </w:rPr>
                    <w:t>/</w:t>
                  </w:r>
                  <w:r>
                    <w:rPr>
                      <w:rFonts w:hint="eastAsia"/>
                      <w:b/>
                      <w:bCs/>
                      <w:color w:val="auto"/>
                      <w:spacing w:val="0"/>
                      <w:kern w:val="0"/>
                      <w:position w:val="0"/>
                      <w:sz w:val="21"/>
                      <w:szCs w:val="21"/>
                    </w:rPr>
                    <w:t>a</w:t>
                  </w:r>
                  <w:r>
                    <w:rPr>
                      <w:b/>
                      <w:bCs/>
                      <w:color w:val="auto"/>
                      <w:spacing w:val="0"/>
                      <w:kern w:val="0"/>
                      <w:position w:val="0"/>
                      <w:sz w:val="21"/>
                      <w:szCs w:val="21"/>
                    </w:rPr>
                    <w:t>）</w:t>
                  </w:r>
                </w:p>
              </w:tc>
              <w:tc>
                <w:tcPr>
                  <w:tcW w:w="736" w:type="pct"/>
                  <w:noWrap w:val="0"/>
                  <w:vAlign w:val="center"/>
                </w:tcPr>
                <w:p w14:paraId="605A18D4">
                  <w:pPr>
                    <w:autoSpaceDE w:val="0"/>
                    <w:autoSpaceDN w:val="0"/>
                    <w:adjustRightInd w:val="0"/>
                    <w:snapToGrid w:val="0"/>
                    <w:ind w:right="6"/>
                    <w:jc w:val="center"/>
                    <w:rPr>
                      <w:b/>
                      <w:bCs/>
                      <w:color w:val="auto"/>
                      <w:spacing w:val="0"/>
                      <w:kern w:val="0"/>
                      <w:position w:val="0"/>
                      <w:sz w:val="21"/>
                      <w:szCs w:val="21"/>
                    </w:rPr>
                  </w:pPr>
                  <w:r>
                    <w:rPr>
                      <w:b/>
                      <w:bCs/>
                      <w:color w:val="auto"/>
                      <w:spacing w:val="0"/>
                      <w:kern w:val="0"/>
                      <w:position w:val="0"/>
                      <w:sz w:val="21"/>
                      <w:szCs w:val="21"/>
                    </w:rPr>
                    <w:t>循环量（</w:t>
                  </w:r>
                  <w:r>
                    <w:rPr>
                      <w:rFonts w:hint="eastAsia"/>
                      <w:b/>
                      <w:bCs/>
                      <w:color w:val="auto"/>
                      <w:spacing w:val="0"/>
                      <w:position w:val="0"/>
                      <w:sz w:val="21"/>
                      <w:szCs w:val="21"/>
                    </w:rPr>
                    <w:t>m</w:t>
                  </w:r>
                  <w:r>
                    <w:rPr>
                      <w:rFonts w:hint="eastAsia"/>
                      <w:b/>
                      <w:bCs/>
                      <w:color w:val="auto"/>
                      <w:spacing w:val="0"/>
                      <w:position w:val="0"/>
                      <w:sz w:val="21"/>
                      <w:szCs w:val="21"/>
                      <w:vertAlign w:val="superscript"/>
                    </w:rPr>
                    <w:t>3</w:t>
                  </w:r>
                  <w:r>
                    <w:rPr>
                      <w:b/>
                      <w:bCs/>
                      <w:color w:val="auto"/>
                      <w:spacing w:val="0"/>
                      <w:kern w:val="0"/>
                      <w:position w:val="0"/>
                      <w:sz w:val="21"/>
                      <w:szCs w:val="21"/>
                    </w:rPr>
                    <w:t>/</w:t>
                  </w:r>
                  <w:r>
                    <w:rPr>
                      <w:rFonts w:hint="eastAsia"/>
                      <w:b/>
                      <w:bCs/>
                      <w:color w:val="auto"/>
                      <w:spacing w:val="0"/>
                      <w:kern w:val="0"/>
                      <w:position w:val="0"/>
                      <w:sz w:val="21"/>
                      <w:szCs w:val="21"/>
                    </w:rPr>
                    <w:t>a</w:t>
                  </w:r>
                  <w:r>
                    <w:rPr>
                      <w:b/>
                      <w:bCs/>
                      <w:color w:val="auto"/>
                      <w:spacing w:val="0"/>
                      <w:kern w:val="0"/>
                      <w:position w:val="0"/>
                      <w:sz w:val="21"/>
                      <w:szCs w:val="21"/>
                    </w:rPr>
                    <w:t>）</w:t>
                  </w:r>
                </w:p>
              </w:tc>
              <w:tc>
                <w:tcPr>
                  <w:tcW w:w="736" w:type="pct"/>
                  <w:noWrap w:val="0"/>
                  <w:vAlign w:val="center"/>
                </w:tcPr>
                <w:p w14:paraId="1666CDAC">
                  <w:pPr>
                    <w:autoSpaceDE w:val="0"/>
                    <w:autoSpaceDN w:val="0"/>
                    <w:adjustRightInd w:val="0"/>
                    <w:snapToGrid w:val="0"/>
                    <w:ind w:right="6"/>
                    <w:jc w:val="center"/>
                    <w:rPr>
                      <w:b/>
                      <w:bCs/>
                      <w:color w:val="auto"/>
                      <w:spacing w:val="0"/>
                      <w:position w:val="0"/>
                      <w:sz w:val="21"/>
                      <w:szCs w:val="21"/>
                    </w:rPr>
                  </w:pPr>
                  <w:r>
                    <w:rPr>
                      <w:b/>
                      <w:bCs/>
                      <w:color w:val="auto"/>
                      <w:spacing w:val="0"/>
                      <w:kern w:val="0"/>
                      <w:position w:val="0"/>
                      <w:sz w:val="21"/>
                      <w:szCs w:val="21"/>
                    </w:rPr>
                    <w:t>损耗量（</w:t>
                  </w:r>
                  <w:r>
                    <w:rPr>
                      <w:rFonts w:hint="eastAsia"/>
                      <w:b/>
                      <w:bCs/>
                      <w:color w:val="auto"/>
                      <w:spacing w:val="0"/>
                      <w:kern w:val="0"/>
                      <w:position w:val="0"/>
                      <w:sz w:val="21"/>
                      <w:szCs w:val="21"/>
                    </w:rPr>
                    <w:t>m</w:t>
                  </w:r>
                  <w:r>
                    <w:rPr>
                      <w:rFonts w:hint="eastAsia"/>
                      <w:b/>
                      <w:bCs/>
                      <w:color w:val="auto"/>
                      <w:spacing w:val="0"/>
                      <w:kern w:val="0"/>
                      <w:position w:val="0"/>
                      <w:sz w:val="21"/>
                      <w:szCs w:val="21"/>
                      <w:vertAlign w:val="superscript"/>
                    </w:rPr>
                    <w:t>3</w:t>
                  </w:r>
                  <w:r>
                    <w:rPr>
                      <w:b/>
                      <w:bCs/>
                      <w:color w:val="auto"/>
                      <w:spacing w:val="0"/>
                      <w:kern w:val="0"/>
                      <w:position w:val="0"/>
                      <w:sz w:val="21"/>
                      <w:szCs w:val="21"/>
                    </w:rPr>
                    <w:t>/a）</w:t>
                  </w:r>
                </w:p>
              </w:tc>
              <w:tc>
                <w:tcPr>
                  <w:tcW w:w="736" w:type="pct"/>
                  <w:noWrap w:val="0"/>
                  <w:vAlign w:val="center"/>
                </w:tcPr>
                <w:p w14:paraId="1EB52627">
                  <w:pPr>
                    <w:autoSpaceDE w:val="0"/>
                    <w:autoSpaceDN w:val="0"/>
                    <w:adjustRightInd w:val="0"/>
                    <w:snapToGrid w:val="0"/>
                    <w:ind w:right="6"/>
                    <w:jc w:val="center"/>
                    <w:rPr>
                      <w:b/>
                      <w:bCs/>
                      <w:color w:val="auto"/>
                      <w:spacing w:val="0"/>
                      <w:position w:val="0"/>
                      <w:sz w:val="21"/>
                      <w:szCs w:val="21"/>
                    </w:rPr>
                  </w:pPr>
                  <w:r>
                    <w:rPr>
                      <w:b/>
                      <w:bCs/>
                      <w:color w:val="auto"/>
                      <w:spacing w:val="0"/>
                      <w:kern w:val="0"/>
                      <w:position w:val="0"/>
                      <w:sz w:val="21"/>
                      <w:szCs w:val="21"/>
                    </w:rPr>
                    <w:t>排放量（</w:t>
                  </w:r>
                  <w:r>
                    <w:rPr>
                      <w:rFonts w:hint="eastAsia"/>
                      <w:b/>
                      <w:bCs/>
                      <w:color w:val="auto"/>
                      <w:spacing w:val="0"/>
                      <w:position w:val="0"/>
                      <w:sz w:val="21"/>
                      <w:szCs w:val="21"/>
                    </w:rPr>
                    <w:t>m</w:t>
                  </w:r>
                  <w:r>
                    <w:rPr>
                      <w:rFonts w:hint="eastAsia"/>
                      <w:b/>
                      <w:bCs/>
                      <w:color w:val="auto"/>
                      <w:spacing w:val="0"/>
                      <w:position w:val="0"/>
                      <w:sz w:val="21"/>
                      <w:szCs w:val="21"/>
                      <w:vertAlign w:val="superscript"/>
                    </w:rPr>
                    <w:t>3</w:t>
                  </w:r>
                  <w:r>
                    <w:rPr>
                      <w:b/>
                      <w:bCs/>
                      <w:color w:val="auto"/>
                      <w:spacing w:val="0"/>
                      <w:kern w:val="0"/>
                      <w:position w:val="0"/>
                      <w:sz w:val="21"/>
                      <w:szCs w:val="21"/>
                    </w:rPr>
                    <w:t>/</w:t>
                  </w:r>
                  <w:r>
                    <w:rPr>
                      <w:rFonts w:hint="eastAsia"/>
                      <w:b/>
                      <w:bCs/>
                      <w:color w:val="auto"/>
                      <w:spacing w:val="0"/>
                      <w:kern w:val="0"/>
                      <w:position w:val="0"/>
                      <w:sz w:val="21"/>
                      <w:szCs w:val="21"/>
                    </w:rPr>
                    <w:t>a</w:t>
                  </w:r>
                  <w:r>
                    <w:rPr>
                      <w:b/>
                      <w:bCs/>
                      <w:color w:val="auto"/>
                      <w:spacing w:val="0"/>
                      <w:kern w:val="0"/>
                      <w:position w:val="0"/>
                      <w:sz w:val="21"/>
                      <w:szCs w:val="21"/>
                    </w:rPr>
                    <w:t>）</w:t>
                  </w:r>
                </w:p>
              </w:tc>
            </w:tr>
            <w:tr w14:paraId="6E6C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shd w:val="clear" w:color="auto" w:fill="auto"/>
                  <w:noWrap w:val="0"/>
                  <w:vAlign w:val="center"/>
                </w:tcPr>
                <w:p w14:paraId="49EE510B">
                  <w:pPr>
                    <w:widowControl/>
                    <w:jc w:val="center"/>
                    <w:textAlignment w:val="center"/>
                    <w:rPr>
                      <w:rFonts w:hint="eastAsia" w:ascii="Times New Roman" w:hAnsi="Times New Roman" w:eastAsia="宋体" w:cs="Times New Roman"/>
                      <w:color w:val="auto"/>
                      <w:spacing w:val="0"/>
                      <w:kern w:val="0"/>
                      <w:position w:val="0"/>
                      <w:sz w:val="21"/>
                      <w:szCs w:val="21"/>
                      <w:lang w:val="en-US" w:eastAsia="zh-CN" w:bidi="ar-SA"/>
                    </w:rPr>
                  </w:pPr>
                  <w:r>
                    <w:rPr>
                      <w:color w:val="auto"/>
                      <w:spacing w:val="0"/>
                      <w:kern w:val="0"/>
                      <w:position w:val="0"/>
                      <w:sz w:val="21"/>
                      <w:szCs w:val="21"/>
                      <w:lang w:bidi="ar"/>
                    </w:rPr>
                    <w:t>1</w:t>
                  </w:r>
                </w:p>
              </w:tc>
              <w:tc>
                <w:tcPr>
                  <w:tcW w:w="862" w:type="pct"/>
                  <w:noWrap w:val="0"/>
                  <w:vAlign w:val="center"/>
                </w:tcPr>
                <w:p w14:paraId="0950CCEA">
                  <w:pPr>
                    <w:widowControl/>
                    <w:jc w:val="center"/>
                    <w:textAlignment w:val="center"/>
                    <w:rPr>
                      <w:rFonts w:hint="eastAsia"/>
                      <w:color w:val="auto"/>
                      <w:spacing w:val="0"/>
                      <w:position w:val="0"/>
                      <w:sz w:val="21"/>
                      <w:szCs w:val="21"/>
                    </w:rPr>
                  </w:pPr>
                  <w:r>
                    <w:rPr>
                      <w:color w:val="auto"/>
                      <w:spacing w:val="0"/>
                      <w:position w:val="0"/>
                      <w:sz w:val="21"/>
                      <w:szCs w:val="21"/>
                    </w:rPr>
                    <w:t>降尘用水</w:t>
                  </w:r>
                </w:p>
              </w:tc>
              <w:tc>
                <w:tcPr>
                  <w:tcW w:w="736" w:type="pct"/>
                  <w:noWrap w:val="0"/>
                  <w:vAlign w:val="center"/>
                </w:tcPr>
                <w:p w14:paraId="62383D0D">
                  <w:pPr>
                    <w:widowControl/>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10220</w:t>
                  </w:r>
                </w:p>
              </w:tc>
              <w:tc>
                <w:tcPr>
                  <w:tcW w:w="736" w:type="pct"/>
                  <w:noWrap w:val="0"/>
                  <w:vAlign w:val="center"/>
                </w:tcPr>
                <w:p w14:paraId="6FA50F82">
                  <w:pPr>
                    <w:widowControl/>
                    <w:jc w:val="center"/>
                    <w:textAlignment w:val="center"/>
                    <w:rPr>
                      <w:rFonts w:hint="eastAsia"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10220</w:t>
                  </w:r>
                </w:p>
              </w:tc>
              <w:tc>
                <w:tcPr>
                  <w:tcW w:w="736" w:type="pct"/>
                  <w:noWrap w:val="0"/>
                  <w:vAlign w:val="center"/>
                </w:tcPr>
                <w:p w14:paraId="61CCFEA9">
                  <w:pPr>
                    <w:widowControl/>
                    <w:jc w:val="center"/>
                    <w:textAlignment w:val="center"/>
                    <w:rPr>
                      <w:rFonts w:hint="eastAsia"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0.00</w:t>
                  </w:r>
                </w:p>
              </w:tc>
              <w:tc>
                <w:tcPr>
                  <w:tcW w:w="736" w:type="pct"/>
                  <w:noWrap w:val="0"/>
                  <w:vAlign w:val="center"/>
                </w:tcPr>
                <w:p w14:paraId="5204DB6D">
                  <w:pPr>
                    <w:widowControl/>
                    <w:jc w:val="center"/>
                    <w:textAlignment w:val="center"/>
                    <w:rPr>
                      <w:rFonts w:hint="eastAsia"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10220</w:t>
                  </w:r>
                </w:p>
              </w:tc>
              <w:tc>
                <w:tcPr>
                  <w:tcW w:w="736" w:type="pct"/>
                  <w:noWrap w:val="0"/>
                  <w:vAlign w:val="center"/>
                </w:tcPr>
                <w:p w14:paraId="02E02206">
                  <w:pPr>
                    <w:widowControl/>
                    <w:jc w:val="center"/>
                    <w:textAlignment w:val="center"/>
                    <w:rPr>
                      <w:rFonts w:hint="eastAsia"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0.00</w:t>
                  </w:r>
                </w:p>
              </w:tc>
            </w:tr>
            <w:tr w14:paraId="1995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shd w:val="clear" w:color="auto" w:fill="auto"/>
                  <w:noWrap w:val="0"/>
                  <w:vAlign w:val="center"/>
                </w:tcPr>
                <w:p w14:paraId="64269DF9">
                  <w:pPr>
                    <w:widowControl/>
                    <w:jc w:val="center"/>
                    <w:textAlignment w:val="center"/>
                    <w:rPr>
                      <w:rFonts w:hint="eastAsia" w:ascii="Times New Roman" w:hAnsi="Times New Roman" w:eastAsia="宋体" w:cs="Times New Roman"/>
                      <w:color w:val="auto"/>
                      <w:spacing w:val="0"/>
                      <w:kern w:val="0"/>
                      <w:position w:val="0"/>
                      <w:sz w:val="21"/>
                      <w:szCs w:val="21"/>
                      <w:lang w:val="en-US" w:eastAsia="zh-CN" w:bidi="ar-SA"/>
                    </w:rPr>
                  </w:pPr>
                  <w:r>
                    <w:rPr>
                      <w:rFonts w:hint="eastAsia"/>
                      <w:color w:val="auto"/>
                      <w:spacing w:val="0"/>
                      <w:kern w:val="0"/>
                      <w:position w:val="0"/>
                      <w:sz w:val="21"/>
                      <w:szCs w:val="21"/>
                      <w:lang w:val="en-US" w:eastAsia="zh-CN"/>
                    </w:rPr>
                    <w:t>2</w:t>
                  </w:r>
                </w:p>
              </w:tc>
              <w:tc>
                <w:tcPr>
                  <w:tcW w:w="862" w:type="pct"/>
                  <w:noWrap w:val="0"/>
                  <w:vAlign w:val="center"/>
                </w:tcPr>
                <w:p w14:paraId="4B3905AB">
                  <w:pPr>
                    <w:widowControl/>
                    <w:jc w:val="center"/>
                    <w:textAlignment w:val="center"/>
                    <w:rPr>
                      <w:rFonts w:ascii="宋体" w:hAnsi="宋体" w:cs="宋体"/>
                      <w:color w:val="auto"/>
                      <w:spacing w:val="0"/>
                      <w:position w:val="0"/>
                      <w:sz w:val="21"/>
                      <w:szCs w:val="21"/>
                      <w:lang w:bidi="ar"/>
                    </w:rPr>
                  </w:pPr>
                  <w:r>
                    <w:rPr>
                      <w:color w:val="auto"/>
                      <w:spacing w:val="0"/>
                      <w:position w:val="0"/>
                      <w:sz w:val="21"/>
                      <w:szCs w:val="21"/>
                    </w:rPr>
                    <w:t>生活用水</w:t>
                  </w:r>
                </w:p>
              </w:tc>
              <w:tc>
                <w:tcPr>
                  <w:tcW w:w="736" w:type="pct"/>
                  <w:noWrap w:val="0"/>
                  <w:vAlign w:val="center"/>
                </w:tcPr>
                <w:p w14:paraId="7F885408">
                  <w:pPr>
                    <w:widowControl/>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456.25</w:t>
                  </w:r>
                </w:p>
              </w:tc>
              <w:tc>
                <w:tcPr>
                  <w:tcW w:w="736" w:type="pct"/>
                  <w:noWrap w:val="0"/>
                  <w:vAlign w:val="center"/>
                </w:tcPr>
                <w:p w14:paraId="5142B255">
                  <w:pPr>
                    <w:widowControl/>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456.25</w:t>
                  </w:r>
                </w:p>
              </w:tc>
              <w:tc>
                <w:tcPr>
                  <w:tcW w:w="736" w:type="pct"/>
                  <w:noWrap w:val="0"/>
                  <w:vAlign w:val="center"/>
                </w:tcPr>
                <w:p w14:paraId="3C01BAFF">
                  <w:pPr>
                    <w:widowControl/>
                    <w:jc w:val="center"/>
                    <w:textAlignment w:val="center"/>
                    <w:rPr>
                      <w:rFonts w:hint="eastAsia" w:ascii="Times New Roman" w:hAnsi="Times New Roman" w:eastAsia="宋体" w:cs="Times New Roman"/>
                      <w:color w:val="auto"/>
                      <w:spacing w:val="0"/>
                      <w:kern w:val="0"/>
                      <w:position w:val="0"/>
                      <w:sz w:val="21"/>
                      <w:szCs w:val="21"/>
                      <w:lang w:val="en-US" w:eastAsia="zh-CN"/>
                    </w:rPr>
                  </w:pPr>
                  <w:r>
                    <w:rPr>
                      <w:rFonts w:hint="eastAsia" w:ascii="Times New Roman" w:hAnsi="Times New Roman" w:eastAsia="宋体" w:cs="Times New Roman"/>
                      <w:color w:val="auto"/>
                      <w:spacing w:val="0"/>
                      <w:kern w:val="0"/>
                      <w:position w:val="0"/>
                      <w:sz w:val="21"/>
                      <w:szCs w:val="21"/>
                      <w:lang w:val="en-US" w:eastAsia="zh-CN"/>
                    </w:rPr>
                    <w:t>0.00</w:t>
                  </w:r>
                </w:p>
              </w:tc>
              <w:tc>
                <w:tcPr>
                  <w:tcW w:w="736" w:type="pct"/>
                  <w:shd w:val="clear" w:color="auto" w:fill="auto"/>
                  <w:noWrap w:val="0"/>
                  <w:vAlign w:val="center"/>
                </w:tcPr>
                <w:p w14:paraId="3412929C">
                  <w:pPr>
                    <w:widowControl/>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91.25</w:t>
                  </w:r>
                </w:p>
              </w:tc>
              <w:tc>
                <w:tcPr>
                  <w:tcW w:w="736" w:type="pct"/>
                  <w:shd w:val="clear" w:color="auto" w:fill="auto"/>
                  <w:noWrap w:val="0"/>
                  <w:vAlign w:val="center"/>
                </w:tcPr>
                <w:p w14:paraId="56447BCA">
                  <w:pPr>
                    <w:widowControl/>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color w:val="auto"/>
                      <w:spacing w:val="0"/>
                      <w:kern w:val="0"/>
                      <w:position w:val="0"/>
                      <w:sz w:val="21"/>
                      <w:szCs w:val="21"/>
                      <w:lang w:val="en-US" w:eastAsia="zh-CN"/>
                    </w:rPr>
                    <w:t>365</w:t>
                  </w:r>
                </w:p>
              </w:tc>
            </w:tr>
            <w:tr w14:paraId="69A3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 w:type="pct"/>
                  <w:shd w:val="clear" w:color="auto" w:fill="auto"/>
                  <w:noWrap w:val="0"/>
                  <w:vAlign w:val="center"/>
                </w:tcPr>
                <w:p w14:paraId="0FD02CE8">
                  <w:pPr>
                    <w:widowControl/>
                    <w:jc w:val="center"/>
                    <w:textAlignment w:val="center"/>
                    <w:rPr>
                      <w:rFonts w:hint="default" w:ascii="Times New Roman" w:hAnsi="Times New Roman" w:eastAsia="宋体" w:cs="Times New Roman"/>
                      <w:color w:val="auto"/>
                      <w:spacing w:val="0"/>
                      <w:kern w:val="0"/>
                      <w:position w:val="0"/>
                      <w:sz w:val="21"/>
                      <w:szCs w:val="21"/>
                      <w:lang w:val="en-US" w:eastAsia="zh-CN" w:bidi="ar"/>
                    </w:rPr>
                  </w:pPr>
                  <w:r>
                    <w:rPr>
                      <w:rFonts w:hint="eastAsia"/>
                      <w:color w:val="auto"/>
                      <w:spacing w:val="0"/>
                      <w:kern w:val="0"/>
                      <w:position w:val="0"/>
                      <w:sz w:val="21"/>
                      <w:szCs w:val="21"/>
                      <w:lang w:val="en-US" w:eastAsia="zh-CN" w:bidi="ar"/>
                    </w:rPr>
                    <w:t>3</w:t>
                  </w:r>
                </w:p>
              </w:tc>
              <w:tc>
                <w:tcPr>
                  <w:tcW w:w="862" w:type="pct"/>
                  <w:noWrap w:val="0"/>
                  <w:vAlign w:val="center"/>
                </w:tcPr>
                <w:p w14:paraId="133A617F">
                  <w:pPr>
                    <w:widowControl/>
                    <w:jc w:val="center"/>
                    <w:textAlignment w:val="center"/>
                    <w:rPr>
                      <w:rFonts w:hint="eastAsia" w:eastAsia="宋体"/>
                      <w:color w:val="auto"/>
                      <w:spacing w:val="0"/>
                      <w:position w:val="0"/>
                      <w:sz w:val="21"/>
                      <w:szCs w:val="21"/>
                      <w:lang w:val="en-US" w:eastAsia="zh-CN"/>
                    </w:rPr>
                  </w:pPr>
                  <w:r>
                    <w:rPr>
                      <w:rFonts w:hint="eastAsia"/>
                      <w:color w:val="auto"/>
                      <w:spacing w:val="0"/>
                      <w:position w:val="0"/>
                      <w:sz w:val="21"/>
                      <w:szCs w:val="21"/>
                      <w:lang w:val="en-US" w:eastAsia="zh-CN"/>
                    </w:rPr>
                    <w:t>总计</w:t>
                  </w:r>
                </w:p>
              </w:tc>
              <w:tc>
                <w:tcPr>
                  <w:tcW w:w="1332" w:type="dxa"/>
                  <w:noWrap w:val="0"/>
                  <w:vAlign w:val="center"/>
                </w:tcPr>
                <w:p w14:paraId="48E91B43">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i w:val="0"/>
                      <w:iCs w:val="0"/>
                      <w:color w:val="auto"/>
                      <w:spacing w:val="0"/>
                      <w:kern w:val="0"/>
                      <w:position w:val="0"/>
                      <w:sz w:val="21"/>
                      <w:szCs w:val="21"/>
                      <w:u w:val="none"/>
                      <w:lang w:val="en-US" w:eastAsia="zh-CN" w:bidi="ar"/>
                    </w:rPr>
                    <w:t>10676.25</w:t>
                  </w:r>
                </w:p>
              </w:tc>
              <w:tc>
                <w:tcPr>
                  <w:tcW w:w="1332" w:type="dxa"/>
                  <w:noWrap w:val="0"/>
                  <w:vAlign w:val="center"/>
                </w:tcPr>
                <w:p w14:paraId="3011722E">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i w:val="0"/>
                      <w:iCs w:val="0"/>
                      <w:color w:val="auto"/>
                      <w:spacing w:val="0"/>
                      <w:kern w:val="0"/>
                      <w:position w:val="0"/>
                      <w:sz w:val="21"/>
                      <w:szCs w:val="21"/>
                      <w:u w:val="none"/>
                      <w:lang w:val="en-US" w:eastAsia="zh-CN" w:bidi="ar"/>
                    </w:rPr>
                    <w:t>10676.25</w:t>
                  </w:r>
                </w:p>
              </w:tc>
              <w:tc>
                <w:tcPr>
                  <w:tcW w:w="1332" w:type="dxa"/>
                  <w:noWrap w:val="0"/>
                  <w:vAlign w:val="center"/>
                </w:tcPr>
                <w:p w14:paraId="3D5781E7">
                  <w:pPr>
                    <w:keepNext w:val="0"/>
                    <w:keepLines w:val="0"/>
                    <w:widowControl/>
                    <w:suppressLineNumbers w:val="0"/>
                    <w:jc w:val="center"/>
                    <w:textAlignment w:val="center"/>
                    <w:rPr>
                      <w:rFonts w:hint="eastAsia" w:ascii="Times New Roman" w:hAnsi="Times New Roman" w:eastAsia="宋体" w:cs="Times New Roman"/>
                      <w:color w:val="auto"/>
                      <w:spacing w:val="0"/>
                      <w:kern w:val="0"/>
                      <w:position w:val="0"/>
                      <w:sz w:val="21"/>
                      <w:szCs w:val="21"/>
                      <w:lang w:val="en-US" w:eastAsia="zh-CN"/>
                    </w:rPr>
                  </w:pPr>
                  <w:r>
                    <w:rPr>
                      <w:rFonts w:hint="default" w:ascii="Times New Roman" w:hAnsi="Times New Roman" w:eastAsia="宋体" w:cs="Times New Roman"/>
                      <w:i w:val="0"/>
                      <w:iCs w:val="0"/>
                      <w:color w:val="auto"/>
                      <w:spacing w:val="0"/>
                      <w:kern w:val="0"/>
                      <w:position w:val="0"/>
                      <w:sz w:val="21"/>
                      <w:szCs w:val="21"/>
                      <w:u w:val="none"/>
                      <w:lang w:val="en-US" w:eastAsia="zh-CN" w:bidi="ar"/>
                    </w:rPr>
                    <w:t>0</w:t>
                  </w:r>
                </w:p>
              </w:tc>
              <w:tc>
                <w:tcPr>
                  <w:tcW w:w="1332" w:type="dxa"/>
                  <w:noWrap w:val="0"/>
                  <w:vAlign w:val="center"/>
                </w:tcPr>
                <w:p w14:paraId="00CEDD52">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i w:val="0"/>
                      <w:iCs w:val="0"/>
                      <w:color w:val="auto"/>
                      <w:spacing w:val="0"/>
                      <w:kern w:val="0"/>
                      <w:position w:val="0"/>
                      <w:sz w:val="21"/>
                      <w:szCs w:val="21"/>
                      <w:u w:val="none"/>
                      <w:lang w:val="en-US" w:eastAsia="zh-CN" w:bidi="ar"/>
                    </w:rPr>
                    <w:t>10311.25</w:t>
                  </w:r>
                </w:p>
              </w:tc>
              <w:tc>
                <w:tcPr>
                  <w:tcW w:w="1332" w:type="dxa"/>
                  <w:shd w:val="clear" w:color="auto" w:fill="auto"/>
                  <w:noWrap w:val="0"/>
                  <w:vAlign w:val="center"/>
                </w:tcPr>
                <w:p w14:paraId="230851AC">
                  <w:pPr>
                    <w:keepNext w:val="0"/>
                    <w:keepLines w:val="0"/>
                    <w:widowControl/>
                    <w:suppressLineNumbers w:val="0"/>
                    <w:jc w:val="center"/>
                    <w:textAlignment w:val="center"/>
                    <w:rPr>
                      <w:rFonts w:hint="default" w:ascii="Times New Roman" w:hAnsi="Times New Roman" w:eastAsia="宋体" w:cs="Times New Roman"/>
                      <w:color w:val="auto"/>
                      <w:spacing w:val="0"/>
                      <w:kern w:val="0"/>
                      <w:position w:val="0"/>
                      <w:sz w:val="21"/>
                      <w:szCs w:val="21"/>
                      <w:lang w:val="en-US" w:eastAsia="zh-CN"/>
                    </w:rPr>
                  </w:pPr>
                  <w:r>
                    <w:rPr>
                      <w:rFonts w:hint="eastAsia" w:cs="Times New Roman"/>
                      <w:i w:val="0"/>
                      <w:iCs w:val="0"/>
                      <w:color w:val="auto"/>
                      <w:spacing w:val="0"/>
                      <w:kern w:val="0"/>
                      <w:position w:val="0"/>
                      <w:sz w:val="21"/>
                      <w:szCs w:val="21"/>
                      <w:u w:val="none"/>
                      <w:lang w:val="en-US" w:eastAsia="zh-CN" w:bidi="ar"/>
                    </w:rPr>
                    <w:t>365</w:t>
                  </w:r>
                </w:p>
              </w:tc>
            </w:tr>
          </w:tbl>
          <w:p w14:paraId="059AB4AC">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eastAsia="宋体"/>
                <w:b/>
                <w:bCs/>
                <w:color w:val="auto"/>
                <w:spacing w:val="0"/>
                <w:position w:val="0"/>
                <w:szCs w:val="21"/>
                <w:lang w:eastAsia="zh-CN"/>
              </w:rPr>
            </w:pPr>
            <w:r>
              <w:rPr>
                <w:rFonts w:hint="eastAsia" w:eastAsia="宋体"/>
                <w:b/>
                <w:bCs/>
                <w:color w:val="auto"/>
                <w:spacing w:val="0"/>
                <w:position w:val="0"/>
                <w:szCs w:val="21"/>
                <w:lang w:eastAsia="zh-CN"/>
              </w:rPr>
              <w:drawing>
                <wp:inline distT="0" distB="0" distL="114300" distR="114300">
                  <wp:extent cx="5085715" cy="1610995"/>
                  <wp:effectExtent l="0" t="0" r="6985" b="190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9"/>
                          <a:stretch>
                            <a:fillRect/>
                          </a:stretch>
                        </pic:blipFill>
                        <pic:spPr>
                          <a:xfrm>
                            <a:off x="0" y="0"/>
                            <a:ext cx="5085715" cy="1610995"/>
                          </a:xfrm>
                          <a:prstGeom prst="rect">
                            <a:avLst/>
                          </a:prstGeom>
                          <a:noFill/>
                          <a:ln>
                            <a:noFill/>
                          </a:ln>
                        </pic:spPr>
                      </pic:pic>
                    </a:graphicData>
                  </a:graphic>
                </wp:inline>
              </w:drawing>
            </w:r>
          </w:p>
          <w:p w14:paraId="3E4BF2F5">
            <w:pPr>
              <w:adjustRightInd w:val="0"/>
              <w:snapToGrid w:val="0"/>
              <w:jc w:val="center"/>
              <w:rPr>
                <w:rFonts w:hint="eastAsia"/>
                <w:b/>
                <w:bCs/>
                <w:color w:val="auto"/>
                <w:spacing w:val="0"/>
                <w:position w:val="0"/>
                <w:sz w:val="24"/>
                <w:szCs w:val="24"/>
                <w:lang w:val="en-US" w:eastAsia="zh-CN"/>
              </w:rPr>
            </w:pPr>
            <w:r>
              <w:rPr>
                <w:rFonts w:hint="eastAsia"/>
                <w:b/>
                <w:bCs/>
                <w:color w:val="auto"/>
                <w:spacing w:val="0"/>
                <w:position w:val="0"/>
                <w:sz w:val="24"/>
                <w:szCs w:val="24"/>
                <w:lang w:eastAsia="zh-CN"/>
              </w:rPr>
              <w:t>图</w:t>
            </w:r>
            <w:r>
              <w:rPr>
                <w:rFonts w:hint="eastAsia"/>
                <w:b/>
                <w:bCs/>
                <w:color w:val="auto"/>
                <w:spacing w:val="0"/>
                <w:position w:val="0"/>
                <w:sz w:val="24"/>
                <w:szCs w:val="24"/>
                <w:lang w:val="en-US" w:eastAsia="zh-CN"/>
              </w:rPr>
              <w:t>2-1  项目水平衡图（m</w:t>
            </w:r>
            <w:r>
              <w:rPr>
                <w:rFonts w:hint="eastAsia"/>
                <w:b/>
                <w:bCs/>
                <w:color w:val="auto"/>
                <w:spacing w:val="0"/>
                <w:position w:val="0"/>
                <w:sz w:val="24"/>
                <w:szCs w:val="24"/>
                <w:vertAlign w:val="superscript"/>
                <w:lang w:val="en-US" w:eastAsia="zh-CN"/>
              </w:rPr>
              <w:t>3</w:t>
            </w:r>
            <w:r>
              <w:rPr>
                <w:rFonts w:hint="eastAsia"/>
                <w:b/>
                <w:bCs/>
                <w:color w:val="auto"/>
                <w:spacing w:val="0"/>
                <w:position w:val="0"/>
                <w:sz w:val="24"/>
                <w:szCs w:val="24"/>
                <w:lang w:val="en-US" w:eastAsia="zh-CN"/>
              </w:rPr>
              <w:t>/a）</w:t>
            </w:r>
          </w:p>
          <w:p w14:paraId="1CBD3806">
            <w:pPr>
              <w:adjustRightInd w:val="0"/>
              <w:snapToGrid w:val="0"/>
              <w:jc w:val="center"/>
              <w:rPr>
                <w:rFonts w:hint="eastAsia"/>
                <w:b/>
                <w:bCs/>
                <w:color w:val="auto"/>
                <w:spacing w:val="0"/>
                <w:position w:val="0"/>
                <w:sz w:val="24"/>
                <w:szCs w:val="24"/>
                <w:lang w:val="en-US" w:eastAsia="zh-CN"/>
              </w:rPr>
            </w:pPr>
          </w:p>
          <w:p w14:paraId="5CA45405">
            <w:pPr>
              <w:adjustRightInd w:val="0"/>
              <w:snapToGrid w:val="0"/>
              <w:jc w:val="both"/>
              <w:rPr>
                <w:rFonts w:hint="eastAsia"/>
                <w:b/>
                <w:bCs/>
                <w:color w:val="auto"/>
                <w:spacing w:val="0"/>
                <w:position w:val="0"/>
                <w:sz w:val="24"/>
                <w:szCs w:val="24"/>
                <w:lang w:val="en-US" w:eastAsia="zh-CN"/>
              </w:rPr>
            </w:pPr>
          </w:p>
        </w:tc>
      </w:tr>
      <w:tr w14:paraId="0BA40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557" w:type="dxa"/>
            <w:vAlign w:val="center"/>
          </w:tcPr>
          <w:p w14:paraId="6BFB10BD">
            <w:pPr>
              <w:adjustRightInd w:val="0"/>
              <w:snapToGrid w:val="0"/>
              <w:jc w:val="center"/>
              <w:rPr>
                <w:rFonts w:cs="宋体"/>
                <w:color w:val="auto"/>
                <w:spacing w:val="0"/>
                <w:kern w:val="0"/>
                <w:position w:val="0"/>
                <w:sz w:val="24"/>
              </w:rPr>
            </w:pPr>
            <w:r>
              <w:rPr>
                <w:rFonts w:hint="eastAsia" w:cs="宋体"/>
                <w:color w:val="auto"/>
                <w:spacing w:val="0"/>
                <w:kern w:val="0"/>
                <w:position w:val="0"/>
                <w:sz w:val="24"/>
              </w:rPr>
              <w:t>总平面及现场布置</w:t>
            </w:r>
          </w:p>
        </w:tc>
        <w:tc>
          <w:tcPr>
            <w:tcW w:w="8533" w:type="dxa"/>
            <w:vAlign w:val="center"/>
          </w:tcPr>
          <w:p w14:paraId="46256877">
            <w:pPr>
              <w:adjustRightInd w:val="0"/>
              <w:snapToGrid w:val="0"/>
              <w:spacing w:line="360" w:lineRule="auto"/>
              <w:ind w:firstLine="482" w:firstLineChars="200"/>
              <w:rPr>
                <w:rFonts w:cs="宋体"/>
                <w:b/>
                <w:bCs/>
                <w:color w:val="auto"/>
                <w:spacing w:val="0"/>
                <w:kern w:val="0"/>
                <w:position w:val="0"/>
                <w:sz w:val="24"/>
              </w:rPr>
            </w:pPr>
            <w:r>
              <w:rPr>
                <w:rFonts w:hint="eastAsia" w:cs="宋体"/>
                <w:b/>
                <w:bCs/>
                <w:color w:val="auto"/>
                <w:spacing w:val="0"/>
                <w:kern w:val="0"/>
                <w:position w:val="0"/>
                <w:sz w:val="24"/>
              </w:rPr>
              <w:t>1、总平面布置</w:t>
            </w:r>
          </w:p>
          <w:p w14:paraId="1A782BCE">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textAlignment w:val="auto"/>
              <w:rPr>
                <w:rFonts w:hint="eastAsia" w:ascii="Times New Roman" w:hAnsi="Times New Roman" w:eastAsia="宋体"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项目</w:t>
            </w:r>
            <w:r>
              <w:rPr>
                <w:rFonts w:hint="eastAsia" w:ascii="Times New Roman" w:hAnsi="Times New Roman" w:eastAsia="宋体" w:cs="Times New Roman"/>
                <w:color w:val="auto"/>
                <w:spacing w:val="0"/>
                <w:position w:val="0"/>
                <w:sz w:val="24"/>
                <w:szCs w:val="24"/>
                <w:lang w:val="en-US" w:eastAsia="zh-CN"/>
              </w:rPr>
              <w:t>位于</w:t>
            </w:r>
            <w:r>
              <w:rPr>
                <w:rFonts w:hint="eastAsia" w:cs="Times New Roman"/>
                <w:color w:val="auto"/>
                <w:spacing w:val="0"/>
                <w:position w:val="0"/>
                <w:sz w:val="24"/>
                <w:szCs w:val="24"/>
                <w:lang w:val="en-US" w:eastAsia="zh-CN"/>
              </w:rPr>
              <w:t>云约站与沙企一级路间，利用车站站房对侧预留最外侧股道设贯通式整列货物装卸线1条，两端设置安全线，装卸有效长度770m，相应改建两端咽喉；线路外侧配套正面吊作业区，集装箱堆场及货车停车场。</w:t>
            </w:r>
            <w:r>
              <w:rPr>
                <w:rFonts w:hint="eastAsia" w:ascii="Times New Roman" w:hAnsi="Times New Roman" w:eastAsia="宋体" w:cs="Times New Roman"/>
                <w:color w:val="auto"/>
                <w:spacing w:val="0"/>
                <w:position w:val="0"/>
                <w:sz w:val="24"/>
                <w:szCs w:val="24"/>
                <w:lang w:val="en-US" w:eastAsia="zh-CN"/>
              </w:rPr>
              <w:t>项目平面布置详见附图2。</w:t>
            </w:r>
          </w:p>
          <w:p w14:paraId="6D5D6357">
            <w:pPr>
              <w:adjustRightInd w:val="0"/>
              <w:snapToGrid w:val="0"/>
              <w:spacing w:line="360" w:lineRule="auto"/>
              <w:ind w:firstLine="482" w:firstLineChars="200"/>
              <w:rPr>
                <w:rFonts w:cs="宋体"/>
                <w:b/>
                <w:bCs/>
                <w:color w:val="auto"/>
                <w:spacing w:val="0"/>
                <w:kern w:val="0"/>
                <w:position w:val="0"/>
                <w:sz w:val="24"/>
              </w:rPr>
            </w:pPr>
            <w:r>
              <w:rPr>
                <w:rFonts w:hint="eastAsia" w:cs="宋体"/>
                <w:b/>
                <w:bCs/>
                <w:color w:val="auto"/>
                <w:spacing w:val="0"/>
                <w:kern w:val="0"/>
                <w:position w:val="0"/>
                <w:sz w:val="24"/>
              </w:rPr>
              <w:t>2、现场布置</w:t>
            </w:r>
          </w:p>
          <w:p w14:paraId="3F0083EA">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（1）取土场</w:t>
            </w:r>
          </w:p>
          <w:p w14:paraId="1795EBB9">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项目不设置取土场。</w:t>
            </w:r>
          </w:p>
          <w:p w14:paraId="1B4A0F42">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（2）弃土场</w:t>
            </w:r>
          </w:p>
          <w:p w14:paraId="208C89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pacing w:val="0"/>
                <w:position w:val="0"/>
                <w:sz w:val="24"/>
                <w:szCs w:val="24"/>
                <w:lang w:val="en-US" w:eastAsia="zh-CN"/>
              </w:rPr>
            </w:pPr>
            <w:r>
              <w:rPr>
                <w:rFonts w:hint="eastAsia" w:cs="Times New Roman"/>
                <w:color w:val="auto"/>
                <w:spacing w:val="0"/>
                <w:position w:val="0"/>
                <w:sz w:val="24"/>
                <w:szCs w:val="24"/>
                <w:lang w:val="en-US" w:eastAsia="zh-CN"/>
              </w:rPr>
              <w:t>项目不设置弃土场。</w:t>
            </w:r>
          </w:p>
          <w:p w14:paraId="38B0BD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pacing w:val="0"/>
                <w:position w:val="0"/>
                <w:sz w:val="24"/>
                <w:szCs w:val="24"/>
              </w:rPr>
            </w:pPr>
            <w:r>
              <w:rPr>
                <w:rFonts w:hint="eastAsia"/>
                <w:color w:val="auto"/>
                <w:spacing w:val="0"/>
                <w:position w:val="0"/>
                <w:sz w:val="24"/>
                <w:szCs w:val="24"/>
                <w:lang w:eastAsia="zh-CN"/>
              </w:rPr>
              <w:t>临时堆土场位于项目永久占地范围内，</w:t>
            </w:r>
            <w:r>
              <w:rPr>
                <w:rFonts w:hint="eastAsia"/>
                <w:color w:val="auto"/>
                <w:spacing w:val="0"/>
                <w:position w:val="0"/>
                <w:sz w:val="24"/>
                <w:szCs w:val="24"/>
              </w:rPr>
              <w:t>外侧布设临时排水沟，排水沟末端设置临时沉沙池；堆土期间，对临时堆土采取密目网覆盖措施；施工后期</w:t>
            </w:r>
            <w:r>
              <w:rPr>
                <w:rFonts w:hint="eastAsia" w:cs="Times New Roman"/>
                <w:color w:val="auto"/>
                <w:spacing w:val="0"/>
                <w:position w:val="0"/>
                <w:sz w:val="24"/>
                <w:szCs w:val="24"/>
                <w:lang w:eastAsia="zh-CN"/>
              </w:rPr>
              <w:t>，</w:t>
            </w:r>
            <w:r>
              <w:rPr>
                <w:rFonts w:hint="eastAsia"/>
                <w:color w:val="auto"/>
                <w:spacing w:val="0"/>
                <w:position w:val="0"/>
                <w:sz w:val="24"/>
                <w:szCs w:val="24"/>
                <w:lang w:eastAsia="zh-CN"/>
              </w:rPr>
              <w:t>临时</w:t>
            </w:r>
            <w:r>
              <w:rPr>
                <w:rFonts w:hint="eastAsia"/>
                <w:color w:val="auto"/>
                <w:spacing w:val="0"/>
                <w:position w:val="0"/>
                <w:sz w:val="24"/>
                <w:szCs w:val="24"/>
              </w:rPr>
              <w:t>表土堆放场归还给主体建设使用。</w:t>
            </w:r>
          </w:p>
          <w:p w14:paraId="49F9EB12">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（3）施工营地</w:t>
            </w:r>
          </w:p>
          <w:p w14:paraId="770AE6CF">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项目不设施工营地。</w:t>
            </w:r>
          </w:p>
          <w:p w14:paraId="46683646">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w:t>
            </w:r>
            <w:r>
              <w:rPr>
                <w:rFonts w:hint="eastAsia" w:cs="宋体"/>
                <w:color w:val="auto"/>
                <w:spacing w:val="0"/>
                <w:kern w:val="0"/>
                <w:position w:val="0"/>
                <w:sz w:val="24"/>
                <w:lang w:val="en-US" w:eastAsia="zh-CN"/>
              </w:rPr>
              <w:t>4</w:t>
            </w:r>
            <w:r>
              <w:rPr>
                <w:rFonts w:hint="eastAsia" w:cs="宋体"/>
                <w:color w:val="auto"/>
                <w:spacing w:val="0"/>
                <w:kern w:val="0"/>
                <w:position w:val="0"/>
                <w:sz w:val="24"/>
              </w:rPr>
              <w:t>）土地利用类型</w:t>
            </w:r>
          </w:p>
          <w:p w14:paraId="71808EF4">
            <w:pPr>
              <w:adjustRightInd w:val="0"/>
              <w:snapToGrid w:val="0"/>
              <w:spacing w:line="360" w:lineRule="auto"/>
              <w:ind w:firstLine="480" w:firstLineChars="200"/>
              <w:rPr>
                <w:rFonts w:hint="default" w:eastAsia="宋体" w:cs="宋体"/>
                <w:color w:val="auto"/>
                <w:spacing w:val="0"/>
                <w:kern w:val="0"/>
                <w:position w:val="0"/>
                <w:sz w:val="24"/>
                <w:lang w:val="en-US" w:eastAsia="zh-CN"/>
              </w:rPr>
            </w:pPr>
            <w:r>
              <w:rPr>
                <w:rFonts w:hint="eastAsia" w:cs="宋体"/>
                <w:color w:val="auto"/>
                <w:spacing w:val="0"/>
                <w:kern w:val="0"/>
                <w:position w:val="0"/>
                <w:sz w:val="24"/>
                <w:lang w:val="en-US" w:eastAsia="zh-CN"/>
              </w:rPr>
              <w:t>项目永久用地为防城港企沙铁路支线云约站用地空置部分，该用地于2013年12月27日取得防城港市住房和城乡建设委员会《关于办理防城港企沙铁路支线云约站选址意见的复函》，复函内批复用地面积为971.95亩，至今实际征地面积为564亩。本次项目利用已征得用地建设货物线及堆场</w:t>
            </w:r>
            <w:r>
              <w:rPr>
                <w:rFonts w:hint="eastAsia" w:cs="宋体"/>
                <w:color w:val="auto"/>
                <w:spacing w:val="0"/>
                <w:kern w:val="0"/>
                <w:position w:val="0"/>
                <w:sz w:val="24"/>
              </w:rPr>
              <w:t>，土地</w:t>
            </w:r>
            <w:r>
              <w:rPr>
                <w:rFonts w:hint="eastAsia" w:cs="宋体"/>
                <w:color w:val="auto"/>
                <w:spacing w:val="0"/>
                <w:kern w:val="0"/>
                <w:position w:val="0"/>
                <w:sz w:val="24"/>
                <w:lang w:val="en-US" w:eastAsia="zh-CN"/>
              </w:rPr>
              <w:t>规划</w:t>
            </w:r>
            <w:r>
              <w:rPr>
                <w:rFonts w:hint="eastAsia" w:cs="宋体"/>
                <w:color w:val="auto"/>
                <w:spacing w:val="0"/>
                <w:kern w:val="0"/>
                <w:position w:val="0"/>
                <w:sz w:val="24"/>
              </w:rPr>
              <w:t>利用类型为</w:t>
            </w:r>
            <w:r>
              <w:rPr>
                <w:rFonts w:hint="eastAsia" w:cs="宋体"/>
                <w:color w:val="auto"/>
                <w:spacing w:val="0"/>
                <w:kern w:val="0"/>
                <w:position w:val="0"/>
                <w:sz w:val="24"/>
                <w:lang w:eastAsia="zh-CN"/>
              </w:rPr>
              <w:t>铁路用地</w:t>
            </w:r>
            <w:r>
              <w:rPr>
                <w:rFonts w:hint="eastAsia" w:cs="宋体"/>
                <w:color w:val="auto"/>
                <w:spacing w:val="0"/>
                <w:kern w:val="0"/>
                <w:position w:val="0"/>
                <w:sz w:val="24"/>
              </w:rPr>
              <w:t>。</w:t>
            </w:r>
          </w:p>
        </w:tc>
      </w:tr>
      <w:tr w14:paraId="1CA6F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557" w:type="dxa"/>
            <w:vAlign w:val="center"/>
          </w:tcPr>
          <w:p w14:paraId="78DD972E">
            <w:pPr>
              <w:adjustRightInd w:val="0"/>
              <w:snapToGrid w:val="0"/>
              <w:jc w:val="center"/>
              <w:rPr>
                <w:rFonts w:cs="宋体"/>
                <w:color w:val="auto"/>
                <w:spacing w:val="0"/>
                <w:kern w:val="0"/>
                <w:position w:val="0"/>
                <w:sz w:val="24"/>
              </w:rPr>
            </w:pPr>
            <w:r>
              <w:rPr>
                <w:rFonts w:hint="eastAsia" w:cs="宋体"/>
                <w:color w:val="auto"/>
                <w:spacing w:val="0"/>
                <w:kern w:val="0"/>
                <w:position w:val="0"/>
                <w:sz w:val="24"/>
              </w:rPr>
              <w:t>施工方案</w:t>
            </w:r>
          </w:p>
        </w:tc>
        <w:tc>
          <w:tcPr>
            <w:tcW w:w="8533" w:type="dxa"/>
            <w:vAlign w:val="center"/>
          </w:tcPr>
          <w:p w14:paraId="375E55E1">
            <w:pPr>
              <w:adjustRightInd w:val="0"/>
              <w:snapToGrid w:val="0"/>
              <w:spacing w:line="360" w:lineRule="auto"/>
              <w:ind w:firstLine="482" w:firstLineChars="200"/>
              <w:rPr>
                <w:rFonts w:cs="宋体"/>
                <w:b/>
                <w:bCs/>
                <w:color w:val="auto"/>
                <w:spacing w:val="0"/>
                <w:kern w:val="0"/>
                <w:position w:val="0"/>
                <w:sz w:val="24"/>
              </w:rPr>
            </w:pPr>
            <w:r>
              <w:rPr>
                <w:rFonts w:cs="宋体"/>
                <w:b/>
                <w:bCs/>
                <w:color w:val="auto"/>
                <w:spacing w:val="0"/>
                <w:kern w:val="0"/>
                <w:position w:val="0"/>
                <w:sz w:val="24"/>
              </w:rPr>
              <w:t>1</w:t>
            </w:r>
            <w:r>
              <w:rPr>
                <w:rFonts w:hint="eastAsia" w:cs="宋体"/>
                <w:b/>
                <w:bCs/>
                <w:color w:val="auto"/>
                <w:spacing w:val="0"/>
                <w:kern w:val="0"/>
                <w:position w:val="0"/>
                <w:sz w:val="24"/>
              </w:rPr>
              <w:t>、施工组织设计</w:t>
            </w:r>
          </w:p>
          <w:p w14:paraId="0F99CDB2">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（1）工程用砂</w:t>
            </w:r>
          </w:p>
          <w:p w14:paraId="3D26259E">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项目工程用砂主要来自</w:t>
            </w:r>
            <w:r>
              <w:rPr>
                <w:rFonts w:hint="eastAsia" w:cs="宋体"/>
                <w:color w:val="auto"/>
                <w:spacing w:val="0"/>
                <w:kern w:val="0"/>
                <w:position w:val="0"/>
                <w:sz w:val="24"/>
                <w:lang w:val="en-US" w:eastAsia="zh-CN"/>
              </w:rPr>
              <w:t>防城港</w:t>
            </w:r>
            <w:r>
              <w:rPr>
                <w:rFonts w:hint="eastAsia" w:cs="宋体"/>
                <w:color w:val="auto"/>
                <w:spacing w:val="0"/>
                <w:kern w:val="0"/>
                <w:position w:val="0"/>
                <w:sz w:val="24"/>
              </w:rPr>
              <w:t>市当地，利用施工便道运输，工程建设所需混凝土采用外购商品混凝土，不自设拌合站。</w:t>
            </w:r>
          </w:p>
          <w:p w14:paraId="0C2C41D1">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（2）石料</w:t>
            </w:r>
          </w:p>
          <w:p w14:paraId="6431C008">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w:t>
            </w:r>
            <w:r>
              <w:rPr>
                <w:rFonts w:hint="eastAsia" w:cs="宋体"/>
                <w:color w:val="auto"/>
                <w:spacing w:val="0"/>
                <w:kern w:val="0"/>
                <w:position w:val="0"/>
                <w:sz w:val="24"/>
                <w:lang w:val="en-US" w:eastAsia="zh-CN"/>
              </w:rPr>
              <w:t>防城港</w:t>
            </w:r>
            <w:r>
              <w:rPr>
                <w:rFonts w:hint="eastAsia" w:cs="宋体"/>
                <w:color w:val="auto"/>
                <w:spacing w:val="0"/>
                <w:kern w:val="0"/>
                <w:position w:val="0"/>
                <w:sz w:val="24"/>
              </w:rPr>
              <w:t>市当地区域内石料资源丰富，可作为本项目石料主要来源。</w:t>
            </w:r>
          </w:p>
          <w:p w14:paraId="5CF9A32E">
            <w:pPr>
              <w:adjustRightInd w:val="0"/>
              <w:snapToGrid w:val="0"/>
              <w:spacing w:line="360" w:lineRule="auto"/>
              <w:ind w:firstLine="480" w:firstLineChars="200"/>
              <w:rPr>
                <w:color w:val="auto"/>
                <w:spacing w:val="0"/>
                <w:position w:val="0"/>
                <w:sz w:val="24"/>
              </w:rPr>
            </w:pPr>
            <w:r>
              <w:rPr>
                <w:rFonts w:hint="eastAsia" w:cs="宋体"/>
                <w:color w:val="auto"/>
                <w:spacing w:val="0"/>
                <w:kern w:val="0"/>
                <w:position w:val="0"/>
                <w:sz w:val="24"/>
              </w:rPr>
              <w:t>（3）道</w:t>
            </w:r>
            <w:r>
              <w:rPr>
                <w:color w:val="auto"/>
                <w:spacing w:val="0"/>
                <w:position w:val="0"/>
                <w:sz w:val="24"/>
              </w:rPr>
              <w:t>碴</w:t>
            </w:r>
          </w:p>
          <w:p w14:paraId="692048F1">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项目用碴全部外购，在铺轨前提前做好备碴工作，以满足施工期内的用碴需求。</w:t>
            </w:r>
          </w:p>
          <w:p w14:paraId="38C40473">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（4）钢轨、钢筋混凝土轨枕、混凝土预制块</w:t>
            </w:r>
          </w:p>
          <w:p w14:paraId="58D0E1F0">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项目钢轨、钢筋混凝土轨枕、混凝土预制块均来自外购。</w:t>
            </w:r>
          </w:p>
          <w:p w14:paraId="4D29E77D">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（5）施工用水</w:t>
            </w:r>
          </w:p>
          <w:p w14:paraId="2F5CF6BF">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项目施工用水由自来水管网供给。</w:t>
            </w:r>
          </w:p>
          <w:p w14:paraId="5A91AB6A">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（6）施工用电</w:t>
            </w:r>
          </w:p>
          <w:p w14:paraId="05B66486">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市政电网供给。</w:t>
            </w:r>
          </w:p>
          <w:p w14:paraId="7BF82AF6">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（7）施工通信</w:t>
            </w:r>
          </w:p>
          <w:p w14:paraId="38A3BAB2">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当地已有电讯系统覆盖，满足施工期间通信需要。</w:t>
            </w:r>
          </w:p>
          <w:p w14:paraId="5567AE93">
            <w:pPr>
              <w:adjustRightInd w:val="0"/>
              <w:snapToGrid w:val="0"/>
              <w:spacing w:line="360" w:lineRule="auto"/>
              <w:ind w:firstLine="482" w:firstLineChars="200"/>
              <w:rPr>
                <w:rFonts w:cs="宋体"/>
                <w:b/>
                <w:bCs/>
                <w:color w:val="auto"/>
                <w:spacing w:val="0"/>
                <w:kern w:val="0"/>
                <w:position w:val="0"/>
                <w:sz w:val="24"/>
              </w:rPr>
            </w:pPr>
            <w:r>
              <w:rPr>
                <w:rFonts w:hint="eastAsia" w:cs="宋体"/>
                <w:b/>
                <w:bCs/>
                <w:color w:val="auto"/>
                <w:spacing w:val="0"/>
                <w:kern w:val="0"/>
                <w:position w:val="0"/>
                <w:sz w:val="24"/>
              </w:rPr>
              <w:t>2、施工工艺</w:t>
            </w:r>
          </w:p>
          <w:p w14:paraId="2F7493B2">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施工期环境影响主要表现在土地清表、水土流失、生态破坏、施工废水、废气、固体废物、施工噪声、区域交通干扰等方面，除了用地是永久性影响外，其他均是暂时性的影响。项目施工期工艺流程及产污环节如图2-</w:t>
            </w:r>
            <w:r>
              <w:rPr>
                <w:rFonts w:cs="宋体"/>
                <w:color w:val="auto"/>
                <w:spacing w:val="0"/>
                <w:kern w:val="0"/>
                <w:position w:val="0"/>
                <w:sz w:val="24"/>
              </w:rPr>
              <w:t>1</w:t>
            </w:r>
            <w:r>
              <w:rPr>
                <w:rFonts w:hint="eastAsia" w:cs="宋体"/>
                <w:color w:val="auto"/>
                <w:spacing w:val="0"/>
                <w:kern w:val="0"/>
                <w:position w:val="0"/>
                <w:sz w:val="24"/>
              </w:rPr>
              <w:t>所示。</w:t>
            </w:r>
          </w:p>
          <w:p w14:paraId="42564885">
            <w:pPr>
              <w:adjustRightInd w:val="0"/>
              <w:snapToGrid w:val="0"/>
              <w:spacing w:line="240" w:lineRule="auto"/>
              <w:jc w:val="center"/>
              <w:rPr>
                <w:rFonts w:hint="eastAsia" w:eastAsia="宋体" w:cs="宋体"/>
                <w:color w:val="auto"/>
                <w:spacing w:val="0"/>
                <w:kern w:val="0"/>
                <w:position w:val="0"/>
                <w:sz w:val="21"/>
                <w:szCs w:val="21"/>
                <w:lang w:eastAsia="zh-CN"/>
              </w:rPr>
            </w:pPr>
            <w:r>
              <w:rPr>
                <w:rFonts w:hint="eastAsia" w:eastAsia="宋体" w:cs="宋体"/>
                <w:color w:val="auto"/>
                <w:spacing w:val="0"/>
                <w:kern w:val="0"/>
                <w:position w:val="0"/>
                <w:sz w:val="24"/>
                <w:lang w:eastAsia="zh-CN"/>
              </w:rPr>
              <w:drawing>
                <wp:inline distT="0" distB="0" distL="114300" distR="114300">
                  <wp:extent cx="3205480" cy="4272915"/>
                  <wp:effectExtent l="0" t="0" r="13970" b="13335"/>
                  <wp:docPr id="10" name="图片 10" descr="施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施工流程"/>
                          <pic:cNvPicPr>
                            <a:picLocks noChangeAspect="1"/>
                          </pic:cNvPicPr>
                        </pic:nvPicPr>
                        <pic:blipFill>
                          <a:blip r:embed="rId20"/>
                          <a:stretch>
                            <a:fillRect/>
                          </a:stretch>
                        </pic:blipFill>
                        <pic:spPr>
                          <a:xfrm>
                            <a:off x="0" y="0"/>
                            <a:ext cx="3205480" cy="4272915"/>
                          </a:xfrm>
                          <a:prstGeom prst="rect">
                            <a:avLst/>
                          </a:prstGeom>
                        </pic:spPr>
                      </pic:pic>
                    </a:graphicData>
                  </a:graphic>
                </wp:inline>
              </w:drawing>
            </w:r>
          </w:p>
          <w:p w14:paraId="7BD8F3BB">
            <w:pPr>
              <w:keepNext w:val="0"/>
              <w:keepLines w:val="0"/>
              <w:pageBreakBefore w:val="0"/>
              <w:widowControl w:val="0"/>
              <w:kinsoku/>
              <w:wordWrap/>
              <w:overflowPunct/>
              <w:topLinePunct w:val="0"/>
              <w:autoSpaceDE/>
              <w:autoSpaceDN/>
              <w:bidi w:val="0"/>
              <w:adjustRightInd w:val="0"/>
              <w:snapToGrid w:val="0"/>
              <w:spacing w:before="157" w:beforeLines="50"/>
              <w:ind w:firstLine="482" w:firstLineChars="200"/>
              <w:jc w:val="center"/>
              <w:textAlignment w:val="auto"/>
              <w:rPr>
                <w:rFonts w:cs="宋体"/>
                <w:b/>
                <w:bCs/>
                <w:color w:val="auto"/>
                <w:spacing w:val="0"/>
                <w:kern w:val="0"/>
                <w:position w:val="0"/>
                <w:szCs w:val="21"/>
              </w:rPr>
            </w:pPr>
            <w:r>
              <w:rPr>
                <w:rFonts w:hint="eastAsia" w:cs="宋体"/>
                <w:b/>
                <w:bCs/>
                <w:color w:val="auto"/>
                <w:spacing w:val="0"/>
                <w:kern w:val="0"/>
                <w:position w:val="0"/>
                <w:sz w:val="24"/>
                <w:szCs w:val="24"/>
              </w:rPr>
              <w:t>图2</w:t>
            </w:r>
            <w:r>
              <w:rPr>
                <w:rFonts w:cs="宋体"/>
                <w:b/>
                <w:bCs/>
                <w:color w:val="auto"/>
                <w:spacing w:val="0"/>
                <w:kern w:val="0"/>
                <w:position w:val="0"/>
                <w:sz w:val="24"/>
                <w:szCs w:val="24"/>
              </w:rPr>
              <w:t>-</w:t>
            </w:r>
            <w:r>
              <w:rPr>
                <w:rFonts w:hint="eastAsia" w:cs="宋体"/>
                <w:b/>
                <w:bCs/>
                <w:color w:val="auto"/>
                <w:spacing w:val="0"/>
                <w:kern w:val="0"/>
                <w:position w:val="0"/>
                <w:sz w:val="24"/>
                <w:szCs w:val="24"/>
                <w:lang w:val="en-US" w:eastAsia="zh-CN"/>
              </w:rPr>
              <w:t>2</w:t>
            </w:r>
            <w:r>
              <w:rPr>
                <w:rFonts w:cs="宋体"/>
                <w:b/>
                <w:bCs/>
                <w:color w:val="auto"/>
                <w:spacing w:val="0"/>
                <w:kern w:val="0"/>
                <w:position w:val="0"/>
                <w:sz w:val="24"/>
                <w:szCs w:val="24"/>
              </w:rPr>
              <w:t xml:space="preserve">  </w:t>
            </w:r>
            <w:r>
              <w:rPr>
                <w:rFonts w:hint="eastAsia" w:cs="宋体"/>
                <w:b/>
                <w:bCs/>
                <w:color w:val="auto"/>
                <w:spacing w:val="0"/>
                <w:kern w:val="0"/>
                <w:position w:val="0"/>
                <w:sz w:val="24"/>
                <w:szCs w:val="24"/>
              </w:rPr>
              <w:t>施工期工艺流程及产污环节图</w:t>
            </w:r>
          </w:p>
          <w:p w14:paraId="71902D5A">
            <w:pPr>
              <w:adjustRightInd w:val="0"/>
              <w:snapToGrid w:val="0"/>
              <w:spacing w:line="360" w:lineRule="auto"/>
              <w:ind w:firstLine="482" w:firstLineChars="200"/>
              <w:rPr>
                <w:rFonts w:cs="宋体"/>
                <w:b/>
                <w:bCs/>
                <w:color w:val="auto"/>
                <w:spacing w:val="0"/>
                <w:kern w:val="0"/>
                <w:position w:val="0"/>
                <w:sz w:val="24"/>
              </w:rPr>
            </w:pPr>
            <w:r>
              <w:rPr>
                <w:rFonts w:hint="eastAsia" w:cs="宋体"/>
                <w:b/>
                <w:bCs/>
                <w:color w:val="auto"/>
                <w:spacing w:val="0"/>
                <w:kern w:val="0"/>
                <w:position w:val="0"/>
                <w:sz w:val="24"/>
              </w:rPr>
              <w:t>工艺简述：</w:t>
            </w:r>
          </w:p>
          <w:p w14:paraId="4C26342F">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①定线、土地清表</w:t>
            </w:r>
          </w:p>
          <w:p w14:paraId="6A57271F">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根据施工图纸进行放线，利用钩机、铲车等机械设备对用地红线范围内的植被等地面覆盖物进行清除，此过程会造成生态和景观上的影响，会产生施工噪声、施工废气、施工扬尘和固体废物。</w:t>
            </w:r>
          </w:p>
          <w:p w14:paraId="656EE73C">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②机械作业、路基取土石方施工</w:t>
            </w:r>
          </w:p>
          <w:p w14:paraId="426BA9F5">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用地红线范围内完成清表工作后按照施工方案利用钩机、铲车等机械设备进行挖方。同时利用机械设备进行清表和取方作业，填方利用运输车辆运至项目现场，清表产生的植物等运至市政部门指定地点处理。此过程会造成生态和景观上的影响，会产生施工噪声、施工废气、施工扬尘</w:t>
            </w:r>
            <w:r>
              <w:rPr>
                <w:rFonts w:hint="eastAsia" w:cs="宋体"/>
                <w:color w:val="auto"/>
                <w:spacing w:val="0"/>
                <w:kern w:val="0"/>
                <w:position w:val="0"/>
                <w:sz w:val="24"/>
                <w:lang w:eastAsia="zh-CN"/>
              </w:rPr>
              <w:t>、</w:t>
            </w:r>
            <w:r>
              <w:rPr>
                <w:rFonts w:hint="eastAsia" w:cs="宋体"/>
                <w:color w:val="auto"/>
                <w:spacing w:val="0"/>
                <w:kern w:val="0"/>
                <w:position w:val="0"/>
                <w:sz w:val="24"/>
                <w:lang w:val="en-US" w:eastAsia="zh-CN"/>
              </w:rPr>
              <w:t>施工废水</w:t>
            </w:r>
            <w:r>
              <w:rPr>
                <w:rFonts w:hint="eastAsia" w:cs="宋体"/>
                <w:color w:val="auto"/>
                <w:spacing w:val="0"/>
                <w:kern w:val="0"/>
                <w:position w:val="0"/>
                <w:sz w:val="24"/>
              </w:rPr>
              <w:t>和固体废物。</w:t>
            </w:r>
          </w:p>
          <w:p w14:paraId="4DBDE52D">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③铺轨、路面施工</w:t>
            </w:r>
          </w:p>
          <w:p w14:paraId="5770891B">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在平整后的场地进行轨道的铺设，此过程会产生施工噪声、施工废气、施工扬尘</w:t>
            </w:r>
            <w:r>
              <w:rPr>
                <w:rFonts w:hint="eastAsia" w:cs="宋体"/>
                <w:color w:val="auto"/>
                <w:spacing w:val="0"/>
                <w:kern w:val="0"/>
                <w:position w:val="0"/>
                <w:sz w:val="24"/>
                <w:lang w:eastAsia="zh-CN"/>
              </w:rPr>
              <w:t>、</w:t>
            </w:r>
            <w:r>
              <w:rPr>
                <w:rFonts w:hint="eastAsia" w:cs="宋体"/>
                <w:color w:val="auto"/>
                <w:spacing w:val="0"/>
                <w:kern w:val="0"/>
                <w:position w:val="0"/>
                <w:sz w:val="24"/>
                <w:lang w:val="en-US" w:eastAsia="zh-CN"/>
              </w:rPr>
              <w:t>施工废水</w:t>
            </w:r>
            <w:r>
              <w:rPr>
                <w:rFonts w:hint="eastAsia" w:cs="宋体"/>
                <w:color w:val="auto"/>
                <w:spacing w:val="0"/>
                <w:kern w:val="0"/>
                <w:position w:val="0"/>
                <w:sz w:val="24"/>
              </w:rPr>
              <w:t>和固体废物。</w:t>
            </w:r>
          </w:p>
          <w:p w14:paraId="260E66B2">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④附属设施建设</w:t>
            </w:r>
          </w:p>
          <w:p w14:paraId="5D76DFF1">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进行</w:t>
            </w:r>
            <w:r>
              <w:rPr>
                <w:rFonts w:hint="eastAsia" w:cs="宋体"/>
                <w:color w:val="auto"/>
                <w:spacing w:val="0"/>
                <w:kern w:val="0"/>
                <w:position w:val="0"/>
                <w:sz w:val="24"/>
                <w:lang w:val="en-US" w:eastAsia="zh-CN"/>
              </w:rPr>
              <w:t>集装箱堆场、综合用房和门卫室</w:t>
            </w:r>
            <w:r>
              <w:rPr>
                <w:rFonts w:hint="eastAsia" w:cs="宋体"/>
                <w:color w:val="auto"/>
                <w:spacing w:val="0"/>
                <w:kern w:val="0"/>
                <w:position w:val="0"/>
                <w:sz w:val="24"/>
              </w:rPr>
              <w:t>的建设，此过程会产生施工噪声、施工废气、施工扬尘</w:t>
            </w:r>
            <w:r>
              <w:rPr>
                <w:rFonts w:hint="eastAsia" w:cs="宋体"/>
                <w:color w:val="auto"/>
                <w:spacing w:val="0"/>
                <w:kern w:val="0"/>
                <w:position w:val="0"/>
                <w:sz w:val="24"/>
                <w:lang w:eastAsia="zh-CN"/>
              </w:rPr>
              <w:t>、</w:t>
            </w:r>
            <w:r>
              <w:rPr>
                <w:rFonts w:hint="eastAsia" w:cs="宋体"/>
                <w:color w:val="auto"/>
                <w:spacing w:val="0"/>
                <w:kern w:val="0"/>
                <w:position w:val="0"/>
                <w:sz w:val="24"/>
                <w:lang w:val="en-US" w:eastAsia="zh-CN"/>
              </w:rPr>
              <w:t>施工废水</w:t>
            </w:r>
            <w:r>
              <w:rPr>
                <w:rFonts w:hint="eastAsia" w:cs="宋体"/>
                <w:color w:val="auto"/>
                <w:spacing w:val="0"/>
                <w:kern w:val="0"/>
                <w:position w:val="0"/>
                <w:sz w:val="24"/>
              </w:rPr>
              <w:t>和固体废物。</w:t>
            </w:r>
          </w:p>
          <w:p w14:paraId="5FE0EB68">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⑤装备调试阶段</w:t>
            </w:r>
          </w:p>
          <w:p w14:paraId="737B1E93">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对轨道通信、信号工程</w:t>
            </w:r>
            <w:r>
              <w:rPr>
                <w:rFonts w:hint="eastAsia" w:cs="宋体"/>
                <w:color w:val="auto"/>
                <w:spacing w:val="0"/>
                <w:kern w:val="0"/>
                <w:position w:val="0"/>
                <w:sz w:val="24"/>
                <w:lang w:val="en-US" w:eastAsia="zh-CN"/>
              </w:rPr>
              <w:t>等</w:t>
            </w:r>
            <w:r>
              <w:rPr>
                <w:rFonts w:hint="eastAsia" w:cs="宋体"/>
                <w:color w:val="auto"/>
                <w:spacing w:val="0"/>
                <w:kern w:val="0"/>
                <w:position w:val="0"/>
                <w:sz w:val="24"/>
              </w:rPr>
              <w:t>相应设备进行调试。</w:t>
            </w:r>
          </w:p>
          <w:p w14:paraId="502331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cs="Times New Roman"/>
                <w:b/>
                <w:bCs/>
                <w:color w:val="auto"/>
                <w:spacing w:val="0"/>
                <w:position w:val="0"/>
                <w:sz w:val="24"/>
                <w:szCs w:val="24"/>
                <w:highlight w:val="none"/>
                <w:lang w:val="en-US" w:eastAsia="zh-CN"/>
              </w:rPr>
            </w:pPr>
            <w:r>
              <w:rPr>
                <w:rFonts w:hint="eastAsia" w:cs="Times New Roman"/>
                <w:b/>
                <w:bCs/>
                <w:color w:val="auto"/>
                <w:spacing w:val="0"/>
                <w:position w:val="0"/>
                <w:sz w:val="24"/>
                <w:szCs w:val="24"/>
                <w:highlight w:val="none"/>
                <w:lang w:val="en-US" w:eastAsia="zh-CN"/>
              </w:rPr>
              <w:t>3</w:t>
            </w:r>
            <w:r>
              <w:rPr>
                <w:rFonts w:hint="eastAsia" w:ascii="Times New Roman" w:hAnsi="Times New Roman" w:cs="Times New Roman"/>
                <w:b/>
                <w:bCs/>
                <w:color w:val="auto"/>
                <w:spacing w:val="0"/>
                <w:position w:val="0"/>
                <w:sz w:val="24"/>
                <w:szCs w:val="24"/>
                <w:highlight w:val="none"/>
                <w:lang w:val="en-US" w:eastAsia="zh-CN"/>
              </w:rPr>
              <w:t>、运营期工艺流程及产污环节</w:t>
            </w:r>
          </w:p>
          <w:p w14:paraId="54B4B5FB">
            <w:pPr>
              <w:adjustRightInd w:val="0"/>
              <w:snapToGrid w:val="0"/>
              <w:ind w:firstLine="422" w:firstLineChars="200"/>
              <w:jc w:val="center"/>
              <w:rPr>
                <w:rFonts w:hint="eastAsia" w:cs="宋体"/>
                <w:b/>
                <w:bCs/>
                <w:color w:val="auto"/>
                <w:spacing w:val="0"/>
                <w:kern w:val="0"/>
                <w:position w:val="0"/>
                <w:szCs w:val="21"/>
              </w:rPr>
            </w:pPr>
            <w:r>
              <w:rPr>
                <w:rFonts w:hint="eastAsia" w:cs="宋体"/>
                <w:b/>
                <w:bCs/>
                <w:color w:val="auto"/>
                <w:spacing w:val="0"/>
                <w:kern w:val="0"/>
                <w:position w:val="0"/>
                <w:szCs w:val="21"/>
              </w:rPr>
              <w:drawing>
                <wp:inline distT="0" distB="0" distL="114300" distR="114300">
                  <wp:extent cx="4960620" cy="1198880"/>
                  <wp:effectExtent l="0" t="0" r="0" b="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21"/>
                          <a:srcRect b="50679"/>
                          <a:stretch>
                            <a:fillRect/>
                          </a:stretch>
                        </pic:blipFill>
                        <pic:spPr>
                          <a:xfrm>
                            <a:off x="0" y="0"/>
                            <a:ext cx="4960620" cy="1198880"/>
                          </a:xfrm>
                          <a:prstGeom prst="rect">
                            <a:avLst/>
                          </a:prstGeom>
                        </pic:spPr>
                      </pic:pic>
                    </a:graphicData>
                  </a:graphic>
                </wp:inline>
              </w:drawing>
            </w:r>
          </w:p>
          <w:p w14:paraId="4186A25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rFonts w:cs="宋体"/>
                <w:b/>
                <w:bCs/>
                <w:color w:val="auto"/>
                <w:spacing w:val="0"/>
                <w:kern w:val="0"/>
                <w:position w:val="0"/>
                <w:szCs w:val="21"/>
              </w:rPr>
            </w:pPr>
            <w:r>
              <w:rPr>
                <w:rFonts w:hint="eastAsia" w:cs="宋体"/>
                <w:b/>
                <w:bCs/>
                <w:color w:val="auto"/>
                <w:spacing w:val="0"/>
                <w:kern w:val="0"/>
                <w:position w:val="0"/>
                <w:sz w:val="24"/>
                <w:szCs w:val="24"/>
              </w:rPr>
              <w:t>图2</w:t>
            </w:r>
            <w:r>
              <w:rPr>
                <w:rFonts w:cs="宋体"/>
                <w:b/>
                <w:bCs/>
                <w:color w:val="auto"/>
                <w:spacing w:val="0"/>
                <w:kern w:val="0"/>
                <w:position w:val="0"/>
                <w:sz w:val="24"/>
                <w:szCs w:val="24"/>
              </w:rPr>
              <w:t>-</w:t>
            </w:r>
            <w:r>
              <w:rPr>
                <w:rFonts w:hint="eastAsia" w:cs="宋体"/>
                <w:b/>
                <w:bCs/>
                <w:color w:val="auto"/>
                <w:spacing w:val="0"/>
                <w:kern w:val="0"/>
                <w:position w:val="0"/>
                <w:sz w:val="24"/>
                <w:szCs w:val="24"/>
                <w:lang w:val="en-US" w:eastAsia="zh-CN"/>
              </w:rPr>
              <w:t>3</w:t>
            </w:r>
            <w:r>
              <w:rPr>
                <w:rFonts w:cs="宋体"/>
                <w:b/>
                <w:bCs/>
                <w:color w:val="auto"/>
                <w:spacing w:val="0"/>
                <w:kern w:val="0"/>
                <w:position w:val="0"/>
                <w:sz w:val="24"/>
                <w:szCs w:val="24"/>
              </w:rPr>
              <w:t xml:space="preserve">  </w:t>
            </w:r>
            <w:r>
              <w:rPr>
                <w:rFonts w:hint="eastAsia" w:cs="宋体"/>
                <w:b/>
                <w:bCs/>
                <w:color w:val="auto"/>
                <w:spacing w:val="0"/>
                <w:kern w:val="0"/>
                <w:position w:val="0"/>
                <w:sz w:val="24"/>
                <w:szCs w:val="24"/>
                <w:lang w:eastAsia="zh-CN"/>
              </w:rPr>
              <w:t>营运期</w:t>
            </w:r>
            <w:r>
              <w:rPr>
                <w:rFonts w:hint="eastAsia" w:cs="宋体"/>
                <w:b/>
                <w:bCs/>
                <w:color w:val="auto"/>
                <w:spacing w:val="0"/>
                <w:kern w:val="0"/>
                <w:position w:val="0"/>
                <w:sz w:val="24"/>
                <w:szCs w:val="24"/>
              </w:rPr>
              <w:t>工艺流程及产污环节图</w:t>
            </w:r>
          </w:p>
          <w:p w14:paraId="2F18D68D">
            <w:pPr>
              <w:adjustRightInd w:val="0"/>
              <w:snapToGrid w:val="0"/>
              <w:spacing w:line="360" w:lineRule="auto"/>
              <w:ind w:firstLine="480" w:firstLineChars="200"/>
              <w:rPr>
                <w:rFonts w:hint="eastAsia" w:cs="宋体"/>
                <w:color w:val="auto"/>
                <w:spacing w:val="0"/>
                <w:kern w:val="0"/>
                <w:position w:val="0"/>
                <w:sz w:val="24"/>
                <w:lang w:val="en-US" w:eastAsia="zh-CN"/>
              </w:rPr>
            </w:pPr>
            <w:r>
              <w:rPr>
                <w:rFonts w:hint="eastAsia" w:ascii="Times New Roman" w:hAnsi="Times New Roman" w:eastAsia="宋体" w:cs="Times New Roman"/>
                <w:color w:val="auto"/>
                <w:spacing w:val="0"/>
                <w:position w:val="0"/>
                <w:sz w:val="24"/>
                <w:szCs w:val="24"/>
                <w:lang w:val="en-US" w:eastAsia="zh-CN"/>
              </w:rPr>
              <w:t>本项目主要经营运输代理、装卸作业等业务，</w:t>
            </w:r>
            <w:r>
              <w:rPr>
                <w:rFonts w:hint="eastAsia" w:cs="Times New Roman"/>
                <w:color w:val="auto"/>
                <w:spacing w:val="0"/>
                <w:position w:val="0"/>
                <w:sz w:val="24"/>
                <w:szCs w:val="24"/>
                <w:lang w:val="en-US" w:eastAsia="zh-CN"/>
              </w:rPr>
              <w:t>货物</w:t>
            </w:r>
            <w:r>
              <w:rPr>
                <w:rFonts w:hint="eastAsia" w:cs="宋体"/>
                <w:color w:val="auto"/>
                <w:spacing w:val="0"/>
                <w:kern w:val="0"/>
                <w:position w:val="0"/>
                <w:sz w:val="24"/>
                <w:lang w:val="en-US" w:eastAsia="zh-CN"/>
              </w:rPr>
              <w:t>均由封闭式通用集装箱装载，均以来时集装箱形态暂存于集装箱堆场，不在本集装箱堆场开箱卸货或</w:t>
            </w:r>
            <w:r>
              <w:rPr>
                <w:rFonts w:hint="eastAsia" w:cs="Times New Roman"/>
                <w:color w:val="auto"/>
                <w:spacing w:val="0"/>
                <w:kern w:val="2"/>
                <w:position w:val="0"/>
                <w:sz w:val="24"/>
                <w:lang w:val="en-US" w:eastAsia="zh-CN"/>
              </w:rPr>
              <w:t>散装</w:t>
            </w:r>
            <w:r>
              <w:rPr>
                <w:rFonts w:hint="eastAsia" w:cs="宋体"/>
                <w:color w:val="auto"/>
                <w:spacing w:val="0"/>
                <w:kern w:val="0"/>
                <w:position w:val="0"/>
                <w:sz w:val="24"/>
                <w:lang w:val="en-US" w:eastAsia="zh-CN"/>
              </w:rPr>
              <w:t>分装。</w:t>
            </w:r>
          </w:p>
          <w:p w14:paraId="7EF20EF2">
            <w:pPr>
              <w:keepNext w:val="0"/>
              <w:keepLines w:val="0"/>
              <w:widowControl/>
              <w:numPr>
                <w:ilvl w:val="0"/>
                <w:numId w:val="0"/>
              </w:numPr>
              <w:suppressLineNumbers w:val="0"/>
              <w:adjustRightInd w:val="0"/>
              <w:snapToGrid w:val="0"/>
              <w:spacing w:line="360" w:lineRule="auto"/>
              <w:ind w:left="400" w:leftChars="0"/>
              <w:jc w:val="left"/>
              <w:rPr>
                <w:rFonts w:hint="eastAsia"/>
                <w:color w:val="auto"/>
                <w:spacing w:val="0"/>
                <w:position w:val="0"/>
                <w:sz w:val="24"/>
              </w:rPr>
            </w:pPr>
            <w:r>
              <w:rPr>
                <w:rFonts w:hint="eastAsia" w:cs="Times New Roman"/>
                <w:color w:val="auto"/>
                <w:spacing w:val="0"/>
                <w:kern w:val="2"/>
                <w:position w:val="0"/>
                <w:sz w:val="24"/>
                <w:szCs w:val="24"/>
                <w:lang w:val="en-US" w:eastAsia="zh-CN" w:bidi="ar"/>
              </w:rPr>
              <w:t>①</w:t>
            </w:r>
            <w:r>
              <w:rPr>
                <w:rFonts w:hint="eastAsia" w:ascii="Times New Roman" w:hAnsi="Times New Roman" w:eastAsia="宋体" w:cs="Times New Roman"/>
                <w:color w:val="auto"/>
                <w:spacing w:val="0"/>
                <w:kern w:val="2"/>
                <w:position w:val="0"/>
                <w:sz w:val="24"/>
                <w:szCs w:val="24"/>
                <w:lang w:val="en-US" w:eastAsia="zh-CN" w:bidi="ar"/>
              </w:rPr>
              <w:t>到达货物工艺流程</w:t>
            </w:r>
          </w:p>
          <w:p w14:paraId="21BE45CF">
            <w:pPr>
              <w:adjustRightInd w:val="0"/>
              <w:snapToGrid w:val="0"/>
              <w:spacing w:line="360" w:lineRule="auto"/>
              <w:ind w:firstLine="480" w:firstLineChars="200"/>
              <w:rPr>
                <w:rFonts w:hint="eastAsia" w:cs="Times New Roman"/>
                <w:color w:val="auto"/>
                <w:spacing w:val="0"/>
                <w:kern w:val="2"/>
                <w:position w:val="0"/>
                <w:sz w:val="24"/>
                <w:lang w:val="en-US" w:eastAsia="zh-CN"/>
              </w:rPr>
            </w:pPr>
            <w:r>
              <w:rPr>
                <w:rFonts w:hint="eastAsia" w:cs="Times New Roman"/>
                <w:color w:val="auto"/>
                <w:spacing w:val="0"/>
                <w:kern w:val="2"/>
                <w:position w:val="0"/>
                <w:sz w:val="24"/>
                <w:lang w:val="en-US" w:eastAsia="zh-CN"/>
              </w:rPr>
              <w:t>铁路专用线火车运输货物采用</w:t>
            </w:r>
            <w:r>
              <w:rPr>
                <w:rFonts w:hint="eastAsia" w:cs="Times New Roman"/>
                <w:color w:val="auto"/>
                <w:spacing w:val="0"/>
                <w:kern w:val="2"/>
                <w:position w:val="0"/>
                <w:sz w:val="24"/>
              </w:rPr>
              <w:t>正面吊运车进行</w:t>
            </w:r>
            <w:r>
              <w:rPr>
                <w:rFonts w:hint="eastAsia" w:cs="Times New Roman"/>
                <w:color w:val="auto"/>
                <w:spacing w:val="0"/>
                <w:kern w:val="2"/>
                <w:position w:val="0"/>
                <w:sz w:val="24"/>
                <w:lang w:val="en-US" w:eastAsia="zh-CN"/>
              </w:rPr>
              <w:t>卸货作业，堆放于集装箱堆场内，待转运汽车后到达集装箱堆场后，再由</w:t>
            </w:r>
            <w:r>
              <w:rPr>
                <w:rFonts w:hint="eastAsia" w:cs="Times New Roman"/>
                <w:color w:val="auto"/>
                <w:spacing w:val="0"/>
                <w:kern w:val="2"/>
                <w:position w:val="0"/>
                <w:sz w:val="24"/>
              </w:rPr>
              <w:t>正面吊运车</w:t>
            </w:r>
            <w:r>
              <w:rPr>
                <w:rFonts w:hint="eastAsia" w:cs="Times New Roman"/>
                <w:color w:val="auto"/>
                <w:spacing w:val="0"/>
                <w:kern w:val="2"/>
                <w:position w:val="0"/>
                <w:sz w:val="24"/>
                <w:lang w:val="en-US" w:eastAsia="zh-CN"/>
              </w:rPr>
              <w:t>吊装于汽车上外运</w:t>
            </w:r>
            <w:r>
              <w:rPr>
                <w:rFonts w:hint="eastAsia" w:cs="宋体"/>
                <w:color w:val="auto"/>
                <w:spacing w:val="0"/>
                <w:kern w:val="0"/>
                <w:position w:val="0"/>
                <w:sz w:val="24"/>
                <w:lang w:val="en-US" w:eastAsia="zh-CN"/>
              </w:rPr>
              <w:t>至目的地</w:t>
            </w:r>
            <w:r>
              <w:rPr>
                <w:rFonts w:hint="eastAsia" w:cs="Times New Roman"/>
                <w:color w:val="auto"/>
                <w:spacing w:val="0"/>
                <w:kern w:val="2"/>
                <w:position w:val="0"/>
                <w:sz w:val="24"/>
                <w:lang w:val="en-US" w:eastAsia="zh-CN"/>
              </w:rPr>
              <w:t>。</w:t>
            </w:r>
          </w:p>
          <w:p w14:paraId="33F4904D">
            <w:pPr>
              <w:numPr>
                <w:ilvl w:val="0"/>
                <w:numId w:val="0"/>
              </w:numPr>
              <w:adjustRightInd w:val="0"/>
              <w:snapToGrid w:val="0"/>
              <w:spacing w:line="360" w:lineRule="auto"/>
              <w:ind w:leftChars="200"/>
              <w:rPr>
                <w:rFonts w:hint="default" w:cs="Times New Roman"/>
                <w:color w:val="auto"/>
                <w:spacing w:val="0"/>
                <w:kern w:val="2"/>
                <w:position w:val="0"/>
                <w:sz w:val="24"/>
                <w:lang w:val="en-US" w:eastAsia="zh-CN"/>
              </w:rPr>
            </w:pPr>
            <w:r>
              <w:rPr>
                <w:rFonts w:hint="eastAsia"/>
                <w:color w:val="auto"/>
                <w:spacing w:val="0"/>
                <w:position w:val="0"/>
                <w:sz w:val="24"/>
                <w:lang w:val="en-US" w:eastAsia="zh-CN"/>
              </w:rPr>
              <w:t>②</w:t>
            </w:r>
            <w:r>
              <w:rPr>
                <w:rFonts w:hint="default"/>
                <w:color w:val="auto"/>
                <w:spacing w:val="0"/>
                <w:position w:val="0"/>
                <w:sz w:val="24"/>
              </w:rPr>
              <w:t>发送货物工艺流程</w:t>
            </w:r>
          </w:p>
          <w:p w14:paraId="1B8726D1">
            <w:pPr>
              <w:keepNext w:val="0"/>
              <w:keepLines w:val="0"/>
              <w:widowControl/>
              <w:suppressLineNumbers w:val="0"/>
              <w:spacing w:line="360" w:lineRule="auto"/>
              <w:ind w:firstLine="480" w:firstLineChars="200"/>
              <w:jc w:val="left"/>
              <w:rPr>
                <w:rFonts w:hint="default" w:eastAsia="宋体" w:cs="宋体"/>
                <w:color w:val="auto"/>
                <w:spacing w:val="0"/>
                <w:kern w:val="0"/>
                <w:position w:val="0"/>
                <w:sz w:val="24"/>
                <w:lang w:val="en-US" w:eastAsia="zh-CN"/>
              </w:rPr>
            </w:pPr>
            <w:r>
              <w:rPr>
                <w:rFonts w:hint="eastAsia" w:ascii="宋体" w:hAnsi="宋体" w:eastAsia="宋体" w:cs="宋体"/>
                <w:color w:val="auto"/>
                <w:spacing w:val="0"/>
                <w:kern w:val="0"/>
                <w:position w:val="0"/>
                <w:sz w:val="24"/>
                <w:szCs w:val="24"/>
                <w:lang w:val="en-US" w:eastAsia="zh-CN" w:bidi="ar"/>
              </w:rPr>
              <w:t>发送的货物由汽车运输至集装箱堆场内由</w:t>
            </w:r>
            <w:r>
              <w:rPr>
                <w:rFonts w:hint="eastAsia" w:cs="Times New Roman"/>
                <w:color w:val="auto"/>
                <w:spacing w:val="0"/>
                <w:kern w:val="2"/>
                <w:position w:val="0"/>
                <w:sz w:val="24"/>
              </w:rPr>
              <w:t>正面吊运车</w:t>
            </w:r>
            <w:r>
              <w:rPr>
                <w:rFonts w:hint="eastAsia" w:cs="Times New Roman"/>
                <w:color w:val="auto"/>
                <w:spacing w:val="0"/>
                <w:kern w:val="2"/>
                <w:position w:val="0"/>
                <w:sz w:val="24"/>
                <w:lang w:val="en-US" w:eastAsia="zh-CN"/>
              </w:rPr>
              <w:t>装卸于堆场内，待铁路专用线运输火车到达堆场内后，再由</w:t>
            </w:r>
            <w:r>
              <w:rPr>
                <w:rFonts w:hint="eastAsia" w:cs="Times New Roman"/>
                <w:color w:val="auto"/>
                <w:spacing w:val="0"/>
                <w:kern w:val="2"/>
                <w:position w:val="0"/>
                <w:sz w:val="24"/>
              </w:rPr>
              <w:t>正面吊运车</w:t>
            </w:r>
            <w:r>
              <w:rPr>
                <w:rFonts w:hint="eastAsia" w:cs="Times New Roman"/>
                <w:color w:val="auto"/>
                <w:spacing w:val="0"/>
                <w:kern w:val="2"/>
                <w:position w:val="0"/>
                <w:sz w:val="24"/>
                <w:lang w:val="en-US" w:eastAsia="zh-CN"/>
              </w:rPr>
              <w:t>装载于火车上外运</w:t>
            </w:r>
            <w:r>
              <w:rPr>
                <w:rFonts w:hint="eastAsia" w:cs="宋体"/>
                <w:color w:val="auto"/>
                <w:spacing w:val="0"/>
                <w:kern w:val="0"/>
                <w:position w:val="0"/>
                <w:sz w:val="24"/>
                <w:lang w:val="en-US" w:eastAsia="zh-CN"/>
              </w:rPr>
              <w:t>至目的地</w:t>
            </w:r>
          </w:p>
          <w:p w14:paraId="005AEB4D">
            <w:pPr>
              <w:adjustRightInd w:val="0"/>
              <w:snapToGrid w:val="0"/>
              <w:spacing w:line="360" w:lineRule="auto"/>
              <w:ind w:firstLine="480" w:firstLineChars="200"/>
              <w:rPr>
                <w:rFonts w:hint="default" w:cs="宋体"/>
                <w:color w:val="auto"/>
                <w:spacing w:val="0"/>
                <w:kern w:val="0"/>
                <w:position w:val="0"/>
                <w:sz w:val="24"/>
                <w:lang w:val="en-US" w:eastAsia="zh-CN"/>
              </w:rPr>
            </w:pPr>
            <w:r>
              <w:rPr>
                <w:rFonts w:hint="eastAsia" w:cs="宋体"/>
                <w:color w:val="auto"/>
                <w:spacing w:val="0"/>
                <w:kern w:val="0"/>
                <w:position w:val="0"/>
                <w:sz w:val="24"/>
                <w:lang w:val="en-US" w:eastAsia="zh-CN"/>
              </w:rPr>
              <w:t>以上工序产生内燃机废气、汽车尾气、火车和汽车运输噪声、道路运输扬尘</w:t>
            </w:r>
            <w:r>
              <w:rPr>
                <w:rFonts w:hint="eastAsia" w:cs="Times New Roman"/>
                <w:color w:val="auto"/>
                <w:spacing w:val="0"/>
                <w:position w:val="0"/>
                <w:sz w:val="24"/>
                <w:szCs w:val="24"/>
                <w:lang w:val="en-US" w:eastAsia="zh-CN"/>
              </w:rPr>
              <w:t>。</w:t>
            </w:r>
          </w:p>
          <w:p w14:paraId="29BA78C8">
            <w:pPr>
              <w:pStyle w:val="349"/>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color w:val="auto"/>
                <w:spacing w:val="0"/>
                <w:position w:val="0"/>
                <w:sz w:val="21"/>
                <w:szCs w:val="21"/>
              </w:rPr>
            </w:pPr>
            <w:r>
              <w:rPr>
                <w:b/>
                <w:bCs/>
                <w:color w:val="auto"/>
                <w:spacing w:val="0"/>
                <w:position w:val="0"/>
                <w:sz w:val="24"/>
                <w:szCs w:val="24"/>
              </w:rPr>
              <w:t>表</w:t>
            </w:r>
            <w:r>
              <w:rPr>
                <w:rFonts w:hint="eastAsia" w:ascii="Times New Roman" w:hAnsi="Times New Roman" w:cs="Times New Roman"/>
                <w:b/>
                <w:bCs/>
                <w:color w:val="auto"/>
                <w:spacing w:val="0"/>
                <w:position w:val="0"/>
                <w:sz w:val="24"/>
                <w:szCs w:val="24"/>
                <w:lang w:val="en-US" w:eastAsia="zh-CN"/>
              </w:rPr>
              <w:t xml:space="preserve">2-12 </w:t>
            </w:r>
            <w:r>
              <w:rPr>
                <w:rFonts w:ascii="Times New Roman" w:hAnsi="Times New Roman" w:eastAsia="Times New Roman" w:cs="Times New Roman"/>
                <w:b/>
                <w:bCs/>
                <w:color w:val="auto"/>
                <w:spacing w:val="0"/>
                <w:position w:val="0"/>
                <w:sz w:val="24"/>
                <w:szCs w:val="24"/>
              </w:rPr>
              <w:t xml:space="preserve"> </w:t>
            </w:r>
            <w:r>
              <w:rPr>
                <w:b/>
                <w:bCs/>
                <w:color w:val="auto"/>
                <w:spacing w:val="0"/>
                <w:position w:val="0"/>
                <w:sz w:val="24"/>
                <w:szCs w:val="24"/>
              </w:rPr>
              <w:t>项目运营期产污环节一览表</w:t>
            </w:r>
          </w:p>
          <w:p w14:paraId="3C588CEB">
            <w:pPr>
              <w:spacing w:line="25" w:lineRule="exact"/>
              <w:rPr>
                <w:color w:val="auto"/>
                <w:spacing w:val="0"/>
                <w:position w:val="0"/>
              </w:rPr>
            </w:pPr>
          </w:p>
          <w:tbl>
            <w:tblPr>
              <w:tblStyle w:val="298"/>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3"/>
              <w:gridCol w:w="3451"/>
              <w:gridCol w:w="3601"/>
            </w:tblGrid>
            <w:tr w14:paraId="7850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0" w:type="pct"/>
                  <w:vAlign w:val="center"/>
                </w:tcPr>
                <w:p w14:paraId="0748F5A3">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污染类别</w:t>
                  </w:r>
                </w:p>
              </w:tc>
              <w:tc>
                <w:tcPr>
                  <w:tcW w:w="2050" w:type="pct"/>
                  <w:vAlign w:val="center"/>
                </w:tcPr>
                <w:p w14:paraId="7E4C8F4C">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产生装置/工序</w:t>
                  </w:r>
                </w:p>
              </w:tc>
              <w:tc>
                <w:tcPr>
                  <w:tcW w:w="2139" w:type="pct"/>
                  <w:vAlign w:val="center"/>
                </w:tcPr>
                <w:p w14:paraId="0E1D6998">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position w:val="0"/>
                      <w:sz w:val="21"/>
                      <w:szCs w:val="21"/>
                    </w:rPr>
                  </w:pPr>
                  <w:r>
                    <w:rPr>
                      <w:rFonts w:hint="default" w:ascii="Times New Roman" w:hAnsi="Times New Roman" w:eastAsia="宋体" w:cs="Times New Roman"/>
                      <w:b/>
                      <w:bCs/>
                      <w:color w:val="auto"/>
                      <w:spacing w:val="0"/>
                      <w:position w:val="0"/>
                      <w:sz w:val="21"/>
                      <w:szCs w:val="21"/>
                    </w:rPr>
                    <w:t>环境影响因素</w:t>
                  </w:r>
                </w:p>
              </w:tc>
            </w:tr>
            <w:tr w14:paraId="25DD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0" w:type="pct"/>
                  <w:vMerge w:val="restart"/>
                  <w:vAlign w:val="center"/>
                </w:tcPr>
                <w:p w14:paraId="26CF2C98">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废气</w:t>
                  </w:r>
                </w:p>
              </w:tc>
              <w:tc>
                <w:tcPr>
                  <w:tcW w:w="2050" w:type="pct"/>
                  <w:vAlign w:val="center"/>
                </w:tcPr>
                <w:p w14:paraId="78467CFE">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eastAsia="zh-CN"/>
                    </w:rPr>
                    <w:t>内燃牵引机、</w:t>
                  </w:r>
                  <w:r>
                    <w:rPr>
                      <w:rFonts w:hint="eastAsia" w:ascii="Times New Roman" w:hAnsi="Times New Roman" w:cs="Times New Roman"/>
                      <w:color w:val="auto"/>
                      <w:spacing w:val="0"/>
                      <w:position w:val="0"/>
                      <w:sz w:val="21"/>
                      <w:szCs w:val="21"/>
                      <w:lang w:val="en-US" w:eastAsia="zh-CN"/>
                    </w:rPr>
                    <w:t>运输车辆、</w:t>
                  </w:r>
                  <w:r>
                    <w:rPr>
                      <w:rFonts w:hint="eastAsia" w:ascii="Times New Roman" w:hAnsi="Times New Roman" w:cs="Times New Roman"/>
                      <w:color w:val="auto"/>
                      <w:spacing w:val="0"/>
                      <w:position w:val="0"/>
                      <w:sz w:val="21"/>
                      <w:szCs w:val="21"/>
                      <w:lang w:eastAsia="zh-CN"/>
                    </w:rPr>
                    <w:t>装卸设备</w:t>
                  </w:r>
                </w:p>
              </w:tc>
              <w:tc>
                <w:tcPr>
                  <w:tcW w:w="2139" w:type="pct"/>
                  <w:vAlign w:val="center"/>
                </w:tcPr>
                <w:p w14:paraId="660F2AC8">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eastAsia="zh-CN"/>
                    </w:rPr>
                    <w:t>颗粒物、</w:t>
                  </w:r>
                  <w:r>
                    <w:rPr>
                      <w:rFonts w:hint="eastAsia" w:ascii="Times New Roman" w:hAnsi="Times New Roman" w:cs="Times New Roman"/>
                      <w:color w:val="auto"/>
                      <w:spacing w:val="0"/>
                      <w:position w:val="0"/>
                      <w:sz w:val="21"/>
                      <w:szCs w:val="21"/>
                      <w:lang w:val="en-US" w:eastAsia="zh-CN"/>
                    </w:rPr>
                    <w:t>NO</w:t>
                  </w:r>
                  <w:r>
                    <w:rPr>
                      <w:rFonts w:hint="eastAsia" w:ascii="Times New Roman" w:hAnsi="Times New Roman" w:cs="Times New Roman"/>
                      <w:color w:val="auto"/>
                      <w:spacing w:val="0"/>
                      <w:position w:val="0"/>
                      <w:sz w:val="21"/>
                      <w:szCs w:val="21"/>
                      <w:vertAlign w:val="subscript"/>
                      <w:lang w:val="en-US" w:eastAsia="zh-CN"/>
                    </w:rPr>
                    <w:t>X</w:t>
                  </w:r>
                  <w:r>
                    <w:rPr>
                      <w:rFonts w:hint="eastAsia" w:ascii="Times New Roman" w:hAnsi="Times New Roman" w:cs="Times New Roman"/>
                      <w:color w:val="auto"/>
                      <w:spacing w:val="0"/>
                      <w:position w:val="0"/>
                      <w:sz w:val="21"/>
                      <w:szCs w:val="21"/>
                      <w:vertAlign w:val="baseline"/>
                      <w:lang w:val="en-US" w:eastAsia="zh-CN"/>
                    </w:rPr>
                    <w:t>、HC、CO</w:t>
                  </w:r>
                </w:p>
              </w:tc>
            </w:tr>
            <w:tr w14:paraId="6942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0" w:type="pct"/>
                  <w:vMerge w:val="continue"/>
                  <w:vAlign w:val="center"/>
                </w:tcPr>
                <w:p w14:paraId="0891831D">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p>
              </w:tc>
              <w:tc>
                <w:tcPr>
                  <w:tcW w:w="2050" w:type="pct"/>
                  <w:vAlign w:val="center"/>
                </w:tcPr>
                <w:p w14:paraId="5400C568">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道路运输扬尘</w:t>
                  </w:r>
                </w:p>
              </w:tc>
              <w:tc>
                <w:tcPr>
                  <w:tcW w:w="2139" w:type="pct"/>
                  <w:vAlign w:val="center"/>
                </w:tcPr>
                <w:p w14:paraId="5F8BB708">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颗粒物</w:t>
                  </w:r>
                </w:p>
              </w:tc>
            </w:tr>
            <w:tr w14:paraId="4FA6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0" w:type="pct"/>
                  <w:vAlign w:val="center"/>
                </w:tcPr>
                <w:p w14:paraId="5E652E22">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废水</w:t>
                  </w:r>
                </w:p>
              </w:tc>
              <w:tc>
                <w:tcPr>
                  <w:tcW w:w="2050" w:type="pct"/>
                  <w:shd w:val="clear" w:color="auto" w:fill="auto"/>
                  <w:vAlign w:val="center"/>
                </w:tcPr>
                <w:p w14:paraId="60750418">
                  <w:pPr>
                    <w:pStyle w:val="34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position w:val="0"/>
                      <w:sz w:val="21"/>
                      <w:szCs w:val="21"/>
                      <w:lang w:val="en-US" w:eastAsia="en-US" w:bidi="ar-SA"/>
                    </w:rPr>
                  </w:pPr>
                  <w:r>
                    <w:rPr>
                      <w:rFonts w:hint="default" w:ascii="Times New Roman" w:hAnsi="Times New Roman" w:eastAsia="宋体" w:cs="Times New Roman"/>
                      <w:color w:val="auto"/>
                      <w:spacing w:val="0"/>
                      <w:position w:val="0"/>
                      <w:sz w:val="21"/>
                      <w:szCs w:val="21"/>
                    </w:rPr>
                    <w:t>生活污水</w:t>
                  </w:r>
                </w:p>
              </w:tc>
              <w:tc>
                <w:tcPr>
                  <w:tcW w:w="2139" w:type="pct"/>
                  <w:shd w:val="clear" w:color="auto" w:fill="auto"/>
                  <w:vAlign w:val="center"/>
                </w:tcPr>
                <w:p w14:paraId="44BC87EE">
                  <w:pPr>
                    <w:pStyle w:val="34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pacing w:val="0"/>
                      <w:kern w:val="2"/>
                      <w:position w:val="0"/>
                      <w:sz w:val="21"/>
                      <w:szCs w:val="21"/>
                      <w:lang w:val="en-US" w:eastAsia="zh-CN" w:bidi="ar-SA"/>
                    </w:rPr>
                  </w:pPr>
                  <w:r>
                    <w:rPr>
                      <w:rFonts w:hint="default" w:ascii="Times New Roman" w:hAnsi="Times New Roman" w:eastAsia="宋体" w:cs="Times New Roman"/>
                      <w:color w:val="auto"/>
                      <w:spacing w:val="0"/>
                      <w:position w:val="0"/>
                      <w:sz w:val="21"/>
                      <w:szCs w:val="21"/>
                    </w:rPr>
                    <w:t>CODcr、SS、BOD</w:t>
                  </w:r>
                  <w:r>
                    <w:rPr>
                      <w:rFonts w:hint="default" w:ascii="Times New Roman" w:hAnsi="Times New Roman" w:eastAsia="宋体" w:cs="Times New Roman"/>
                      <w:color w:val="auto"/>
                      <w:spacing w:val="0"/>
                      <w:position w:val="0"/>
                      <w:sz w:val="21"/>
                      <w:szCs w:val="21"/>
                      <w:vertAlign w:val="subscript"/>
                    </w:rPr>
                    <w:t>5</w:t>
                  </w:r>
                  <w:r>
                    <w:rPr>
                      <w:rFonts w:hint="default" w:ascii="Times New Roman" w:hAnsi="Times New Roman" w:eastAsia="宋体" w:cs="Times New Roman"/>
                      <w:color w:val="auto"/>
                      <w:spacing w:val="0"/>
                      <w:position w:val="0"/>
                      <w:sz w:val="21"/>
                      <w:szCs w:val="21"/>
                    </w:rPr>
                    <w:t>、NH</w:t>
                  </w:r>
                  <w:r>
                    <w:rPr>
                      <w:rFonts w:hint="default" w:ascii="Times New Roman" w:hAnsi="Times New Roman" w:eastAsia="宋体" w:cs="Times New Roman"/>
                      <w:color w:val="auto"/>
                      <w:spacing w:val="0"/>
                      <w:position w:val="0"/>
                      <w:sz w:val="21"/>
                      <w:szCs w:val="21"/>
                      <w:vertAlign w:val="subscript"/>
                    </w:rPr>
                    <w:t>3</w:t>
                  </w:r>
                  <w:r>
                    <w:rPr>
                      <w:rFonts w:hint="default" w:ascii="Times New Roman" w:hAnsi="Times New Roman" w:eastAsia="宋体" w:cs="Times New Roman"/>
                      <w:color w:val="auto"/>
                      <w:spacing w:val="0"/>
                      <w:position w:val="0"/>
                      <w:sz w:val="21"/>
                      <w:szCs w:val="21"/>
                    </w:rPr>
                    <w:t>-N</w:t>
                  </w:r>
                  <w:r>
                    <w:rPr>
                      <w:rFonts w:hint="eastAsia" w:ascii="Times New Roman" w:hAnsi="Times New Roman" w:cs="Times New Roman"/>
                      <w:color w:val="auto"/>
                      <w:spacing w:val="0"/>
                      <w:position w:val="0"/>
                      <w:sz w:val="21"/>
                      <w:szCs w:val="21"/>
                      <w:lang w:eastAsia="zh-CN"/>
                    </w:rPr>
                    <w:t>、动植物油</w:t>
                  </w:r>
                </w:p>
              </w:tc>
            </w:tr>
            <w:tr w14:paraId="0F8D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0" w:type="pct"/>
                  <w:vAlign w:val="center"/>
                </w:tcPr>
                <w:p w14:paraId="59520C51">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噪声</w:t>
                  </w:r>
                </w:p>
              </w:tc>
              <w:tc>
                <w:tcPr>
                  <w:tcW w:w="2050" w:type="pct"/>
                  <w:vAlign w:val="center"/>
                </w:tcPr>
                <w:p w14:paraId="3E121E6A">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olor w:val="auto"/>
                      <w:sz w:val="21"/>
                      <w:szCs w:val="21"/>
                      <w:lang w:val="en-US" w:eastAsia="zh-CN"/>
                    </w:rPr>
                    <w:t>内燃机车、集装箱装卸设备</w:t>
                  </w:r>
                  <w:r>
                    <w:rPr>
                      <w:rFonts w:hint="eastAsia" w:ascii="Times New Roman" w:hAnsi="Times New Roman" w:cs="Times New Roman"/>
                      <w:color w:val="auto"/>
                      <w:spacing w:val="0"/>
                      <w:position w:val="0"/>
                      <w:sz w:val="21"/>
                      <w:szCs w:val="21"/>
                      <w:lang w:eastAsia="zh-CN"/>
                    </w:rPr>
                    <w:t>、</w:t>
                  </w:r>
                  <w:r>
                    <w:rPr>
                      <w:rFonts w:hint="eastAsia" w:ascii="Times New Roman" w:hAnsi="Times New Roman" w:cs="Times New Roman"/>
                      <w:color w:val="auto"/>
                      <w:spacing w:val="0"/>
                      <w:position w:val="0"/>
                      <w:sz w:val="21"/>
                      <w:szCs w:val="21"/>
                      <w:lang w:val="en-US" w:eastAsia="zh-CN"/>
                    </w:rPr>
                    <w:t>运输机械</w:t>
                  </w:r>
                </w:p>
              </w:tc>
              <w:tc>
                <w:tcPr>
                  <w:tcW w:w="2139" w:type="pct"/>
                  <w:vAlign w:val="center"/>
                </w:tcPr>
                <w:p w14:paraId="480AF738">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highlight w:val="none"/>
                      <w:lang w:val="en-US" w:eastAsia="zh-CN"/>
                    </w:rPr>
                    <w:t>装卸</w:t>
                  </w:r>
                  <w:r>
                    <w:rPr>
                      <w:rFonts w:hint="default" w:ascii="Times New Roman" w:hAnsi="Times New Roman" w:eastAsia="宋体" w:cs="Times New Roman"/>
                      <w:color w:val="auto"/>
                      <w:spacing w:val="0"/>
                      <w:position w:val="0"/>
                      <w:sz w:val="21"/>
                      <w:szCs w:val="21"/>
                      <w:highlight w:val="none"/>
                    </w:rPr>
                    <w:t>设</w:t>
                  </w:r>
                  <w:r>
                    <w:rPr>
                      <w:rFonts w:hint="default" w:ascii="Times New Roman" w:hAnsi="Times New Roman" w:eastAsia="宋体" w:cs="Times New Roman"/>
                      <w:color w:val="auto"/>
                      <w:spacing w:val="0"/>
                      <w:position w:val="0"/>
                      <w:sz w:val="21"/>
                      <w:szCs w:val="21"/>
                    </w:rPr>
                    <w:t>备噪声</w:t>
                  </w:r>
                  <w:r>
                    <w:rPr>
                      <w:rFonts w:hint="eastAsia" w:ascii="Times New Roman" w:hAnsi="Times New Roman" w:cs="Times New Roman"/>
                      <w:color w:val="auto"/>
                      <w:spacing w:val="0"/>
                      <w:position w:val="0"/>
                      <w:sz w:val="21"/>
                      <w:szCs w:val="21"/>
                      <w:lang w:eastAsia="zh-CN"/>
                    </w:rPr>
                    <w:t>、</w:t>
                  </w:r>
                  <w:r>
                    <w:rPr>
                      <w:rFonts w:hint="eastAsia" w:ascii="Times New Roman" w:hAnsi="Times New Roman" w:cs="Times New Roman"/>
                      <w:color w:val="auto"/>
                      <w:spacing w:val="0"/>
                      <w:position w:val="0"/>
                      <w:sz w:val="21"/>
                      <w:szCs w:val="21"/>
                      <w:lang w:val="en-US" w:eastAsia="zh-CN"/>
                    </w:rPr>
                    <w:t>火车和汽车运输噪声</w:t>
                  </w:r>
                </w:p>
              </w:tc>
            </w:tr>
            <w:tr w14:paraId="0535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10" w:type="pct"/>
                  <w:vAlign w:val="center"/>
                </w:tcPr>
                <w:p w14:paraId="6D529AB2">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固废</w:t>
                  </w:r>
                </w:p>
              </w:tc>
              <w:tc>
                <w:tcPr>
                  <w:tcW w:w="2050" w:type="pct"/>
                  <w:vAlign w:val="center"/>
                </w:tcPr>
                <w:p w14:paraId="4B9355DD">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生活垃圾</w:t>
                  </w:r>
                </w:p>
              </w:tc>
              <w:tc>
                <w:tcPr>
                  <w:tcW w:w="2139" w:type="pct"/>
                  <w:vAlign w:val="center"/>
                </w:tcPr>
                <w:p w14:paraId="6DE154B9">
                  <w:pPr>
                    <w:pStyle w:val="349"/>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生活垃圾</w:t>
                  </w:r>
                </w:p>
              </w:tc>
            </w:tr>
          </w:tbl>
          <w:p w14:paraId="6D40A3A6">
            <w:pPr>
              <w:adjustRightInd w:val="0"/>
              <w:snapToGrid w:val="0"/>
              <w:spacing w:line="360" w:lineRule="auto"/>
              <w:ind w:firstLine="482" w:firstLineChars="200"/>
              <w:rPr>
                <w:rFonts w:hint="eastAsia" w:eastAsia="宋体" w:cs="宋体"/>
                <w:b/>
                <w:bCs/>
                <w:color w:val="auto"/>
                <w:spacing w:val="0"/>
                <w:kern w:val="0"/>
                <w:position w:val="0"/>
                <w:sz w:val="24"/>
                <w:lang w:eastAsia="zh-CN"/>
              </w:rPr>
            </w:pPr>
            <w:r>
              <w:rPr>
                <w:rFonts w:cs="宋体"/>
                <w:b/>
                <w:bCs/>
                <w:color w:val="auto"/>
                <w:spacing w:val="0"/>
                <w:kern w:val="0"/>
                <w:position w:val="0"/>
                <w:sz w:val="24"/>
              </w:rPr>
              <w:t>3</w:t>
            </w:r>
            <w:r>
              <w:rPr>
                <w:rFonts w:hint="eastAsia" w:cs="宋体"/>
                <w:b/>
                <w:bCs/>
                <w:color w:val="auto"/>
                <w:spacing w:val="0"/>
                <w:kern w:val="0"/>
                <w:position w:val="0"/>
                <w:sz w:val="24"/>
              </w:rPr>
              <w:t>、施工时序</w:t>
            </w:r>
            <w:r>
              <w:rPr>
                <w:rFonts w:hint="eastAsia" w:cs="宋体"/>
                <w:b/>
                <w:bCs/>
                <w:color w:val="auto"/>
                <w:spacing w:val="0"/>
                <w:kern w:val="0"/>
                <w:position w:val="0"/>
                <w:sz w:val="24"/>
                <w:lang w:eastAsia="zh-CN"/>
              </w:rPr>
              <w:t>及建设周期</w:t>
            </w:r>
          </w:p>
          <w:p w14:paraId="1B6432AB">
            <w:pPr>
              <w:adjustRightInd w:val="0"/>
              <w:snapToGrid w:val="0"/>
              <w:spacing w:line="360" w:lineRule="auto"/>
              <w:ind w:firstLine="480" w:firstLineChars="200"/>
              <w:rPr>
                <w:rFonts w:cs="宋体"/>
                <w:color w:val="auto"/>
                <w:spacing w:val="0"/>
                <w:kern w:val="0"/>
                <w:position w:val="0"/>
                <w:sz w:val="24"/>
              </w:rPr>
            </w:pPr>
            <w:r>
              <w:rPr>
                <w:rFonts w:hint="eastAsia" w:cs="宋体"/>
                <w:color w:val="auto"/>
                <w:spacing w:val="0"/>
                <w:kern w:val="0"/>
                <w:position w:val="0"/>
                <w:sz w:val="24"/>
              </w:rPr>
              <w:t>项目计划于2</w:t>
            </w:r>
            <w:r>
              <w:rPr>
                <w:rFonts w:cs="宋体"/>
                <w:color w:val="auto"/>
                <w:spacing w:val="0"/>
                <w:kern w:val="0"/>
                <w:position w:val="0"/>
                <w:sz w:val="24"/>
              </w:rPr>
              <w:t>02</w:t>
            </w:r>
            <w:r>
              <w:rPr>
                <w:rFonts w:hint="eastAsia" w:cs="宋体"/>
                <w:color w:val="auto"/>
                <w:spacing w:val="0"/>
                <w:kern w:val="0"/>
                <w:position w:val="0"/>
                <w:sz w:val="24"/>
                <w:lang w:val="en-US" w:eastAsia="zh-CN"/>
              </w:rPr>
              <w:t>6</w:t>
            </w:r>
            <w:r>
              <w:rPr>
                <w:rFonts w:hint="eastAsia" w:cs="宋体"/>
                <w:color w:val="auto"/>
                <w:spacing w:val="0"/>
                <w:kern w:val="0"/>
                <w:position w:val="0"/>
                <w:sz w:val="24"/>
              </w:rPr>
              <w:t>年</w:t>
            </w:r>
            <w:r>
              <w:rPr>
                <w:rFonts w:hint="eastAsia" w:cs="宋体"/>
                <w:color w:val="auto"/>
                <w:spacing w:val="0"/>
                <w:kern w:val="0"/>
                <w:position w:val="0"/>
                <w:sz w:val="24"/>
                <w:lang w:val="en-US" w:eastAsia="zh-CN"/>
              </w:rPr>
              <w:t>5</w:t>
            </w:r>
            <w:r>
              <w:rPr>
                <w:rFonts w:hint="eastAsia" w:cs="宋体"/>
                <w:color w:val="auto"/>
                <w:spacing w:val="0"/>
                <w:kern w:val="0"/>
                <w:position w:val="0"/>
                <w:sz w:val="24"/>
              </w:rPr>
              <w:t>月开工建设，2</w:t>
            </w:r>
            <w:r>
              <w:rPr>
                <w:rFonts w:cs="宋体"/>
                <w:color w:val="auto"/>
                <w:spacing w:val="0"/>
                <w:kern w:val="0"/>
                <w:position w:val="0"/>
                <w:sz w:val="24"/>
              </w:rPr>
              <w:t>02</w:t>
            </w:r>
            <w:r>
              <w:rPr>
                <w:rFonts w:hint="eastAsia" w:cs="宋体"/>
                <w:color w:val="auto"/>
                <w:spacing w:val="0"/>
                <w:kern w:val="0"/>
                <w:position w:val="0"/>
                <w:sz w:val="24"/>
                <w:lang w:val="en-US" w:eastAsia="zh-CN"/>
              </w:rPr>
              <w:t>7</w:t>
            </w:r>
            <w:r>
              <w:rPr>
                <w:rFonts w:hint="eastAsia" w:cs="宋体"/>
                <w:color w:val="auto"/>
                <w:spacing w:val="0"/>
                <w:kern w:val="0"/>
                <w:position w:val="0"/>
                <w:sz w:val="24"/>
              </w:rPr>
              <w:t>年</w:t>
            </w:r>
            <w:r>
              <w:rPr>
                <w:rFonts w:hint="eastAsia" w:cs="宋体"/>
                <w:color w:val="auto"/>
                <w:spacing w:val="0"/>
                <w:kern w:val="0"/>
                <w:position w:val="0"/>
                <w:sz w:val="24"/>
                <w:lang w:val="en-US" w:eastAsia="zh-CN"/>
              </w:rPr>
              <w:t>4</w:t>
            </w:r>
            <w:r>
              <w:rPr>
                <w:rFonts w:hint="eastAsia" w:cs="宋体"/>
                <w:color w:val="auto"/>
                <w:spacing w:val="0"/>
                <w:kern w:val="0"/>
                <w:position w:val="0"/>
                <w:sz w:val="24"/>
              </w:rPr>
              <w:t>月建设完成，建设工期为</w:t>
            </w:r>
            <w:r>
              <w:rPr>
                <w:rFonts w:hint="eastAsia" w:cs="宋体"/>
                <w:color w:val="auto"/>
                <w:spacing w:val="0"/>
                <w:kern w:val="0"/>
                <w:position w:val="0"/>
                <w:sz w:val="24"/>
                <w:lang w:val="en-US" w:eastAsia="zh-CN"/>
              </w:rPr>
              <w:t>12</w:t>
            </w:r>
            <w:r>
              <w:rPr>
                <w:rFonts w:hint="eastAsia" w:cs="宋体"/>
                <w:color w:val="auto"/>
                <w:spacing w:val="0"/>
                <w:kern w:val="0"/>
                <w:position w:val="0"/>
                <w:sz w:val="24"/>
              </w:rPr>
              <w:t>个月。</w:t>
            </w:r>
          </w:p>
        </w:tc>
      </w:tr>
      <w:tr w14:paraId="2EC43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6" w:hRule="atLeast"/>
          <w:jc w:val="center"/>
        </w:trPr>
        <w:tc>
          <w:tcPr>
            <w:tcW w:w="557" w:type="dxa"/>
            <w:vAlign w:val="center"/>
          </w:tcPr>
          <w:p w14:paraId="05DB176E">
            <w:pPr>
              <w:adjustRightInd w:val="0"/>
              <w:snapToGrid w:val="0"/>
              <w:jc w:val="center"/>
              <w:rPr>
                <w:rFonts w:cs="宋体"/>
                <w:color w:val="auto"/>
                <w:spacing w:val="0"/>
                <w:kern w:val="0"/>
                <w:position w:val="0"/>
                <w:sz w:val="24"/>
              </w:rPr>
            </w:pPr>
            <w:r>
              <w:rPr>
                <w:rFonts w:hint="eastAsia" w:cs="宋体"/>
                <w:color w:val="auto"/>
                <w:spacing w:val="0"/>
                <w:kern w:val="0"/>
                <w:position w:val="0"/>
                <w:sz w:val="24"/>
              </w:rPr>
              <w:t>其他</w:t>
            </w:r>
          </w:p>
        </w:tc>
        <w:tc>
          <w:tcPr>
            <w:tcW w:w="8533" w:type="dxa"/>
            <w:vAlign w:val="center"/>
          </w:tcPr>
          <w:p w14:paraId="5B1EB37B">
            <w:pPr>
              <w:adjustRightInd w:val="0"/>
              <w:snapToGrid w:val="0"/>
              <w:spacing w:line="360" w:lineRule="auto"/>
              <w:jc w:val="center"/>
              <w:rPr>
                <w:rFonts w:cs="宋体"/>
                <w:color w:val="auto"/>
                <w:spacing w:val="0"/>
                <w:kern w:val="0"/>
                <w:position w:val="0"/>
                <w:sz w:val="24"/>
              </w:rPr>
            </w:pPr>
            <w:r>
              <w:rPr>
                <w:rFonts w:hint="eastAsia" w:cs="宋体"/>
                <w:color w:val="auto"/>
                <w:spacing w:val="0"/>
                <w:kern w:val="0"/>
                <w:position w:val="0"/>
                <w:sz w:val="24"/>
              </w:rPr>
              <w:t>无</w:t>
            </w:r>
          </w:p>
        </w:tc>
      </w:tr>
    </w:tbl>
    <w:p w14:paraId="495EF41C">
      <w:pPr>
        <w:pStyle w:val="41"/>
        <w:jc w:val="center"/>
        <w:outlineLvl w:val="0"/>
        <w:rPr>
          <w:rFonts w:ascii="Times New Roman" w:hAnsi="Times New Roman"/>
          <w:snapToGrid w:val="0"/>
          <w:color w:val="auto"/>
          <w:sz w:val="30"/>
          <w:szCs w:val="30"/>
        </w:rPr>
      </w:pPr>
      <w:r>
        <w:rPr>
          <w:rFonts w:ascii="Times New Roman" w:hAnsi="Times New Roman"/>
          <w:b/>
          <w:bCs/>
          <w:color w:val="auto"/>
        </w:rPr>
        <w:br w:type="page"/>
      </w:r>
      <w:bookmarkStart w:id="7" w:name="_Toc141432014"/>
      <w:r>
        <w:rPr>
          <w:rFonts w:hint="eastAsia" w:ascii="Times New Roman" w:hAnsi="Times New Roman"/>
          <w:snapToGrid w:val="0"/>
          <w:color w:val="auto"/>
          <w:sz w:val="30"/>
          <w:szCs w:val="30"/>
        </w:rPr>
        <w:t>三、生态环境现状、保护目标及评价标准</w:t>
      </w:r>
      <w:bookmarkEnd w:id="7"/>
    </w:p>
    <w:tbl>
      <w:tblPr>
        <w:tblStyle w:val="46"/>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46"/>
      </w:tblGrid>
      <w:tr w14:paraId="4F7ED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1" w:hRule="atLeast"/>
          <w:jc w:val="center"/>
        </w:trPr>
        <w:tc>
          <w:tcPr>
            <w:tcW w:w="456" w:type="dxa"/>
            <w:vAlign w:val="center"/>
          </w:tcPr>
          <w:p w14:paraId="2D170A18">
            <w:pPr>
              <w:adjustRightInd w:val="0"/>
              <w:snapToGrid w:val="0"/>
              <w:jc w:val="center"/>
              <w:rPr>
                <w:rFonts w:cs="宋体"/>
                <w:color w:val="auto"/>
                <w:kern w:val="0"/>
                <w:sz w:val="24"/>
              </w:rPr>
            </w:pPr>
            <w:r>
              <w:rPr>
                <w:rFonts w:hint="eastAsia" w:cs="宋体"/>
                <w:color w:val="auto"/>
                <w:kern w:val="0"/>
                <w:sz w:val="24"/>
              </w:rPr>
              <w:t>生态环境现状</w:t>
            </w:r>
          </w:p>
        </w:tc>
        <w:tc>
          <w:tcPr>
            <w:tcW w:w="8600" w:type="dxa"/>
            <w:vAlign w:val="center"/>
          </w:tcPr>
          <w:p w14:paraId="68DD4A27">
            <w:pPr>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1、</w:t>
            </w:r>
            <w:r>
              <w:rPr>
                <w:rFonts w:ascii="宋体" w:hAnsi="宋体" w:eastAsia="宋体" w:cs="宋体"/>
                <w:b/>
                <w:bCs/>
                <w:color w:val="auto"/>
                <w:sz w:val="24"/>
                <w:szCs w:val="24"/>
              </w:rPr>
              <w:t>主体功能区规划和生态功能区划</w:t>
            </w:r>
          </w:p>
          <w:p w14:paraId="676E05E8">
            <w:pPr>
              <w:adjustRightInd w:val="0"/>
              <w:snapToGrid w:val="0"/>
              <w:spacing w:line="360" w:lineRule="auto"/>
              <w:ind w:firstLine="480" w:firstLineChars="200"/>
              <w:rPr>
                <w:rFonts w:cs="宋体"/>
                <w:color w:val="auto"/>
                <w:kern w:val="0"/>
                <w:sz w:val="24"/>
              </w:rPr>
            </w:pPr>
            <w:r>
              <w:rPr>
                <w:rFonts w:hint="eastAsia" w:cs="宋体"/>
                <w:color w:val="auto"/>
                <w:kern w:val="0"/>
                <w:sz w:val="24"/>
              </w:rPr>
              <w:t>（1）主体功能区规划</w:t>
            </w:r>
          </w:p>
          <w:p w14:paraId="4A8DE19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s="宋体"/>
                <w:color w:val="auto"/>
                <w:kern w:val="0"/>
                <w:sz w:val="24"/>
              </w:rPr>
            </w:pPr>
            <w:r>
              <w:rPr>
                <w:rFonts w:hint="eastAsia" w:cs="宋体"/>
                <w:color w:val="auto"/>
                <w:kern w:val="0"/>
                <w:sz w:val="24"/>
              </w:rPr>
              <w:t>根据《广西壮族自治区人民政府关于印发广西壮族自治区主体功能区规划的通知》（桂政发〔2012〕89号），</w:t>
            </w:r>
            <w:r>
              <w:rPr>
                <w:rFonts w:hint="eastAsia" w:cs="宋体"/>
                <w:color w:val="auto"/>
                <w:kern w:val="0"/>
                <w:sz w:val="24"/>
                <w:lang w:val="en-US" w:eastAsia="zh-CN"/>
              </w:rPr>
              <w:t>港口区</w:t>
            </w:r>
            <w:r>
              <w:rPr>
                <w:rFonts w:hint="eastAsia" w:cs="宋体"/>
                <w:color w:val="auto"/>
                <w:kern w:val="0"/>
                <w:sz w:val="24"/>
              </w:rPr>
              <w:t>属于</w:t>
            </w:r>
            <w:r>
              <w:rPr>
                <w:rFonts w:hint="eastAsia"/>
                <w:color w:val="auto"/>
                <w:sz w:val="24"/>
                <w:szCs w:val="32"/>
                <w:lang w:val="en-US" w:eastAsia="zh-CN"/>
              </w:rPr>
              <w:t>国家级</w:t>
            </w:r>
            <w:r>
              <w:rPr>
                <w:rFonts w:hint="eastAsia" w:cs="宋体"/>
                <w:color w:val="auto"/>
                <w:kern w:val="0"/>
                <w:sz w:val="24"/>
              </w:rPr>
              <w:t>重点开发区域，其功能定位为：全区乃至全国重要的人口和经济密集区</w:t>
            </w:r>
            <w:r>
              <w:rPr>
                <w:rFonts w:hint="eastAsia" w:cs="宋体"/>
                <w:color w:val="auto"/>
                <w:kern w:val="0"/>
                <w:sz w:val="24"/>
                <w:lang w:eastAsia="zh-CN"/>
              </w:rPr>
              <w:t>，</w:t>
            </w:r>
            <w:r>
              <w:rPr>
                <w:rFonts w:hint="eastAsia" w:cs="宋体"/>
                <w:color w:val="auto"/>
                <w:kern w:val="0"/>
                <w:sz w:val="24"/>
              </w:rPr>
              <w:t>提升经济综合实力和产业竞争力的核心区</w:t>
            </w:r>
            <w:r>
              <w:rPr>
                <w:rFonts w:hint="eastAsia" w:cs="宋体"/>
                <w:color w:val="auto"/>
                <w:kern w:val="0"/>
                <w:sz w:val="24"/>
                <w:lang w:eastAsia="zh-CN"/>
              </w:rPr>
              <w:t>，</w:t>
            </w:r>
            <w:r>
              <w:rPr>
                <w:rFonts w:hint="eastAsia" w:cs="宋体"/>
                <w:color w:val="auto"/>
                <w:kern w:val="0"/>
                <w:sz w:val="24"/>
              </w:rPr>
              <w:t>引领科技创新和推动发展方式转变的示范区</w:t>
            </w:r>
            <w:r>
              <w:rPr>
                <w:rFonts w:hint="eastAsia" w:cs="宋体"/>
                <w:color w:val="auto"/>
                <w:kern w:val="0"/>
                <w:sz w:val="24"/>
                <w:lang w:eastAsia="zh-CN"/>
              </w:rPr>
              <w:t>，</w:t>
            </w:r>
            <w:r>
              <w:rPr>
                <w:rFonts w:hint="eastAsia" w:cs="宋体"/>
                <w:color w:val="auto"/>
                <w:kern w:val="0"/>
                <w:sz w:val="24"/>
              </w:rPr>
              <w:t>支撑全区乃至全国经济发展的重要增长极。到2020年</w:t>
            </w:r>
            <w:r>
              <w:rPr>
                <w:rFonts w:hint="eastAsia" w:cs="宋体"/>
                <w:color w:val="auto"/>
                <w:kern w:val="0"/>
                <w:sz w:val="24"/>
                <w:lang w:eastAsia="zh-CN"/>
              </w:rPr>
              <w:t>，</w:t>
            </w:r>
            <w:r>
              <w:rPr>
                <w:rFonts w:hint="eastAsia" w:cs="宋体"/>
                <w:color w:val="auto"/>
                <w:kern w:val="0"/>
                <w:sz w:val="24"/>
              </w:rPr>
              <w:t>重点开发区域集聚的经济规模占全区70%左右</w:t>
            </w:r>
            <w:r>
              <w:rPr>
                <w:rFonts w:hint="eastAsia" w:cs="宋体"/>
                <w:color w:val="auto"/>
                <w:kern w:val="0"/>
                <w:sz w:val="24"/>
                <w:lang w:eastAsia="zh-CN"/>
              </w:rPr>
              <w:t>，</w:t>
            </w:r>
            <w:r>
              <w:rPr>
                <w:rFonts w:hint="eastAsia" w:cs="宋体"/>
                <w:color w:val="auto"/>
                <w:kern w:val="0"/>
                <w:sz w:val="24"/>
              </w:rPr>
              <w:t>人口占全区的55%左右</w:t>
            </w:r>
            <w:r>
              <w:rPr>
                <w:rFonts w:hint="eastAsia" w:cs="宋体"/>
                <w:color w:val="auto"/>
                <w:kern w:val="0"/>
                <w:sz w:val="24"/>
                <w:lang w:eastAsia="zh-CN"/>
              </w:rPr>
              <w:t>，</w:t>
            </w:r>
            <w:r>
              <w:rPr>
                <w:rFonts w:hint="eastAsia" w:cs="宋体"/>
                <w:color w:val="auto"/>
                <w:kern w:val="0"/>
                <w:sz w:val="24"/>
              </w:rPr>
              <w:t>城镇化率超过60%。……</w:t>
            </w:r>
            <w:r>
              <w:rPr>
                <w:rFonts w:hint="eastAsia" w:ascii="Times New Roman" w:hAnsi="Times New Roman" w:eastAsia="宋体" w:cs="Times New Roman"/>
                <w:color w:val="auto"/>
                <w:spacing w:val="-4"/>
                <w:sz w:val="24"/>
                <w:szCs w:val="24"/>
              </w:rPr>
              <w:t>完善提升基础设施。统筹规划建设交通、能源、水利、</w:t>
            </w:r>
            <w:r>
              <w:rPr>
                <w:rFonts w:hint="eastAsia" w:cs="Times New Roman"/>
                <w:color w:val="auto"/>
                <w:spacing w:val="-4"/>
                <w:sz w:val="24"/>
                <w:szCs w:val="24"/>
                <w:lang w:val="en-US" w:eastAsia="zh-CN"/>
              </w:rPr>
              <w:t>市政</w:t>
            </w:r>
            <w:r>
              <w:rPr>
                <w:rFonts w:hint="eastAsia" w:ascii="Times New Roman" w:hAnsi="Times New Roman" w:eastAsia="宋体" w:cs="Times New Roman"/>
                <w:color w:val="auto"/>
                <w:spacing w:val="-4"/>
                <w:sz w:val="24"/>
                <w:szCs w:val="24"/>
              </w:rPr>
              <w:t>、通信、环保等基础设施</w:t>
            </w:r>
            <w:r>
              <w:rPr>
                <w:rFonts w:hint="eastAsia" w:cs="Times New Roman"/>
                <w:color w:val="auto"/>
                <w:spacing w:val="-4"/>
                <w:sz w:val="24"/>
                <w:szCs w:val="24"/>
                <w:lang w:eastAsia="zh-CN"/>
              </w:rPr>
              <w:t>，</w:t>
            </w:r>
            <w:r>
              <w:rPr>
                <w:rFonts w:hint="eastAsia" w:ascii="Times New Roman" w:hAnsi="Times New Roman" w:eastAsia="宋体" w:cs="Times New Roman"/>
                <w:color w:val="auto"/>
                <w:spacing w:val="-4"/>
                <w:sz w:val="24"/>
                <w:szCs w:val="24"/>
              </w:rPr>
              <w:t>构建完善、高效、区域一体、城乡一体的基础设施网络。</w:t>
            </w:r>
          </w:p>
          <w:p w14:paraId="4B313B48">
            <w:pPr>
              <w:adjustRightInd w:val="0"/>
              <w:snapToGrid w:val="0"/>
              <w:spacing w:line="360" w:lineRule="auto"/>
              <w:ind w:firstLine="480" w:firstLineChars="200"/>
              <w:rPr>
                <w:rFonts w:hint="eastAsia" w:cs="宋体"/>
                <w:color w:val="auto"/>
                <w:kern w:val="0"/>
                <w:sz w:val="24"/>
              </w:rPr>
            </w:pPr>
            <w:r>
              <w:rPr>
                <w:rFonts w:hint="eastAsia" w:cs="宋体"/>
                <w:color w:val="auto"/>
                <w:kern w:val="0"/>
                <w:sz w:val="24"/>
              </w:rPr>
              <w:t>项目属于</w:t>
            </w:r>
            <w:r>
              <w:rPr>
                <w:rFonts w:hint="eastAsia" w:cs="宋体"/>
                <w:color w:val="auto"/>
                <w:kern w:val="0"/>
                <w:sz w:val="24"/>
                <w:lang w:val="en-US" w:eastAsia="zh-CN"/>
              </w:rPr>
              <w:t>铁路专用线和集装箱堆场建设</w:t>
            </w:r>
            <w:r>
              <w:rPr>
                <w:rFonts w:hint="eastAsia" w:cs="宋体"/>
                <w:color w:val="auto"/>
                <w:kern w:val="0"/>
                <w:sz w:val="24"/>
              </w:rPr>
              <w:t>，</w:t>
            </w:r>
            <w:r>
              <w:rPr>
                <w:rFonts w:hint="eastAsia" w:cs="宋体"/>
                <w:color w:val="auto"/>
                <w:kern w:val="0"/>
                <w:sz w:val="24"/>
                <w:lang w:val="en-US" w:eastAsia="zh-CN"/>
              </w:rPr>
              <w:t>属于</w:t>
            </w:r>
            <w:r>
              <w:rPr>
                <w:rFonts w:hint="eastAsia" w:ascii="Times New Roman" w:hAnsi="Times New Roman" w:eastAsia="宋体" w:cs="Times New Roman"/>
                <w:color w:val="auto"/>
                <w:spacing w:val="-4"/>
                <w:sz w:val="24"/>
                <w:szCs w:val="24"/>
              </w:rPr>
              <w:t>基础设施</w:t>
            </w:r>
            <w:r>
              <w:rPr>
                <w:rFonts w:hint="eastAsia" w:ascii="Times New Roman" w:hAnsi="Times New Roman" w:eastAsia="宋体" w:cs="Times New Roman"/>
                <w:color w:val="auto"/>
                <w:spacing w:val="-4"/>
                <w:sz w:val="24"/>
                <w:szCs w:val="24"/>
                <w:lang w:val="en-US" w:eastAsia="zh-CN"/>
              </w:rPr>
              <w:t>建设</w:t>
            </w:r>
            <w:r>
              <w:rPr>
                <w:rFonts w:hint="eastAsia" w:cs="宋体"/>
                <w:color w:val="auto"/>
                <w:kern w:val="0"/>
                <w:sz w:val="24"/>
              </w:rPr>
              <w:t>，项目建设与《广西壮族自治区主体功能区规划》（桂政发〔2012〕89号）是相协调的。</w:t>
            </w:r>
          </w:p>
          <w:p w14:paraId="7BFB8E8D">
            <w:pPr>
              <w:adjustRightInd w:val="0"/>
              <w:snapToGrid w:val="0"/>
              <w:spacing w:line="360" w:lineRule="auto"/>
              <w:ind w:firstLine="480" w:firstLineChars="200"/>
              <w:rPr>
                <w:rFonts w:cs="宋体"/>
                <w:color w:val="auto"/>
                <w:kern w:val="0"/>
                <w:sz w:val="24"/>
              </w:rPr>
            </w:pPr>
            <w:r>
              <w:rPr>
                <w:rFonts w:hint="eastAsia" w:cs="宋体"/>
                <w:color w:val="auto"/>
                <w:kern w:val="0"/>
                <w:sz w:val="24"/>
              </w:rPr>
              <w:t>（2）生态功能区划</w:t>
            </w:r>
          </w:p>
          <w:p w14:paraId="4E10D3EA">
            <w:pPr>
              <w:adjustRightInd w:val="0"/>
              <w:snapToGrid w:val="0"/>
              <w:spacing w:line="360" w:lineRule="auto"/>
              <w:ind w:firstLine="480" w:firstLineChars="200"/>
              <w:rPr>
                <w:rFonts w:cs="宋体"/>
                <w:color w:val="auto"/>
                <w:kern w:val="0"/>
                <w:sz w:val="24"/>
              </w:rPr>
            </w:pPr>
            <w:r>
              <w:rPr>
                <w:rFonts w:hint="eastAsia" w:cs="宋体"/>
                <w:color w:val="auto"/>
                <w:kern w:val="0"/>
                <w:sz w:val="24"/>
              </w:rPr>
              <w:t>根据《广西壮族自治区人民政府办公厅关于印发广西壮族自治区生态功能区划的通知》（桂政办发〔2008〕8号），全区划分为生态调节、产品提供与人居保障等3类一级生态功能区。项目所处区域</w:t>
            </w:r>
            <w:r>
              <w:rPr>
                <w:rFonts w:hint="eastAsia" w:cs="宋体"/>
                <w:color w:val="auto"/>
                <w:kern w:val="0"/>
                <w:sz w:val="24"/>
                <w:lang w:val="en-US" w:eastAsia="zh-CN"/>
              </w:rPr>
              <w:t>港口区</w:t>
            </w:r>
            <w:r>
              <w:rPr>
                <w:rFonts w:hint="eastAsia" w:cs="宋体"/>
                <w:color w:val="auto"/>
                <w:kern w:val="0"/>
                <w:sz w:val="24"/>
              </w:rPr>
              <w:t>属于</w:t>
            </w:r>
            <w:r>
              <w:rPr>
                <w:rFonts w:hint="eastAsia" w:cs="宋体"/>
                <w:color w:val="auto"/>
                <w:kern w:val="0"/>
                <w:sz w:val="24"/>
                <w:lang w:val="en-US" w:eastAsia="zh-CN"/>
              </w:rPr>
              <w:t>3-1-9</w:t>
            </w:r>
            <w:r>
              <w:rPr>
                <w:rFonts w:hint="eastAsia" w:cs="宋体"/>
                <w:color w:val="auto"/>
                <w:kern w:val="0"/>
                <w:sz w:val="24"/>
              </w:rPr>
              <w:t>中心城市功能区。</w:t>
            </w:r>
          </w:p>
          <w:p w14:paraId="3C59AC25">
            <w:pPr>
              <w:adjustRightInd w:val="0"/>
              <w:snapToGrid w:val="0"/>
              <w:spacing w:line="360" w:lineRule="auto"/>
              <w:ind w:firstLine="480" w:firstLineChars="200"/>
              <w:rPr>
                <w:rFonts w:hint="eastAsia" w:cs="宋体"/>
                <w:color w:val="auto"/>
                <w:kern w:val="0"/>
                <w:sz w:val="24"/>
              </w:rPr>
            </w:pPr>
            <w:r>
              <w:rPr>
                <w:rFonts w:hint="eastAsia" w:cs="宋体"/>
                <w:color w:val="auto"/>
                <w:kern w:val="0"/>
                <w:sz w:val="24"/>
              </w:rPr>
              <w:t>中心城市功能区生态保护主要方向与措施：推进生态城市建设，改善生态人居，建设生态文明，弘扬生态文化；合理规划布局城市功能组团，完善城市功能；以循环经济理念指导产业发展，加快产业结构调整，推广应用清洁能源，提高资源利用效率；加强城市园林绿地系统建设，保护城市自然植被、水域；深化城市环境综合整治，加快城市环保设施建设；加快公共交通建设，控制机动车尾气排放，减少环境污染。</w:t>
            </w:r>
          </w:p>
          <w:p w14:paraId="2DB2800E">
            <w:pPr>
              <w:adjustRightInd w:val="0"/>
              <w:snapToGrid w:val="0"/>
              <w:spacing w:line="360" w:lineRule="auto"/>
              <w:ind w:firstLine="480" w:firstLineChars="200"/>
              <w:rPr>
                <w:rFonts w:cs="宋体"/>
                <w:color w:val="auto"/>
                <w:kern w:val="0"/>
                <w:sz w:val="24"/>
              </w:rPr>
            </w:pPr>
            <w:r>
              <w:rPr>
                <w:rFonts w:hint="eastAsia" w:cs="宋体"/>
                <w:color w:val="auto"/>
                <w:kern w:val="0"/>
                <w:sz w:val="24"/>
              </w:rPr>
              <w:t>本项目为</w:t>
            </w:r>
            <w:r>
              <w:rPr>
                <w:rFonts w:hint="eastAsia" w:cs="宋体"/>
                <w:color w:val="auto"/>
                <w:kern w:val="0"/>
                <w:sz w:val="24"/>
                <w:lang w:val="en-US" w:eastAsia="zh-CN"/>
              </w:rPr>
              <w:t>铁路专用线和集装箱堆场建设</w:t>
            </w:r>
            <w:r>
              <w:rPr>
                <w:rFonts w:hint="eastAsia" w:cs="宋体"/>
                <w:color w:val="auto"/>
                <w:kern w:val="0"/>
                <w:sz w:val="24"/>
              </w:rPr>
              <w:t>，</w:t>
            </w:r>
            <w:r>
              <w:rPr>
                <w:rFonts w:hint="eastAsia" w:cs="宋体"/>
                <w:color w:val="auto"/>
                <w:kern w:val="0"/>
                <w:sz w:val="24"/>
                <w:lang w:val="en-US" w:eastAsia="zh-CN"/>
              </w:rPr>
              <w:t>属于</w:t>
            </w:r>
            <w:r>
              <w:rPr>
                <w:rFonts w:hint="eastAsia" w:cs="宋体"/>
                <w:color w:val="auto"/>
                <w:kern w:val="0"/>
                <w:sz w:val="24"/>
              </w:rPr>
              <w:t>合理规划布局城市功能组团，完善城市功能，与《广西壮族自治区人民政府办公厅关于印发广西壮族自治区生态功能区划的通知》（桂政办发〔2008〕8号）相符。</w:t>
            </w:r>
          </w:p>
          <w:p w14:paraId="6E7F25E3">
            <w:pPr>
              <w:adjustRightInd w:val="0"/>
              <w:snapToGrid w:val="0"/>
              <w:spacing w:line="360" w:lineRule="auto"/>
              <w:ind w:firstLine="480" w:firstLineChars="200"/>
              <w:rPr>
                <w:rFonts w:cs="宋体"/>
                <w:color w:val="auto"/>
                <w:kern w:val="0"/>
                <w:sz w:val="24"/>
              </w:rPr>
            </w:pPr>
            <w:r>
              <w:rPr>
                <w:rFonts w:hint="eastAsia" w:cs="宋体"/>
                <w:color w:val="auto"/>
                <w:kern w:val="0"/>
                <w:sz w:val="24"/>
              </w:rPr>
              <w:t>（</w:t>
            </w:r>
            <w:r>
              <w:rPr>
                <w:rFonts w:hint="eastAsia" w:cs="宋体"/>
                <w:color w:val="auto"/>
                <w:kern w:val="0"/>
                <w:sz w:val="24"/>
                <w:lang w:val="en-US" w:eastAsia="zh-CN"/>
              </w:rPr>
              <w:t>3</w:t>
            </w:r>
            <w:r>
              <w:rPr>
                <w:rFonts w:hint="eastAsia" w:cs="宋体"/>
                <w:color w:val="auto"/>
                <w:kern w:val="0"/>
                <w:sz w:val="24"/>
              </w:rPr>
              <w:t>）植被类型及分布</w:t>
            </w:r>
          </w:p>
          <w:p w14:paraId="059AFD21">
            <w:pPr>
              <w:adjustRightInd w:val="0"/>
              <w:snapToGrid w:val="0"/>
              <w:spacing w:line="360" w:lineRule="auto"/>
              <w:ind w:firstLine="480" w:firstLineChars="200"/>
              <w:rPr>
                <w:rFonts w:hint="eastAsia" w:eastAsia="宋体" w:cs="宋体"/>
                <w:color w:val="auto"/>
                <w:kern w:val="0"/>
                <w:sz w:val="24"/>
                <w:lang w:eastAsia="zh-CN"/>
              </w:rPr>
            </w:pPr>
            <w:r>
              <w:rPr>
                <w:rFonts w:hint="eastAsia" w:cs="宋体"/>
                <w:color w:val="auto"/>
                <w:kern w:val="0"/>
                <w:sz w:val="24"/>
              </w:rPr>
              <w:t>项目用地内</w:t>
            </w:r>
            <w:r>
              <w:rPr>
                <w:rFonts w:hint="eastAsia"/>
                <w:color w:val="auto"/>
                <w:sz w:val="24"/>
                <w:szCs w:val="32"/>
                <w:lang w:val="en-US" w:eastAsia="zh-CN"/>
              </w:rPr>
              <w:t>现状</w:t>
            </w:r>
            <w:r>
              <w:rPr>
                <w:rFonts w:hint="eastAsia" w:cs="宋体"/>
                <w:color w:val="auto"/>
                <w:kern w:val="0"/>
                <w:sz w:val="24"/>
              </w:rPr>
              <w:t>植被类型主要是乔木和灌木，如</w:t>
            </w:r>
            <w:r>
              <w:rPr>
                <w:rFonts w:hint="eastAsia" w:cs="宋体"/>
                <w:color w:val="auto"/>
                <w:kern w:val="0"/>
                <w:sz w:val="24"/>
                <w:lang w:val="en-US" w:eastAsia="zh-CN"/>
              </w:rPr>
              <w:t>马尾松、桉树、</w:t>
            </w:r>
            <w:r>
              <w:rPr>
                <w:rFonts w:hint="eastAsia" w:cs="宋体"/>
                <w:color w:val="auto"/>
                <w:kern w:val="0"/>
                <w:sz w:val="24"/>
              </w:rPr>
              <w:t>地毯草、芒箕等，未发现国家和地方重点保护的植物种类，无名木古树和珍稀保护植物种</w:t>
            </w:r>
            <w:r>
              <w:rPr>
                <w:rFonts w:hint="eastAsia" w:cs="宋体"/>
                <w:color w:val="auto"/>
                <w:kern w:val="0"/>
                <w:sz w:val="24"/>
                <w:lang w:eastAsia="zh-CN"/>
              </w:rPr>
              <w:t>。</w:t>
            </w:r>
          </w:p>
          <w:p w14:paraId="4380FAB5">
            <w:pPr>
              <w:adjustRightInd w:val="0"/>
              <w:snapToGrid w:val="0"/>
              <w:spacing w:line="360" w:lineRule="auto"/>
              <w:ind w:firstLine="480" w:firstLineChars="200"/>
              <w:rPr>
                <w:rFonts w:cs="宋体"/>
                <w:color w:val="auto"/>
                <w:kern w:val="0"/>
                <w:sz w:val="24"/>
              </w:rPr>
            </w:pPr>
            <w:r>
              <w:rPr>
                <w:rFonts w:hint="eastAsia" w:cs="宋体"/>
                <w:color w:val="auto"/>
                <w:kern w:val="0"/>
                <w:sz w:val="24"/>
              </w:rPr>
              <w:t>（</w:t>
            </w:r>
            <w:r>
              <w:rPr>
                <w:rFonts w:hint="eastAsia" w:cs="宋体"/>
                <w:color w:val="auto"/>
                <w:kern w:val="0"/>
                <w:sz w:val="24"/>
                <w:lang w:val="en-US" w:eastAsia="zh-CN"/>
              </w:rPr>
              <w:t>4</w:t>
            </w:r>
            <w:r>
              <w:rPr>
                <w:rFonts w:hint="eastAsia" w:cs="宋体"/>
                <w:color w:val="auto"/>
                <w:kern w:val="0"/>
                <w:sz w:val="24"/>
              </w:rPr>
              <w:t>）陆生动物类型</w:t>
            </w:r>
          </w:p>
          <w:p w14:paraId="603A2072">
            <w:pPr>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宋体" w:cs="Times New Roman"/>
                <w:color w:val="auto"/>
                <w:spacing w:val="-4"/>
                <w:sz w:val="24"/>
                <w:szCs w:val="24"/>
              </w:rPr>
            </w:pPr>
            <w:r>
              <w:rPr>
                <w:rFonts w:hint="eastAsia" w:ascii="Times New Roman" w:hAnsi="Times New Roman" w:eastAsia="宋体" w:cs="Times New Roman"/>
                <w:color w:val="auto"/>
                <w:spacing w:val="-4"/>
                <w:sz w:val="24"/>
                <w:szCs w:val="24"/>
                <w:lang w:val="en-US" w:eastAsia="zh-CN"/>
              </w:rPr>
              <w:t>本项目选址位于</w:t>
            </w:r>
            <w:r>
              <w:rPr>
                <w:rFonts w:hint="eastAsia" w:cs="Times New Roman"/>
                <w:color w:val="auto"/>
                <w:spacing w:val="-4"/>
                <w:sz w:val="24"/>
                <w:szCs w:val="24"/>
                <w:lang w:val="en-US" w:eastAsia="zh-CN"/>
              </w:rPr>
              <w:t>云约站与沙企一级路间</w:t>
            </w:r>
            <w:r>
              <w:rPr>
                <w:rFonts w:hint="eastAsia" w:ascii="Times New Roman" w:hAnsi="Times New Roman" w:eastAsia="宋体" w:cs="Times New Roman"/>
                <w:color w:val="auto"/>
                <w:spacing w:val="-4"/>
                <w:sz w:val="24"/>
                <w:szCs w:val="24"/>
                <w:lang w:val="en-US" w:eastAsia="zh-CN"/>
              </w:rPr>
              <w:t>，属于人类长期活动区域，区域内现存的野生动物主要为一些小型常见的动物，如鸟类、蛇类、鼠类、昆虫等，多为适应人类生活的物种，易适应人类活动的干扰。项目用地范围内没有发现国家和自治区重点保护动物分布，亦无珍稀濒危动物分布，区域生态环境质量一般。</w:t>
            </w:r>
          </w:p>
          <w:p w14:paraId="18C3B5B9">
            <w:pPr>
              <w:adjustRightInd w:val="0"/>
              <w:snapToGrid w:val="0"/>
              <w:spacing w:line="360" w:lineRule="auto"/>
              <w:ind w:firstLine="480" w:firstLineChars="200"/>
              <w:rPr>
                <w:rFonts w:cs="宋体"/>
                <w:color w:val="auto"/>
                <w:kern w:val="0"/>
                <w:sz w:val="24"/>
              </w:rPr>
            </w:pPr>
            <w:r>
              <w:rPr>
                <w:rFonts w:hint="eastAsia" w:cs="宋体"/>
                <w:color w:val="auto"/>
                <w:kern w:val="0"/>
                <w:sz w:val="24"/>
              </w:rPr>
              <w:t>（</w:t>
            </w:r>
            <w:r>
              <w:rPr>
                <w:rFonts w:hint="eastAsia" w:cs="宋体"/>
                <w:color w:val="auto"/>
                <w:kern w:val="0"/>
                <w:sz w:val="24"/>
                <w:lang w:val="en-US" w:eastAsia="zh-CN"/>
              </w:rPr>
              <w:t>5</w:t>
            </w:r>
            <w:r>
              <w:rPr>
                <w:rFonts w:hint="eastAsia" w:cs="宋体"/>
                <w:color w:val="auto"/>
                <w:kern w:val="0"/>
                <w:sz w:val="24"/>
              </w:rPr>
              <w:t>）生态敏感区调查</w:t>
            </w:r>
          </w:p>
          <w:p w14:paraId="72A6FD81">
            <w:pPr>
              <w:adjustRightInd w:val="0"/>
              <w:snapToGrid w:val="0"/>
              <w:spacing w:line="360" w:lineRule="auto"/>
              <w:ind w:firstLine="480" w:firstLineChars="200"/>
              <w:rPr>
                <w:rFonts w:cs="宋体"/>
                <w:color w:val="auto"/>
                <w:kern w:val="0"/>
                <w:sz w:val="24"/>
              </w:rPr>
            </w:pPr>
            <w:r>
              <w:rPr>
                <w:rFonts w:hint="eastAsia" w:cs="宋体"/>
                <w:color w:val="auto"/>
                <w:kern w:val="0"/>
                <w:sz w:val="24"/>
              </w:rPr>
              <w:t>根据现场调查，项目用地</w:t>
            </w:r>
            <w:r>
              <w:rPr>
                <w:rFonts w:hint="eastAsia" w:cs="宋体"/>
                <w:color w:val="auto"/>
                <w:kern w:val="0"/>
                <w:sz w:val="24"/>
                <w:lang w:eastAsia="zh-CN"/>
              </w:rPr>
              <w:t>及生态评价范围</w:t>
            </w:r>
            <w:r>
              <w:rPr>
                <w:rFonts w:hint="eastAsia" w:cs="宋体"/>
                <w:color w:val="auto"/>
                <w:kern w:val="0"/>
                <w:sz w:val="24"/>
              </w:rPr>
              <w:t>均不涉及自然保护区、世界文化和自然遗产地，也不涉及国家公园、森林公园、湿地公园、地质公园、风景名胜区、永久基本农田和生态保护红线。</w:t>
            </w:r>
          </w:p>
          <w:p w14:paraId="1CA6FC9B">
            <w:pPr>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2、环境空气质量现状</w:t>
            </w:r>
          </w:p>
          <w:p w14:paraId="73CDE24C">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color w:val="auto"/>
              </w:rPr>
            </w:pPr>
            <w:r>
              <w:rPr>
                <w:color w:val="auto"/>
                <w:spacing w:val="-3"/>
              </w:rPr>
              <w:t>根据空气环境功能区划分，该项目所在地为二类功能区，环境</w:t>
            </w:r>
            <w:r>
              <w:rPr>
                <w:color w:val="auto"/>
                <w:spacing w:val="-4"/>
              </w:rPr>
              <w:t>空气质量</w:t>
            </w:r>
            <w:r>
              <w:rPr>
                <w:color w:val="auto"/>
                <w:spacing w:val="-1"/>
              </w:rPr>
              <w:t>应执行《环境空气质量标准》（</w:t>
            </w:r>
            <w:r>
              <w:rPr>
                <w:rFonts w:ascii="Times New Roman" w:hAnsi="Times New Roman" w:eastAsia="Times New Roman" w:cs="Times New Roman"/>
                <w:color w:val="auto"/>
                <w:spacing w:val="-1"/>
              </w:rPr>
              <w:t>GB3095-20</w:t>
            </w:r>
            <w:r>
              <w:rPr>
                <w:rFonts w:hint="eastAsia" w:ascii="Times New Roman" w:hAnsi="Times New Roman" w:eastAsia="宋体" w:cs="Times New Roman"/>
                <w:color w:val="auto"/>
                <w:spacing w:val="-1"/>
                <w:lang w:val="en-US" w:eastAsia="zh-CN"/>
              </w:rPr>
              <w:t>26</w:t>
            </w:r>
            <w:r>
              <w:rPr>
                <w:color w:val="auto"/>
                <w:spacing w:val="-1"/>
              </w:rPr>
              <w:t>）二级标准</w:t>
            </w:r>
            <w:r>
              <w:rPr>
                <w:color w:val="auto"/>
                <w:spacing w:val="-2"/>
              </w:rPr>
              <w:t>的要求。</w:t>
            </w:r>
          </w:p>
          <w:p w14:paraId="7AB55EC1">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color w:val="auto"/>
              </w:rPr>
            </w:pPr>
            <w:r>
              <w:rPr>
                <w:color w:val="auto"/>
                <w:spacing w:val="-3"/>
              </w:rPr>
              <w:t>根据广西壮族自治区生态环境厅《自治区生态环境厅关于通报</w:t>
            </w:r>
            <w:r>
              <w:rPr>
                <w:rFonts w:ascii="Times New Roman" w:hAnsi="Times New Roman" w:eastAsia="Times New Roman" w:cs="Times New Roman"/>
                <w:color w:val="auto"/>
                <w:spacing w:val="-3"/>
              </w:rPr>
              <w:t>202</w:t>
            </w:r>
            <w:r>
              <w:rPr>
                <w:rFonts w:hint="eastAsia" w:ascii="Times New Roman" w:hAnsi="Times New Roman" w:cs="Times New Roman"/>
                <w:color w:val="auto"/>
                <w:spacing w:val="-3"/>
                <w:lang w:val="en-US" w:eastAsia="zh-CN"/>
              </w:rPr>
              <w:t>5年</w:t>
            </w:r>
            <w:r>
              <w:rPr>
                <w:color w:val="auto"/>
                <w:spacing w:val="-3"/>
              </w:rPr>
              <w:t>设区城市及各县（市、区）环境空气质量的函》（桂环函〔</w:t>
            </w:r>
            <w:r>
              <w:rPr>
                <w:rFonts w:ascii="Times New Roman" w:hAnsi="Times New Roman" w:eastAsia="Times New Roman" w:cs="Times New Roman"/>
                <w:color w:val="auto"/>
                <w:spacing w:val="-3"/>
              </w:rPr>
              <w:t>202</w:t>
            </w:r>
            <w:r>
              <w:rPr>
                <w:rFonts w:hint="eastAsia" w:ascii="Times New Roman" w:hAnsi="Times New Roman" w:cs="Times New Roman"/>
                <w:color w:val="auto"/>
                <w:spacing w:val="-3"/>
                <w:lang w:val="en-US" w:eastAsia="zh-CN"/>
              </w:rPr>
              <w:t>6</w:t>
            </w:r>
            <w:r>
              <w:rPr>
                <w:color w:val="auto"/>
                <w:spacing w:val="-3"/>
              </w:rPr>
              <w:t>〕</w:t>
            </w:r>
            <w:r>
              <w:rPr>
                <w:rFonts w:hint="eastAsia" w:ascii="Times New Roman" w:hAnsi="Times New Roman" w:cs="Times New Roman"/>
                <w:color w:val="auto"/>
                <w:spacing w:val="-3"/>
                <w:lang w:val="en-US" w:eastAsia="zh-CN"/>
              </w:rPr>
              <w:t>110</w:t>
            </w:r>
            <w:r>
              <w:rPr>
                <w:color w:val="auto"/>
                <w:spacing w:val="-3"/>
              </w:rPr>
              <w:t>号</w:t>
            </w:r>
            <w:r>
              <w:rPr>
                <w:color w:val="auto"/>
                <w:spacing w:val="2"/>
              </w:rPr>
              <w:t>），</w:t>
            </w:r>
            <w:r>
              <w:rPr>
                <w:color w:val="auto"/>
                <w:spacing w:val="-3"/>
              </w:rPr>
              <w:t>按照</w:t>
            </w:r>
            <w:r>
              <w:rPr>
                <w:color w:val="auto"/>
                <w:spacing w:val="-1"/>
              </w:rPr>
              <w:t>《环境空气质量标准》（</w:t>
            </w:r>
            <w:r>
              <w:rPr>
                <w:rFonts w:ascii="Times New Roman" w:hAnsi="Times New Roman" w:eastAsia="Times New Roman" w:cs="Times New Roman"/>
                <w:color w:val="auto"/>
                <w:spacing w:val="-1"/>
              </w:rPr>
              <w:t>GB3095-20</w:t>
            </w:r>
            <w:r>
              <w:rPr>
                <w:rFonts w:hint="eastAsia" w:ascii="Times New Roman" w:hAnsi="Times New Roman" w:eastAsia="宋体" w:cs="Times New Roman"/>
                <w:color w:val="auto"/>
                <w:spacing w:val="-1"/>
                <w:lang w:val="en-US" w:eastAsia="zh-CN"/>
              </w:rPr>
              <w:t>26</w:t>
            </w:r>
            <w:r>
              <w:rPr>
                <w:color w:val="auto"/>
                <w:spacing w:val="-1"/>
              </w:rPr>
              <w:t>）二级标准</w:t>
            </w:r>
            <w:r>
              <w:rPr>
                <w:rFonts w:hint="eastAsia"/>
                <w:color w:val="auto"/>
                <w:spacing w:val="-1"/>
                <w:lang w:val="en-US" w:eastAsia="zh-CN"/>
              </w:rPr>
              <w:t>过渡阶段限值</w:t>
            </w:r>
            <w:r>
              <w:rPr>
                <w:color w:val="auto"/>
                <w:spacing w:val="-1"/>
              </w:rPr>
              <w:t>评价，</w:t>
            </w:r>
            <w:r>
              <w:rPr>
                <w:rFonts w:ascii="Times New Roman" w:hAnsi="Times New Roman" w:eastAsia="Times New Roman" w:cs="Times New Roman"/>
                <w:color w:val="auto"/>
                <w:spacing w:val="-1"/>
              </w:rPr>
              <w:t>202</w:t>
            </w:r>
            <w:r>
              <w:rPr>
                <w:rFonts w:hint="eastAsia" w:ascii="Times New Roman" w:hAnsi="Times New Roman" w:cs="Times New Roman"/>
                <w:color w:val="auto"/>
                <w:spacing w:val="-1"/>
                <w:lang w:val="en-US" w:eastAsia="zh-CN"/>
              </w:rPr>
              <w:t>5</w:t>
            </w:r>
            <w:r>
              <w:rPr>
                <w:color w:val="auto"/>
                <w:spacing w:val="-1"/>
              </w:rPr>
              <w:t>年防城港市二</w:t>
            </w:r>
            <w:r>
              <w:rPr>
                <w:color w:val="auto"/>
                <w:spacing w:val="-2"/>
              </w:rPr>
              <w:t>氧化硫、二氧化氮、</w:t>
            </w:r>
            <w:r>
              <w:rPr>
                <w:rFonts w:ascii="Times New Roman" w:hAnsi="Times New Roman" w:eastAsia="Times New Roman" w:cs="Times New Roman"/>
                <w:color w:val="auto"/>
                <w:spacing w:val="-2"/>
              </w:rPr>
              <w:t>PM</w:t>
            </w:r>
            <w:r>
              <w:rPr>
                <w:rFonts w:ascii="Times New Roman" w:hAnsi="Times New Roman" w:eastAsia="Times New Roman" w:cs="Times New Roman"/>
                <w:color w:val="auto"/>
                <w:spacing w:val="-2"/>
                <w:position w:val="-1"/>
                <w:sz w:val="15"/>
                <w:szCs w:val="15"/>
              </w:rPr>
              <w:t>2.5</w:t>
            </w:r>
            <w:r>
              <w:rPr>
                <w:rFonts w:ascii="Times New Roman" w:hAnsi="Times New Roman" w:eastAsia="Times New Roman" w:cs="Times New Roman"/>
                <w:color w:val="auto"/>
                <w:spacing w:val="5"/>
                <w:position w:val="-1"/>
                <w:sz w:val="15"/>
                <w:szCs w:val="15"/>
              </w:rPr>
              <w:t xml:space="preserve"> </w:t>
            </w:r>
            <w:r>
              <w:rPr>
                <w:color w:val="auto"/>
                <w:spacing w:val="-2"/>
              </w:rPr>
              <w:t>、</w:t>
            </w:r>
            <w:r>
              <w:rPr>
                <w:rFonts w:ascii="Times New Roman" w:hAnsi="Times New Roman" w:eastAsia="Times New Roman" w:cs="Times New Roman"/>
                <w:color w:val="auto"/>
                <w:spacing w:val="-2"/>
              </w:rPr>
              <w:t>PM</w:t>
            </w:r>
            <w:r>
              <w:rPr>
                <w:rFonts w:ascii="Times New Roman" w:hAnsi="Times New Roman" w:eastAsia="Times New Roman" w:cs="Times New Roman"/>
                <w:color w:val="auto"/>
                <w:spacing w:val="-2"/>
                <w:position w:val="-1"/>
                <w:sz w:val="15"/>
                <w:szCs w:val="15"/>
              </w:rPr>
              <w:t>10</w:t>
            </w:r>
            <w:r>
              <w:rPr>
                <w:rFonts w:ascii="Times New Roman" w:hAnsi="Times New Roman" w:eastAsia="Times New Roman" w:cs="Times New Roman"/>
                <w:color w:val="auto"/>
                <w:spacing w:val="-12"/>
                <w:position w:val="-1"/>
                <w:sz w:val="15"/>
                <w:szCs w:val="15"/>
              </w:rPr>
              <w:t xml:space="preserve"> </w:t>
            </w:r>
            <w:r>
              <w:rPr>
                <w:color w:val="auto"/>
                <w:spacing w:val="-2"/>
              </w:rPr>
              <w:t>、一氧化碳、臭氧浓度均达标。</w:t>
            </w:r>
          </w:p>
          <w:p w14:paraId="559D9F3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b/>
                <w:bCs/>
                <w:color w:val="auto"/>
                <w:szCs w:val="21"/>
              </w:rPr>
            </w:pPr>
            <w:r>
              <w:rPr>
                <w:b/>
                <w:bCs/>
                <w:color w:val="auto"/>
                <w:sz w:val="24"/>
                <w:szCs w:val="24"/>
              </w:rPr>
              <w:t xml:space="preserve">表3-1  </w:t>
            </w:r>
            <w:r>
              <w:rPr>
                <w:rFonts w:hint="eastAsia"/>
                <w:b/>
                <w:bCs/>
                <w:color w:val="auto"/>
                <w:sz w:val="24"/>
                <w:szCs w:val="24"/>
                <w:lang w:val="en-US" w:eastAsia="zh-CN"/>
              </w:rPr>
              <w:t>防城港市</w:t>
            </w:r>
            <w:r>
              <w:rPr>
                <w:rFonts w:hint="eastAsia"/>
                <w:b/>
                <w:bCs/>
                <w:color w:val="auto"/>
                <w:sz w:val="24"/>
                <w:szCs w:val="24"/>
              </w:rPr>
              <w:t>空气质量现状评价表</w:t>
            </w:r>
          </w:p>
          <w:tbl>
            <w:tblPr>
              <w:tblStyle w:val="29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6"/>
              <w:gridCol w:w="1850"/>
              <w:gridCol w:w="1438"/>
              <w:gridCol w:w="1266"/>
              <w:gridCol w:w="1252"/>
              <w:gridCol w:w="1353"/>
            </w:tblGrid>
            <w:tr w14:paraId="0A23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6" w:type="pct"/>
                  <w:vAlign w:val="center"/>
                </w:tcPr>
                <w:p w14:paraId="2134D5EA">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污染物</w:t>
                  </w:r>
                </w:p>
              </w:tc>
              <w:tc>
                <w:tcPr>
                  <w:tcW w:w="1099" w:type="pct"/>
                  <w:vAlign w:val="center"/>
                </w:tcPr>
                <w:p w14:paraId="5591ED4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年评价指标</w:t>
                  </w:r>
                </w:p>
              </w:tc>
              <w:tc>
                <w:tcPr>
                  <w:tcW w:w="854" w:type="pct"/>
                  <w:vAlign w:val="center"/>
                </w:tcPr>
                <w:p w14:paraId="1828F5B8">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二级标准限值</w:t>
                  </w:r>
                  <w:r>
                    <w:rPr>
                      <w:rFonts w:hint="default"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7"/>
                      <w:sz w:val="21"/>
                      <w:szCs w:val="21"/>
                      <w:lang w:val="en-US" w:eastAsia="zh-CN"/>
                    </w:rPr>
                    <w:t>过渡阶段</w:t>
                  </w:r>
                  <w:r>
                    <w:rPr>
                      <w:rFonts w:hint="default" w:ascii="Times New Roman" w:hAnsi="Times New Roman" w:eastAsia="宋体" w:cs="Times New Roman"/>
                      <w:color w:val="auto"/>
                      <w:spacing w:val="7"/>
                      <w:sz w:val="21"/>
                      <w:szCs w:val="21"/>
                      <w:lang w:eastAsia="zh-CN"/>
                    </w:rPr>
                    <w:t>）</w:t>
                  </w:r>
                  <w:r>
                    <w:rPr>
                      <w:rFonts w:hint="default" w:ascii="Times New Roman" w:hAnsi="Times New Roman" w:eastAsia="宋体" w:cs="Times New Roman"/>
                      <w:color w:val="auto"/>
                      <w:spacing w:val="2"/>
                      <w:sz w:val="21"/>
                      <w:szCs w:val="21"/>
                    </w:rPr>
                    <w:t>(μg/m</w:t>
                  </w:r>
                  <w:r>
                    <w:rPr>
                      <w:rFonts w:hint="eastAsia" w:ascii="Times New Roman" w:hAnsi="Times New Roman"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rPr>
                    <w:t>)</w:t>
                  </w:r>
                </w:p>
              </w:tc>
              <w:tc>
                <w:tcPr>
                  <w:tcW w:w="752" w:type="pct"/>
                  <w:vAlign w:val="center"/>
                </w:tcPr>
                <w:p w14:paraId="19768968">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现状浓度</w:t>
                  </w:r>
                  <w:r>
                    <w:rPr>
                      <w:rFonts w:hint="default" w:ascii="Times New Roman" w:hAnsi="Times New Roman" w:eastAsia="宋体" w:cs="Times New Roman"/>
                      <w:color w:val="auto"/>
                      <w:spacing w:val="2"/>
                      <w:sz w:val="21"/>
                      <w:szCs w:val="21"/>
                    </w:rPr>
                    <w:t>(μg/m</w:t>
                  </w:r>
                  <w:r>
                    <w:rPr>
                      <w:rFonts w:hint="eastAsia" w:ascii="Times New Roman" w:hAnsi="Times New Roman"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rPr>
                    <w:t>)</w:t>
                  </w:r>
                </w:p>
              </w:tc>
              <w:tc>
                <w:tcPr>
                  <w:tcW w:w="744" w:type="pct"/>
                  <w:vAlign w:val="center"/>
                </w:tcPr>
                <w:p w14:paraId="2130F005">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占标率%</w:t>
                  </w:r>
                </w:p>
              </w:tc>
              <w:tc>
                <w:tcPr>
                  <w:tcW w:w="803" w:type="pct"/>
                  <w:vAlign w:val="center"/>
                </w:tcPr>
                <w:p w14:paraId="34010B9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达标情况</w:t>
                  </w:r>
                </w:p>
              </w:tc>
            </w:tr>
            <w:tr w14:paraId="38C2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6" w:type="pct"/>
                  <w:vAlign w:val="center"/>
                </w:tcPr>
                <w:p w14:paraId="3382661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pacing w:val="1"/>
                      <w:position w:val="-1"/>
                      <w:sz w:val="21"/>
                      <w:szCs w:val="21"/>
                      <w:vertAlign w:val="subscript"/>
                    </w:rPr>
                    <w:t>2</w:t>
                  </w:r>
                </w:p>
              </w:tc>
              <w:tc>
                <w:tcPr>
                  <w:tcW w:w="1099" w:type="pct"/>
                  <w:vAlign w:val="center"/>
                </w:tcPr>
                <w:p w14:paraId="3C163AC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854" w:type="pct"/>
                  <w:vAlign w:val="center"/>
                </w:tcPr>
                <w:p w14:paraId="58EA7B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752" w:type="pct"/>
                  <w:vAlign w:val="center"/>
                </w:tcPr>
                <w:p w14:paraId="4CCA96A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744" w:type="pct"/>
                  <w:vAlign w:val="center"/>
                </w:tcPr>
                <w:p w14:paraId="477190E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8.3</w:t>
                  </w:r>
                </w:p>
              </w:tc>
              <w:tc>
                <w:tcPr>
                  <w:tcW w:w="803" w:type="pct"/>
                  <w:vAlign w:val="center"/>
                </w:tcPr>
                <w:p w14:paraId="085079EC">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0C1E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6" w:type="pct"/>
                  <w:vAlign w:val="center"/>
                </w:tcPr>
                <w:p w14:paraId="266EA8C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NO</w:t>
                  </w:r>
                  <w:r>
                    <w:rPr>
                      <w:rFonts w:hint="default" w:ascii="Times New Roman" w:hAnsi="Times New Roman" w:eastAsia="宋体" w:cs="Times New Roman"/>
                      <w:color w:val="auto"/>
                      <w:spacing w:val="6"/>
                      <w:position w:val="-1"/>
                      <w:sz w:val="21"/>
                      <w:szCs w:val="21"/>
                      <w:vertAlign w:val="subscript"/>
                    </w:rPr>
                    <w:t>2</w:t>
                  </w:r>
                </w:p>
              </w:tc>
              <w:tc>
                <w:tcPr>
                  <w:tcW w:w="1099" w:type="pct"/>
                  <w:vAlign w:val="center"/>
                </w:tcPr>
                <w:p w14:paraId="5DE40E3F">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854" w:type="pct"/>
                  <w:vAlign w:val="center"/>
                </w:tcPr>
                <w:p w14:paraId="3B7CE79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40</w:t>
                  </w:r>
                </w:p>
              </w:tc>
              <w:tc>
                <w:tcPr>
                  <w:tcW w:w="752" w:type="pct"/>
                  <w:vAlign w:val="center"/>
                </w:tcPr>
                <w:p w14:paraId="749305E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8"/>
                      <w:sz w:val="21"/>
                      <w:szCs w:val="21"/>
                      <w:lang w:val="en-US" w:eastAsia="zh-CN"/>
                    </w:rPr>
                    <w:t>14</w:t>
                  </w:r>
                </w:p>
              </w:tc>
              <w:tc>
                <w:tcPr>
                  <w:tcW w:w="744" w:type="pct"/>
                  <w:vAlign w:val="center"/>
                </w:tcPr>
                <w:p w14:paraId="2FF2422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803" w:type="pct"/>
                  <w:vAlign w:val="center"/>
                </w:tcPr>
                <w:p w14:paraId="030B0BB9">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45FE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6" w:type="pct"/>
                  <w:vAlign w:val="center"/>
                </w:tcPr>
                <w:p w14:paraId="32C2795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pacing w:val="8"/>
                      <w:position w:val="-1"/>
                      <w:sz w:val="21"/>
                      <w:szCs w:val="21"/>
                      <w:vertAlign w:val="subscript"/>
                    </w:rPr>
                    <w:t>10</w:t>
                  </w:r>
                </w:p>
              </w:tc>
              <w:tc>
                <w:tcPr>
                  <w:tcW w:w="1099" w:type="pct"/>
                  <w:vAlign w:val="center"/>
                </w:tcPr>
                <w:p w14:paraId="709B4299">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小时平均第95位百分位数</w:t>
                  </w:r>
                </w:p>
              </w:tc>
              <w:tc>
                <w:tcPr>
                  <w:tcW w:w="854" w:type="pct"/>
                  <w:vAlign w:val="center"/>
                </w:tcPr>
                <w:p w14:paraId="1BCB1C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1"/>
                      <w:sz w:val="21"/>
                      <w:szCs w:val="21"/>
                      <w:lang w:val="en-US" w:eastAsia="zh-CN"/>
                    </w:rPr>
                    <w:t>60</w:t>
                  </w:r>
                </w:p>
              </w:tc>
              <w:tc>
                <w:tcPr>
                  <w:tcW w:w="752" w:type="pct"/>
                  <w:vAlign w:val="center"/>
                </w:tcPr>
                <w:p w14:paraId="679C270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3"/>
                      <w:sz w:val="21"/>
                      <w:szCs w:val="21"/>
                      <w:lang w:val="en-US" w:eastAsia="zh-CN"/>
                    </w:rPr>
                    <w:t>41</w:t>
                  </w:r>
                </w:p>
              </w:tc>
              <w:tc>
                <w:tcPr>
                  <w:tcW w:w="744" w:type="pct"/>
                  <w:vAlign w:val="center"/>
                </w:tcPr>
                <w:p w14:paraId="6FDC78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68.3</w:t>
                  </w:r>
                </w:p>
              </w:tc>
              <w:tc>
                <w:tcPr>
                  <w:tcW w:w="803" w:type="pct"/>
                  <w:vAlign w:val="center"/>
                </w:tcPr>
                <w:p w14:paraId="235439B9">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4880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6" w:type="pct"/>
                  <w:vAlign w:val="center"/>
                </w:tcPr>
                <w:p w14:paraId="31005EF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pacing w:val="6"/>
                      <w:position w:val="-1"/>
                      <w:sz w:val="21"/>
                      <w:szCs w:val="21"/>
                      <w:vertAlign w:val="subscript"/>
                    </w:rPr>
                    <w:t>2.5</w:t>
                  </w:r>
                </w:p>
              </w:tc>
              <w:tc>
                <w:tcPr>
                  <w:tcW w:w="1099" w:type="pct"/>
                  <w:vAlign w:val="center"/>
                </w:tcPr>
                <w:p w14:paraId="6B644BAB">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854" w:type="pct"/>
                  <w:vAlign w:val="center"/>
                </w:tcPr>
                <w:p w14:paraId="0022A38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752" w:type="pct"/>
                  <w:vAlign w:val="center"/>
                </w:tcPr>
                <w:p w14:paraId="3275D4B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2"/>
                      <w:sz w:val="21"/>
                      <w:szCs w:val="21"/>
                      <w:lang w:val="en-US" w:eastAsia="zh-CN"/>
                    </w:rPr>
                    <w:t>23.1</w:t>
                  </w:r>
                </w:p>
              </w:tc>
              <w:tc>
                <w:tcPr>
                  <w:tcW w:w="744" w:type="pct"/>
                  <w:vAlign w:val="center"/>
                </w:tcPr>
                <w:p w14:paraId="5CB1E77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77</w:t>
                  </w:r>
                </w:p>
              </w:tc>
              <w:tc>
                <w:tcPr>
                  <w:tcW w:w="803" w:type="pct"/>
                  <w:vAlign w:val="center"/>
                </w:tcPr>
                <w:p w14:paraId="7E3DC6B5">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36B5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6" w:type="pct"/>
                  <w:vAlign w:val="center"/>
                </w:tcPr>
                <w:p w14:paraId="5DE2453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CO</w:t>
                  </w:r>
                </w:p>
              </w:tc>
              <w:tc>
                <w:tcPr>
                  <w:tcW w:w="1099" w:type="pct"/>
                  <w:vAlign w:val="center"/>
                </w:tcPr>
                <w:p w14:paraId="5DE0A76E">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年平均质量浓度</w:t>
                  </w:r>
                </w:p>
              </w:tc>
              <w:tc>
                <w:tcPr>
                  <w:tcW w:w="854" w:type="pct"/>
                  <w:vAlign w:val="center"/>
                </w:tcPr>
                <w:p w14:paraId="031BC48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7"/>
                      <w:sz w:val="21"/>
                      <w:szCs w:val="21"/>
                    </w:rPr>
                    <w:t>4</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pacing w:val="7"/>
                      <w:sz w:val="21"/>
                      <w:szCs w:val="21"/>
                    </w:rPr>
                    <w:t>/m</w:t>
                  </w:r>
                  <w:r>
                    <w:rPr>
                      <w:rFonts w:hint="eastAsia" w:cs="Times New Roman"/>
                      <w:color w:val="auto"/>
                      <w:spacing w:val="7"/>
                      <w:sz w:val="21"/>
                      <w:szCs w:val="21"/>
                      <w:vertAlign w:val="superscript"/>
                      <w:lang w:val="en-US" w:eastAsia="zh-CN"/>
                    </w:rPr>
                    <w:t>3</w:t>
                  </w:r>
                </w:p>
              </w:tc>
              <w:tc>
                <w:tcPr>
                  <w:tcW w:w="752" w:type="pct"/>
                  <w:vAlign w:val="center"/>
                </w:tcPr>
                <w:p w14:paraId="549311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pacing w:val="5"/>
                      <w:sz w:val="21"/>
                      <w:szCs w:val="21"/>
                      <w:lang w:val="en-US" w:eastAsia="zh-CN"/>
                    </w:rPr>
                    <w:t>1.0</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pacing w:val="5"/>
                      <w:sz w:val="21"/>
                      <w:szCs w:val="21"/>
                    </w:rPr>
                    <w:t>/m</w:t>
                  </w:r>
                  <w:r>
                    <w:rPr>
                      <w:rFonts w:hint="eastAsia" w:cs="Times New Roman"/>
                      <w:color w:val="auto"/>
                      <w:spacing w:val="5"/>
                      <w:sz w:val="21"/>
                      <w:szCs w:val="21"/>
                      <w:vertAlign w:val="superscript"/>
                      <w:lang w:val="en-US" w:eastAsia="zh-CN"/>
                    </w:rPr>
                    <w:t>3</w:t>
                  </w:r>
                </w:p>
              </w:tc>
              <w:tc>
                <w:tcPr>
                  <w:tcW w:w="744" w:type="pct"/>
                  <w:vAlign w:val="center"/>
                </w:tcPr>
                <w:p w14:paraId="7A0FD8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803" w:type="pct"/>
                  <w:vAlign w:val="center"/>
                </w:tcPr>
                <w:p w14:paraId="2B14D3C0">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4A00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6" w:type="pct"/>
                  <w:vAlign w:val="center"/>
                </w:tcPr>
                <w:p w14:paraId="6CCA1D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O</w:t>
                  </w:r>
                  <w:r>
                    <w:rPr>
                      <w:rFonts w:hint="default" w:ascii="Times New Roman" w:hAnsi="Times New Roman" w:eastAsia="宋体" w:cs="Times New Roman"/>
                      <w:color w:val="auto"/>
                      <w:spacing w:val="1"/>
                      <w:position w:val="-1"/>
                      <w:sz w:val="21"/>
                      <w:szCs w:val="21"/>
                      <w:vertAlign w:val="subscript"/>
                    </w:rPr>
                    <w:t>3</w:t>
                  </w:r>
                </w:p>
              </w:tc>
              <w:tc>
                <w:tcPr>
                  <w:tcW w:w="1099" w:type="pct"/>
                  <w:vAlign w:val="center"/>
                </w:tcPr>
                <w:p w14:paraId="04FACF4B">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eastAsia" w:ascii="Times New Roman" w:hAnsi="Times New Roman" w:cs="Times New Roman"/>
                      <w:color w:val="auto"/>
                      <w:position w:val="-1"/>
                      <w:sz w:val="21"/>
                      <w:szCs w:val="21"/>
                      <w:vertAlign w:val="subscript"/>
                      <w:lang w:val="en-US" w:eastAsia="zh-CN"/>
                    </w:rPr>
                    <w:t>3</w:t>
                  </w:r>
                  <w:r>
                    <w:rPr>
                      <w:rFonts w:hint="default" w:ascii="Times New Roman" w:hAnsi="Times New Roman" w:eastAsia="宋体" w:cs="Times New Roman"/>
                      <w:color w:val="auto"/>
                      <w:sz w:val="21"/>
                      <w:szCs w:val="21"/>
                    </w:rPr>
                    <w:t>日最大8h平均第</w:t>
                  </w:r>
                  <w:r>
                    <w:rPr>
                      <w:rFonts w:hint="default" w:ascii="Times New Roman" w:hAnsi="Times New Roman" w:eastAsia="宋体" w:cs="Times New Roman"/>
                      <w:color w:val="auto"/>
                      <w:spacing w:val="4"/>
                      <w:sz w:val="21"/>
                      <w:szCs w:val="21"/>
                    </w:rPr>
                    <w:t>90百分位数</w:t>
                  </w:r>
                </w:p>
              </w:tc>
              <w:tc>
                <w:tcPr>
                  <w:tcW w:w="854" w:type="pct"/>
                  <w:vAlign w:val="center"/>
                </w:tcPr>
                <w:p w14:paraId="3308F29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160</w:t>
                  </w:r>
                </w:p>
              </w:tc>
              <w:tc>
                <w:tcPr>
                  <w:tcW w:w="752" w:type="pct"/>
                  <w:vAlign w:val="center"/>
                </w:tcPr>
                <w:p w14:paraId="22CFB1D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6"/>
                      <w:sz w:val="21"/>
                      <w:szCs w:val="21"/>
                      <w:lang w:val="en-US" w:eastAsia="zh-CN"/>
                    </w:rPr>
                    <w:t>113</w:t>
                  </w:r>
                </w:p>
              </w:tc>
              <w:tc>
                <w:tcPr>
                  <w:tcW w:w="744" w:type="pct"/>
                  <w:vAlign w:val="center"/>
                </w:tcPr>
                <w:p w14:paraId="06AB346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70.625</w:t>
                  </w:r>
                </w:p>
              </w:tc>
              <w:tc>
                <w:tcPr>
                  <w:tcW w:w="803" w:type="pct"/>
                  <w:vAlign w:val="center"/>
                </w:tcPr>
                <w:p w14:paraId="4928AC9E">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达标</w:t>
                  </w:r>
                </w:p>
              </w:tc>
            </w:tr>
            <w:tr w14:paraId="319C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845" w:type="pct"/>
                  <w:gridSpan w:val="2"/>
                  <w:vAlign w:val="center"/>
                </w:tcPr>
                <w:p w14:paraId="6FA2AEEB">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空气质量综合指数</w:t>
                  </w:r>
                </w:p>
              </w:tc>
              <w:tc>
                <w:tcPr>
                  <w:tcW w:w="3154" w:type="pct"/>
                  <w:gridSpan w:val="4"/>
                  <w:vAlign w:val="center"/>
                </w:tcPr>
                <w:p w14:paraId="3D534A0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2"/>
                      <w:sz w:val="21"/>
                      <w:szCs w:val="21"/>
                      <w:lang w:val="en-US" w:eastAsia="zh-CN"/>
                    </w:rPr>
                    <w:t>2.64</w:t>
                  </w:r>
                </w:p>
              </w:tc>
            </w:tr>
            <w:tr w14:paraId="394C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845" w:type="pct"/>
                  <w:gridSpan w:val="2"/>
                  <w:vAlign w:val="center"/>
                </w:tcPr>
                <w:p w14:paraId="43C1F778">
                  <w:pPr>
                    <w:pStyle w:val="34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空气质量优良天数比率</w:t>
                  </w:r>
                </w:p>
              </w:tc>
              <w:tc>
                <w:tcPr>
                  <w:tcW w:w="3154" w:type="pct"/>
                  <w:gridSpan w:val="4"/>
                  <w:vAlign w:val="center"/>
                </w:tcPr>
                <w:p w14:paraId="0FE667A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98.</w:t>
                  </w:r>
                  <w:r>
                    <w:rPr>
                      <w:rFonts w:hint="eastAsia" w:cs="Times New Roman"/>
                      <w:color w:val="auto"/>
                      <w:spacing w:val="3"/>
                      <w:sz w:val="21"/>
                      <w:szCs w:val="21"/>
                      <w:lang w:val="en-US" w:eastAsia="zh-CN"/>
                    </w:rPr>
                    <w:t>4</w:t>
                  </w:r>
                  <w:r>
                    <w:rPr>
                      <w:rFonts w:hint="default" w:ascii="Times New Roman" w:hAnsi="Times New Roman" w:eastAsia="宋体" w:cs="Times New Roman"/>
                      <w:color w:val="auto"/>
                      <w:spacing w:val="3"/>
                      <w:sz w:val="21"/>
                      <w:szCs w:val="21"/>
                    </w:rPr>
                    <w:t>%</w:t>
                  </w:r>
                </w:p>
              </w:tc>
            </w:tr>
          </w:tbl>
          <w:p w14:paraId="18BF7539">
            <w:pPr>
              <w:pStyle w:val="349"/>
              <w:spacing w:before="195" w:line="378" w:lineRule="auto"/>
              <w:ind w:left="106" w:right="21" w:firstLine="509"/>
              <w:rPr>
                <w:color w:val="auto"/>
              </w:rPr>
            </w:pPr>
            <w:r>
              <w:rPr>
                <w:color w:val="auto"/>
                <w:spacing w:val="-3"/>
              </w:rPr>
              <w:t>由上表可知，</w:t>
            </w:r>
            <w:r>
              <w:rPr>
                <w:rFonts w:ascii="Times New Roman" w:hAnsi="Times New Roman" w:eastAsia="Times New Roman" w:cs="Times New Roman"/>
                <w:color w:val="auto"/>
                <w:spacing w:val="-3"/>
              </w:rPr>
              <w:t>202</w:t>
            </w:r>
            <w:r>
              <w:rPr>
                <w:rFonts w:hint="eastAsia" w:ascii="Times New Roman" w:hAnsi="Times New Roman" w:cs="Times New Roman"/>
                <w:color w:val="auto"/>
                <w:spacing w:val="-3"/>
                <w:lang w:val="en-US" w:eastAsia="zh-CN"/>
              </w:rPr>
              <w:t>5</w:t>
            </w:r>
            <w:r>
              <w:rPr>
                <w:color w:val="auto"/>
                <w:spacing w:val="-3"/>
              </w:rPr>
              <w:t>年防城港市</w:t>
            </w:r>
            <w:r>
              <w:rPr>
                <w:rFonts w:ascii="Times New Roman" w:hAnsi="Times New Roman" w:eastAsia="Times New Roman" w:cs="Times New Roman"/>
                <w:color w:val="auto"/>
                <w:spacing w:val="-3"/>
              </w:rPr>
              <w:t>SO</w:t>
            </w:r>
            <w:r>
              <w:rPr>
                <w:rFonts w:ascii="Times New Roman" w:hAnsi="Times New Roman" w:eastAsia="Times New Roman" w:cs="Times New Roman"/>
                <w:color w:val="auto"/>
                <w:spacing w:val="-3"/>
                <w:position w:val="-1"/>
                <w:sz w:val="15"/>
                <w:szCs w:val="15"/>
              </w:rPr>
              <w:t>2</w:t>
            </w:r>
            <w:r>
              <w:rPr>
                <w:color w:val="auto"/>
                <w:spacing w:val="-3"/>
              </w:rPr>
              <w:t>、</w:t>
            </w:r>
            <w:r>
              <w:rPr>
                <w:rFonts w:ascii="Times New Roman" w:hAnsi="Times New Roman" w:eastAsia="Times New Roman" w:cs="Times New Roman"/>
                <w:color w:val="auto"/>
                <w:spacing w:val="-3"/>
              </w:rPr>
              <w:t>NO</w:t>
            </w:r>
            <w:r>
              <w:rPr>
                <w:rFonts w:ascii="Times New Roman" w:hAnsi="Times New Roman" w:eastAsia="Times New Roman" w:cs="Times New Roman"/>
                <w:color w:val="auto"/>
                <w:spacing w:val="-3"/>
                <w:position w:val="-1"/>
                <w:sz w:val="15"/>
                <w:szCs w:val="15"/>
              </w:rPr>
              <w:t>2</w:t>
            </w:r>
            <w:r>
              <w:rPr>
                <w:color w:val="auto"/>
                <w:spacing w:val="-3"/>
              </w:rPr>
              <w:t>、</w:t>
            </w:r>
            <w:r>
              <w:rPr>
                <w:rFonts w:ascii="Times New Roman" w:hAnsi="Times New Roman" w:eastAsia="Times New Roman" w:cs="Times New Roman"/>
                <w:color w:val="auto"/>
                <w:spacing w:val="-3"/>
              </w:rPr>
              <w:t>PM</w:t>
            </w:r>
            <w:r>
              <w:rPr>
                <w:rFonts w:ascii="Times New Roman" w:hAnsi="Times New Roman" w:eastAsia="Times New Roman" w:cs="Times New Roman"/>
                <w:color w:val="auto"/>
                <w:spacing w:val="-3"/>
                <w:position w:val="-1"/>
                <w:sz w:val="15"/>
                <w:szCs w:val="15"/>
              </w:rPr>
              <w:t>2.5</w:t>
            </w:r>
            <w:r>
              <w:rPr>
                <w:color w:val="auto"/>
                <w:spacing w:val="-3"/>
              </w:rPr>
              <w:t>、</w:t>
            </w:r>
            <w:r>
              <w:rPr>
                <w:rFonts w:ascii="Times New Roman" w:hAnsi="Times New Roman" w:eastAsia="Times New Roman" w:cs="Times New Roman"/>
                <w:color w:val="auto"/>
                <w:spacing w:val="-3"/>
              </w:rPr>
              <w:t>PM</w:t>
            </w:r>
            <w:r>
              <w:rPr>
                <w:rFonts w:ascii="Times New Roman" w:hAnsi="Times New Roman" w:eastAsia="Times New Roman" w:cs="Times New Roman"/>
                <w:color w:val="auto"/>
                <w:spacing w:val="-3"/>
                <w:position w:val="-1"/>
                <w:sz w:val="15"/>
                <w:szCs w:val="15"/>
              </w:rPr>
              <w:t>10</w:t>
            </w:r>
            <w:r>
              <w:rPr>
                <w:color w:val="auto"/>
                <w:spacing w:val="-4"/>
              </w:rPr>
              <w:t>平均质量浓度、</w:t>
            </w:r>
            <w:r>
              <w:rPr>
                <w:rFonts w:ascii="Times New Roman" w:hAnsi="Times New Roman" w:eastAsia="Times New Roman" w:cs="Times New Roman"/>
                <w:color w:val="auto"/>
                <w:spacing w:val="-7"/>
              </w:rPr>
              <w:t>CO</w:t>
            </w:r>
            <w:r>
              <w:rPr>
                <w:color w:val="auto"/>
                <w:spacing w:val="-7"/>
              </w:rPr>
              <w:t>小时平均第</w:t>
            </w:r>
            <w:r>
              <w:rPr>
                <w:rFonts w:ascii="Times New Roman" w:hAnsi="Times New Roman" w:eastAsia="Times New Roman" w:cs="Times New Roman"/>
                <w:color w:val="auto"/>
                <w:spacing w:val="-7"/>
              </w:rPr>
              <w:t>95</w:t>
            </w:r>
            <w:r>
              <w:rPr>
                <w:color w:val="auto"/>
                <w:spacing w:val="-7"/>
              </w:rPr>
              <w:t>位百分位数、</w:t>
            </w:r>
            <w:r>
              <w:rPr>
                <w:rFonts w:ascii="Times New Roman" w:hAnsi="Times New Roman" w:eastAsia="Times New Roman" w:cs="Times New Roman"/>
                <w:color w:val="auto"/>
                <w:spacing w:val="-7"/>
              </w:rPr>
              <w:t>O</w:t>
            </w:r>
            <w:r>
              <w:rPr>
                <w:rFonts w:ascii="Times New Roman" w:hAnsi="Times New Roman" w:eastAsia="Times New Roman" w:cs="Times New Roman"/>
                <w:color w:val="auto"/>
                <w:spacing w:val="-7"/>
                <w:position w:val="-1"/>
                <w:sz w:val="15"/>
                <w:szCs w:val="15"/>
              </w:rPr>
              <w:t>3</w:t>
            </w:r>
            <w:r>
              <w:rPr>
                <w:color w:val="auto"/>
                <w:spacing w:val="-7"/>
              </w:rPr>
              <w:t>日最大</w:t>
            </w:r>
            <w:r>
              <w:rPr>
                <w:rFonts w:ascii="Times New Roman" w:hAnsi="Times New Roman" w:eastAsia="Times New Roman" w:cs="Times New Roman"/>
                <w:color w:val="auto"/>
                <w:spacing w:val="-7"/>
              </w:rPr>
              <w:t>8h</w:t>
            </w:r>
            <w:r>
              <w:rPr>
                <w:color w:val="auto"/>
                <w:spacing w:val="-7"/>
              </w:rPr>
              <w:t>平均第</w:t>
            </w:r>
            <w:r>
              <w:rPr>
                <w:rFonts w:ascii="Times New Roman" w:hAnsi="Times New Roman" w:eastAsia="Times New Roman" w:cs="Times New Roman"/>
                <w:color w:val="auto"/>
                <w:spacing w:val="-7"/>
              </w:rPr>
              <w:t>90</w:t>
            </w:r>
            <w:r>
              <w:rPr>
                <w:color w:val="auto"/>
                <w:spacing w:val="-7"/>
              </w:rPr>
              <w:t>百分位数均达到《环</w:t>
            </w:r>
            <w:r>
              <w:rPr>
                <w:color w:val="auto"/>
                <w:spacing w:val="-1"/>
              </w:rPr>
              <w:t>境空气质量标准》（</w:t>
            </w:r>
            <w:r>
              <w:rPr>
                <w:rFonts w:ascii="Times New Roman" w:hAnsi="Times New Roman" w:eastAsia="Times New Roman" w:cs="Times New Roman"/>
                <w:color w:val="auto"/>
                <w:spacing w:val="-1"/>
              </w:rPr>
              <w:t>GB3095-20</w:t>
            </w:r>
            <w:r>
              <w:rPr>
                <w:rFonts w:hint="eastAsia" w:ascii="Times New Roman" w:hAnsi="Times New Roman" w:eastAsia="宋体" w:cs="Times New Roman"/>
                <w:color w:val="auto"/>
                <w:spacing w:val="-1"/>
                <w:lang w:val="en-US" w:eastAsia="zh-CN"/>
              </w:rPr>
              <w:t>26</w:t>
            </w:r>
            <w:r>
              <w:rPr>
                <w:color w:val="auto"/>
                <w:spacing w:val="-1"/>
              </w:rPr>
              <w:t>）二级标准</w:t>
            </w:r>
            <w:r>
              <w:rPr>
                <w:rFonts w:hint="eastAsia"/>
                <w:color w:val="auto"/>
                <w:spacing w:val="-1"/>
                <w:lang w:val="en-US" w:eastAsia="zh-CN"/>
              </w:rPr>
              <w:t>过渡阶段限值</w:t>
            </w:r>
            <w:r>
              <w:rPr>
                <w:color w:val="auto"/>
                <w:spacing w:val="-1"/>
              </w:rPr>
              <w:t>。</w:t>
            </w:r>
          </w:p>
          <w:p w14:paraId="5B981C99">
            <w:pPr>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3、水环境质量现状</w:t>
            </w:r>
          </w:p>
          <w:p w14:paraId="21335102">
            <w:pPr>
              <w:keepNext w:val="0"/>
              <w:keepLines w:val="0"/>
              <w:pageBreakBefore w:val="0"/>
              <w:widowControl/>
              <w:suppressLineNumbers w:val="0"/>
              <w:kinsoku/>
              <w:wordWrap/>
              <w:overflowPunct/>
              <w:topLinePunct w:val="0"/>
              <w:autoSpaceDE/>
              <w:autoSpaceDN/>
              <w:bidi w:val="0"/>
              <w:adjustRightInd/>
              <w:snapToGrid/>
              <w:spacing w:line="360" w:lineRule="auto"/>
              <w:ind w:firstLine="468" w:firstLineChars="200"/>
              <w:jc w:val="both"/>
              <w:textAlignment w:val="auto"/>
              <w:rPr>
                <w:rFonts w:hint="eastAsia" w:cs="Times New Roman"/>
                <w:color w:val="auto"/>
                <w:spacing w:val="-3"/>
                <w:kern w:val="2"/>
                <w:sz w:val="24"/>
                <w:szCs w:val="24"/>
                <w:lang w:val="en-US" w:eastAsia="zh-CN" w:bidi="ar-SA"/>
              </w:rPr>
            </w:pPr>
            <w:r>
              <w:rPr>
                <w:rFonts w:ascii="Times New Roman" w:hAnsi="Times New Roman" w:eastAsia="宋体" w:cs="Times New Roman"/>
                <w:color w:val="auto"/>
                <w:spacing w:val="-3"/>
                <w:kern w:val="2"/>
                <w:sz w:val="24"/>
                <w:szCs w:val="24"/>
                <w:lang w:val="en-US" w:eastAsia="en-US" w:bidi="ar-SA"/>
              </w:rPr>
              <w:t>根据《广西壮族自治区近岸海域环境功能区划调整方案》，项</w:t>
            </w:r>
            <w:r>
              <w:rPr>
                <w:rFonts w:hint="default" w:ascii="Times New Roman" w:hAnsi="Times New Roman" w:eastAsia="宋体" w:cs="Times New Roman"/>
                <w:color w:val="auto"/>
                <w:spacing w:val="-3"/>
                <w:kern w:val="2"/>
                <w:sz w:val="24"/>
                <w:szCs w:val="24"/>
                <w:lang w:val="en-US" w:eastAsia="en-US" w:bidi="ar-SA"/>
              </w:rPr>
              <w:t>目</w:t>
            </w:r>
            <w:r>
              <w:rPr>
                <w:rFonts w:hint="eastAsia" w:cs="Times New Roman"/>
                <w:color w:val="auto"/>
                <w:spacing w:val="-3"/>
                <w:kern w:val="2"/>
                <w:sz w:val="24"/>
                <w:szCs w:val="24"/>
                <w:lang w:val="en-US" w:eastAsia="zh-CN" w:bidi="ar-SA"/>
              </w:rPr>
              <w:t>最近海域为防城港市东湾红树林生态区（GX082BⅡ）、防城港市东湾交通用海区（GX083CⅢ）。</w:t>
            </w:r>
            <w:r>
              <w:rPr>
                <w:rFonts w:hint="eastAsia" w:cs="Times New Roman"/>
                <w:color w:val="auto"/>
                <w:spacing w:val="-3"/>
                <w:kern w:val="2"/>
                <w:sz w:val="24"/>
                <w:szCs w:val="24"/>
                <w:lang w:val="en-US" w:eastAsia="zh-CN" w:bidi="ar-SA"/>
              </w:rPr>
              <w:drawing>
                <wp:inline distT="0" distB="0" distL="114300" distR="114300">
                  <wp:extent cx="5326380" cy="3762375"/>
                  <wp:effectExtent l="12700" t="12700" r="13970" b="1587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2"/>
                          <a:stretch>
                            <a:fillRect/>
                          </a:stretch>
                        </pic:blipFill>
                        <pic:spPr>
                          <a:xfrm>
                            <a:off x="0" y="0"/>
                            <a:ext cx="5326380" cy="3762375"/>
                          </a:xfrm>
                          <a:prstGeom prst="rect">
                            <a:avLst/>
                          </a:prstGeom>
                          <a:noFill/>
                          <a:ln w="12700">
                            <a:solidFill>
                              <a:schemeClr val="tx1"/>
                            </a:solidFill>
                          </a:ln>
                        </pic:spPr>
                      </pic:pic>
                    </a:graphicData>
                  </a:graphic>
                </wp:inline>
              </w:drawing>
            </w:r>
          </w:p>
          <w:p w14:paraId="23551937">
            <w:pPr>
              <w:keepNext w:val="0"/>
              <w:keepLines w:val="0"/>
              <w:pageBreakBefore w:val="0"/>
              <w:widowControl/>
              <w:suppressLineNumbers w:val="0"/>
              <w:kinsoku/>
              <w:wordWrap/>
              <w:overflowPunct/>
              <w:topLinePunct w:val="0"/>
              <w:autoSpaceDE/>
              <w:autoSpaceDN/>
              <w:bidi w:val="0"/>
              <w:adjustRightInd/>
              <w:snapToGrid/>
              <w:spacing w:line="360" w:lineRule="auto"/>
              <w:ind w:firstLine="468" w:firstLineChars="200"/>
              <w:jc w:val="both"/>
              <w:textAlignment w:val="auto"/>
              <w:rPr>
                <w:rFonts w:ascii="Times New Roman" w:hAnsi="Times New Roman" w:eastAsia="宋体" w:cs="Times New Roman"/>
                <w:color w:val="auto"/>
                <w:spacing w:val="-3"/>
                <w:kern w:val="2"/>
                <w:sz w:val="24"/>
                <w:szCs w:val="24"/>
                <w:lang w:val="en-US" w:eastAsia="en-US" w:bidi="ar-SA"/>
              </w:rPr>
            </w:pPr>
            <w:r>
              <w:rPr>
                <w:rFonts w:hint="eastAsia" w:ascii="Times New Roman" w:hAnsi="Times New Roman" w:eastAsia="宋体" w:cs="Times New Roman"/>
                <w:color w:val="auto"/>
                <w:spacing w:val="-3"/>
                <w:kern w:val="2"/>
                <w:sz w:val="24"/>
                <w:szCs w:val="24"/>
                <w:lang w:val="en-US" w:eastAsia="zh-CN" w:bidi="ar-SA"/>
              </w:rPr>
              <w:t>防城港市东湾红树林生态区（GX082BⅡ）</w:t>
            </w:r>
            <w:r>
              <w:rPr>
                <w:rFonts w:hint="eastAsia" w:cs="Times New Roman"/>
                <w:color w:val="auto"/>
                <w:spacing w:val="-3"/>
                <w:kern w:val="2"/>
                <w:sz w:val="24"/>
                <w:szCs w:val="24"/>
                <w:lang w:val="en-US" w:eastAsia="zh-CN" w:bidi="ar-SA"/>
              </w:rPr>
              <w:t>主导功能为保护红树林及重要湿地生态系统，</w:t>
            </w:r>
            <w:r>
              <w:rPr>
                <w:rFonts w:ascii="Times New Roman" w:hAnsi="Times New Roman" w:eastAsia="宋体" w:cs="Times New Roman"/>
                <w:color w:val="auto"/>
                <w:spacing w:val="-3"/>
                <w:kern w:val="2"/>
                <w:sz w:val="24"/>
                <w:szCs w:val="24"/>
                <w:lang w:val="en-US" w:eastAsia="en-US" w:bidi="ar-SA"/>
              </w:rPr>
              <w:t>水质保护目标为</w:t>
            </w:r>
            <w:r>
              <w:rPr>
                <w:rFonts w:hint="eastAsia" w:cs="Times New Roman"/>
                <w:color w:val="auto"/>
                <w:spacing w:val="-3"/>
                <w:kern w:val="2"/>
                <w:sz w:val="24"/>
                <w:szCs w:val="24"/>
                <w:lang w:val="en-US" w:eastAsia="zh-CN" w:bidi="ar-SA"/>
              </w:rPr>
              <w:t>第二</w:t>
            </w:r>
            <w:r>
              <w:rPr>
                <w:rFonts w:ascii="Times New Roman" w:hAnsi="Times New Roman" w:eastAsia="宋体" w:cs="Times New Roman"/>
                <w:color w:val="auto"/>
                <w:spacing w:val="-3"/>
                <w:kern w:val="2"/>
                <w:sz w:val="24"/>
                <w:szCs w:val="24"/>
                <w:lang w:val="en-US" w:eastAsia="en-US" w:bidi="ar-SA"/>
              </w:rPr>
              <w:t>类，因此执行《海水水质标准》</w:t>
            </w:r>
            <w:r>
              <w:rPr>
                <w:rFonts w:hint="eastAsia" w:ascii="Times New Roman" w:hAnsi="Times New Roman" w:eastAsia="宋体" w:cs="Times New Roman"/>
                <w:color w:val="auto"/>
                <w:spacing w:val="-3"/>
                <w:kern w:val="2"/>
                <w:sz w:val="24"/>
                <w:szCs w:val="24"/>
                <w:lang w:val="en-US" w:eastAsia="zh-CN" w:bidi="ar-SA"/>
              </w:rPr>
              <w:t>（</w:t>
            </w:r>
            <w:r>
              <w:rPr>
                <w:rFonts w:ascii="Times New Roman" w:hAnsi="Times New Roman" w:eastAsia="宋体" w:cs="Times New Roman"/>
                <w:color w:val="auto"/>
                <w:spacing w:val="-3"/>
                <w:kern w:val="2"/>
                <w:sz w:val="24"/>
                <w:szCs w:val="24"/>
                <w:lang w:val="en-US" w:eastAsia="en-US" w:bidi="ar-SA"/>
              </w:rPr>
              <w:t>GB3097-1997</w:t>
            </w:r>
            <w:r>
              <w:rPr>
                <w:rFonts w:hint="eastAsia" w:ascii="Times New Roman" w:hAnsi="Times New Roman" w:eastAsia="宋体" w:cs="Times New Roman"/>
                <w:color w:val="auto"/>
                <w:spacing w:val="-3"/>
                <w:kern w:val="2"/>
                <w:sz w:val="24"/>
                <w:szCs w:val="24"/>
                <w:lang w:val="en-US" w:eastAsia="zh-CN" w:bidi="ar-SA"/>
              </w:rPr>
              <w:t>）</w:t>
            </w:r>
            <w:r>
              <w:rPr>
                <w:rFonts w:ascii="Times New Roman" w:hAnsi="Times New Roman" w:eastAsia="宋体" w:cs="Times New Roman"/>
                <w:color w:val="auto"/>
                <w:spacing w:val="-3"/>
                <w:kern w:val="2"/>
                <w:sz w:val="24"/>
                <w:szCs w:val="24"/>
                <w:lang w:val="en-US" w:eastAsia="en-US" w:bidi="ar-SA"/>
              </w:rPr>
              <w:t>第</w:t>
            </w:r>
            <w:r>
              <w:rPr>
                <w:rFonts w:hint="eastAsia" w:cs="Times New Roman"/>
                <w:color w:val="auto"/>
                <w:spacing w:val="-3"/>
                <w:kern w:val="2"/>
                <w:sz w:val="24"/>
                <w:szCs w:val="24"/>
                <w:lang w:val="en-US" w:eastAsia="zh-CN" w:bidi="ar-SA"/>
              </w:rPr>
              <w:t>二</w:t>
            </w:r>
            <w:r>
              <w:rPr>
                <w:rFonts w:ascii="Times New Roman" w:hAnsi="Times New Roman" w:eastAsia="宋体" w:cs="Times New Roman"/>
                <w:color w:val="auto"/>
                <w:spacing w:val="-3"/>
                <w:kern w:val="2"/>
                <w:sz w:val="24"/>
                <w:szCs w:val="24"/>
                <w:lang w:val="en-US" w:eastAsia="en-US" w:bidi="ar-SA"/>
              </w:rPr>
              <w:t>类标准</w:t>
            </w:r>
            <w:r>
              <w:rPr>
                <w:rFonts w:hint="eastAsia" w:cs="Times New Roman"/>
                <w:color w:val="auto"/>
                <w:spacing w:val="-3"/>
                <w:kern w:val="2"/>
                <w:sz w:val="24"/>
                <w:szCs w:val="24"/>
                <w:lang w:val="en-US" w:eastAsia="zh-CN" w:bidi="ar-SA"/>
              </w:rPr>
              <w:t>；防城港市东湾交通用海区（GX083CⅢ）主导功能为交通运输用海，水质保护目标为第三类，因此执行《海水水质标准》（GB3097-1997）第三类标准</w:t>
            </w:r>
            <w:r>
              <w:rPr>
                <w:rFonts w:ascii="Times New Roman" w:hAnsi="Times New Roman" w:eastAsia="宋体" w:cs="Times New Roman"/>
                <w:color w:val="auto"/>
                <w:spacing w:val="-3"/>
                <w:kern w:val="2"/>
                <w:sz w:val="24"/>
                <w:szCs w:val="24"/>
                <w:lang w:val="en-US" w:eastAsia="en-US" w:bidi="ar-SA"/>
              </w:rPr>
              <w:t>。</w:t>
            </w:r>
          </w:p>
          <w:p w14:paraId="66BE7E28">
            <w:pPr>
              <w:keepNext w:val="0"/>
              <w:keepLines w:val="0"/>
              <w:pageBreakBefore w:val="0"/>
              <w:widowControl/>
              <w:suppressLineNumbers w:val="0"/>
              <w:kinsoku/>
              <w:wordWrap/>
              <w:overflowPunct/>
              <w:topLinePunct w:val="0"/>
              <w:autoSpaceDE/>
              <w:autoSpaceDN/>
              <w:bidi w:val="0"/>
              <w:adjustRightInd/>
              <w:snapToGrid/>
              <w:spacing w:line="360" w:lineRule="auto"/>
              <w:ind w:firstLine="468" w:firstLineChars="200"/>
              <w:jc w:val="both"/>
              <w:textAlignment w:val="auto"/>
              <w:rPr>
                <w:rFonts w:hint="eastAsia" w:ascii="Times New Roman" w:hAnsi="Times New Roman" w:eastAsia="宋体" w:cs="Times New Roman"/>
                <w:color w:val="auto"/>
                <w:spacing w:val="-3"/>
                <w:kern w:val="2"/>
                <w:sz w:val="24"/>
                <w:szCs w:val="24"/>
                <w:lang w:val="en-US" w:eastAsia="en-US" w:bidi="ar-SA"/>
              </w:rPr>
            </w:pPr>
            <w:r>
              <w:rPr>
                <w:rFonts w:ascii="Times New Roman" w:hAnsi="Times New Roman" w:eastAsia="宋体" w:cs="Times New Roman"/>
                <w:color w:val="auto"/>
                <w:spacing w:val="-3"/>
                <w:kern w:val="2"/>
                <w:sz w:val="24"/>
                <w:szCs w:val="24"/>
                <w:lang w:val="en-US" w:eastAsia="en-US" w:bidi="ar-SA"/>
              </w:rPr>
              <w:t>根据广西壮族自治区生态环境厅发布的《202</w:t>
            </w:r>
            <w:r>
              <w:rPr>
                <w:rFonts w:hint="eastAsia" w:cs="Times New Roman"/>
                <w:color w:val="auto"/>
                <w:spacing w:val="-3"/>
                <w:kern w:val="2"/>
                <w:sz w:val="24"/>
                <w:szCs w:val="24"/>
                <w:lang w:val="en-US" w:eastAsia="zh-CN" w:bidi="ar-SA"/>
              </w:rPr>
              <w:t>4</w:t>
            </w:r>
            <w:r>
              <w:rPr>
                <w:rFonts w:ascii="Times New Roman" w:hAnsi="Times New Roman" w:eastAsia="宋体" w:cs="Times New Roman"/>
                <w:color w:val="auto"/>
                <w:spacing w:val="-3"/>
                <w:kern w:val="2"/>
                <w:sz w:val="24"/>
                <w:szCs w:val="24"/>
                <w:lang w:val="en-US" w:eastAsia="en-US" w:bidi="ar-SA"/>
              </w:rPr>
              <w:t>年广西壮族自治区生态环境状况公报》P15-17：202</w:t>
            </w:r>
            <w:r>
              <w:rPr>
                <w:rFonts w:hint="eastAsia" w:cs="Times New Roman"/>
                <w:color w:val="auto"/>
                <w:spacing w:val="-3"/>
                <w:kern w:val="2"/>
                <w:sz w:val="24"/>
                <w:szCs w:val="24"/>
                <w:lang w:val="en-US" w:eastAsia="zh-CN" w:bidi="ar-SA"/>
              </w:rPr>
              <w:t>4</w:t>
            </w:r>
            <w:r>
              <w:rPr>
                <w:rFonts w:ascii="Times New Roman" w:hAnsi="Times New Roman" w:eastAsia="宋体" w:cs="Times New Roman"/>
                <w:color w:val="auto"/>
                <w:spacing w:val="-3"/>
                <w:kern w:val="2"/>
                <w:sz w:val="24"/>
                <w:szCs w:val="24"/>
                <w:lang w:val="en-US" w:eastAsia="en-US" w:bidi="ar-SA"/>
              </w:rPr>
              <w:t>年，</w:t>
            </w:r>
            <w:r>
              <w:rPr>
                <w:rFonts w:hint="eastAsia" w:cs="Times New Roman"/>
                <w:color w:val="auto"/>
                <w:spacing w:val="-3"/>
                <w:kern w:val="2"/>
                <w:sz w:val="24"/>
                <w:szCs w:val="24"/>
                <w:lang w:val="en-US" w:eastAsia="zh-CN" w:bidi="ar-SA"/>
              </w:rPr>
              <w:t>全区</w:t>
            </w:r>
            <w:r>
              <w:rPr>
                <w:rFonts w:ascii="Times New Roman" w:hAnsi="Times New Roman" w:eastAsia="宋体" w:cs="Times New Roman"/>
                <w:color w:val="auto"/>
                <w:spacing w:val="-3"/>
                <w:kern w:val="2"/>
                <w:sz w:val="24"/>
                <w:szCs w:val="24"/>
                <w:lang w:val="en-US" w:eastAsia="en-US" w:bidi="ar-SA"/>
              </w:rPr>
              <w:t>近岸海域海水水质状况总体</w:t>
            </w:r>
            <w:r>
              <w:rPr>
                <w:rFonts w:hint="eastAsia" w:ascii="宋体" w:hAnsi="宋体" w:eastAsia="宋体" w:cs="宋体"/>
                <w:color w:val="auto"/>
                <w:spacing w:val="-3"/>
                <w:kern w:val="2"/>
                <w:sz w:val="24"/>
                <w:szCs w:val="24"/>
                <w:lang w:val="en-US" w:eastAsia="en-US" w:bidi="ar-SA"/>
              </w:rPr>
              <w:t>“</w:t>
            </w:r>
            <w:r>
              <w:rPr>
                <w:rFonts w:ascii="Times New Roman" w:hAnsi="Times New Roman" w:eastAsia="宋体" w:cs="Times New Roman"/>
                <w:color w:val="auto"/>
                <w:spacing w:val="-3"/>
                <w:kern w:val="2"/>
                <w:sz w:val="24"/>
                <w:szCs w:val="24"/>
                <w:lang w:val="en-US" w:eastAsia="en-US" w:bidi="ar-SA"/>
              </w:rPr>
              <w:t>优</w:t>
            </w:r>
            <w:r>
              <w:rPr>
                <w:rFonts w:hint="eastAsia" w:ascii="宋体" w:hAnsi="宋体" w:eastAsia="宋体" w:cs="宋体"/>
                <w:color w:val="auto"/>
                <w:spacing w:val="-3"/>
                <w:kern w:val="2"/>
                <w:sz w:val="24"/>
                <w:szCs w:val="24"/>
                <w:lang w:val="en-US" w:eastAsia="en-US" w:bidi="ar-SA"/>
              </w:rPr>
              <w:t>”</w:t>
            </w:r>
            <w:r>
              <w:rPr>
                <w:rFonts w:ascii="Times New Roman" w:hAnsi="Times New Roman" w:eastAsia="宋体" w:cs="Times New Roman"/>
                <w:color w:val="auto"/>
                <w:spacing w:val="-3"/>
                <w:kern w:val="2"/>
                <w:sz w:val="24"/>
                <w:szCs w:val="24"/>
                <w:lang w:val="en-US" w:eastAsia="en-US" w:bidi="ar-SA"/>
              </w:rPr>
              <w:t>①。40个监测点位中，优良（一、二类）水质面积比例为</w:t>
            </w:r>
            <w:r>
              <w:rPr>
                <w:rFonts w:hint="eastAsia" w:cs="Times New Roman"/>
                <w:color w:val="auto"/>
                <w:spacing w:val="-3"/>
                <w:kern w:val="2"/>
                <w:sz w:val="24"/>
                <w:szCs w:val="24"/>
                <w:lang w:val="en-US" w:eastAsia="zh-CN" w:bidi="ar-SA"/>
              </w:rPr>
              <w:t>92.9</w:t>
            </w:r>
            <w:r>
              <w:rPr>
                <w:rFonts w:ascii="Times New Roman" w:hAnsi="Times New Roman" w:eastAsia="宋体" w:cs="Times New Roman"/>
                <w:color w:val="auto"/>
                <w:spacing w:val="-3"/>
                <w:kern w:val="2"/>
                <w:sz w:val="24"/>
                <w:szCs w:val="24"/>
                <w:lang w:val="en-US" w:eastAsia="en-US" w:bidi="ar-SA"/>
              </w:rPr>
              <w:t>%，优于国家考核目标（92.</w:t>
            </w:r>
            <w:r>
              <w:rPr>
                <w:rFonts w:hint="eastAsia" w:cs="Times New Roman"/>
                <w:color w:val="auto"/>
                <w:spacing w:val="-3"/>
                <w:kern w:val="2"/>
                <w:sz w:val="24"/>
                <w:szCs w:val="24"/>
                <w:lang w:val="en-US" w:eastAsia="zh-CN" w:bidi="ar-SA"/>
              </w:rPr>
              <w:t>7</w:t>
            </w:r>
            <w:r>
              <w:rPr>
                <w:rFonts w:ascii="Times New Roman" w:hAnsi="Times New Roman" w:eastAsia="宋体" w:cs="Times New Roman"/>
                <w:color w:val="auto"/>
                <w:spacing w:val="-3"/>
                <w:kern w:val="2"/>
                <w:sz w:val="24"/>
                <w:szCs w:val="24"/>
                <w:lang w:val="en-US" w:eastAsia="en-US" w:bidi="ar-SA"/>
              </w:rPr>
              <w:t>%）要求，</w:t>
            </w:r>
            <w:r>
              <w:rPr>
                <w:rFonts w:hint="eastAsia" w:cs="Times New Roman"/>
                <w:color w:val="auto"/>
                <w:spacing w:val="-3"/>
                <w:kern w:val="2"/>
                <w:sz w:val="24"/>
                <w:szCs w:val="24"/>
                <w:lang w:val="en-US" w:eastAsia="zh-CN" w:bidi="ar-SA"/>
              </w:rPr>
              <w:t>比2023年下降1.6个百分点</w:t>
            </w:r>
            <w:r>
              <w:rPr>
                <w:rFonts w:ascii="Times New Roman" w:hAnsi="Times New Roman" w:eastAsia="宋体" w:cs="Times New Roman"/>
                <w:color w:val="auto"/>
                <w:spacing w:val="-3"/>
                <w:kern w:val="2"/>
                <w:sz w:val="24"/>
                <w:szCs w:val="24"/>
                <w:lang w:val="en-US" w:eastAsia="en-US" w:bidi="ar-SA"/>
              </w:rPr>
              <w:t>。其中，春、夏、秋三期优良水质面积比例分别为9</w:t>
            </w:r>
            <w:r>
              <w:rPr>
                <w:rFonts w:hint="eastAsia" w:cs="Times New Roman"/>
                <w:color w:val="auto"/>
                <w:spacing w:val="-3"/>
                <w:kern w:val="2"/>
                <w:sz w:val="24"/>
                <w:szCs w:val="24"/>
                <w:lang w:val="en-US" w:eastAsia="zh-CN" w:bidi="ar-SA"/>
              </w:rPr>
              <w:t>5.3</w:t>
            </w:r>
            <w:r>
              <w:rPr>
                <w:rFonts w:ascii="Times New Roman" w:hAnsi="Times New Roman" w:eastAsia="宋体" w:cs="Times New Roman"/>
                <w:color w:val="auto"/>
                <w:spacing w:val="-3"/>
                <w:kern w:val="2"/>
                <w:sz w:val="24"/>
                <w:szCs w:val="24"/>
                <w:lang w:val="en-US" w:eastAsia="en-US" w:bidi="ar-SA"/>
              </w:rPr>
              <w:t>%、</w:t>
            </w:r>
            <w:r>
              <w:rPr>
                <w:rFonts w:hint="eastAsia" w:cs="Times New Roman"/>
                <w:color w:val="auto"/>
                <w:spacing w:val="-3"/>
                <w:kern w:val="2"/>
                <w:sz w:val="24"/>
                <w:szCs w:val="24"/>
                <w:lang w:val="en-US" w:eastAsia="zh-CN" w:bidi="ar-SA"/>
              </w:rPr>
              <w:t>88.2</w:t>
            </w:r>
            <w:r>
              <w:rPr>
                <w:rFonts w:ascii="Times New Roman" w:hAnsi="Times New Roman" w:eastAsia="宋体" w:cs="Times New Roman"/>
                <w:color w:val="auto"/>
                <w:spacing w:val="-3"/>
                <w:kern w:val="2"/>
                <w:sz w:val="24"/>
                <w:szCs w:val="24"/>
                <w:lang w:val="en-US" w:eastAsia="en-US" w:bidi="ar-SA"/>
              </w:rPr>
              <w:t>%、</w:t>
            </w:r>
            <w:r>
              <w:rPr>
                <w:rFonts w:hint="eastAsia" w:cs="Times New Roman"/>
                <w:color w:val="auto"/>
                <w:spacing w:val="-3"/>
                <w:kern w:val="2"/>
                <w:sz w:val="24"/>
                <w:szCs w:val="24"/>
                <w:lang w:val="en-US" w:eastAsia="zh-CN" w:bidi="ar-SA"/>
              </w:rPr>
              <w:t>95.2</w:t>
            </w:r>
            <w:r>
              <w:rPr>
                <w:rFonts w:ascii="Times New Roman" w:hAnsi="Times New Roman" w:eastAsia="宋体" w:cs="Times New Roman"/>
                <w:color w:val="auto"/>
                <w:spacing w:val="-3"/>
                <w:kern w:val="2"/>
                <w:sz w:val="24"/>
                <w:szCs w:val="24"/>
                <w:lang w:val="en-US" w:eastAsia="en-US" w:bidi="ar-SA"/>
              </w:rPr>
              <w:t>%。主要超标指标为pH</w:t>
            </w:r>
            <w:r>
              <w:rPr>
                <w:rFonts w:hint="eastAsia" w:cs="Times New Roman"/>
                <w:color w:val="auto"/>
                <w:spacing w:val="-3"/>
                <w:kern w:val="2"/>
                <w:sz w:val="24"/>
                <w:szCs w:val="24"/>
                <w:lang w:val="en-US" w:eastAsia="zh-CN" w:bidi="ar-SA"/>
              </w:rPr>
              <w:t>、</w:t>
            </w:r>
            <w:r>
              <w:rPr>
                <w:rFonts w:ascii="Times New Roman" w:hAnsi="Times New Roman" w:eastAsia="宋体" w:cs="Times New Roman"/>
                <w:color w:val="auto"/>
                <w:spacing w:val="-3"/>
                <w:kern w:val="2"/>
                <w:sz w:val="24"/>
                <w:szCs w:val="24"/>
                <w:lang w:val="en-US" w:eastAsia="en-US" w:bidi="ar-SA"/>
              </w:rPr>
              <w:t>溶解氧</w:t>
            </w:r>
            <w:r>
              <w:rPr>
                <w:rFonts w:hint="eastAsia" w:cs="Times New Roman"/>
                <w:color w:val="auto"/>
                <w:spacing w:val="-3"/>
                <w:kern w:val="2"/>
                <w:sz w:val="24"/>
                <w:szCs w:val="24"/>
                <w:lang w:val="en-US" w:eastAsia="zh-CN" w:bidi="ar-SA"/>
              </w:rPr>
              <w:t>、</w:t>
            </w:r>
            <w:r>
              <w:rPr>
                <w:rFonts w:ascii="Times New Roman" w:hAnsi="Times New Roman" w:eastAsia="宋体" w:cs="Times New Roman"/>
                <w:color w:val="auto"/>
                <w:spacing w:val="-3"/>
                <w:kern w:val="2"/>
                <w:sz w:val="24"/>
                <w:szCs w:val="24"/>
                <w:lang w:val="en-US" w:eastAsia="en-US" w:bidi="ar-SA"/>
              </w:rPr>
              <w:t>无机氮</w:t>
            </w:r>
            <w:r>
              <w:rPr>
                <w:rFonts w:hint="eastAsia" w:cs="Times New Roman"/>
                <w:color w:val="auto"/>
                <w:spacing w:val="-3"/>
                <w:kern w:val="2"/>
                <w:sz w:val="24"/>
                <w:szCs w:val="24"/>
                <w:lang w:val="en-US" w:eastAsia="zh-CN" w:bidi="ar-SA"/>
              </w:rPr>
              <w:t>和</w:t>
            </w:r>
            <w:r>
              <w:rPr>
                <w:rFonts w:ascii="Times New Roman" w:hAnsi="Times New Roman" w:eastAsia="宋体" w:cs="Times New Roman"/>
                <w:color w:val="auto"/>
                <w:spacing w:val="-3"/>
                <w:kern w:val="2"/>
                <w:sz w:val="24"/>
                <w:szCs w:val="24"/>
                <w:lang w:val="en-US" w:eastAsia="en-US" w:bidi="ar-SA"/>
              </w:rPr>
              <w:t>活性磷酸盐。其中防城港大部分站点海水质量可达到Ⅱ类海水水质标准，整体海域水质环境较好。</w:t>
            </w:r>
          </w:p>
          <w:p w14:paraId="5551161D">
            <w:pPr>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4、声环境质量现状</w:t>
            </w:r>
          </w:p>
          <w:p w14:paraId="4305C40B">
            <w:pPr>
              <w:pStyle w:val="349"/>
              <w:spacing w:before="0" w:line="360" w:lineRule="auto"/>
              <w:ind w:left="0" w:right="0" w:firstLine="468" w:firstLineChars="200"/>
              <w:rPr>
                <w:rFonts w:hint="eastAsia" w:ascii="Times New Roman" w:hAnsi="Times New Roman" w:cs="Times New Roman"/>
                <w:color w:val="auto"/>
                <w:spacing w:val="-4"/>
                <w:lang w:val="en-US" w:eastAsia="zh-CN"/>
              </w:rPr>
            </w:pPr>
            <w:r>
              <w:rPr>
                <w:rFonts w:ascii="Times New Roman" w:hAnsi="Times New Roman" w:cs="Times New Roman"/>
                <w:color w:val="auto"/>
                <w:spacing w:val="-3"/>
              </w:rPr>
              <w:t>根据</w:t>
            </w:r>
            <w:r>
              <w:rPr>
                <w:rFonts w:hint="eastAsia" w:ascii="Times New Roman" w:hAnsi="Times New Roman" w:cs="Times New Roman"/>
                <w:color w:val="auto"/>
                <w:spacing w:val="-3"/>
              </w:rPr>
              <w:t>防城港市中心城区声环境功能区划</w:t>
            </w:r>
            <w:r>
              <w:rPr>
                <w:rFonts w:hint="eastAsia" w:ascii="Times New Roman" w:hAnsi="Times New Roman" w:cs="Times New Roman"/>
                <w:color w:val="auto"/>
                <w:spacing w:val="-4"/>
                <w:lang w:val="en-US" w:eastAsia="zh-CN"/>
              </w:rPr>
              <w:t>。项目</w:t>
            </w:r>
            <w:r>
              <w:rPr>
                <w:rFonts w:hint="eastAsia"/>
                <w:color w:val="auto"/>
                <w:lang w:val="en-US" w:eastAsia="zh-CN"/>
              </w:rPr>
              <w:t>用地范围</w:t>
            </w:r>
            <w:r>
              <w:rPr>
                <w:rFonts w:hint="eastAsia" w:ascii="Times New Roman" w:hAnsi="Times New Roman" w:cs="Times New Roman"/>
                <w:color w:val="auto"/>
                <w:spacing w:val="-4"/>
                <w:lang w:val="en-US" w:eastAsia="zh-CN"/>
              </w:rPr>
              <w:t>为4类声环境功能区，执行《声环境质量标准》（GB3096-2008）4b类区标准。</w:t>
            </w:r>
          </w:p>
          <w:p w14:paraId="4CEC394B">
            <w:pPr>
              <w:pStyle w:val="349"/>
              <w:spacing w:before="0" w:line="360" w:lineRule="auto"/>
              <w:ind w:left="0" w:right="0" w:firstLine="464" w:firstLineChars="200"/>
              <w:rPr>
                <w:rFonts w:hint="eastAsia" w:ascii="Times New Roman" w:hAnsi="Times New Roman" w:cs="Times New Roman"/>
                <w:color w:val="auto"/>
                <w:spacing w:val="-4"/>
                <w:lang w:val="en-US" w:eastAsia="zh-CN"/>
              </w:rPr>
            </w:pPr>
            <w:r>
              <w:rPr>
                <w:rFonts w:hint="eastAsia" w:ascii="Times New Roman" w:hAnsi="Times New Roman" w:cs="Times New Roman"/>
                <w:color w:val="auto"/>
                <w:spacing w:val="-4"/>
                <w:lang w:val="en-US" w:eastAsia="zh-CN"/>
              </w:rPr>
              <w:t>根据防城港市中心城区声环境功能区划，3类声环境功能区中的生活小区，执行2类声环境功能区标准。云约、下云约、傅屋村执行《声环境质量标准》（GB 3096-2008）2类标准。</w:t>
            </w:r>
          </w:p>
          <w:p w14:paraId="7F3A1BAE">
            <w:pPr>
              <w:keepNext w:val="0"/>
              <w:keepLines w:val="0"/>
              <w:pageBreakBefore w:val="0"/>
              <w:kinsoku/>
              <w:wordWrap/>
              <w:overflowPunct/>
              <w:topLinePunct w:val="0"/>
              <w:bidi w:val="0"/>
              <w:adjustRightInd w:val="0"/>
              <w:spacing w:line="480" w:lineRule="exact"/>
              <w:ind w:firstLine="480" w:firstLineChars="200"/>
              <w:textAlignment w:val="auto"/>
              <w:rPr>
                <w:rFonts w:ascii="Times New Roman" w:hAnsi="Times New Roman" w:eastAsia="宋体" w:cs="Times New Roman"/>
                <w:smallCaps w:val="0"/>
                <w:snapToGrid w:val="0"/>
                <w:color w:val="auto"/>
                <w:sz w:val="24"/>
              </w:rPr>
            </w:pPr>
            <w:r>
              <w:rPr>
                <w:rFonts w:ascii="Times New Roman" w:hAnsi="Times New Roman" w:eastAsia="宋体" w:cs="Times New Roman"/>
                <w:smallCaps w:val="0"/>
                <w:snapToGrid w:val="0"/>
                <w:color w:val="auto"/>
                <w:sz w:val="24"/>
              </w:rPr>
              <w:t>为了解项目区声环境质量，本次评价委托</w:t>
            </w:r>
            <w:r>
              <w:rPr>
                <w:rFonts w:hint="eastAsia" w:ascii="Times New Roman" w:hAnsi="Times New Roman" w:eastAsia="宋体" w:cs="Times New Roman"/>
                <w:smallCaps w:val="0"/>
                <w:snapToGrid w:val="0"/>
                <w:color w:val="auto"/>
                <w:sz w:val="24"/>
                <w:lang w:val="en-US" w:eastAsia="zh-CN"/>
              </w:rPr>
              <w:t>广西正大天成检测技术有限公司</w:t>
            </w:r>
            <w:r>
              <w:rPr>
                <w:rFonts w:ascii="Times New Roman" w:hAnsi="Times New Roman" w:eastAsia="宋体" w:cs="Times New Roman"/>
                <w:smallCaps w:val="0"/>
                <w:snapToGrid w:val="0"/>
                <w:color w:val="auto"/>
                <w:sz w:val="24"/>
              </w:rPr>
              <w:t>对本项目周围区域声环境进行了现状监测。</w:t>
            </w:r>
          </w:p>
          <w:p w14:paraId="378B859E">
            <w:pPr>
              <w:keepNext w:val="0"/>
              <w:keepLines w:val="0"/>
              <w:pageBreakBefore w:val="0"/>
              <w:kinsoku/>
              <w:wordWrap/>
              <w:overflowPunct/>
              <w:topLinePunct w:val="0"/>
              <w:bidi w:val="0"/>
              <w:spacing w:line="480" w:lineRule="exact"/>
              <w:ind w:firstLine="480" w:firstLineChars="200"/>
              <w:textAlignment w:val="auto"/>
              <w:rPr>
                <w:rFonts w:ascii="Times New Roman" w:hAnsi="Times New Roman" w:eastAsia="宋体" w:cs="Times New Roman"/>
                <w:smallCaps w:val="0"/>
                <w:snapToGrid w:val="0"/>
                <w:color w:val="auto"/>
                <w:sz w:val="24"/>
              </w:rPr>
            </w:pPr>
            <w:r>
              <w:rPr>
                <w:rFonts w:ascii="Times New Roman" w:hAnsi="Times New Roman" w:eastAsia="宋体" w:cs="Times New Roman"/>
                <w:smallCaps w:val="0"/>
                <w:snapToGrid w:val="0"/>
                <w:color w:val="auto"/>
                <w:sz w:val="24"/>
              </w:rPr>
              <w:t>（1）</w:t>
            </w:r>
            <w:r>
              <w:rPr>
                <w:rFonts w:hint="eastAsia" w:ascii="Times New Roman" w:hAnsi="Times New Roman" w:eastAsia="宋体" w:cs="Times New Roman"/>
                <w:smallCaps w:val="0"/>
                <w:snapToGrid w:val="0"/>
                <w:color w:val="auto"/>
                <w:sz w:val="24"/>
                <w:lang w:val="en-US" w:eastAsia="zh-CN"/>
              </w:rPr>
              <w:t>本次</w:t>
            </w:r>
            <w:r>
              <w:rPr>
                <w:rFonts w:ascii="Times New Roman" w:hAnsi="Times New Roman" w:eastAsia="宋体" w:cs="Times New Roman"/>
                <w:smallCaps w:val="0"/>
                <w:snapToGrid w:val="0"/>
                <w:color w:val="auto"/>
                <w:sz w:val="24"/>
              </w:rPr>
              <w:t>监测布点</w:t>
            </w:r>
          </w:p>
          <w:p w14:paraId="19E3B7C8">
            <w:pPr>
              <w:keepNext w:val="0"/>
              <w:keepLines w:val="0"/>
              <w:pageBreakBefore w:val="0"/>
              <w:kinsoku/>
              <w:wordWrap/>
              <w:overflowPunct/>
              <w:topLinePunct w:val="0"/>
              <w:bidi w:val="0"/>
              <w:spacing w:line="480" w:lineRule="exact"/>
              <w:ind w:firstLine="480" w:firstLineChars="200"/>
              <w:textAlignment w:val="auto"/>
              <w:rPr>
                <w:rFonts w:ascii="Times New Roman" w:hAnsi="Times New Roman" w:eastAsia="宋体" w:cs="Times New Roman"/>
                <w:smallCaps w:val="0"/>
                <w:color w:val="auto"/>
              </w:rPr>
            </w:pPr>
            <w:r>
              <w:rPr>
                <w:rFonts w:ascii="Times New Roman" w:hAnsi="Times New Roman" w:eastAsia="宋体" w:cs="Times New Roman"/>
                <w:smallCaps w:val="0"/>
                <w:snapToGrid w:val="0"/>
                <w:color w:val="auto"/>
                <w:sz w:val="24"/>
              </w:rPr>
              <w:t>本项目</w:t>
            </w:r>
            <w:r>
              <w:rPr>
                <w:rFonts w:hint="eastAsia" w:ascii="Times New Roman" w:hAnsi="Times New Roman" w:eastAsia="宋体" w:cs="Times New Roman"/>
                <w:smallCaps w:val="0"/>
                <w:snapToGrid w:val="0"/>
                <w:color w:val="auto"/>
                <w:sz w:val="24"/>
                <w:lang w:val="en-US" w:eastAsia="zh-CN"/>
              </w:rPr>
              <w:t>线路起点、终点、敏感点</w:t>
            </w:r>
            <w:r>
              <w:rPr>
                <w:rFonts w:ascii="Times New Roman" w:hAnsi="Times New Roman" w:eastAsia="宋体" w:cs="Times New Roman"/>
                <w:smallCaps w:val="0"/>
                <w:snapToGrid w:val="0"/>
                <w:color w:val="auto"/>
                <w:sz w:val="24"/>
              </w:rPr>
              <w:t>设置了噪声监测点，各测点布设见表3-</w:t>
            </w:r>
            <w:r>
              <w:rPr>
                <w:rFonts w:hint="eastAsia" w:ascii="Times New Roman" w:hAnsi="Times New Roman" w:eastAsia="宋体" w:cs="Times New Roman"/>
                <w:smallCaps w:val="0"/>
                <w:snapToGrid w:val="0"/>
                <w:color w:val="auto"/>
                <w:sz w:val="24"/>
                <w:lang w:val="en-US" w:eastAsia="zh-CN"/>
              </w:rPr>
              <w:t>2</w:t>
            </w:r>
            <w:r>
              <w:rPr>
                <w:rFonts w:ascii="Times New Roman" w:hAnsi="Times New Roman" w:eastAsia="宋体" w:cs="Times New Roman"/>
                <w:smallCaps w:val="0"/>
                <w:snapToGrid w:val="0"/>
                <w:color w:val="auto"/>
                <w:sz w:val="24"/>
              </w:rPr>
              <w:t>。</w:t>
            </w:r>
          </w:p>
          <w:p w14:paraId="6479C96D">
            <w:pPr>
              <w:keepNext w:val="0"/>
              <w:keepLines w:val="0"/>
              <w:pageBreakBefore w:val="0"/>
              <w:kinsoku/>
              <w:wordWrap/>
              <w:overflowPunct/>
              <w:topLinePunct w:val="0"/>
              <w:bidi w:val="0"/>
              <w:spacing w:line="480" w:lineRule="exact"/>
              <w:jc w:val="center"/>
              <w:textAlignment w:val="auto"/>
              <w:rPr>
                <w:rFonts w:ascii="Times New Roman" w:hAnsi="Times New Roman" w:eastAsia="宋体" w:cs="Times New Roman"/>
                <w:b/>
                <w:smallCaps w:val="0"/>
                <w:color w:val="auto"/>
                <w:sz w:val="24"/>
              </w:rPr>
            </w:pPr>
            <w:r>
              <w:rPr>
                <w:rFonts w:ascii="Times New Roman" w:hAnsi="Times New Roman" w:eastAsia="宋体" w:cs="Times New Roman"/>
                <w:b/>
                <w:smallCaps w:val="0"/>
                <w:color w:val="auto"/>
                <w:sz w:val="24"/>
              </w:rPr>
              <w:t>表3-</w:t>
            </w:r>
            <w:r>
              <w:rPr>
                <w:rFonts w:hint="eastAsia" w:ascii="Times New Roman" w:hAnsi="Times New Roman" w:eastAsia="宋体" w:cs="Times New Roman"/>
                <w:b/>
                <w:smallCaps w:val="0"/>
                <w:color w:val="auto"/>
                <w:sz w:val="24"/>
                <w:lang w:val="en-US" w:eastAsia="zh-CN"/>
              </w:rPr>
              <w:t>2</w:t>
            </w:r>
            <w:r>
              <w:rPr>
                <w:rFonts w:ascii="Times New Roman" w:hAnsi="Times New Roman" w:eastAsia="宋体" w:cs="Times New Roman"/>
                <w:b/>
                <w:smallCaps w:val="0"/>
                <w:color w:val="auto"/>
                <w:sz w:val="24"/>
              </w:rPr>
              <w:t xml:space="preserve">  噪声监测点位一览表</w:t>
            </w:r>
          </w:p>
          <w:tbl>
            <w:tblPr>
              <w:tblStyle w:val="4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1"/>
              <w:gridCol w:w="3069"/>
              <w:gridCol w:w="1327"/>
              <w:gridCol w:w="1958"/>
            </w:tblGrid>
            <w:tr w14:paraId="2C2A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2261EF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smallCaps w:val="0"/>
                      <w:color w:val="auto"/>
                      <w:kern w:val="2"/>
                      <w:sz w:val="21"/>
                      <w:szCs w:val="24"/>
                      <w:lang w:val="en-US" w:eastAsia="zh-CN" w:bidi="ar-SA"/>
                    </w:rPr>
                  </w:pPr>
                  <w:r>
                    <w:rPr>
                      <w:rFonts w:ascii="Times New Roman" w:hAnsi="Times New Roman" w:eastAsia="宋体" w:cs="Times New Roman"/>
                      <w:b/>
                      <w:bCs/>
                      <w:smallCaps w:val="0"/>
                      <w:color w:val="auto"/>
                      <w:kern w:val="2"/>
                      <w:sz w:val="21"/>
                      <w:szCs w:val="24"/>
                      <w:lang w:val="en-US" w:eastAsia="zh-CN" w:bidi="ar-SA"/>
                    </w:rPr>
                    <w:t>点位编号</w:t>
                  </w:r>
                </w:p>
              </w:tc>
              <w:tc>
                <w:tcPr>
                  <w:tcW w:w="1823" w:type="pct"/>
                  <w:noWrap w:val="0"/>
                  <w:vAlign w:val="center"/>
                </w:tcPr>
                <w:p w14:paraId="1D4833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smallCaps w:val="0"/>
                      <w:color w:val="auto"/>
                      <w:kern w:val="2"/>
                      <w:sz w:val="21"/>
                      <w:szCs w:val="24"/>
                      <w:lang w:val="en-US" w:eastAsia="zh-CN" w:bidi="ar-SA"/>
                    </w:rPr>
                  </w:pPr>
                  <w:r>
                    <w:rPr>
                      <w:rFonts w:ascii="Times New Roman" w:hAnsi="Times New Roman" w:eastAsia="宋体" w:cs="Times New Roman"/>
                      <w:b/>
                      <w:bCs/>
                      <w:smallCaps w:val="0"/>
                      <w:color w:val="auto"/>
                      <w:kern w:val="2"/>
                      <w:sz w:val="21"/>
                      <w:szCs w:val="24"/>
                      <w:lang w:val="en-US" w:eastAsia="zh-CN" w:bidi="ar-SA"/>
                    </w:rPr>
                    <w:t>监测点名称</w:t>
                  </w:r>
                </w:p>
              </w:tc>
              <w:tc>
                <w:tcPr>
                  <w:tcW w:w="788" w:type="pct"/>
                  <w:noWrap w:val="0"/>
                  <w:vAlign w:val="center"/>
                </w:tcPr>
                <w:p w14:paraId="06FFA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smallCaps w:val="0"/>
                      <w:color w:val="auto"/>
                      <w:kern w:val="2"/>
                      <w:sz w:val="21"/>
                      <w:szCs w:val="24"/>
                      <w:lang w:val="en-US" w:eastAsia="zh-CN" w:bidi="ar-SA"/>
                    </w:rPr>
                  </w:pPr>
                  <w:r>
                    <w:rPr>
                      <w:rFonts w:ascii="Times New Roman" w:hAnsi="Times New Roman" w:eastAsia="宋体" w:cs="Times New Roman"/>
                      <w:b/>
                      <w:bCs/>
                      <w:smallCaps w:val="0"/>
                      <w:color w:val="auto"/>
                      <w:kern w:val="2"/>
                      <w:sz w:val="21"/>
                      <w:szCs w:val="24"/>
                      <w:lang w:val="en-US" w:eastAsia="zh-CN" w:bidi="ar-SA"/>
                    </w:rPr>
                    <w:t>监测因子</w:t>
                  </w:r>
                </w:p>
              </w:tc>
              <w:tc>
                <w:tcPr>
                  <w:tcW w:w="1163" w:type="pct"/>
                  <w:noWrap w:val="0"/>
                  <w:vAlign w:val="center"/>
                </w:tcPr>
                <w:p w14:paraId="5B9F7581">
                  <w:pPr>
                    <w:pStyle w:val="363"/>
                    <w:bidi w:val="0"/>
                    <w:spacing w:line="240" w:lineRule="auto"/>
                    <w:ind w:firstLine="0" w:firstLineChars="0"/>
                    <w:rPr>
                      <w:rFonts w:ascii="Times New Roman" w:hAnsi="Times New Roman" w:eastAsia="宋体" w:cs="Times New Roman"/>
                      <w:b/>
                      <w:bCs/>
                      <w:smallCaps w:val="0"/>
                      <w:color w:val="auto"/>
                      <w:kern w:val="2"/>
                      <w:sz w:val="21"/>
                      <w:szCs w:val="24"/>
                      <w:lang w:val="en-US" w:eastAsia="zh-CN" w:bidi="ar-SA"/>
                    </w:rPr>
                  </w:pPr>
                  <w:r>
                    <w:rPr>
                      <w:rFonts w:hint="default" w:ascii="Times New Roman" w:hAnsi="Times New Roman" w:cs="Times New Roman"/>
                      <w:b/>
                      <w:bCs/>
                      <w:color w:val="auto"/>
                      <w:lang w:eastAsia="zh-CN"/>
                    </w:rPr>
                    <w:t>监测位置说明</w:t>
                  </w:r>
                </w:p>
              </w:tc>
            </w:tr>
            <w:tr w14:paraId="36F1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4FA9F614">
                  <w:pPr>
                    <w:pStyle w:val="363"/>
                    <w:bidi w:val="0"/>
                    <w:spacing w:line="240" w:lineRule="auto"/>
                    <w:ind w:firstLine="0" w:firstLineChars="0"/>
                    <w:rPr>
                      <w:rFonts w:hint="eastAsia" w:ascii="Times New Roman" w:hAnsi="Times New Roman" w:eastAsia="宋体" w:cs="Times New Roman"/>
                      <w:smallCaps w:val="0"/>
                      <w:color w:val="auto"/>
                      <w:kern w:val="2"/>
                      <w:sz w:val="21"/>
                      <w:szCs w:val="21"/>
                      <w:lang w:val="en-US" w:eastAsia="zh-CN" w:bidi="ar-SA"/>
                    </w:rPr>
                  </w:pPr>
                  <w:r>
                    <w:rPr>
                      <w:rFonts w:hint="default" w:ascii="Times New Roman" w:hAnsi="Times New Roman" w:cs="Times New Roman"/>
                      <w:color w:val="auto"/>
                      <w:lang w:val="en-US" w:eastAsia="zh-CN"/>
                    </w:rPr>
                    <w:t>N1-1</w:t>
                  </w:r>
                </w:p>
              </w:tc>
              <w:tc>
                <w:tcPr>
                  <w:tcW w:w="1823" w:type="pct"/>
                  <w:vMerge w:val="restart"/>
                  <w:noWrap w:val="0"/>
                  <w:vAlign w:val="center"/>
                </w:tcPr>
                <w:p w14:paraId="748B86E2">
                  <w:pPr>
                    <w:pStyle w:val="363"/>
                    <w:bidi w:val="0"/>
                    <w:spacing w:line="240" w:lineRule="auto"/>
                    <w:ind w:firstLine="0" w:firstLineChars="0"/>
                    <w:rPr>
                      <w:rFonts w:hint="default" w:ascii="Times New Roman" w:hAnsi="Times New Roman" w:eastAsia="宋体" w:cs="Times New Roman"/>
                      <w:smallCaps w:val="0"/>
                      <w:color w:val="auto"/>
                      <w:kern w:val="2"/>
                      <w:sz w:val="21"/>
                      <w:szCs w:val="21"/>
                      <w:lang w:val="en-US" w:eastAsia="zh-CN" w:bidi="ar-SA"/>
                    </w:rPr>
                  </w:pPr>
                  <w:r>
                    <w:rPr>
                      <w:rFonts w:hint="eastAsia" w:ascii="Times New Roman" w:hAnsi="Times New Roman" w:cs="Times New Roman"/>
                      <w:color w:val="auto"/>
                      <w:shd w:val="clear" w:color="auto" w:fill="auto"/>
                      <w:lang w:val="en-US" w:eastAsia="zh-CN"/>
                    </w:rPr>
                    <w:t>项目北侧边界</w:t>
                  </w:r>
                </w:p>
              </w:tc>
              <w:tc>
                <w:tcPr>
                  <w:tcW w:w="788" w:type="pct"/>
                  <w:vMerge w:val="restart"/>
                  <w:noWrap w:val="0"/>
                  <w:vAlign w:val="center"/>
                </w:tcPr>
                <w:p w14:paraId="42697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mallCaps w:val="0"/>
                      <w:color w:val="auto"/>
                      <w:lang w:val="en-US" w:eastAsia="zh-CN"/>
                    </w:rPr>
                  </w:pPr>
                  <w:r>
                    <w:rPr>
                      <w:rFonts w:hint="eastAsia" w:ascii="Times New Roman" w:hAnsi="Times New Roman" w:eastAsia="宋体" w:cs="Times New Roman"/>
                      <w:smallCaps w:val="0"/>
                      <w:color w:val="auto"/>
                      <w:lang w:eastAsia="zh-CN"/>
                    </w:rPr>
                    <w:t>等效连续</w:t>
                  </w:r>
                  <w:r>
                    <w:rPr>
                      <w:rFonts w:hint="eastAsia" w:ascii="Times New Roman" w:hAnsi="Times New Roman" w:eastAsia="宋体" w:cs="Times New Roman"/>
                      <w:smallCaps w:val="0"/>
                      <w:color w:val="auto"/>
                      <w:lang w:val="en-US" w:eastAsia="zh-CN"/>
                    </w:rPr>
                    <w:t>A声级</w:t>
                  </w:r>
                </w:p>
              </w:tc>
              <w:tc>
                <w:tcPr>
                  <w:tcW w:w="1163" w:type="pct"/>
                  <w:noWrap w:val="0"/>
                  <w:vAlign w:val="center"/>
                </w:tcPr>
                <w:p w14:paraId="312E796A">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smallCaps w:val="0"/>
                      <w:color w:val="auto"/>
                      <w:lang w:eastAsia="zh-CN"/>
                    </w:rPr>
                  </w:pPr>
                  <w:r>
                    <w:rPr>
                      <w:rFonts w:hint="eastAsia" w:ascii="Times New Roman" w:hAnsi="Times New Roman" w:cs="Times New Roman"/>
                      <w:color w:val="auto"/>
                      <w:lang w:val="en-US" w:eastAsia="zh-CN"/>
                    </w:rPr>
                    <w:t>有列车通行时</w:t>
                  </w:r>
                </w:p>
              </w:tc>
            </w:tr>
            <w:tr w14:paraId="0E0C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58A4DF9B">
                  <w:pPr>
                    <w:pStyle w:val="363"/>
                    <w:bidi w:val="0"/>
                    <w:spacing w:line="240" w:lineRule="auto"/>
                    <w:ind w:firstLine="0" w:firstLineChars="0"/>
                    <w:rPr>
                      <w:rFonts w:hint="eastAsia" w:ascii="Times New Roman" w:hAnsi="Times New Roman" w:eastAsia="宋体" w:cs="Times New Roman"/>
                      <w:smallCaps w:val="0"/>
                      <w:color w:val="auto"/>
                      <w:kern w:val="2"/>
                      <w:sz w:val="21"/>
                      <w:szCs w:val="21"/>
                      <w:lang w:val="en-US" w:eastAsia="zh-CN" w:bidi="ar-SA"/>
                    </w:rPr>
                  </w:pPr>
                  <w:r>
                    <w:rPr>
                      <w:rFonts w:hint="default" w:ascii="Times New Roman" w:hAnsi="Times New Roman" w:cs="Times New Roman"/>
                      <w:color w:val="auto"/>
                      <w:lang w:val="en-US" w:eastAsia="zh-CN"/>
                    </w:rPr>
                    <w:t>N1-2</w:t>
                  </w:r>
                </w:p>
              </w:tc>
              <w:tc>
                <w:tcPr>
                  <w:tcW w:w="1823" w:type="pct"/>
                  <w:vMerge w:val="continue"/>
                  <w:noWrap w:val="0"/>
                  <w:vAlign w:val="center"/>
                </w:tcPr>
                <w:p w14:paraId="60158E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mallCaps w:val="0"/>
                      <w:color w:val="auto"/>
                      <w:kern w:val="2"/>
                      <w:position w:val="2"/>
                      <w:sz w:val="21"/>
                      <w:szCs w:val="21"/>
                      <w:lang w:val="en-US" w:eastAsia="zh-CN" w:bidi="ar-SA"/>
                    </w:rPr>
                  </w:pPr>
                </w:p>
              </w:tc>
              <w:tc>
                <w:tcPr>
                  <w:tcW w:w="788" w:type="pct"/>
                  <w:vMerge w:val="continue"/>
                  <w:noWrap w:val="0"/>
                  <w:vAlign w:val="center"/>
                </w:tcPr>
                <w:p w14:paraId="3CB70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mallCaps w:val="0"/>
                      <w:color w:val="auto"/>
                    </w:rPr>
                  </w:pPr>
                </w:p>
              </w:tc>
              <w:tc>
                <w:tcPr>
                  <w:tcW w:w="1163" w:type="pct"/>
                  <w:noWrap w:val="0"/>
                  <w:vAlign w:val="center"/>
                </w:tcPr>
                <w:p w14:paraId="7F58B321">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rPr>
                  </w:pPr>
                  <w:r>
                    <w:rPr>
                      <w:rFonts w:hint="eastAsia" w:ascii="Times New Roman" w:hAnsi="Times New Roman" w:cs="Times New Roman"/>
                      <w:color w:val="auto"/>
                      <w:lang w:val="en-US" w:eastAsia="zh-CN"/>
                    </w:rPr>
                    <w:t>无列车通行时</w:t>
                  </w:r>
                </w:p>
              </w:tc>
            </w:tr>
            <w:tr w14:paraId="43B3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3E69BF91">
                  <w:pPr>
                    <w:pStyle w:val="363"/>
                    <w:bidi w:val="0"/>
                    <w:spacing w:line="240" w:lineRule="auto"/>
                    <w:ind w:firstLine="0" w:firstLineChars="0"/>
                    <w:rPr>
                      <w:rFonts w:hint="eastAsia" w:ascii="Times New Roman" w:hAnsi="Times New Roman" w:eastAsia="宋体" w:cs="Times New Roman"/>
                      <w:smallCaps w:val="0"/>
                      <w:color w:val="auto"/>
                      <w:kern w:val="2"/>
                      <w:sz w:val="21"/>
                      <w:szCs w:val="21"/>
                      <w:lang w:val="en-US" w:eastAsia="zh-CN" w:bidi="ar-SA"/>
                    </w:rPr>
                  </w:pPr>
                  <w:r>
                    <w:rPr>
                      <w:rFonts w:hint="default" w:ascii="Times New Roman" w:hAnsi="Times New Roman" w:cs="Times New Roman"/>
                      <w:color w:val="auto"/>
                      <w:lang w:val="en-US" w:eastAsia="zh-CN"/>
                    </w:rPr>
                    <w:t>N2-1</w:t>
                  </w:r>
                </w:p>
              </w:tc>
              <w:tc>
                <w:tcPr>
                  <w:tcW w:w="1823" w:type="pct"/>
                  <w:vMerge w:val="restart"/>
                  <w:noWrap w:val="0"/>
                  <w:vAlign w:val="center"/>
                </w:tcPr>
                <w:p w14:paraId="20531E55">
                  <w:pPr>
                    <w:pStyle w:val="363"/>
                    <w:bidi w:val="0"/>
                    <w:spacing w:line="240" w:lineRule="auto"/>
                    <w:ind w:firstLine="0" w:firstLineChars="0"/>
                    <w:rPr>
                      <w:rFonts w:hint="eastAsia" w:ascii="Times New Roman" w:hAnsi="Times New Roman" w:eastAsia="宋体" w:cs="Times New Roman"/>
                      <w:smallCaps w:val="0"/>
                      <w:color w:val="auto"/>
                      <w:kern w:val="2"/>
                      <w:position w:val="2"/>
                      <w:sz w:val="21"/>
                      <w:szCs w:val="21"/>
                      <w:lang w:val="en-US" w:eastAsia="zh-CN" w:bidi="ar-SA"/>
                    </w:rPr>
                  </w:pPr>
                  <w:r>
                    <w:rPr>
                      <w:rFonts w:hint="eastAsia" w:ascii="Times New Roman" w:hAnsi="Times New Roman" w:cs="Times New Roman"/>
                      <w:color w:val="auto"/>
                      <w:lang w:val="en-US" w:eastAsia="zh-CN"/>
                    </w:rPr>
                    <w:t>云约居民点</w:t>
                  </w:r>
                </w:p>
              </w:tc>
              <w:tc>
                <w:tcPr>
                  <w:tcW w:w="788" w:type="pct"/>
                  <w:vMerge w:val="continue"/>
                  <w:noWrap w:val="0"/>
                  <w:vAlign w:val="top"/>
                </w:tcPr>
                <w:p w14:paraId="2B45DC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mallCaps w:val="0"/>
                      <w:color w:val="auto"/>
                    </w:rPr>
                  </w:pPr>
                </w:p>
              </w:tc>
              <w:tc>
                <w:tcPr>
                  <w:tcW w:w="1163" w:type="pct"/>
                  <w:noWrap w:val="0"/>
                  <w:vAlign w:val="center"/>
                </w:tcPr>
                <w:p w14:paraId="7AFFDCC5">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rPr>
                  </w:pPr>
                  <w:r>
                    <w:rPr>
                      <w:rFonts w:hint="eastAsia" w:ascii="Times New Roman" w:hAnsi="Times New Roman" w:cs="Times New Roman"/>
                      <w:color w:val="auto"/>
                      <w:lang w:val="en-US" w:eastAsia="zh-CN"/>
                    </w:rPr>
                    <w:t>有列车通行时</w:t>
                  </w:r>
                </w:p>
              </w:tc>
            </w:tr>
            <w:tr w14:paraId="2BD0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1BD643E2">
                  <w:pPr>
                    <w:pStyle w:val="363"/>
                    <w:bidi w:val="0"/>
                    <w:spacing w:line="240" w:lineRule="auto"/>
                    <w:ind w:firstLine="0" w:firstLineChars="0"/>
                    <w:rPr>
                      <w:rFonts w:hint="eastAsia" w:ascii="Times New Roman" w:hAnsi="Times New Roman" w:eastAsia="宋体" w:cs="Times New Roman"/>
                      <w:smallCaps w:val="0"/>
                      <w:color w:val="auto"/>
                      <w:sz w:val="21"/>
                      <w:szCs w:val="21"/>
                      <w:lang w:val="en-US" w:eastAsia="zh-CN"/>
                    </w:rPr>
                  </w:pPr>
                  <w:r>
                    <w:rPr>
                      <w:rFonts w:hint="default" w:ascii="Times New Roman" w:hAnsi="Times New Roman" w:cs="Times New Roman"/>
                      <w:color w:val="auto"/>
                      <w:lang w:val="en-US" w:eastAsia="zh-CN"/>
                    </w:rPr>
                    <w:t>N2-2</w:t>
                  </w:r>
                </w:p>
              </w:tc>
              <w:tc>
                <w:tcPr>
                  <w:tcW w:w="1823" w:type="pct"/>
                  <w:vMerge w:val="continue"/>
                  <w:noWrap w:val="0"/>
                  <w:vAlign w:val="center"/>
                </w:tcPr>
                <w:p w14:paraId="6A0B3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788" w:type="pct"/>
                  <w:vMerge w:val="continue"/>
                  <w:noWrap w:val="0"/>
                  <w:vAlign w:val="top"/>
                </w:tcPr>
                <w:p w14:paraId="771CC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mallCaps w:val="0"/>
                      <w:color w:val="auto"/>
                    </w:rPr>
                  </w:pPr>
                </w:p>
              </w:tc>
              <w:tc>
                <w:tcPr>
                  <w:tcW w:w="1163" w:type="pct"/>
                  <w:noWrap w:val="0"/>
                  <w:vAlign w:val="center"/>
                </w:tcPr>
                <w:p w14:paraId="3EE561C1">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rPr>
                  </w:pPr>
                  <w:r>
                    <w:rPr>
                      <w:rFonts w:hint="eastAsia" w:ascii="Times New Roman" w:hAnsi="Times New Roman" w:cs="Times New Roman"/>
                      <w:color w:val="auto"/>
                      <w:lang w:val="en-US" w:eastAsia="zh-CN"/>
                    </w:rPr>
                    <w:t>无列车通行时</w:t>
                  </w:r>
                </w:p>
              </w:tc>
            </w:tr>
            <w:tr w14:paraId="3321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678F7917">
                  <w:pPr>
                    <w:pStyle w:val="363"/>
                    <w:bidi w:val="0"/>
                    <w:spacing w:line="240" w:lineRule="auto"/>
                    <w:ind w:firstLine="0" w:firstLineChars="0"/>
                    <w:rPr>
                      <w:rFonts w:hint="eastAsia" w:ascii="Times New Roman" w:hAnsi="Times New Roman" w:eastAsia="宋体" w:cs="Times New Roman"/>
                      <w:smallCaps w:val="0"/>
                      <w:color w:val="auto"/>
                      <w:sz w:val="21"/>
                      <w:szCs w:val="21"/>
                      <w:lang w:val="en-US" w:eastAsia="zh-CN"/>
                    </w:rPr>
                  </w:pPr>
                  <w:r>
                    <w:rPr>
                      <w:rFonts w:hint="default" w:ascii="Times New Roman" w:hAnsi="Times New Roman" w:cs="Times New Roman"/>
                      <w:color w:val="auto"/>
                      <w:lang w:val="en-US" w:eastAsia="zh-CN"/>
                    </w:rPr>
                    <w:t>N3-1</w:t>
                  </w:r>
                </w:p>
              </w:tc>
              <w:tc>
                <w:tcPr>
                  <w:tcW w:w="1823" w:type="pct"/>
                  <w:vMerge w:val="restart"/>
                  <w:noWrap w:val="0"/>
                  <w:vAlign w:val="center"/>
                </w:tcPr>
                <w:p w14:paraId="2E56A7BE">
                  <w:pPr>
                    <w:pStyle w:val="363"/>
                    <w:bidi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下云约居民点</w:t>
                  </w:r>
                </w:p>
              </w:tc>
              <w:tc>
                <w:tcPr>
                  <w:tcW w:w="788" w:type="pct"/>
                  <w:vMerge w:val="continue"/>
                  <w:noWrap w:val="0"/>
                  <w:vAlign w:val="top"/>
                </w:tcPr>
                <w:p w14:paraId="15E480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mallCaps w:val="0"/>
                      <w:color w:val="auto"/>
                    </w:rPr>
                  </w:pPr>
                </w:p>
              </w:tc>
              <w:tc>
                <w:tcPr>
                  <w:tcW w:w="1163" w:type="pct"/>
                  <w:noWrap w:val="0"/>
                  <w:vAlign w:val="center"/>
                </w:tcPr>
                <w:p w14:paraId="703C61B7">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rPr>
                  </w:pPr>
                  <w:r>
                    <w:rPr>
                      <w:rFonts w:hint="eastAsia" w:ascii="Times New Roman" w:hAnsi="Times New Roman" w:cs="Times New Roman"/>
                      <w:color w:val="auto"/>
                      <w:lang w:val="en-US" w:eastAsia="zh-CN"/>
                    </w:rPr>
                    <w:t>有列车通行时</w:t>
                  </w:r>
                </w:p>
              </w:tc>
            </w:tr>
            <w:tr w14:paraId="0848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65A7A43F">
                  <w:pPr>
                    <w:pStyle w:val="363"/>
                    <w:bidi w:val="0"/>
                    <w:spacing w:line="240" w:lineRule="auto"/>
                    <w:ind w:firstLine="0" w:firstLineChars="0"/>
                    <w:rPr>
                      <w:rFonts w:hint="eastAsia" w:ascii="Times New Roman" w:hAnsi="Times New Roman" w:eastAsia="宋体" w:cs="Times New Roman"/>
                      <w:smallCaps w:val="0"/>
                      <w:color w:val="auto"/>
                      <w:sz w:val="21"/>
                      <w:szCs w:val="21"/>
                      <w:lang w:val="en-US" w:eastAsia="zh-CN"/>
                    </w:rPr>
                  </w:pPr>
                  <w:r>
                    <w:rPr>
                      <w:rFonts w:hint="default" w:ascii="Times New Roman" w:hAnsi="Times New Roman" w:cs="Times New Roman"/>
                      <w:color w:val="auto"/>
                      <w:lang w:val="en-US" w:eastAsia="zh-CN"/>
                    </w:rPr>
                    <w:t>N3-2</w:t>
                  </w:r>
                </w:p>
              </w:tc>
              <w:tc>
                <w:tcPr>
                  <w:tcW w:w="1823" w:type="pct"/>
                  <w:vMerge w:val="continue"/>
                  <w:noWrap w:val="0"/>
                  <w:vAlign w:val="center"/>
                </w:tcPr>
                <w:p w14:paraId="64BFBF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788" w:type="pct"/>
                  <w:vMerge w:val="continue"/>
                  <w:noWrap w:val="0"/>
                  <w:vAlign w:val="top"/>
                </w:tcPr>
                <w:p w14:paraId="33D66D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mallCaps w:val="0"/>
                      <w:color w:val="auto"/>
                    </w:rPr>
                  </w:pPr>
                </w:p>
              </w:tc>
              <w:tc>
                <w:tcPr>
                  <w:tcW w:w="1163" w:type="pct"/>
                  <w:noWrap w:val="0"/>
                  <w:vAlign w:val="center"/>
                </w:tcPr>
                <w:p w14:paraId="2F134B0E">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rPr>
                  </w:pPr>
                  <w:r>
                    <w:rPr>
                      <w:rFonts w:hint="eastAsia" w:ascii="Times New Roman" w:hAnsi="Times New Roman" w:cs="Times New Roman"/>
                      <w:color w:val="auto"/>
                      <w:lang w:val="en-US" w:eastAsia="zh-CN"/>
                    </w:rPr>
                    <w:t>无列车通行时</w:t>
                  </w:r>
                </w:p>
              </w:tc>
            </w:tr>
            <w:tr w14:paraId="5110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283B29B3">
                  <w:pPr>
                    <w:pStyle w:val="363"/>
                    <w:bidi w:val="0"/>
                    <w:spacing w:line="240" w:lineRule="auto"/>
                    <w:ind w:firstLine="0" w:firstLineChars="0"/>
                    <w:rPr>
                      <w:rFonts w:hint="eastAsia" w:ascii="Times New Roman" w:hAnsi="Times New Roman" w:eastAsia="宋体" w:cs="Times New Roman"/>
                      <w:smallCaps w:val="0"/>
                      <w:color w:val="auto"/>
                      <w:sz w:val="21"/>
                      <w:szCs w:val="21"/>
                      <w:lang w:val="en-US" w:eastAsia="zh-CN"/>
                    </w:rPr>
                  </w:pPr>
                  <w:r>
                    <w:rPr>
                      <w:rFonts w:hint="default" w:ascii="Times New Roman" w:hAnsi="Times New Roman" w:cs="Times New Roman"/>
                      <w:color w:val="auto"/>
                      <w:lang w:val="en-US" w:eastAsia="zh-CN"/>
                    </w:rPr>
                    <w:t>N4-1</w:t>
                  </w:r>
                </w:p>
              </w:tc>
              <w:tc>
                <w:tcPr>
                  <w:tcW w:w="1823" w:type="pct"/>
                  <w:vMerge w:val="restart"/>
                  <w:noWrap w:val="0"/>
                  <w:vAlign w:val="center"/>
                </w:tcPr>
                <w:p w14:paraId="7B2F7675">
                  <w:pPr>
                    <w:pStyle w:val="363"/>
                    <w:bidi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lang w:val="en-US" w:eastAsia="zh-CN"/>
                    </w:rPr>
                    <w:t>傅屋村居民点</w:t>
                  </w:r>
                </w:p>
              </w:tc>
              <w:tc>
                <w:tcPr>
                  <w:tcW w:w="788" w:type="pct"/>
                  <w:vMerge w:val="continue"/>
                  <w:noWrap w:val="0"/>
                  <w:vAlign w:val="top"/>
                </w:tcPr>
                <w:p w14:paraId="38BDCE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mallCaps w:val="0"/>
                      <w:color w:val="auto"/>
                    </w:rPr>
                  </w:pPr>
                </w:p>
              </w:tc>
              <w:tc>
                <w:tcPr>
                  <w:tcW w:w="1163" w:type="pct"/>
                  <w:noWrap w:val="0"/>
                  <w:vAlign w:val="center"/>
                </w:tcPr>
                <w:p w14:paraId="380ACB8E">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rPr>
                  </w:pPr>
                  <w:r>
                    <w:rPr>
                      <w:rFonts w:hint="eastAsia" w:ascii="Times New Roman" w:hAnsi="Times New Roman" w:cs="Times New Roman"/>
                      <w:color w:val="auto"/>
                      <w:lang w:val="en-US" w:eastAsia="zh-CN"/>
                    </w:rPr>
                    <w:t>有列车通行时</w:t>
                  </w:r>
                </w:p>
              </w:tc>
            </w:tr>
            <w:tr w14:paraId="6765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615C526F">
                  <w:pPr>
                    <w:pStyle w:val="363"/>
                    <w:bidi w:val="0"/>
                    <w:spacing w:line="240" w:lineRule="auto"/>
                    <w:ind w:firstLine="0" w:firstLineChars="0"/>
                    <w:rPr>
                      <w:rFonts w:hint="eastAsia" w:ascii="Times New Roman" w:hAnsi="Times New Roman" w:eastAsia="宋体" w:cs="Times New Roman"/>
                      <w:smallCaps w:val="0"/>
                      <w:color w:val="auto"/>
                      <w:sz w:val="21"/>
                      <w:szCs w:val="21"/>
                      <w:lang w:val="en-US" w:eastAsia="zh-CN"/>
                    </w:rPr>
                  </w:pPr>
                  <w:r>
                    <w:rPr>
                      <w:rFonts w:hint="default" w:ascii="Times New Roman" w:hAnsi="Times New Roman" w:cs="Times New Roman"/>
                      <w:color w:val="auto"/>
                      <w:lang w:val="en-US" w:eastAsia="zh-CN"/>
                    </w:rPr>
                    <w:t>N4-2</w:t>
                  </w:r>
                </w:p>
              </w:tc>
              <w:tc>
                <w:tcPr>
                  <w:tcW w:w="1823" w:type="pct"/>
                  <w:vMerge w:val="continue"/>
                  <w:noWrap w:val="0"/>
                  <w:vAlign w:val="center"/>
                </w:tcPr>
                <w:p w14:paraId="0A5AC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788" w:type="pct"/>
                  <w:vMerge w:val="continue"/>
                  <w:noWrap w:val="0"/>
                  <w:vAlign w:val="top"/>
                </w:tcPr>
                <w:p w14:paraId="1B916C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mallCaps w:val="0"/>
                      <w:color w:val="auto"/>
                    </w:rPr>
                  </w:pPr>
                </w:p>
              </w:tc>
              <w:tc>
                <w:tcPr>
                  <w:tcW w:w="1163" w:type="pct"/>
                  <w:noWrap w:val="0"/>
                  <w:vAlign w:val="center"/>
                </w:tcPr>
                <w:p w14:paraId="1BF35322">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rPr>
                  </w:pPr>
                  <w:r>
                    <w:rPr>
                      <w:rFonts w:hint="eastAsia" w:ascii="Times New Roman" w:hAnsi="Times New Roman" w:cs="Times New Roman"/>
                      <w:color w:val="auto"/>
                      <w:lang w:val="en-US" w:eastAsia="zh-CN"/>
                    </w:rPr>
                    <w:t>无列车通行时</w:t>
                  </w:r>
                </w:p>
              </w:tc>
            </w:tr>
            <w:tr w14:paraId="4DF2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57E13253">
                  <w:pPr>
                    <w:pStyle w:val="363"/>
                    <w:bidi w:val="0"/>
                    <w:spacing w:line="240" w:lineRule="auto"/>
                    <w:ind w:firstLine="0" w:firstLineChars="0"/>
                    <w:rPr>
                      <w:rFonts w:hint="eastAsia" w:ascii="Times New Roman" w:hAnsi="Times New Roman" w:eastAsia="宋体" w:cs="Times New Roman"/>
                      <w:smallCaps w:val="0"/>
                      <w:color w:val="auto"/>
                      <w:sz w:val="21"/>
                      <w:szCs w:val="21"/>
                      <w:lang w:val="en-US" w:eastAsia="zh-CN"/>
                    </w:rPr>
                  </w:pP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-1</w:t>
                  </w:r>
                </w:p>
              </w:tc>
              <w:tc>
                <w:tcPr>
                  <w:tcW w:w="1823" w:type="pct"/>
                  <w:vMerge w:val="restart"/>
                  <w:noWrap w:val="0"/>
                  <w:vAlign w:val="center"/>
                </w:tcPr>
                <w:p w14:paraId="7F8C6DD9">
                  <w:pPr>
                    <w:pStyle w:val="363"/>
                    <w:bidi w:val="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hd w:val="clear" w:color="auto" w:fill="auto"/>
                      <w:lang w:val="en-US" w:eastAsia="zh-CN"/>
                    </w:rPr>
                    <w:t>项目南侧边界</w:t>
                  </w:r>
                </w:p>
              </w:tc>
              <w:tc>
                <w:tcPr>
                  <w:tcW w:w="788" w:type="pct"/>
                  <w:vMerge w:val="continue"/>
                  <w:noWrap w:val="0"/>
                  <w:vAlign w:val="top"/>
                </w:tcPr>
                <w:p w14:paraId="4C1C6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mallCaps w:val="0"/>
                      <w:color w:val="auto"/>
                    </w:rPr>
                  </w:pPr>
                </w:p>
              </w:tc>
              <w:tc>
                <w:tcPr>
                  <w:tcW w:w="1163" w:type="pct"/>
                  <w:noWrap w:val="0"/>
                  <w:vAlign w:val="center"/>
                </w:tcPr>
                <w:p w14:paraId="6DBD11A2">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rPr>
                  </w:pPr>
                  <w:r>
                    <w:rPr>
                      <w:rFonts w:hint="eastAsia" w:ascii="Times New Roman" w:hAnsi="Times New Roman" w:cs="Times New Roman"/>
                      <w:color w:val="auto"/>
                      <w:lang w:val="en-US" w:eastAsia="zh-CN"/>
                    </w:rPr>
                    <w:t>有列车通行时</w:t>
                  </w:r>
                </w:p>
              </w:tc>
            </w:tr>
            <w:tr w14:paraId="045C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pct"/>
                  <w:noWrap w:val="0"/>
                  <w:vAlign w:val="center"/>
                </w:tcPr>
                <w:p w14:paraId="5FC6082F">
                  <w:pPr>
                    <w:pStyle w:val="363"/>
                    <w:bidi w:val="0"/>
                    <w:spacing w:line="240" w:lineRule="auto"/>
                    <w:ind w:firstLine="0" w:firstLineChars="0"/>
                    <w:rPr>
                      <w:rFonts w:hint="eastAsia" w:ascii="Times New Roman" w:hAnsi="Times New Roman" w:eastAsia="宋体" w:cs="Times New Roman"/>
                      <w:smallCaps w:val="0"/>
                      <w:color w:val="auto"/>
                      <w:sz w:val="21"/>
                      <w:szCs w:val="21"/>
                      <w:lang w:val="en-US" w:eastAsia="zh-CN"/>
                    </w:rPr>
                  </w:pP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-2</w:t>
                  </w:r>
                </w:p>
              </w:tc>
              <w:tc>
                <w:tcPr>
                  <w:tcW w:w="1823" w:type="pct"/>
                  <w:vMerge w:val="continue"/>
                  <w:noWrap w:val="0"/>
                  <w:vAlign w:val="center"/>
                </w:tcPr>
                <w:p w14:paraId="27F659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788" w:type="pct"/>
                  <w:vMerge w:val="continue"/>
                  <w:noWrap w:val="0"/>
                  <w:vAlign w:val="top"/>
                </w:tcPr>
                <w:p w14:paraId="226952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smallCaps w:val="0"/>
                      <w:color w:val="auto"/>
                    </w:rPr>
                  </w:pPr>
                </w:p>
              </w:tc>
              <w:tc>
                <w:tcPr>
                  <w:tcW w:w="1163" w:type="pct"/>
                  <w:noWrap w:val="0"/>
                  <w:vAlign w:val="center"/>
                </w:tcPr>
                <w:p w14:paraId="22AB04BE">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rPr>
                  </w:pPr>
                  <w:r>
                    <w:rPr>
                      <w:rFonts w:hint="eastAsia" w:ascii="Times New Roman" w:hAnsi="Times New Roman" w:cs="Times New Roman"/>
                      <w:color w:val="auto"/>
                      <w:lang w:val="en-US" w:eastAsia="zh-CN"/>
                    </w:rPr>
                    <w:t>无列车通行时</w:t>
                  </w:r>
                </w:p>
              </w:tc>
            </w:tr>
          </w:tbl>
          <w:p w14:paraId="3B4BFC77">
            <w:pPr>
              <w:keepNext w:val="0"/>
              <w:keepLines w:val="0"/>
              <w:pageBreakBefore w:val="0"/>
              <w:kinsoku/>
              <w:wordWrap/>
              <w:overflowPunct/>
              <w:topLinePunct w:val="0"/>
              <w:bidi w:val="0"/>
              <w:spacing w:line="480" w:lineRule="exact"/>
              <w:ind w:firstLine="480" w:firstLineChars="200"/>
              <w:textAlignment w:val="auto"/>
              <w:rPr>
                <w:rFonts w:ascii="Times New Roman" w:hAnsi="Times New Roman" w:eastAsia="宋体" w:cs="Times New Roman"/>
                <w:smallCaps w:val="0"/>
                <w:snapToGrid w:val="0"/>
                <w:color w:val="auto"/>
                <w:sz w:val="24"/>
              </w:rPr>
            </w:pPr>
            <w:r>
              <w:rPr>
                <w:rFonts w:ascii="Times New Roman" w:hAnsi="Times New Roman" w:eastAsia="宋体" w:cs="Times New Roman"/>
                <w:smallCaps w:val="0"/>
                <w:snapToGrid w:val="0"/>
                <w:color w:val="auto"/>
                <w:sz w:val="24"/>
              </w:rPr>
              <w:t>（2）监测时间与频率</w:t>
            </w:r>
          </w:p>
          <w:p w14:paraId="44B1F718">
            <w:pPr>
              <w:keepNext w:val="0"/>
              <w:keepLines w:val="0"/>
              <w:pageBreakBefore w:val="0"/>
              <w:kinsoku/>
              <w:wordWrap/>
              <w:overflowPunct/>
              <w:topLinePunct w:val="0"/>
              <w:bidi w:val="0"/>
              <w:spacing w:line="480" w:lineRule="exact"/>
              <w:ind w:firstLine="480" w:firstLineChars="200"/>
              <w:textAlignment w:val="auto"/>
              <w:rPr>
                <w:rFonts w:ascii="Times New Roman" w:hAnsi="Times New Roman" w:eastAsia="宋体" w:cs="Times New Roman"/>
                <w:smallCaps w:val="0"/>
                <w:snapToGrid w:val="0"/>
                <w:color w:val="auto"/>
                <w:sz w:val="24"/>
              </w:rPr>
            </w:pPr>
            <w:r>
              <w:rPr>
                <w:rFonts w:hint="eastAsia" w:ascii="Times New Roman" w:hAnsi="Times New Roman" w:eastAsia="宋体" w:cs="Times New Roman"/>
                <w:smallCaps w:val="0"/>
                <w:snapToGrid w:val="0"/>
                <w:color w:val="auto"/>
                <w:sz w:val="24"/>
                <w:lang w:val="en-US" w:eastAsia="zh-CN"/>
              </w:rPr>
              <w:t>本次</w:t>
            </w:r>
            <w:r>
              <w:rPr>
                <w:rFonts w:ascii="Times New Roman" w:hAnsi="Times New Roman" w:eastAsia="宋体" w:cs="Times New Roman"/>
                <w:smallCaps w:val="0"/>
                <w:snapToGrid w:val="0"/>
                <w:color w:val="auto"/>
                <w:sz w:val="24"/>
              </w:rPr>
              <w:t>监测时间为202</w:t>
            </w:r>
            <w:r>
              <w:rPr>
                <w:rFonts w:hint="eastAsia" w:ascii="Times New Roman" w:hAnsi="Times New Roman" w:eastAsia="宋体" w:cs="Times New Roman"/>
                <w:smallCaps w:val="0"/>
                <w:snapToGrid w:val="0"/>
                <w:color w:val="auto"/>
                <w:sz w:val="24"/>
                <w:lang w:val="en-US" w:eastAsia="zh-CN"/>
              </w:rPr>
              <w:t>6</w:t>
            </w:r>
            <w:r>
              <w:rPr>
                <w:rFonts w:ascii="Times New Roman" w:hAnsi="Times New Roman" w:eastAsia="宋体" w:cs="Times New Roman"/>
                <w:smallCaps w:val="0"/>
                <w:snapToGrid w:val="0"/>
                <w:color w:val="auto"/>
                <w:sz w:val="24"/>
              </w:rPr>
              <w:t>年</w:t>
            </w:r>
            <w:r>
              <w:rPr>
                <w:rFonts w:hint="eastAsia" w:cs="Times New Roman"/>
                <w:smallCaps w:val="0"/>
                <w:snapToGrid w:val="0"/>
                <w:color w:val="auto"/>
                <w:sz w:val="24"/>
                <w:lang w:val="en-US" w:eastAsia="zh-CN"/>
              </w:rPr>
              <w:t>1</w:t>
            </w:r>
            <w:r>
              <w:rPr>
                <w:rFonts w:ascii="Times New Roman" w:hAnsi="Times New Roman" w:eastAsia="宋体" w:cs="Times New Roman"/>
                <w:smallCaps w:val="0"/>
                <w:snapToGrid w:val="0"/>
                <w:color w:val="auto"/>
                <w:sz w:val="24"/>
              </w:rPr>
              <w:t>月</w:t>
            </w:r>
            <w:r>
              <w:rPr>
                <w:rFonts w:hint="eastAsia" w:cs="Times New Roman"/>
                <w:smallCaps w:val="0"/>
                <w:snapToGrid w:val="0"/>
                <w:color w:val="auto"/>
                <w:sz w:val="24"/>
                <w:lang w:val="en-US" w:eastAsia="zh-CN"/>
              </w:rPr>
              <w:t>6</w:t>
            </w:r>
            <w:r>
              <w:rPr>
                <w:rFonts w:ascii="Times New Roman" w:hAnsi="Times New Roman" w:eastAsia="宋体" w:cs="Times New Roman"/>
                <w:smallCaps w:val="0"/>
                <w:snapToGrid w:val="0"/>
                <w:color w:val="auto"/>
                <w:sz w:val="24"/>
              </w:rPr>
              <w:t>日</w:t>
            </w:r>
            <w:r>
              <w:rPr>
                <w:rFonts w:hint="eastAsia" w:ascii="Times New Roman" w:hAnsi="Times New Roman" w:eastAsia="宋体" w:cs="Times New Roman"/>
                <w:smallCaps w:val="0"/>
                <w:snapToGrid w:val="0"/>
                <w:color w:val="auto"/>
                <w:sz w:val="24"/>
                <w:lang w:eastAsia="zh-CN"/>
              </w:rPr>
              <w:t>～</w:t>
            </w:r>
            <w:r>
              <w:rPr>
                <w:rFonts w:hint="eastAsia" w:cs="Times New Roman"/>
                <w:smallCaps w:val="0"/>
                <w:snapToGrid w:val="0"/>
                <w:color w:val="auto"/>
                <w:sz w:val="24"/>
                <w:lang w:val="en-US" w:eastAsia="zh-CN"/>
              </w:rPr>
              <w:t>7</w:t>
            </w:r>
            <w:r>
              <w:rPr>
                <w:rFonts w:ascii="Times New Roman" w:hAnsi="Times New Roman" w:eastAsia="宋体" w:cs="Times New Roman"/>
                <w:smallCaps w:val="0"/>
                <w:snapToGrid w:val="0"/>
                <w:color w:val="auto"/>
                <w:sz w:val="24"/>
              </w:rPr>
              <w:t>日，连续两天，每天昼夜各监测一次。</w:t>
            </w:r>
          </w:p>
          <w:p w14:paraId="5609DB68">
            <w:pPr>
              <w:keepNext w:val="0"/>
              <w:keepLines w:val="0"/>
              <w:pageBreakBefore w:val="0"/>
              <w:kinsoku/>
              <w:wordWrap/>
              <w:overflowPunct/>
              <w:topLinePunct w:val="0"/>
              <w:bidi w:val="0"/>
              <w:spacing w:line="480" w:lineRule="exact"/>
              <w:ind w:firstLine="480" w:firstLineChars="200"/>
              <w:textAlignment w:val="auto"/>
              <w:rPr>
                <w:rFonts w:ascii="Times New Roman" w:hAnsi="Times New Roman" w:eastAsia="宋体" w:cs="Times New Roman"/>
                <w:smallCaps w:val="0"/>
                <w:snapToGrid w:val="0"/>
                <w:color w:val="auto"/>
                <w:sz w:val="24"/>
              </w:rPr>
            </w:pPr>
            <w:r>
              <w:rPr>
                <w:rFonts w:ascii="Times New Roman" w:hAnsi="Times New Roman" w:eastAsia="宋体" w:cs="Times New Roman"/>
                <w:smallCaps w:val="0"/>
                <w:snapToGrid w:val="0"/>
                <w:color w:val="auto"/>
                <w:sz w:val="24"/>
              </w:rPr>
              <w:t>（3）监测分析方法及监测设备</w:t>
            </w:r>
          </w:p>
          <w:p w14:paraId="31E261AF">
            <w:pPr>
              <w:keepNext w:val="0"/>
              <w:keepLines w:val="0"/>
              <w:pageBreakBefore w:val="0"/>
              <w:kinsoku/>
              <w:wordWrap/>
              <w:overflowPunct/>
              <w:topLinePunct w:val="0"/>
              <w:bidi w:val="0"/>
              <w:spacing w:line="480" w:lineRule="exact"/>
              <w:ind w:firstLine="480" w:firstLineChars="200"/>
              <w:textAlignment w:val="auto"/>
              <w:rPr>
                <w:rFonts w:ascii="Times New Roman" w:hAnsi="Times New Roman" w:eastAsia="宋体" w:cs="Times New Roman"/>
                <w:smallCaps w:val="0"/>
                <w:snapToGrid w:val="0"/>
                <w:color w:val="auto"/>
                <w:sz w:val="24"/>
              </w:rPr>
            </w:pPr>
            <w:r>
              <w:rPr>
                <w:rFonts w:ascii="Times New Roman" w:hAnsi="Times New Roman" w:eastAsia="宋体" w:cs="Times New Roman"/>
                <w:smallCaps w:val="0"/>
                <w:snapToGrid w:val="0"/>
                <w:color w:val="auto"/>
                <w:sz w:val="24"/>
              </w:rPr>
              <w:t>根据《铁路边界噪声限值及其测量方法》（</w:t>
            </w:r>
            <w:r>
              <w:rPr>
                <w:rFonts w:ascii="Times New Roman" w:hAnsi="Times New Roman" w:eastAsia="宋体" w:cs="Times New Roman"/>
                <w:smallCaps w:val="0"/>
                <w:snapToGrid w:val="0"/>
                <w:color w:val="auto"/>
                <w:sz w:val="24"/>
                <w:lang w:val="en-US" w:eastAsia="en-US"/>
              </w:rPr>
              <w:t>GB</w:t>
            </w:r>
            <w:r>
              <w:rPr>
                <w:rFonts w:ascii="Times New Roman" w:hAnsi="Times New Roman" w:eastAsia="宋体" w:cs="Times New Roman"/>
                <w:smallCaps w:val="0"/>
                <w:snapToGrid w:val="0"/>
                <w:color w:val="auto"/>
                <w:sz w:val="24"/>
                <w:lang w:val="en-US" w:eastAsia="zh-CN"/>
              </w:rPr>
              <w:t>/T</w:t>
            </w:r>
            <w:r>
              <w:rPr>
                <w:rFonts w:ascii="Times New Roman" w:hAnsi="Times New Roman" w:eastAsia="宋体" w:cs="Times New Roman"/>
                <w:smallCaps w:val="0"/>
                <w:snapToGrid w:val="0"/>
                <w:color w:val="auto"/>
                <w:sz w:val="24"/>
                <w:lang w:val="en-US" w:eastAsia="en-US"/>
              </w:rPr>
              <w:t xml:space="preserve"> 12525-</w:t>
            </w:r>
            <w:r>
              <w:rPr>
                <w:rFonts w:ascii="Times New Roman" w:hAnsi="Times New Roman" w:eastAsia="宋体" w:cs="Times New Roman"/>
                <w:smallCaps w:val="0"/>
                <w:snapToGrid w:val="0"/>
                <w:color w:val="auto"/>
                <w:sz w:val="24"/>
                <w:lang w:val="en-US" w:eastAsia="zh-CN"/>
              </w:rPr>
              <w:t>19</w:t>
            </w:r>
            <w:r>
              <w:rPr>
                <w:rFonts w:ascii="Times New Roman" w:hAnsi="Times New Roman" w:eastAsia="宋体" w:cs="Times New Roman"/>
                <w:smallCaps w:val="0"/>
                <w:snapToGrid w:val="0"/>
                <w:color w:val="auto"/>
                <w:sz w:val="24"/>
                <w:lang w:val="en-US" w:eastAsia="en-US"/>
              </w:rPr>
              <w:t>90</w:t>
            </w:r>
            <w:r>
              <w:rPr>
                <w:rFonts w:ascii="Times New Roman" w:hAnsi="Times New Roman" w:eastAsia="宋体" w:cs="Times New Roman"/>
                <w:smallCaps w:val="0"/>
                <w:snapToGrid w:val="0"/>
                <w:color w:val="auto"/>
                <w:sz w:val="24"/>
              </w:rPr>
              <w:t>）进行。</w:t>
            </w:r>
            <w:r>
              <w:rPr>
                <w:rFonts w:hint="eastAsia" w:ascii="Times New Roman" w:hAnsi="Times New Roman" w:eastAsia="宋体" w:cs="Times New Roman"/>
                <w:smallCaps w:val="0"/>
                <w:snapToGrid w:val="0"/>
                <w:color w:val="auto"/>
                <w:sz w:val="24"/>
                <w:lang w:val="en-US" w:eastAsia="zh-CN"/>
              </w:rPr>
              <w:t>本次</w:t>
            </w:r>
            <w:r>
              <w:rPr>
                <w:rFonts w:ascii="Times New Roman" w:hAnsi="Times New Roman" w:eastAsia="宋体" w:cs="Times New Roman"/>
                <w:smallCaps w:val="0"/>
                <w:snapToGrid w:val="0"/>
                <w:color w:val="auto"/>
                <w:sz w:val="24"/>
              </w:rPr>
              <w:t>主要监测设备见表3-</w:t>
            </w:r>
            <w:r>
              <w:rPr>
                <w:rFonts w:hint="eastAsia" w:ascii="Times New Roman" w:hAnsi="Times New Roman" w:eastAsia="宋体" w:cs="Times New Roman"/>
                <w:smallCaps w:val="0"/>
                <w:snapToGrid w:val="0"/>
                <w:color w:val="auto"/>
                <w:sz w:val="24"/>
                <w:lang w:val="en-US" w:eastAsia="zh-CN"/>
              </w:rPr>
              <w:t>4</w:t>
            </w:r>
            <w:r>
              <w:rPr>
                <w:rFonts w:ascii="Times New Roman" w:hAnsi="Times New Roman" w:eastAsia="宋体" w:cs="Times New Roman"/>
                <w:smallCaps w:val="0"/>
                <w:snapToGrid w:val="0"/>
                <w:color w:val="auto"/>
                <w:sz w:val="24"/>
              </w:rPr>
              <w:t>。</w:t>
            </w:r>
          </w:p>
          <w:p w14:paraId="4697B316">
            <w:pPr>
              <w:keepNext w:val="0"/>
              <w:keepLines w:val="0"/>
              <w:pageBreakBefore w:val="0"/>
              <w:kinsoku/>
              <w:wordWrap/>
              <w:overflowPunct/>
              <w:topLinePunct w:val="0"/>
              <w:bidi w:val="0"/>
              <w:spacing w:line="480" w:lineRule="exact"/>
              <w:jc w:val="center"/>
              <w:textAlignment w:val="auto"/>
              <w:rPr>
                <w:rFonts w:ascii="Times New Roman" w:hAnsi="Times New Roman" w:eastAsia="宋体" w:cs="Times New Roman"/>
                <w:b/>
                <w:smallCaps w:val="0"/>
                <w:color w:val="auto"/>
                <w:sz w:val="24"/>
                <w:u w:val="none"/>
              </w:rPr>
            </w:pPr>
            <w:r>
              <w:rPr>
                <w:rFonts w:ascii="Times New Roman" w:hAnsi="Times New Roman" w:eastAsia="宋体" w:cs="Times New Roman"/>
                <w:b/>
                <w:smallCaps w:val="0"/>
                <w:color w:val="auto"/>
                <w:sz w:val="24"/>
                <w:u w:val="none"/>
              </w:rPr>
              <w:t>表3-</w:t>
            </w:r>
            <w:r>
              <w:rPr>
                <w:rFonts w:hint="eastAsia" w:ascii="Times New Roman" w:hAnsi="Times New Roman" w:eastAsia="宋体" w:cs="Times New Roman"/>
                <w:b/>
                <w:smallCaps w:val="0"/>
                <w:color w:val="auto"/>
                <w:sz w:val="24"/>
                <w:u w:val="none"/>
                <w:lang w:val="en-US" w:eastAsia="zh-CN"/>
              </w:rPr>
              <w:t>4</w:t>
            </w:r>
            <w:r>
              <w:rPr>
                <w:rFonts w:ascii="Times New Roman" w:hAnsi="Times New Roman" w:eastAsia="宋体" w:cs="Times New Roman"/>
                <w:b/>
                <w:smallCaps w:val="0"/>
                <w:color w:val="auto"/>
                <w:sz w:val="24"/>
                <w:u w:val="none"/>
              </w:rPr>
              <w:t xml:space="preserve">  主要监测设备</w:t>
            </w:r>
          </w:p>
          <w:tbl>
            <w:tblPr>
              <w:tblStyle w:val="46"/>
              <w:tblW w:w="4999"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103"/>
              <w:gridCol w:w="2627"/>
              <w:gridCol w:w="2688"/>
            </w:tblGrid>
            <w:tr w14:paraId="48E7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right"/>
              </w:trPr>
              <w:tc>
                <w:tcPr>
                  <w:tcW w:w="1843" w:type="pct"/>
                  <w:noWrap w:val="0"/>
                  <w:vAlign w:val="center"/>
                </w:tcPr>
                <w:p w14:paraId="15ED622E">
                  <w:pPr>
                    <w:keepNext w:val="0"/>
                    <w:keepLines w:val="0"/>
                    <w:pageBreakBefore w:val="0"/>
                    <w:kinsoku/>
                    <w:wordWrap/>
                    <w:overflowPunct/>
                    <w:topLinePunct w:val="0"/>
                    <w:autoSpaceDE w:val="0"/>
                    <w:autoSpaceDN w:val="0"/>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u w:val="none"/>
                    </w:rPr>
                  </w:pPr>
                  <w:r>
                    <w:rPr>
                      <w:rFonts w:ascii="Times New Roman" w:hAnsi="Times New Roman" w:eastAsia="宋体" w:cs="Times New Roman"/>
                      <w:b/>
                      <w:bCs/>
                      <w:smallCaps w:val="0"/>
                      <w:color w:val="auto"/>
                      <w:sz w:val="21"/>
                      <w:szCs w:val="21"/>
                      <w:u w:val="none"/>
                    </w:rPr>
                    <w:t>仪器名</w:t>
                  </w:r>
                  <w:r>
                    <w:rPr>
                      <w:rFonts w:ascii="Times New Roman" w:hAnsi="Times New Roman" w:eastAsia="宋体" w:cs="Times New Roman"/>
                      <w:b/>
                      <w:bCs/>
                      <w:smallCaps w:val="0"/>
                      <w:color w:val="auto"/>
                      <w:sz w:val="21"/>
                      <w:szCs w:val="21"/>
                      <w:u w:val="none"/>
                    </w:rPr>
                    <w:cr/>
                  </w:r>
                </w:p>
              </w:tc>
              <w:tc>
                <w:tcPr>
                  <w:tcW w:w="1560" w:type="pct"/>
                  <w:noWrap w:val="0"/>
                  <w:vAlign w:val="center"/>
                </w:tcPr>
                <w:p w14:paraId="1DF57EFD">
                  <w:pPr>
                    <w:pStyle w:val="360"/>
                    <w:keepNext w:val="0"/>
                    <w:keepLines w:val="0"/>
                    <w:pageBreakBefore w:val="0"/>
                    <w:kinsoku/>
                    <w:wordWrap/>
                    <w:overflowPunct/>
                    <w:topLinePunct w:val="0"/>
                    <w:autoSpaceDE w:val="0"/>
                    <w:autoSpaceDN w:val="0"/>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u w:val="none"/>
                    </w:rPr>
                  </w:pPr>
                  <w:r>
                    <w:rPr>
                      <w:rFonts w:ascii="Times New Roman" w:hAnsi="Times New Roman" w:eastAsia="宋体" w:cs="Times New Roman"/>
                      <w:b/>
                      <w:bCs/>
                      <w:smallCaps w:val="0"/>
                      <w:color w:val="auto"/>
                      <w:sz w:val="21"/>
                      <w:szCs w:val="21"/>
                      <w:u w:val="none"/>
                    </w:rPr>
                    <w:t>仪器型号</w:t>
                  </w:r>
                </w:p>
              </w:tc>
              <w:tc>
                <w:tcPr>
                  <w:tcW w:w="1596" w:type="pct"/>
                  <w:noWrap w:val="0"/>
                  <w:vAlign w:val="center"/>
                </w:tcPr>
                <w:p w14:paraId="38A09AF2">
                  <w:pPr>
                    <w:tabs>
                      <w:tab w:val="left" w:pos="409"/>
                    </w:tabs>
                    <w:jc w:val="center"/>
                    <w:rPr>
                      <w:rFonts w:ascii="Times New Roman" w:hAnsi="Times New Roman" w:eastAsia="宋体" w:cs="Times New Roman"/>
                      <w:b/>
                      <w:bCs/>
                      <w:smallCaps w:val="0"/>
                      <w:color w:val="auto"/>
                      <w:sz w:val="21"/>
                      <w:szCs w:val="21"/>
                      <w:u w:val="none"/>
                    </w:rPr>
                  </w:pPr>
                  <w:r>
                    <w:rPr>
                      <w:rFonts w:ascii="Times New Roman" w:hAnsi="Times New Roman" w:eastAsia="宋体" w:cs="Times New Roman"/>
                      <w:b/>
                      <w:bCs/>
                      <w:color w:val="auto"/>
                      <w:sz w:val="21"/>
                      <w:szCs w:val="21"/>
                      <w:u w:val="none"/>
                    </w:rPr>
                    <w:t>仪器编号</w:t>
                  </w:r>
                </w:p>
              </w:tc>
            </w:tr>
            <w:tr w14:paraId="7BD8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right"/>
              </w:trPr>
              <w:tc>
                <w:tcPr>
                  <w:tcW w:w="1843" w:type="pct"/>
                  <w:noWrap w:val="0"/>
                  <w:vAlign w:val="center"/>
                </w:tcPr>
                <w:p w14:paraId="2C4331E7">
                  <w:pPr>
                    <w:widowControl/>
                    <w:jc w:val="center"/>
                    <w:textAlignment w:val="center"/>
                    <w:rPr>
                      <w:rFonts w:ascii="Times New Roman" w:hAnsi="Times New Roman" w:eastAsia="宋体" w:cs="Times New Roman"/>
                      <w:smallCaps w:val="0"/>
                      <w:color w:val="auto"/>
                      <w:sz w:val="21"/>
                      <w:szCs w:val="21"/>
                      <w:u w:val="none"/>
                    </w:rPr>
                  </w:pPr>
                  <w:r>
                    <w:rPr>
                      <w:rFonts w:hint="eastAsia"/>
                      <w:color w:val="auto"/>
                      <w:kern w:val="0"/>
                      <w:szCs w:val="21"/>
                      <w:lang w:val="en-US" w:eastAsia="zh-CN" w:bidi="ar"/>
                    </w:rPr>
                    <w:t>手持气象站</w:t>
                  </w:r>
                </w:p>
              </w:tc>
              <w:tc>
                <w:tcPr>
                  <w:tcW w:w="1560" w:type="pct"/>
                  <w:noWrap w:val="0"/>
                  <w:vAlign w:val="center"/>
                </w:tcPr>
                <w:p w14:paraId="0F14DAB9">
                  <w:pPr>
                    <w:widowControl/>
                    <w:jc w:val="center"/>
                    <w:textAlignment w:val="center"/>
                    <w:rPr>
                      <w:rFonts w:ascii="Times New Roman" w:hAnsi="Times New Roman" w:eastAsia="宋体" w:cs="Times New Roman"/>
                      <w:smallCaps w:val="0"/>
                      <w:color w:val="auto"/>
                      <w:sz w:val="21"/>
                      <w:szCs w:val="21"/>
                      <w:u w:val="none"/>
                    </w:rPr>
                  </w:pPr>
                  <w:r>
                    <w:rPr>
                      <w:rFonts w:hint="eastAsia"/>
                      <w:color w:val="auto"/>
                      <w:kern w:val="0"/>
                      <w:szCs w:val="21"/>
                      <w:lang w:val="en-US" w:eastAsia="zh-CN" w:bidi="ar"/>
                    </w:rPr>
                    <w:t>FT-SQ5</w:t>
                  </w:r>
                </w:p>
              </w:tc>
              <w:tc>
                <w:tcPr>
                  <w:tcW w:w="1596" w:type="pct"/>
                  <w:noWrap w:val="0"/>
                  <w:vAlign w:val="center"/>
                </w:tcPr>
                <w:p w14:paraId="43B54A09">
                  <w:pPr>
                    <w:jc w:val="center"/>
                    <w:rPr>
                      <w:rFonts w:ascii="Times New Roman" w:hAnsi="Times New Roman" w:eastAsia="宋体" w:cs="Times New Roman"/>
                      <w:smallCaps w:val="0"/>
                      <w:color w:val="auto"/>
                      <w:sz w:val="21"/>
                      <w:szCs w:val="21"/>
                      <w:u w:val="none"/>
                    </w:rPr>
                  </w:pPr>
                  <w:r>
                    <w:rPr>
                      <w:rFonts w:hint="eastAsia"/>
                      <w:color w:val="auto"/>
                      <w:szCs w:val="21"/>
                      <w:lang w:val="en-US" w:eastAsia="zh-CN"/>
                    </w:rPr>
                    <w:t>C-83</w:t>
                  </w:r>
                </w:p>
              </w:tc>
            </w:tr>
            <w:tr w14:paraId="0AD2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right"/>
              </w:trPr>
              <w:tc>
                <w:tcPr>
                  <w:tcW w:w="1843" w:type="pct"/>
                  <w:noWrap w:val="0"/>
                  <w:vAlign w:val="center"/>
                </w:tcPr>
                <w:p w14:paraId="19E9C29C">
                  <w:pPr>
                    <w:widowControl/>
                    <w:jc w:val="center"/>
                    <w:textAlignment w:val="center"/>
                    <w:rPr>
                      <w:rFonts w:ascii="Times New Roman" w:hAnsi="Times New Roman" w:eastAsia="宋体" w:cs="Times New Roman"/>
                      <w:smallCaps w:val="0"/>
                      <w:color w:val="auto"/>
                      <w:sz w:val="21"/>
                      <w:szCs w:val="21"/>
                      <w:u w:val="none"/>
                    </w:rPr>
                  </w:pPr>
                  <w:r>
                    <w:rPr>
                      <w:rFonts w:hint="eastAsia"/>
                      <w:color w:val="auto"/>
                      <w:kern w:val="0"/>
                      <w:szCs w:val="21"/>
                      <w:lang w:val="en-US" w:eastAsia="zh-CN" w:bidi="ar"/>
                    </w:rPr>
                    <w:t>多功能声级计</w:t>
                  </w:r>
                </w:p>
              </w:tc>
              <w:tc>
                <w:tcPr>
                  <w:tcW w:w="1560" w:type="pct"/>
                  <w:noWrap w:val="0"/>
                  <w:vAlign w:val="center"/>
                </w:tcPr>
                <w:p w14:paraId="00528B88">
                  <w:pPr>
                    <w:widowControl/>
                    <w:jc w:val="center"/>
                    <w:textAlignment w:val="center"/>
                    <w:rPr>
                      <w:rFonts w:ascii="Times New Roman" w:hAnsi="Times New Roman" w:eastAsia="宋体" w:cs="Times New Roman"/>
                      <w:smallCaps w:val="0"/>
                      <w:color w:val="auto"/>
                      <w:sz w:val="21"/>
                      <w:szCs w:val="21"/>
                      <w:u w:val="none"/>
                    </w:rPr>
                  </w:pPr>
                  <w:r>
                    <w:rPr>
                      <w:rFonts w:hint="eastAsia"/>
                      <w:color w:val="auto"/>
                      <w:kern w:val="0"/>
                      <w:szCs w:val="21"/>
                      <w:lang w:val="en-US" w:eastAsia="zh-CN" w:bidi="ar"/>
                    </w:rPr>
                    <w:t>AWA5688</w:t>
                  </w:r>
                </w:p>
              </w:tc>
              <w:tc>
                <w:tcPr>
                  <w:tcW w:w="1596" w:type="pct"/>
                  <w:noWrap w:val="0"/>
                  <w:vAlign w:val="center"/>
                </w:tcPr>
                <w:p w14:paraId="4F993C34">
                  <w:pPr>
                    <w:jc w:val="center"/>
                    <w:rPr>
                      <w:rFonts w:ascii="Times New Roman" w:hAnsi="Times New Roman" w:eastAsia="宋体" w:cs="Times New Roman"/>
                      <w:smallCaps w:val="0"/>
                      <w:color w:val="auto"/>
                      <w:sz w:val="21"/>
                      <w:szCs w:val="21"/>
                      <w:u w:val="none"/>
                    </w:rPr>
                  </w:pPr>
                  <w:r>
                    <w:rPr>
                      <w:rFonts w:hint="eastAsia"/>
                      <w:color w:val="auto"/>
                      <w:szCs w:val="21"/>
                      <w:lang w:val="en-US" w:eastAsia="zh-CN"/>
                    </w:rPr>
                    <w:t>C-75</w:t>
                  </w:r>
                </w:p>
              </w:tc>
            </w:tr>
            <w:tr w14:paraId="13AC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right"/>
              </w:trPr>
              <w:tc>
                <w:tcPr>
                  <w:tcW w:w="1843" w:type="pct"/>
                  <w:noWrap w:val="0"/>
                  <w:vAlign w:val="center"/>
                </w:tcPr>
                <w:p w14:paraId="225DA093">
                  <w:pPr>
                    <w:widowControl/>
                    <w:jc w:val="center"/>
                    <w:textAlignment w:val="center"/>
                    <w:rPr>
                      <w:rFonts w:ascii="Times New Roman" w:hAnsi="Times New Roman" w:eastAsia="宋体" w:cs="Times New Roman"/>
                      <w:smallCaps w:val="0"/>
                      <w:color w:val="auto"/>
                      <w:sz w:val="21"/>
                      <w:szCs w:val="21"/>
                      <w:u w:val="none"/>
                    </w:rPr>
                  </w:pPr>
                  <w:r>
                    <w:rPr>
                      <w:color w:val="auto"/>
                      <w:kern w:val="0"/>
                      <w:szCs w:val="21"/>
                      <w:lang w:bidi="ar"/>
                    </w:rPr>
                    <w:t>声级校准器</w:t>
                  </w:r>
                </w:p>
              </w:tc>
              <w:tc>
                <w:tcPr>
                  <w:tcW w:w="1560" w:type="pct"/>
                  <w:noWrap w:val="0"/>
                  <w:vAlign w:val="center"/>
                </w:tcPr>
                <w:p w14:paraId="202598FF">
                  <w:pPr>
                    <w:widowControl/>
                    <w:jc w:val="center"/>
                    <w:textAlignment w:val="center"/>
                    <w:rPr>
                      <w:rFonts w:ascii="Times New Roman" w:hAnsi="Times New Roman" w:eastAsia="宋体" w:cs="Times New Roman"/>
                      <w:smallCaps w:val="0"/>
                      <w:color w:val="auto"/>
                      <w:sz w:val="21"/>
                      <w:szCs w:val="21"/>
                      <w:u w:val="none"/>
                    </w:rPr>
                  </w:pPr>
                  <w:r>
                    <w:rPr>
                      <w:color w:val="auto"/>
                      <w:kern w:val="0"/>
                      <w:szCs w:val="21"/>
                      <w:lang w:bidi="ar"/>
                    </w:rPr>
                    <w:t>杭州爱华 AWA6021A</w:t>
                  </w:r>
                </w:p>
              </w:tc>
              <w:tc>
                <w:tcPr>
                  <w:tcW w:w="1596" w:type="pct"/>
                  <w:noWrap w:val="0"/>
                  <w:vAlign w:val="center"/>
                </w:tcPr>
                <w:p w14:paraId="33EEF9EB">
                  <w:pPr>
                    <w:jc w:val="center"/>
                    <w:rPr>
                      <w:rFonts w:ascii="Times New Roman" w:hAnsi="Times New Roman" w:eastAsia="宋体" w:cs="Times New Roman"/>
                      <w:smallCaps w:val="0"/>
                      <w:color w:val="auto"/>
                      <w:sz w:val="21"/>
                      <w:szCs w:val="21"/>
                      <w:u w:val="none"/>
                    </w:rPr>
                  </w:pPr>
                  <w:r>
                    <w:rPr>
                      <w:rFonts w:hint="eastAsia"/>
                      <w:color w:val="auto"/>
                      <w:szCs w:val="21"/>
                      <w:lang w:val="en-US" w:eastAsia="zh-CN"/>
                    </w:rPr>
                    <w:t>C-88</w:t>
                  </w:r>
                </w:p>
              </w:tc>
            </w:tr>
          </w:tbl>
          <w:p w14:paraId="418E6C79">
            <w:pPr>
              <w:keepNext w:val="0"/>
              <w:keepLines w:val="0"/>
              <w:pageBreakBefore w:val="0"/>
              <w:kinsoku/>
              <w:wordWrap/>
              <w:overflowPunct/>
              <w:topLinePunct w:val="0"/>
              <w:bidi w:val="0"/>
              <w:spacing w:before="120" w:beforeLines="50" w:line="480" w:lineRule="exact"/>
              <w:ind w:firstLine="480" w:firstLineChars="200"/>
              <w:textAlignment w:val="auto"/>
              <w:rPr>
                <w:rFonts w:ascii="Times New Roman" w:hAnsi="Times New Roman" w:eastAsia="宋体" w:cs="Times New Roman"/>
                <w:smallCaps w:val="0"/>
                <w:snapToGrid w:val="0"/>
                <w:color w:val="auto"/>
                <w:sz w:val="24"/>
              </w:rPr>
            </w:pPr>
            <w:r>
              <w:rPr>
                <w:rFonts w:ascii="Times New Roman" w:hAnsi="Times New Roman" w:eastAsia="宋体" w:cs="Times New Roman"/>
                <w:smallCaps w:val="0"/>
                <w:snapToGrid w:val="0"/>
                <w:color w:val="auto"/>
                <w:sz w:val="24"/>
              </w:rPr>
              <w:t>（4）监测结果</w:t>
            </w:r>
          </w:p>
          <w:p w14:paraId="31A907AC">
            <w:pPr>
              <w:keepNext w:val="0"/>
              <w:keepLines w:val="0"/>
              <w:pageBreakBefore w:val="0"/>
              <w:kinsoku/>
              <w:wordWrap/>
              <w:overflowPunct/>
              <w:topLinePunct w:val="0"/>
              <w:bidi w:val="0"/>
              <w:spacing w:line="480" w:lineRule="exact"/>
              <w:ind w:firstLine="480" w:firstLineChars="200"/>
              <w:textAlignment w:val="auto"/>
              <w:rPr>
                <w:rFonts w:ascii="Times New Roman" w:hAnsi="Times New Roman" w:eastAsia="宋体" w:cs="Times New Roman"/>
                <w:smallCaps w:val="0"/>
                <w:snapToGrid w:val="0"/>
                <w:color w:val="auto"/>
                <w:sz w:val="24"/>
              </w:rPr>
            </w:pPr>
            <w:r>
              <w:rPr>
                <w:rFonts w:ascii="Times New Roman" w:hAnsi="Times New Roman" w:eastAsia="宋体" w:cs="Times New Roman"/>
                <w:smallCaps w:val="0"/>
                <w:snapToGrid w:val="0"/>
                <w:color w:val="auto"/>
                <w:sz w:val="24"/>
              </w:rPr>
              <w:t>噪声监测结果见表3-</w:t>
            </w:r>
            <w:r>
              <w:rPr>
                <w:rFonts w:hint="eastAsia" w:ascii="Times New Roman" w:hAnsi="Times New Roman" w:eastAsia="宋体" w:cs="Times New Roman"/>
                <w:smallCaps w:val="0"/>
                <w:snapToGrid w:val="0"/>
                <w:color w:val="auto"/>
                <w:sz w:val="24"/>
                <w:lang w:val="en-US" w:eastAsia="zh-CN"/>
              </w:rPr>
              <w:t>5</w:t>
            </w:r>
            <w:r>
              <w:rPr>
                <w:rFonts w:ascii="Times New Roman" w:hAnsi="Times New Roman" w:eastAsia="宋体" w:cs="Times New Roman"/>
                <w:smallCaps w:val="0"/>
                <w:snapToGrid w:val="0"/>
                <w:color w:val="auto"/>
                <w:sz w:val="24"/>
              </w:rPr>
              <w:t>。</w:t>
            </w:r>
          </w:p>
          <w:p w14:paraId="13A424C0">
            <w:pPr>
              <w:pStyle w:val="361"/>
              <w:keepNext w:val="0"/>
              <w:keepLines w:val="0"/>
              <w:pageBreakBefore w:val="0"/>
              <w:widowControl w:val="0"/>
              <w:kinsoku/>
              <w:wordWrap/>
              <w:overflowPunct/>
              <w:topLinePunct w:val="0"/>
              <w:autoSpaceDE/>
              <w:autoSpaceDN/>
              <w:bidi w:val="0"/>
              <w:adjustRightInd/>
              <w:snapToGrid/>
              <w:spacing w:before="120" w:line="240" w:lineRule="auto"/>
              <w:textAlignment w:val="auto"/>
              <w:rPr>
                <w:rFonts w:ascii="Times New Roman" w:hAnsi="Times New Roman" w:eastAsia="宋体" w:cs="Times New Roman"/>
                <w:smallCaps w:val="0"/>
                <w:color w:val="auto"/>
                <w:sz w:val="24"/>
                <w:szCs w:val="24"/>
                <w:highlight w:val="yellow"/>
              </w:rPr>
            </w:pPr>
            <w:r>
              <w:rPr>
                <w:rFonts w:ascii="Times New Roman" w:hAnsi="Times New Roman" w:eastAsia="宋体" w:cs="Times New Roman"/>
                <w:smallCaps w:val="0"/>
                <w:color w:val="auto"/>
                <w:sz w:val="24"/>
                <w:szCs w:val="24"/>
                <w:lang w:val="zh-CN"/>
              </w:rPr>
              <w:t>表</w:t>
            </w:r>
            <w:r>
              <w:rPr>
                <w:rFonts w:ascii="Times New Roman" w:hAnsi="Times New Roman" w:eastAsia="宋体" w:cs="Times New Roman"/>
                <w:smallCaps w:val="0"/>
                <w:color w:val="auto"/>
                <w:sz w:val="24"/>
                <w:szCs w:val="24"/>
              </w:rPr>
              <w:t>3-</w:t>
            </w:r>
            <w:r>
              <w:rPr>
                <w:rFonts w:hint="eastAsia" w:cs="Times New Roman"/>
                <w:smallCaps w:val="0"/>
                <w:color w:val="auto"/>
                <w:sz w:val="24"/>
                <w:szCs w:val="24"/>
                <w:lang w:val="en-US" w:eastAsia="zh-CN"/>
              </w:rPr>
              <w:t>5</w:t>
            </w:r>
            <w:r>
              <w:rPr>
                <w:rFonts w:ascii="Times New Roman" w:hAnsi="Times New Roman" w:eastAsia="宋体" w:cs="Times New Roman"/>
                <w:smallCaps w:val="0"/>
                <w:color w:val="auto"/>
                <w:sz w:val="24"/>
                <w:szCs w:val="24"/>
              </w:rPr>
              <w:t xml:space="preserve">  </w:t>
            </w:r>
            <w:r>
              <w:rPr>
                <w:rFonts w:ascii="Times New Roman" w:hAnsi="Times New Roman" w:eastAsia="宋体" w:cs="Times New Roman"/>
                <w:smallCaps w:val="0"/>
                <w:color w:val="auto"/>
                <w:sz w:val="24"/>
                <w:szCs w:val="24"/>
                <w:lang w:val="zh-CN"/>
              </w:rPr>
              <w:t>声环境质量监测结果</w:t>
            </w:r>
            <w:r>
              <w:rPr>
                <w:rFonts w:ascii="Times New Roman" w:hAnsi="Times New Roman" w:eastAsia="宋体" w:cs="Times New Roman"/>
                <w:smallCaps w:val="0"/>
                <w:color w:val="auto"/>
                <w:sz w:val="24"/>
                <w:szCs w:val="24"/>
              </w:rPr>
              <w:t xml:space="preserve">   单位：dB(A)</w:t>
            </w:r>
          </w:p>
          <w:tbl>
            <w:tblPr>
              <w:tblStyle w:val="4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999"/>
              <w:gridCol w:w="1162"/>
              <w:gridCol w:w="1116"/>
              <w:gridCol w:w="855"/>
              <w:gridCol w:w="855"/>
              <w:gridCol w:w="972"/>
              <w:gridCol w:w="855"/>
              <w:gridCol w:w="855"/>
            </w:tblGrid>
            <w:tr w14:paraId="103C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94" w:type="pct"/>
                  <w:vMerge w:val="restart"/>
                  <w:noWrap w:val="0"/>
                  <w:vAlign w:val="center"/>
                </w:tcPr>
                <w:p w14:paraId="3E298688">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点位编号</w:t>
                  </w:r>
                </w:p>
              </w:tc>
              <w:tc>
                <w:tcPr>
                  <w:tcW w:w="644" w:type="pct"/>
                  <w:vMerge w:val="restart"/>
                  <w:noWrap w:val="0"/>
                  <w:vAlign w:val="center"/>
                </w:tcPr>
                <w:p w14:paraId="642414B0">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监测点位</w:t>
                  </w:r>
                </w:p>
              </w:tc>
              <w:tc>
                <w:tcPr>
                  <w:tcW w:w="411" w:type="pct"/>
                  <w:vMerge w:val="restart"/>
                  <w:noWrap w:val="0"/>
                  <w:vAlign w:val="center"/>
                </w:tcPr>
                <w:p w14:paraId="6E6D9469">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监测</w:t>
                  </w:r>
                </w:p>
                <w:p w14:paraId="26DE44A7">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日期</w:t>
                  </w:r>
                </w:p>
              </w:tc>
              <w:tc>
                <w:tcPr>
                  <w:tcW w:w="713" w:type="pct"/>
                  <w:vMerge w:val="restart"/>
                  <w:noWrap w:val="0"/>
                  <w:vAlign w:val="center"/>
                </w:tcPr>
                <w:p w14:paraId="5D2A3D50">
                  <w:pPr>
                    <w:pStyle w:val="363"/>
                    <w:bidi w:val="0"/>
                    <w:spacing w:line="240" w:lineRule="auto"/>
                    <w:ind w:firstLine="0" w:firstLineChars="0"/>
                    <w:rPr>
                      <w:rFonts w:ascii="Times New Roman" w:hAnsi="Times New Roman" w:eastAsia="宋体" w:cs="Times New Roman"/>
                      <w:b/>
                      <w:bCs/>
                      <w:smallCaps w:val="0"/>
                      <w:color w:val="auto"/>
                      <w:sz w:val="21"/>
                      <w:szCs w:val="21"/>
                    </w:rPr>
                  </w:pPr>
                  <w:r>
                    <w:rPr>
                      <w:rFonts w:hint="default" w:ascii="Times New Roman" w:hAnsi="Times New Roman" w:cs="Times New Roman"/>
                      <w:b/>
                      <w:bCs/>
                      <w:color w:val="auto"/>
                      <w:lang w:eastAsia="zh-CN"/>
                    </w:rPr>
                    <w:t>监测位置说明</w:t>
                  </w:r>
                </w:p>
              </w:tc>
              <w:tc>
                <w:tcPr>
                  <w:tcW w:w="1019" w:type="pct"/>
                  <w:gridSpan w:val="2"/>
                  <w:noWrap w:val="0"/>
                  <w:vAlign w:val="center"/>
                </w:tcPr>
                <w:p w14:paraId="3251B859">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监测值[dB(A)]</w:t>
                  </w:r>
                </w:p>
              </w:tc>
              <w:tc>
                <w:tcPr>
                  <w:tcW w:w="693" w:type="pct"/>
                  <w:vMerge w:val="restart"/>
                  <w:noWrap w:val="0"/>
                  <w:vAlign w:val="center"/>
                </w:tcPr>
                <w:p w14:paraId="5D0C8F4D">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监测</w:t>
                  </w:r>
                </w:p>
                <w:p w14:paraId="2E6CD1A3">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日期</w:t>
                  </w:r>
                </w:p>
              </w:tc>
              <w:tc>
                <w:tcPr>
                  <w:tcW w:w="1021" w:type="pct"/>
                  <w:gridSpan w:val="2"/>
                  <w:noWrap w:val="0"/>
                  <w:vAlign w:val="center"/>
                </w:tcPr>
                <w:p w14:paraId="18BA6D39">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监测值[dB(A)]</w:t>
                  </w:r>
                </w:p>
              </w:tc>
            </w:tr>
            <w:tr w14:paraId="4D2C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94" w:type="pct"/>
                  <w:vMerge w:val="continue"/>
                  <w:noWrap w:val="0"/>
                  <w:vAlign w:val="center"/>
                </w:tcPr>
                <w:p w14:paraId="237DDA24">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p>
              </w:tc>
              <w:tc>
                <w:tcPr>
                  <w:tcW w:w="644" w:type="pct"/>
                  <w:vMerge w:val="continue"/>
                  <w:noWrap w:val="0"/>
                  <w:vAlign w:val="center"/>
                </w:tcPr>
                <w:p w14:paraId="207DA26D">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p>
              </w:tc>
              <w:tc>
                <w:tcPr>
                  <w:tcW w:w="411" w:type="pct"/>
                  <w:vMerge w:val="continue"/>
                  <w:noWrap w:val="0"/>
                  <w:vAlign w:val="center"/>
                </w:tcPr>
                <w:p w14:paraId="55939AA7">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p>
              </w:tc>
              <w:tc>
                <w:tcPr>
                  <w:tcW w:w="713" w:type="pct"/>
                  <w:vMerge w:val="continue"/>
                  <w:noWrap w:val="0"/>
                  <w:vAlign w:val="center"/>
                </w:tcPr>
                <w:p w14:paraId="2115F10F">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p>
              </w:tc>
              <w:tc>
                <w:tcPr>
                  <w:tcW w:w="509" w:type="pct"/>
                  <w:noWrap w:val="0"/>
                  <w:vAlign w:val="center"/>
                </w:tcPr>
                <w:p w14:paraId="08830502">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昼间等效声级（L</w:t>
                  </w:r>
                  <w:r>
                    <w:rPr>
                      <w:rFonts w:ascii="Times New Roman" w:hAnsi="Times New Roman" w:eastAsia="宋体" w:cs="Times New Roman"/>
                      <w:b/>
                      <w:bCs/>
                      <w:smallCaps w:val="0"/>
                      <w:color w:val="auto"/>
                      <w:sz w:val="21"/>
                      <w:szCs w:val="21"/>
                      <w:vertAlign w:val="subscript"/>
                    </w:rPr>
                    <w:t>d</w:t>
                  </w:r>
                  <w:r>
                    <w:rPr>
                      <w:rFonts w:ascii="Times New Roman" w:hAnsi="Times New Roman" w:eastAsia="宋体" w:cs="Times New Roman"/>
                      <w:b/>
                      <w:bCs/>
                      <w:smallCaps w:val="0"/>
                      <w:color w:val="auto"/>
                      <w:sz w:val="21"/>
                      <w:szCs w:val="21"/>
                    </w:rPr>
                    <w:t>）</w:t>
                  </w:r>
                </w:p>
              </w:tc>
              <w:tc>
                <w:tcPr>
                  <w:tcW w:w="510" w:type="pct"/>
                  <w:noWrap w:val="0"/>
                  <w:vAlign w:val="center"/>
                </w:tcPr>
                <w:p w14:paraId="45DB87BC">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夜间等效声级（L</w:t>
                  </w:r>
                  <w:r>
                    <w:rPr>
                      <w:rFonts w:ascii="Times New Roman" w:hAnsi="Times New Roman" w:eastAsia="宋体" w:cs="Times New Roman"/>
                      <w:b/>
                      <w:bCs/>
                      <w:smallCaps w:val="0"/>
                      <w:color w:val="auto"/>
                      <w:sz w:val="21"/>
                      <w:szCs w:val="21"/>
                      <w:vertAlign w:val="subscript"/>
                    </w:rPr>
                    <w:t>n</w:t>
                  </w:r>
                  <w:r>
                    <w:rPr>
                      <w:rFonts w:ascii="Times New Roman" w:hAnsi="Times New Roman" w:eastAsia="宋体" w:cs="Times New Roman"/>
                      <w:b/>
                      <w:bCs/>
                      <w:smallCaps w:val="0"/>
                      <w:color w:val="auto"/>
                      <w:sz w:val="21"/>
                      <w:szCs w:val="21"/>
                    </w:rPr>
                    <w:t>）</w:t>
                  </w:r>
                </w:p>
              </w:tc>
              <w:tc>
                <w:tcPr>
                  <w:tcW w:w="693" w:type="pct"/>
                  <w:vMerge w:val="continue"/>
                  <w:noWrap w:val="0"/>
                  <w:vAlign w:val="center"/>
                </w:tcPr>
                <w:p w14:paraId="090617CA">
                  <w:pPr>
                    <w:keepNext w:val="0"/>
                    <w:keepLines w:val="0"/>
                    <w:pageBreakBefore w:val="0"/>
                    <w:widowControl/>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p>
              </w:tc>
              <w:tc>
                <w:tcPr>
                  <w:tcW w:w="510" w:type="pct"/>
                  <w:noWrap w:val="0"/>
                  <w:vAlign w:val="center"/>
                </w:tcPr>
                <w:p w14:paraId="2581DE5B">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昼间等效声级（L</w:t>
                  </w:r>
                  <w:r>
                    <w:rPr>
                      <w:rFonts w:ascii="Times New Roman" w:hAnsi="Times New Roman" w:eastAsia="宋体" w:cs="Times New Roman"/>
                      <w:b/>
                      <w:bCs/>
                      <w:smallCaps w:val="0"/>
                      <w:color w:val="auto"/>
                      <w:sz w:val="21"/>
                      <w:szCs w:val="21"/>
                      <w:vertAlign w:val="subscript"/>
                    </w:rPr>
                    <w:t>d</w:t>
                  </w:r>
                  <w:r>
                    <w:rPr>
                      <w:rFonts w:ascii="Times New Roman" w:hAnsi="Times New Roman" w:eastAsia="宋体" w:cs="Times New Roman"/>
                      <w:b/>
                      <w:bCs/>
                      <w:smallCaps w:val="0"/>
                      <w:color w:val="auto"/>
                      <w:sz w:val="21"/>
                      <w:szCs w:val="21"/>
                    </w:rPr>
                    <w:t>）</w:t>
                  </w:r>
                </w:p>
              </w:tc>
              <w:tc>
                <w:tcPr>
                  <w:tcW w:w="511" w:type="pct"/>
                  <w:noWrap w:val="0"/>
                  <w:vAlign w:val="center"/>
                </w:tcPr>
                <w:p w14:paraId="55A65283">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b/>
                      <w:bCs/>
                      <w:smallCaps w:val="0"/>
                      <w:color w:val="auto"/>
                      <w:sz w:val="21"/>
                      <w:szCs w:val="21"/>
                    </w:rPr>
                  </w:pPr>
                  <w:r>
                    <w:rPr>
                      <w:rFonts w:ascii="Times New Roman" w:hAnsi="Times New Roman" w:eastAsia="宋体" w:cs="Times New Roman"/>
                      <w:b/>
                      <w:bCs/>
                      <w:smallCaps w:val="0"/>
                      <w:color w:val="auto"/>
                      <w:sz w:val="21"/>
                      <w:szCs w:val="21"/>
                    </w:rPr>
                    <w:t>夜间等效声级（L</w:t>
                  </w:r>
                  <w:r>
                    <w:rPr>
                      <w:rFonts w:ascii="Times New Roman" w:hAnsi="Times New Roman" w:eastAsia="宋体" w:cs="Times New Roman"/>
                      <w:b/>
                      <w:bCs/>
                      <w:smallCaps w:val="0"/>
                      <w:color w:val="auto"/>
                      <w:sz w:val="21"/>
                      <w:szCs w:val="21"/>
                      <w:vertAlign w:val="subscript"/>
                    </w:rPr>
                    <w:t>n</w:t>
                  </w:r>
                  <w:r>
                    <w:rPr>
                      <w:rFonts w:ascii="Times New Roman" w:hAnsi="Times New Roman" w:eastAsia="宋体" w:cs="Times New Roman"/>
                      <w:b/>
                      <w:bCs/>
                      <w:smallCaps w:val="0"/>
                      <w:color w:val="auto"/>
                      <w:sz w:val="21"/>
                      <w:szCs w:val="21"/>
                    </w:rPr>
                    <w:t>）</w:t>
                  </w:r>
                </w:p>
              </w:tc>
            </w:tr>
            <w:tr w14:paraId="69A3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2801E1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kern w:val="2"/>
                      <w:sz w:val="21"/>
                      <w:szCs w:val="21"/>
                      <w:lang w:val="en-US" w:eastAsia="zh-CN" w:bidi="ar-SA"/>
                    </w:rPr>
                  </w:pPr>
                  <w:r>
                    <w:rPr>
                      <w:rFonts w:hint="eastAsia" w:ascii="Times New Roman" w:hAnsi="Times New Roman" w:eastAsia="宋体" w:cs="Times New Roman"/>
                      <w:smallCaps w:val="0"/>
                      <w:color w:val="auto"/>
                      <w:sz w:val="21"/>
                      <w:szCs w:val="21"/>
                      <w:lang w:val="en-US" w:eastAsia="zh-CN"/>
                    </w:rPr>
                    <w:t>N1-1</w:t>
                  </w:r>
                </w:p>
              </w:tc>
              <w:tc>
                <w:tcPr>
                  <w:tcW w:w="644" w:type="pct"/>
                  <w:noWrap w:val="0"/>
                  <w:vAlign w:val="center"/>
                </w:tcPr>
                <w:p w14:paraId="20172EF4">
                  <w:pPr>
                    <w:pStyle w:val="363"/>
                    <w:bidi w:val="0"/>
                    <w:spacing w:line="240" w:lineRule="auto"/>
                    <w:ind w:firstLine="0" w:firstLineChars="0"/>
                    <w:rPr>
                      <w:rFonts w:hint="default" w:ascii="Times New Roman" w:hAnsi="Times New Roman" w:eastAsia="宋体" w:cs="Times New Roman"/>
                      <w:smallCaps w:val="0"/>
                      <w:color w:val="auto"/>
                      <w:kern w:val="2"/>
                      <w:sz w:val="21"/>
                      <w:szCs w:val="21"/>
                      <w:lang w:val="en-US" w:eastAsia="zh-CN" w:bidi="ar-SA"/>
                    </w:rPr>
                  </w:pPr>
                  <w:r>
                    <w:rPr>
                      <w:rFonts w:hint="default" w:ascii="Times New Roman" w:hAnsi="Times New Roman" w:eastAsia="宋体" w:cs="Times New Roman"/>
                      <w:color w:val="auto"/>
                      <w:sz w:val="21"/>
                      <w:szCs w:val="21"/>
                      <w:shd w:val="clear" w:color="auto" w:fill="auto"/>
                      <w:lang w:val="en-US" w:eastAsia="zh-CN"/>
                    </w:rPr>
                    <w:t>项目北侧边界</w:t>
                  </w:r>
                </w:p>
              </w:tc>
              <w:tc>
                <w:tcPr>
                  <w:tcW w:w="411" w:type="pct"/>
                  <w:vMerge w:val="restart"/>
                  <w:noWrap w:val="0"/>
                  <w:vAlign w:val="center"/>
                </w:tcPr>
                <w:p w14:paraId="4F246F27">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hint="default" w:ascii="Times New Roman" w:hAnsi="Times New Roman" w:eastAsia="宋体" w:cs="Times New Roman"/>
                      <w:smallCaps w:val="0"/>
                      <w:color w:val="auto"/>
                      <w:sz w:val="21"/>
                      <w:szCs w:val="21"/>
                      <w:lang w:val="en-US"/>
                    </w:rPr>
                  </w:pPr>
                  <w:r>
                    <w:rPr>
                      <w:rFonts w:hint="eastAsia" w:ascii="Times New Roman" w:hAnsi="Times New Roman" w:eastAsia="宋体" w:cs="Times New Roman"/>
                      <w:smallCaps w:val="0"/>
                      <w:color w:val="auto"/>
                      <w:sz w:val="21"/>
                      <w:szCs w:val="21"/>
                      <w:lang w:val="en-US" w:eastAsia="zh-CN"/>
                    </w:rPr>
                    <w:t>2026</w:t>
                  </w:r>
                  <w:r>
                    <w:rPr>
                      <w:rFonts w:hint="eastAsia" w:cs="Times New Roman"/>
                      <w:smallCaps w:val="0"/>
                      <w:color w:val="auto"/>
                      <w:sz w:val="21"/>
                      <w:szCs w:val="21"/>
                      <w:lang w:val="en-US" w:eastAsia="zh-CN"/>
                    </w:rPr>
                    <w:t>.01.06</w:t>
                  </w:r>
                </w:p>
              </w:tc>
              <w:tc>
                <w:tcPr>
                  <w:tcW w:w="713" w:type="pct"/>
                  <w:noWrap w:val="0"/>
                  <w:vAlign w:val="center"/>
                </w:tcPr>
                <w:p w14:paraId="0776C8A7">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smallCaps w:val="0"/>
                      <w:color w:val="auto"/>
                      <w:sz w:val="21"/>
                      <w:szCs w:val="21"/>
                      <w:lang w:val="en-US" w:eastAsia="zh-CN"/>
                    </w:rPr>
                  </w:pPr>
                  <w:r>
                    <w:rPr>
                      <w:rFonts w:hint="eastAsia" w:ascii="Times New Roman" w:hAnsi="Times New Roman" w:cs="Times New Roman"/>
                      <w:color w:val="auto"/>
                      <w:lang w:val="en-US" w:eastAsia="zh-CN"/>
                    </w:rPr>
                    <w:t>有列车通行时</w:t>
                  </w:r>
                </w:p>
              </w:tc>
              <w:tc>
                <w:tcPr>
                  <w:tcW w:w="509" w:type="pct"/>
                  <w:noWrap w:val="0"/>
                  <w:vAlign w:val="center"/>
                </w:tcPr>
                <w:p w14:paraId="339D0F03">
                  <w:pPr>
                    <w:jc w:val="center"/>
                    <w:rPr>
                      <w:rFonts w:hint="default"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4E830F51">
                  <w:pPr>
                    <w:jc w:val="center"/>
                    <w:rPr>
                      <w:rFonts w:hint="default" w:ascii="Times New Roman" w:hAnsi="Times New Roman" w:eastAsia="宋体" w:cs="Times New Roman"/>
                      <w:smallCaps w:val="0"/>
                      <w:color w:val="auto"/>
                      <w:kern w:val="0"/>
                      <w:sz w:val="21"/>
                      <w:szCs w:val="21"/>
                      <w:lang w:val="en-US" w:eastAsia="zh-CN" w:bidi="ar-SA"/>
                    </w:rPr>
                  </w:pPr>
                </w:p>
              </w:tc>
              <w:tc>
                <w:tcPr>
                  <w:tcW w:w="693" w:type="pct"/>
                  <w:vMerge w:val="restart"/>
                  <w:noWrap w:val="0"/>
                  <w:vAlign w:val="center"/>
                </w:tcPr>
                <w:p w14:paraId="300CBFC0">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smallCaps w:val="0"/>
                      <w:color w:val="auto"/>
                      <w:sz w:val="21"/>
                      <w:szCs w:val="21"/>
                      <w:lang w:val="en-US"/>
                    </w:rPr>
                  </w:pPr>
                </w:p>
              </w:tc>
              <w:tc>
                <w:tcPr>
                  <w:tcW w:w="510" w:type="pct"/>
                  <w:noWrap w:val="0"/>
                  <w:vAlign w:val="center"/>
                </w:tcPr>
                <w:p w14:paraId="4B051845">
                  <w:pPr>
                    <w:jc w:val="center"/>
                    <w:rPr>
                      <w:rFonts w:hint="default"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0E387871">
                  <w:pPr>
                    <w:jc w:val="center"/>
                    <w:rPr>
                      <w:rFonts w:hint="default" w:ascii="Times New Roman" w:hAnsi="Times New Roman" w:eastAsia="宋体" w:cs="Times New Roman"/>
                      <w:smallCaps w:val="0"/>
                      <w:color w:val="auto"/>
                      <w:kern w:val="0"/>
                      <w:sz w:val="21"/>
                      <w:szCs w:val="21"/>
                      <w:lang w:val="en-US" w:eastAsia="zh-CN" w:bidi="ar-SA"/>
                    </w:rPr>
                  </w:pPr>
                </w:p>
              </w:tc>
            </w:tr>
            <w:tr w14:paraId="4B0C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40817E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kern w:val="2"/>
                      <w:sz w:val="21"/>
                      <w:szCs w:val="21"/>
                      <w:lang w:val="en-US" w:eastAsia="zh-CN" w:bidi="ar-SA"/>
                    </w:rPr>
                  </w:pPr>
                  <w:r>
                    <w:rPr>
                      <w:rFonts w:hint="eastAsia" w:ascii="Times New Roman" w:hAnsi="Times New Roman" w:eastAsia="宋体" w:cs="Times New Roman"/>
                      <w:smallCaps w:val="0"/>
                      <w:color w:val="auto"/>
                      <w:sz w:val="21"/>
                      <w:szCs w:val="21"/>
                      <w:lang w:val="en-US" w:eastAsia="zh-CN"/>
                    </w:rPr>
                    <w:t>N1-2</w:t>
                  </w:r>
                </w:p>
              </w:tc>
              <w:tc>
                <w:tcPr>
                  <w:tcW w:w="644" w:type="pct"/>
                  <w:noWrap w:val="0"/>
                  <w:vAlign w:val="center"/>
                </w:tcPr>
                <w:p w14:paraId="7F36BB5C">
                  <w:pPr>
                    <w:pStyle w:val="363"/>
                    <w:bidi w:val="0"/>
                    <w:spacing w:line="240" w:lineRule="auto"/>
                    <w:ind w:firstLine="0" w:firstLineChars="0"/>
                    <w:rPr>
                      <w:rFonts w:hint="eastAsia" w:ascii="Times New Roman" w:hAnsi="Times New Roman" w:eastAsia="宋体" w:cs="Times New Roman"/>
                      <w:smallCaps w:val="0"/>
                      <w:color w:val="auto"/>
                      <w:kern w:val="2"/>
                      <w:position w:val="2"/>
                      <w:sz w:val="21"/>
                      <w:szCs w:val="21"/>
                      <w:lang w:val="en-US" w:eastAsia="zh-CN" w:bidi="ar-SA"/>
                    </w:rPr>
                  </w:pPr>
                  <w:r>
                    <w:rPr>
                      <w:rFonts w:hint="default" w:ascii="Times New Roman" w:hAnsi="Times New Roman" w:eastAsia="宋体" w:cs="Times New Roman"/>
                      <w:color w:val="auto"/>
                      <w:sz w:val="21"/>
                      <w:szCs w:val="21"/>
                      <w:shd w:val="clear" w:color="auto" w:fill="auto"/>
                      <w:lang w:val="en-US" w:eastAsia="zh-CN"/>
                    </w:rPr>
                    <w:t>项目北侧边界</w:t>
                  </w:r>
                </w:p>
              </w:tc>
              <w:tc>
                <w:tcPr>
                  <w:tcW w:w="411" w:type="pct"/>
                  <w:vMerge w:val="continue"/>
                  <w:noWrap w:val="0"/>
                  <w:vAlign w:val="center"/>
                </w:tcPr>
                <w:p w14:paraId="491BB88D">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713" w:type="pct"/>
                  <w:noWrap w:val="0"/>
                  <w:vAlign w:val="center"/>
                </w:tcPr>
                <w:p w14:paraId="3BF21A6F">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sz w:val="21"/>
                      <w:szCs w:val="21"/>
                    </w:rPr>
                  </w:pPr>
                  <w:r>
                    <w:rPr>
                      <w:rFonts w:hint="eastAsia" w:ascii="Times New Roman" w:hAnsi="Times New Roman" w:cs="Times New Roman"/>
                      <w:color w:val="auto"/>
                      <w:lang w:val="en-US" w:eastAsia="zh-CN"/>
                    </w:rPr>
                    <w:t>无列车通行时</w:t>
                  </w:r>
                </w:p>
              </w:tc>
              <w:tc>
                <w:tcPr>
                  <w:tcW w:w="509" w:type="pct"/>
                  <w:noWrap w:val="0"/>
                  <w:vAlign w:val="center"/>
                </w:tcPr>
                <w:p w14:paraId="486E9E45">
                  <w:pPr>
                    <w:jc w:val="center"/>
                    <w:rPr>
                      <w:rFonts w:hint="default"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4B76A25D">
                  <w:pPr>
                    <w:jc w:val="center"/>
                    <w:rPr>
                      <w:rFonts w:hint="default" w:ascii="Times New Roman" w:hAnsi="Times New Roman" w:eastAsia="宋体" w:cs="Times New Roman"/>
                      <w:smallCaps w:val="0"/>
                      <w:color w:val="auto"/>
                      <w:kern w:val="0"/>
                      <w:sz w:val="21"/>
                      <w:szCs w:val="21"/>
                      <w:lang w:val="en-US" w:eastAsia="zh-CN" w:bidi="ar-SA"/>
                    </w:rPr>
                  </w:pPr>
                </w:p>
              </w:tc>
              <w:tc>
                <w:tcPr>
                  <w:tcW w:w="693" w:type="pct"/>
                  <w:vMerge w:val="continue"/>
                  <w:noWrap w:val="0"/>
                  <w:vAlign w:val="center"/>
                </w:tcPr>
                <w:p w14:paraId="1C7F7B20">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510" w:type="pct"/>
                  <w:noWrap w:val="0"/>
                  <w:vAlign w:val="center"/>
                </w:tcPr>
                <w:p w14:paraId="1BCD79DD">
                  <w:pPr>
                    <w:jc w:val="center"/>
                    <w:rPr>
                      <w:rFonts w:hint="default"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7F8862FD">
                  <w:pPr>
                    <w:jc w:val="center"/>
                    <w:rPr>
                      <w:rFonts w:hint="default" w:ascii="Times New Roman" w:hAnsi="Times New Roman" w:eastAsia="宋体" w:cs="Times New Roman"/>
                      <w:smallCaps w:val="0"/>
                      <w:color w:val="auto"/>
                      <w:kern w:val="0"/>
                      <w:sz w:val="21"/>
                      <w:szCs w:val="21"/>
                      <w:lang w:val="en-US" w:eastAsia="zh-CN" w:bidi="ar-SA"/>
                    </w:rPr>
                  </w:pPr>
                </w:p>
              </w:tc>
            </w:tr>
            <w:tr w14:paraId="3B7B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39043A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kern w:val="2"/>
                      <w:sz w:val="21"/>
                      <w:szCs w:val="21"/>
                      <w:lang w:val="en-US" w:eastAsia="zh-CN" w:bidi="ar-SA"/>
                    </w:rPr>
                  </w:pPr>
                  <w:r>
                    <w:rPr>
                      <w:rFonts w:hint="eastAsia" w:ascii="Times New Roman" w:hAnsi="Times New Roman" w:eastAsia="宋体" w:cs="Times New Roman"/>
                      <w:smallCaps w:val="0"/>
                      <w:color w:val="auto"/>
                      <w:sz w:val="21"/>
                      <w:szCs w:val="21"/>
                      <w:lang w:val="en-US" w:eastAsia="zh-CN"/>
                    </w:rPr>
                    <w:t>N3</w:t>
                  </w:r>
                </w:p>
              </w:tc>
              <w:tc>
                <w:tcPr>
                  <w:tcW w:w="644" w:type="pct"/>
                  <w:noWrap w:val="0"/>
                  <w:vAlign w:val="center"/>
                </w:tcPr>
                <w:p w14:paraId="1C837773">
                  <w:pPr>
                    <w:pStyle w:val="363"/>
                    <w:bidi w:val="0"/>
                    <w:spacing w:line="240" w:lineRule="auto"/>
                    <w:ind w:firstLine="0" w:firstLineChars="0"/>
                    <w:rPr>
                      <w:rFonts w:hint="eastAsia" w:ascii="Times New Roman" w:hAnsi="Times New Roman" w:eastAsia="宋体" w:cs="Times New Roman"/>
                      <w:smallCaps w:val="0"/>
                      <w:color w:val="auto"/>
                      <w:kern w:val="2"/>
                      <w:position w:val="2"/>
                      <w:sz w:val="21"/>
                      <w:szCs w:val="21"/>
                      <w:lang w:val="en-US" w:eastAsia="zh-CN" w:bidi="ar-SA"/>
                    </w:rPr>
                  </w:pPr>
                  <w:r>
                    <w:rPr>
                      <w:rFonts w:hint="default" w:ascii="Times New Roman" w:hAnsi="Times New Roman" w:eastAsia="宋体" w:cs="Times New Roman"/>
                      <w:color w:val="auto"/>
                      <w:sz w:val="21"/>
                      <w:szCs w:val="21"/>
                      <w:lang w:val="en-US" w:eastAsia="zh-CN"/>
                    </w:rPr>
                    <w:t>云约居民点</w:t>
                  </w:r>
                </w:p>
              </w:tc>
              <w:tc>
                <w:tcPr>
                  <w:tcW w:w="411" w:type="pct"/>
                  <w:vMerge w:val="continue"/>
                  <w:noWrap w:val="0"/>
                  <w:vAlign w:val="top"/>
                </w:tcPr>
                <w:p w14:paraId="7603A742">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713" w:type="pct"/>
                  <w:noWrap w:val="0"/>
                  <w:vAlign w:val="center"/>
                </w:tcPr>
                <w:p w14:paraId="70F1CAAD">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sz w:val="21"/>
                      <w:szCs w:val="21"/>
                    </w:rPr>
                  </w:pPr>
                  <w:r>
                    <w:rPr>
                      <w:rFonts w:hint="eastAsia" w:ascii="Times New Roman" w:hAnsi="Times New Roman" w:cs="Times New Roman"/>
                      <w:color w:val="auto"/>
                      <w:lang w:val="en-US" w:eastAsia="zh-CN"/>
                    </w:rPr>
                    <w:t>有列车通行时</w:t>
                  </w:r>
                </w:p>
              </w:tc>
              <w:tc>
                <w:tcPr>
                  <w:tcW w:w="509" w:type="pct"/>
                  <w:noWrap w:val="0"/>
                  <w:vAlign w:val="center"/>
                </w:tcPr>
                <w:p w14:paraId="7CE80DCD">
                  <w:pPr>
                    <w:jc w:val="center"/>
                    <w:rPr>
                      <w:rFonts w:hint="default"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61358A6A">
                  <w:pPr>
                    <w:jc w:val="center"/>
                    <w:rPr>
                      <w:rFonts w:hint="default" w:ascii="Times New Roman" w:hAnsi="Times New Roman" w:eastAsia="宋体" w:cs="Times New Roman"/>
                      <w:smallCaps w:val="0"/>
                      <w:color w:val="auto"/>
                      <w:kern w:val="0"/>
                      <w:sz w:val="21"/>
                      <w:szCs w:val="21"/>
                      <w:lang w:val="en-US" w:eastAsia="zh-CN" w:bidi="ar-SA"/>
                    </w:rPr>
                  </w:pPr>
                </w:p>
              </w:tc>
              <w:tc>
                <w:tcPr>
                  <w:tcW w:w="693" w:type="pct"/>
                  <w:vMerge w:val="continue"/>
                  <w:noWrap w:val="0"/>
                  <w:vAlign w:val="top"/>
                </w:tcPr>
                <w:p w14:paraId="59703DBC">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510" w:type="pct"/>
                  <w:noWrap w:val="0"/>
                  <w:vAlign w:val="center"/>
                </w:tcPr>
                <w:p w14:paraId="727A150F">
                  <w:pPr>
                    <w:jc w:val="center"/>
                    <w:rPr>
                      <w:rFonts w:hint="default"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394D5FE1">
                  <w:pPr>
                    <w:jc w:val="center"/>
                    <w:rPr>
                      <w:rFonts w:hint="default" w:ascii="Times New Roman" w:hAnsi="Times New Roman" w:eastAsia="宋体" w:cs="Times New Roman"/>
                      <w:smallCaps w:val="0"/>
                      <w:color w:val="auto"/>
                      <w:kern w:val="0"/>
                      <w:sz w:val="21"/>
                      <w:szCs w:val="21"/>
                      <w:lang w:val="en-US" w:eastAsia="zh-CN" w:bidi="ar-SA"/>
                    </w:rPr>
                  </w:pPr>
                </w:p>
              </w:tc>
            </w:tr>
            <w:tr w14:paraId="1543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735C78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sz w:val="21"/>
                      <w:szCs w:val="21"/>
                      <w:lang w:val="en-US" w:eastAsia="zh-CN"/>
                    </w:rPr>
                  </w:pPr>
                  <w:r>
                    <w:rPr>
                      <w:rFonts w:hint="eastAsia" w:ascii="Times New Roman" w:hAnsi="Times New Roman" w:eastAsia="宋体" w:cs="Times New Roman"/>
                      <w:smallCaps w:val="0"/>
                      <w:color w:val="auto"/>
                      <w:sz w:val="21"/>
                      <w:szCs w:val="21"/>
                      <w:lang w:val="en-US" w:eastAsia="zh-CN"/>
                    </w:rPr>
                    <w:t>N2-2</w:t>
                  </w:r>
                </w:p>
              </w:tc>
              <w:tc>
                <w:tcPr>
                  <w:tcW w:w="644" w:type="pct"/>
                  <w:noWrap w:val="0"/>
                  <w:vAlign w:val="center"/>
                </w:tcPr>
                <w:p w14:paraId="6BD55C3E">
                  <w:pPr>
                    <w:pStyle w:val="363"/>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云约居民点</w:t>
                  </w:r>
                </w:p>
              </w:tc>
              <w:tc>
                <w:tcPr>
                  <w:tcW w:w="411" w:type="pct"/>
                  <w:vMerge w:val="continue"/>
                  <w:noWrap w:val="0"/>
                  <w:vAlign w:val="top"/>
                </w:tcPr>
                <w:p w14:paraId="084856DE">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713" w:type="pct"/>
                  <w:noWrap w:val="0"/>
                  <w:vAlign w:val="center"/>
                </w:tcPr>
                <w:p w14:paraId="4ADF2D68">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sz w:val="21"/>
                      <w:szCs w:val="21"/>
                    </w:rPr>
                  </w:pPr>
                  <w:r>
                    <w:rPr>
                      <w:rFonts w:hint="eastAsia" w:ascii="Times New Roman" w:hAnsi="Times New Roman" w:cs="Times New Roman"/>
                      <w:color w:val="auto"/>
                      <w:lang w:val="en-US" w:eastAsia="zh-CN"/>
                    </w:rPr>
                    <w:t>无列车通行时</w:t>
                  </w:r>
                </w:p>
              </w:tc>
              <w:tc>
                <w:tcPr>
                  <w:tcW w:w="509" w:type="pct"/>
                  <w:noWrap w:val="0"/>
                  <w:vAlign w:val="center"/>
                </w:tcPr>
                <w:p w14:paraId="6DE6529C">
                  <w:pPr>
                    <w:jc w:val="center"/>
                    <w:rPr>
                      <w:rFonts w:hint="eastAsia"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6D9DCBC3">
                  <w:pPr>
                    <w:jc w:val="center"/>
                    <w:rPr>
                      <w:rFonts w:hint="eastAsia" w:ascii="Times New Roman" w:hAnsi="Times New Roman" w:eastAsia="宋体" w:cs="Times New Roman"/>
                      <w:smallCaps w:val="0"/>
                      <w:color w:val="auto"/>
                      <w:kern w:val="0"/>
                      <w:sz w:val="21"/>
                      <w:szCs w:val="21"/>
                      <w:lang w:val="en-US" w:eastAsia="zh-CN" w:bidi="ar-SA"/>
                    </w:rPr>
                  </w:pPr>
                </w:p>
              </w:tc>
              <w:tc>
                <w:tcPr>
                  <w:tcW w:w="693" w:type="pct"/>
                  <w:vMerge w:val="continue"/>
                  <w:noWrap w:val="0"/>
                  <w:vAlign w:val="top"/>
                </w:tcPr>
                <w:p w14:paraId="6DCA34BA">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510" w:type="pct"/>
                  <w:noWrap w:val="0"/>
                  <w:vAlign w:val="center"/>
                </w:tcPr>
                <w:p w14:paraId="373E6DA4">
                  <w:pPr>
                    <w:jc w:val="center"/>
                    <w:rPr>
                      <w:rFonts w:hint="eastAsia"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68F7BF9E">
                  <w:pPr>
                    <w:jc w:val="center"/>
                    <w:rPr>
                      <w:rFonts w:hint="eastAsia" w:ascii="Times New Roman" w:hAnsi="Times New Roman" w:eastAsia="宋体" w:cs="Times New Roman"/>
                      <w:smallCaps w:val="0"/>
                      <w:color w:val="auto"/>
                      <w:kern w:val="0"/>
                      <w:sz w:val="21"/>
                      <w:szCs w:val="21"/>
                      <w:lang w:val="en-US" w:eastAsia="zh-CN" w:bidi="ar-SA"/>
                    </w:rPr>
                  </w:pPr>
                </w:p>
              </w:tc>
            </w:tr>
            <w:tr w14:paraId="39D4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7F00E0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sz w:val="21"/>
                      <w:szCs w:val="21"/>
                      <w:lang w:val="en-US" w:eastAsia="zh-CN"/>
                    </w:rPr>
                  </w:pPr>
                  <w:r>
                    <w:rPr>
                      <w:rFonts w:hint="eastAsia" w:ascii="Times New Roman" w:hAnsi="Times New Roman" w:eastAsia="宋体" w:cs="Times New Roman"/>
                      <w:smallCaps w:val="0"/>
                      <w:color w:val="auto"/>
                      <w:sz w:val="21"/>
                      <w:szCs w:val="21"/>
                      <w:lang w:val="en-US" w:eastAsia="zh-CN"/>
                    </w:rPr>
                    <w:t>N3-1</w:t>
                  </w:r>
                </w:p>
              </w:tc>
              <w:tc>
                <w:tcPr>
                  <w:tcW w:w="644" w:type="pct"/>
                  <w:noWrap w:val="0"/>
                  <w:vAlign w:val="center"/>
                </w:tcPr>
                <w:p w14:paraId="69F1DD45">
                  <w:pPr>
                    <w:pStyle w:val="363"/>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下云约居民点</w:t>
                  </w:r>
                </w:p>
              </w:tc>
              <w:tc>
                <w:tcPr>
                  <w:tcW w:w="411" w:type="pct"/>
                  <w:vMerge w:val="continue"/>
                  <w:noWrap w:val="0"/>
                  <w:vAlign w:val="top"/>
                </w:tcPr>
                <w:p w14:paraId="7B508328">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713" w:type="pct"/>
                  <w:noWrap w:val="0"/>
                  <w:vAlign w:val="center"/>
                </w:tcPr>
                <w:p w14:paraId="6EE67FD1">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sz w:val="21"/>
                      <w:szCs w:val="21"/>
                    </w:rPr>
                  </w:pPr>
                  <w:r>
                    <w:rPr>
                      <w:rFonts w:hint="eastAsia" w:ascii="Times New Roman" w:hAnsi="Times New Roman" w:cs="Times New Roman"/>
                      <w:color w:val="auto"/>
                      <w:lang w:val="en-US" w:eastAsia="zh-CN"/>
                    </w:rPr>
                    <w:t>有列车通行时</w:t>
                  </w:r>
                </w:p>
              </w:tc>
              <w:tc>
                <w:tcPr>
                  <w:tcW w:w="509" w:type="pct"/>
                  <w:noWrap w:val="0"/>
                  <w:vAlign w:val="center"/>
                </w:tcPr>
                <w:p w14:paraId="00E84572">
                  <w:pPr>
                    <w:jc w:val="center"/>
                    <w:rPr>
                      <w:rFonts w:hint="eastAsia"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0534B3B6">
                  <w:pPr>
                    <w:jc w:val="center"/>
                    <w:rPr>
                      <w:rFonts w:hint="eastAsia" w:ascii="Times New Roman" w:hAnsi="Times New Roman" w:eastAsia="宋体" w:cs="Times New Roman"/>
                      <w:smallCaps w:val="0"/>
                      <w:color w:val="auto"/>
                      <w:kern w:val="0"/>
                      <w:sz w:val="21"/>
                      <w:szCs w:val="21"/>
                      <w:lang w:val="en-US" w:eastAsia="zh-CN" w:bidi="ar-SA"/>
                    </w:rPr>
                  </w:pPr>
                </w:p>
              </w:tc>
              <w:tc>
                <w:tcPr>
                  <w:tcW w:w="693" w:type="pct"/>
                  <w:vMerge w:val="continue"/>
                  <w:noWrap w:val="0"/>
                  <w:vAlign w:val="top"/>
                </w:tcPr>
                <w:p w14:paraId="79D47B74">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510" w:type="pct"/>
                  <w:noWrap w:val="0"/>
                  <w:vAlign w:val="center"/>
                </w:tcPr>
                <w:p w14:paraId="6B5EAD73">
                  <w:pPr>
                    <w:jc w:val="center"/>
                    <w:rPr>
                      <w:rFonts w:hint="eastAsia"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6D2759EA">
                  <w:pPr>
                    <w:jc w:val="center"/>
                    <w:rPr>
                      <w:rFonts w:hint="eastAsia" w:ascii="Times New Roman" w:hAnsi="Times New Roman" w:eastAsia="宋体" w:cs="Times New Roman"/>
                      <w:smallCaps w:val="0"/>
                      <w:color w:val="auto"/>
                      <w:kern w:val="0"/>
                      <w:sz w:val="21"/>
                      <w:szCs w:val="21"/>
                      <w:lang w:val="en-US" w:eastAsia="zh-CN" w:bidi="ar-SA"/>
                    </w:rPr>
                  </w:pPr>
                </w:p>
              </w:tc>
            </w:tr>
            <w:tr w14:paraId="37AD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6D474C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sz w:val="21"/>
                      <w:szCs w:val="21"/>
                      <w:lang w:val="en-US" w:eastAsia="zh-CN"/>
                    </w:rPr>
                  </w:pPr>
                  <w:r>
                    <w:rPr>
                      <w:rFonts w:hint="eastAsia" w:ascii="Times New Roman" w:hAnsi="Times New Roman" w:eastAsia="宋体" w:cs="Times New Roman"/>
                      <w:smallCaps w:val="0"/>
                      <w:color w:val="auto"/>
                      <w:sz w:val="21"/>
                      <w:szCs w:val="21"/>
                      <w:lang w:val="en-US" w:eastAsia="zh-CN"/>
                    </w:rPr>
                    <w:t>N3-2</w:t>
                  </w:r>
                </w:p>
              </w:tc>
              <w:tc>
                <w:tcPr>
                  <w:tcW w:w="644" w:type="pct"/>
                  <w:noWrap w:val="0"/>
                  <w:vAlign w:val="center"/>
                </w:tcPr>
                <w:p w14:paraId="7464BB49">
                  <w:pPr>
                    <w:pStyle w:val="363"/>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下云约居民点</w:t>
                  </w:r>
                </w:p>
              </w:tc>
              <w:tc>
                <w:tcPr>
                  <w:tcW w:w="411" w:type="pct"/>
                  <w:vMerge w:val="continue"/>
                  <w:noWrap w:val="0"/>
                  <w:vAlign w:val="top"/>
                </w:tcPr>
                <w:p w14:paraId="66975205">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713" w:type="pct"/>
                  <w:noWrap w:val="0"/>
                  <w:vAlign w:val="center"/>
                </w:tcPr>
                <w:p w14:paraId="4C129F5E">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sz w:val="21"/>
                      <w:szCs w:val="21"/>
                    </w:rPr>
                  </w:pPr>
                  <w:r>
                    <w:rPr>
                      <w:rFonts w:hint="eastAsia" w:ascii="Times New Roman" w:hAnsi="Times New Roman" w:cs="Times New Roman"/>
                      <w:color w:val="auto"/>
                      <w:lang w:val="en-US" w:eastAsia="zh-CN"/>
                    </w:rPr>
                    <w:t>无列车通行时</w:t>
                  </w:r>
                </w:p>
              </w:tc>
              <w:tc>
                <w:tcPr>
                  <w:tcW w:w="509" w:type="pct"/>
                  <w:noWrap w:val="0"/>
                  <w:vAlign w:val="center"/>
                </w:tcPr>
                <w:p w14:paraId="18CE59E1">
                  <w:pPr>
                    <w:jc w:val="center"/>
                    <w:rPr>
                      <w:rFonts w:hint="eastAsia"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5A3AFD3B">
                  <w:pPr>
                    <w:jc w:val="center"/>
                    <w:rPr>
                      <w:rFonts w:hint="eastAsia" w:ascii="Times New Roman" w:hAnsi="Times New Roman" w:eastAsia="宋体" w:cs="Times New Roman"/>
                      <w:smallCaps w:val="0"/>
                      <w:color w:val="auto"/>
                      <w:kern w:val="0"/>
                      <w:sz w:val="21"/>
                      <w:szCs w:val="21"/>
                      <w:lang w:val="en-US" w:eastAsia="zh-CN" w:bidi="ar-SA"/>
                    </w:rPr>
                  </w:pPr>
                </w:p>
              </w:tc>
              <w:tc>
                <w:tcPr>
                  <w:tcW w:w="693" w:type="pct"/>
                  <w:vMerge w:val="continue"/>
                  <w:noWrap w:val="0"/>
                  <w:vAlign w:val="top"/>
                </w:tcPr>
                <w:p w14:paraId="4B90284C">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510" w:type="pct"/>
                  <w:noWrap w:val="0"/>
                  <w:vAlign w:val="center"/>
                </w:tcPr>
                <w:p w14:paraId="2DF30866">
                  <w:pPr>
                    <w:jc w:val="center"/>
                    <w:rPr>
                      <w:rFonts w:hint="eastAsia"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525C515B">
                  <w:pPr>
                    <w:jc w:val="center"/>
                    <w:rPr>
                      <w:rFonts w:hint="eastAsia" w:ascii="Times New Roman" w:hAnsi="Times New Roman" w:eastAsia="宋体" w:cs="Times New Roman"/>
                      <w:smallCaps w:val="0"/>
                      <w:color w:val="auto"/>
                      <w:kern w:val="0"/>
                      <w:sz w:val="21"/>
                      <w:szCs w:val="21"/>
                      <w:lang w:val="en-US" w:eastAsia="zh-CN" w:bidi="ar-SA"/>
                    </w:rPr>
                  </w:pPr>
                </w:p>
              </w:tc>
            </w:tr>
            <w:tr w14:paraId="76CD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31AE65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sz w:val="21"/>
                      <w:szCs w:val="21"/>
                      <w:lang w:val="en-US" w:eastAsia="zh-CN"/>
                    </w:rPr>
                  </w:pPr>
                  <w:r>
                    <w:rPr>
                      <w:rFonts w:hint="eastAsia" w:ascii="Times New Roman" w:hAnsi="Times New Roman" w:eastAsia="宋体" w:cs="Times New Roman"/>
                      <w:smallCaps w:val="0"/>
                      <w:color w:val="auto"/>
                      <w:sz w:val="21"/>
                      <w:szCs w:val="21"/>
                      <w:lang w:val="en-US" w:eastAsia="zh-CN"/>
                    </w:rPr>
                    <w:t>N4-1</w:t>
                  </w:r>
                </w:p>
              </w:tc>
              <w:tc>
                <w:tcPr>
                  <w:tcW w:w="644" w:type="pct"/>
                  <w:noWrap w:val="0"/>
                  <w:vAlign w:val="center"/>
                </w:tcPr>
                <w:p w14:paraId="12A1B9DF">
                  <w:pPr>
                    <w:pStyle w:val="363"/>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傅屋村</w:t>
                  </w:r>
                  <w:r>
                    <w:rPr>
                      <w:rFonts w:hint="default" w:ascii="Times New Roman" w:hAnsi="Times New Roman" w:eastAsia="宋体" w:cs="Times New Roman"/>
                      <w:color w:val="auto"/>
                      <w:sz w:val="21"/>
                      <w:szCs w:val="21"/>
                      <w:lang w:val="en-US" w:eastAsia="zh-CN"/>
                    </w:rPr>
                    <w:t>居民点</w:t>
                  </w:r>
                </w:p>
              </w:tc>
              <w:tc>
                <w:tcPr>
                  <w:tcW w:w="411" w:type="pct"/>
                  <w:vMerge w:val="continue"/>
                  <w:noWrap w:val="0"/>
                  <w:vAlign w:val="top"/>
                </w:tcPr>
                <w:p w14:paraId="376474BB">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713" w:type="pct"/>
                  <w:noWrap w:val="0"/>
                  <w:vAlign w:val="center"/>
                </w:tcPr>
                <w:p w14:paraId="760DEA47">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sz w:val="21"/>
                      <w:szCs w:val="21"/>
                    </w:rPr>
                  </w:pPr>
                  <w:r>
                    <w:rPr>
                      <w:rFonts w:hint="eastAsia" w:ascii="Times New Roman" w:hAnsi="Times New Roman" w:cs="Times New Roman"/>
                      <w:color w:val="auto"/>
                      <w:lang w:val="en-US" w:eastAsia="zh-CN"/>
                    </w:rPr>
                    <w:t>有列车通行时</w:t>
                  </w:r>
                </w:p>
              </w:tc>
              <w:tc>
                <w:tcPr>
                  <w:tcW w:w="509" w:type="pct"/>
                  <w:noWrap w:val="0"/>
                  <w:vAlign w:val="center"/>
                </w:tcPr>
                <w:p w14:paraId="1C08312D">
                  <w:pPr>
                    <w:jc w:val="center"/>
                    <w:rPr>
                      <w:rFonts w:hint="default"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4C22AA67">
                  <w:pPr>
                    <w:jc w:val="center"/>
                    <w:rPr>
                      <w:rFonts w:hint="default" w:ascii="Times New Roman" w:hAnsi="Times New Roman" w:eastAsia="宋体" w:cs="Times New Roman"/>
                      <w:smallCaps w:val="0"/>
                      <w:color w:val="auto"/>
                      <w:kern w:val="0"/>
                      <w:sz w:val="21"/>
                      <w:szCs w:val="21"/>
                      <w:lang w:val="en-US" w:eastAsia="zh-CN" w:bidi="ar-SA"/>
                    </w:rPr>
                  </w:pPr>
                </w:p>
              </w:tc>
              <w:tc>
                <w:tcPr>
                  <w:tcW w:w="693" w:type="pct"/>
                  <w:vMerge w:val="continue"/>
                  <w:noWrap w:val="0"/>
                  <w:vAlign w:val="top"/>
                </w:tcPr>
                <w:p w14:paraId="1A89BB73">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510" w:type="pct"/>
                  <w:noWrap w:val="0"/>
                  <w:vAlign w:val="center"/>
                </w:tcPr>
                <w:p w14:paraId="4F8E78FF">
                  <w:pPr>
                    <w:jc w:val="center"/>
                    <w:rPr>
                      <w:rFonts w:hint="eastAsia"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36372F60">
                  <w:pPr>
                    <w:jc w:val="center"/>
                    <w:rPr>
                      <w:rFonts w:hint="eastAsia" w:ascii="Times New Roman" w:hAnsi="Times New Roman" w:eastAsia="宋体" w:cs="Times New Roman"/>
                      <w:smallCaps w:val="0"/>
                      <w:color w:val="auto"/>
                      <w:kern w:val="0"/>
                      <w:sz w:val="21"/>
                      <w:szCs w:val="21"/>
                      <w:lang w:val="en-US" w:eastAsia="zh-CN" w:bidi="ar-SA"/>
                    </w:rPr>
                  </w:pPr>
                </w:p>
              </w:tc>
            </w:tr>
            <w:tr w14:paraId="3B1C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722B97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sz w:val="21"/>
                      <w:szCs w:val="21"/>
                      <w:lang w:val="en-US" w:eastAsia="zh-CN"/>
                    </w:rPr>
                  </w:pPr>
                  <w:r>
                    <w:rPr>
                      <w:rFonts w:hint="eastAsia" w:ascii="Times New Roman" w:hAnsi="Times New Roman" w:eastAsia="宋体" w:cs="Times New Roman"/>
                      <w:smallCaps w:val="0"/>
                      <w:color w:val="auto"/>
                      <w:sz w:val="21"/>
                      <w:szCs w:val="21"/>
                      <w:lang w:val="en-US" w:eastAsia="zh-CN"/>
                    </w:rPr>
                    <w:t>N4-2</w:t>
                  </w:r>
                </w:p>
              </w:tc>
              <w:tc>
                <w:tcPr>
                  <w:tcW w:w="644" w:type="pct"/>
                  <w:noWrap w:val="0"/>
                  <w:vAlign w:val="center"/>
                </w:tcPr>
                <w:p w14:paraId="448D8097">
                  <w:pPr>
                    <w:pStyle w:val="363"/>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傅屋村居民点</w:t>
                  </w:r>
                </w:p>
              </w:tc>
              <w:tc>
                <w:tcPr>
                  <w:tcW w:w="411" w:type="pct"/>
                  <w:vMerge w:val="continue"/>
                  <w:noWrap w:val="0"/>
                  <w:vAlign w:val="top"/>
                </w:tcPr>
                <w:p w14:paraId="58C43559">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713" w:type="pct"/>
                  <w:noWrap w:val="0"/>
                  <w:vAlign w:val="center"/>
                </w:tcPr>
                <w:p w14:paraId="61EF8A3E">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sz w:val="21"/>
                      <w:szCs w:val="21"/>
                    </w:rPr>
                  </w:pPr>
                  <w:r>
                    <w:rPr>
                      <w:rFonts w:hint="eastAsia" w:ascii="Times New Roman" w:hAnsi="Times New Roman" w:cs="Times New Roman"/>
                      <w:color w:val="auto"/>
                      <w:lang w:val="en-US" w:eastAsia="zh-CN"/>
                    </w:rPr>
                    <w:t>无列车通行时</w:t>
                  </w:r>
                </w:p>
              </w:tc>
              <w:tc>
                <w:tcPr>
                  <w:tcW w:w="509" w:type="pct"/>
                  <w:noWrap w:val="0"/>
                  <w:vAlign w:val="center"/>
                </w:tcPr>
                <w:p w14:paraId="4ABD1FCB">
                  <w:pPr>
                    <w:jc w:val="center"/>
                    <w:rPr>
                      <w:rFonts w:hint="eastAsia"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16CA5744">
                  <w:pPr>
                    <w:jc w:val="center"/>
                    <w:rPr>
                      <w:rFonts w:hint="eastAsia" w:ascii="Times New Roman" w:hAnsi="Times New Roman" w:eastAsia="宋体" w:cs="Times New Roman"/>
                      <w:smallCaps w:val="0"/>
                      <w:color w:val="auto"/>
                      <w:kern w:val="0"/>
                      <w:sz w:val="21"/>
                      <w:szCs w:val="21"/>
                      <w:lang w:val="en-US" w:eastAsia="zh-CN" w:bidi="ar-SA"/>
                    </w:rPr>
                  </w:pPr>
                </w:p>
              </w:tc>
              <w:tc>
                <w:tcPr>
                  <w:tcW w:w="693" w:type="pct"/>
                  <w:vMerge w:val="continue"/>
                  <w:noWrap w:val="0"/>
                  <w:vAlign w:val="top"/>
                </w:tcPr>
                <w:p w14:paraId="163E347E">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510" w:type="pct"/>
                  <w:noWrap w:val="0"/>
                  <w:vAlign w:val="center"/>
                </w:tcPr>
                <w:p w14:paraId="4BE15A70">
                  <w:pPr>
                    <w:jc w:val="center"/>
                    <w:rPr>
                      <w:rFonts w:hint="eastAsia"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5C4EB733">
                  <w:pPr>
                    <w:jc w:val="center"/>
                    <w:rPr>
                      <w:rFonts w:hint="eastAsia" w:ascii="Times New Roman" w:hAnsi="Times New Roman" w:eastAsia="宋体" w:cs="Times New Roman"/>
                      <w:smallCaps w:val="0"/>
                      <w:color w:val="auto"/>
                      <w:kern w:val="0"/>
                      <w:sz w:val="21"/>
                      <w:szCs w:val="21"/>
                      <w:lang w:val="en-US" w:eastAsia="zh-CN" w:bidi="ar-SA"/>
                    </w:rPr>
                  </w:pPr>
                </w:p>
              </w:tc>
            </w:tr>
            <w:tr w14:paraId="742E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4B599B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sz w:val="21"/>
                      <w:szCs w:val="21"/>
                      <w:lang w:val="en-US" w:eastAsia="zh-CN"/>
                    </w:rPr>
                  </w:pPr>
                  <w:r>
                    <w:rPr>
                      <w:rFonts w:hint="eastAsia" w:ascii="Times New Roman" w:hAnsi="Times New Roman" w:eastAsia="宋体" w:cs="Times New Roman"/>
                      <w:smallCaps w:val="0"/>
                      <w:color w:val="auto"/>
                      <w:sz w:val="21"/>
                      <w:szCs w:val="21"/>
                      <w:lang w:val="en-US" w:eastAsia="zh-CN"/>
                    </w:rPr>
                    <w:t>N5-1</w:t>
                  </w:r>
                </w:p>
              </w:tc>
              <w:tc>
                <w:tcPr>
                  <w:tcW w:w="644" w:type="pct"/>
                  <w:noWrap w:val="0"/>
                  <w:vAlign w:val="center"/>
                </w:tcPr>
                <w:p w14:paraId="650A3136">
                  <w:pPr>
                    <w:pStyle w:val="363"/>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shd w:val="clear" w:color="auto" w:fill="auto"/>
                      <w:lang w:val="en-US" w:eastAsia="zh-CN"/>
                    </w:rPr>
                    <w:t>项目南侧边界</w:t>
                  </w:r>
                </w:p>
              </w:tc>
              <w:tc>
                <w:tcPr>
                  <w:tcW w:w="411" w:type="pct"/>
                  <w:vMerge w:val="continue"/>
                  <w:noWrap w:val="0"/>
                  <w:vAlign w:val="top"/>
                </w:tcPr>
                <w:p w14:paraId="2FA8BF10">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713" w:type="pct"/>
                  <w:noWrap w:val="0"/>
                  <w:vAlign w:val="center"/>
                </w:tcPr>
                <w:p w14:paraId="19DE7F3B">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sz w:val="21"/>
                      <w:szCs w:val="21"/>
                    </w:rPr>
                  </w:pPr>
                  <w:r>
                    <w:rPr>
                      <w:rFonts w:hint="eastAsia" w:ascii="Times New Roman" w:hAnsi="Times New Roman" w:cs="Times New Roman"/>
                      <w:color w:val="auto"/>
                      <w:lang w:val="en-US" w:eastAsia="zh-CN"/>
                    </w:rPr>
                    <w:t>有列车通行时</w:t>
                  </w:r>
                </w:p>
              </w:tc>
              <w:tc>
                <w:tcPr>
                  <w:tcW w:w="509" w:type="pct"/>
                  <w:noWrap w:val="0"/>
                  <w:vAlign w:val="center"/>
                </w:tcPr>
                <w:p w14:paraId="54BC5BC3">
                  <w:pPr>
                    <w:jc w:val="center"/>
                    <w:rPr>
                      <w:rFonts w:hint="eastAsia"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6A4FC963">
                  <w:pPr>
                    <w:jc w:val="center"/>
                    <w:rPr>
                      <w:rFonts w:hint="eastAsia" w:ascii="Times New Roman" w:hAnsi="Times New Roman" w:eastAsia="宋体" w:cs="Times New Roman"/>
                      <w:smallCaps w:val="0"/>
                      <w:color w:val="auto"/>
                      <w:kern w:val="0"/>
                      <w:sz w:val="21"/>
                      <w:szCs w:val="21"/>
                      <w:lang w:val="en-US" w:eastAsia="zh-CN" w:bidi="ar-SA"/>
                    </w:rPr>
                  </w:pPr>
                </w:p>
              </w:tc>
              <w:tc>
                <w:tcPr>
                  <w:tcW w:w="693" w:type="pct"/>
                  <w:vMerge w:val="continue"/>
                  <w:noWrap w:val="0"/>
                  <w:vAlign w:val="top"/>
                </w:tcPr>
                <w:p w14:paraId="22DF7C0E">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510" w:type="pct"/>
                  <w:noWrap w:val="0"/>
                  <w:vAlign w:val="center"/>
                </w:tcPr>
                <w:p w14:paraId="1A37D965">
                  <w:pPr>
                    <w:jc w:val="center"/>
                    <w:rPr>
                      <w:rFonts w:hint="eastAsia"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770E7796">
                  <w:pPr>
                    <w:jc w:val="center"/>
                    <w:rPr>
                      <w:rFonts w:hint="eastAsia" w:ascii="Times New Roman" w:hAnsi="Times New Roman" w:eastAsia="宋体" w:cs="Times New Roman"/>
                      <w:smallCaps w:val="0"/>
                      <w:color w:val="auto"/>
                      <w:kern w:val="0"/>
                      <w:sz w:val="21"/>
                      <w:szCs w:val="21"/>
                      <w:lang w:val="en-US" w:eastAsia="zh-CN" w:bidi="ar-SA"/>
                    </w:rPr>
                  </w:pPr>
                </w:p>
              </w:tc>
            </w:tr>
            <w:tr w14:paraId="0E8A1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pct"/>
                  <w:noWrap w:val="0"/>
                  <w:vAlign w:val="center"/>
                </w:tcPr>
                <w:p w14:paraId="36D2D8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smallCaps w:val="0"/>
                      <w:color w:val="auto"/>
                      <w:sz w:val="21"/>
                      <w:szCs w:val="21"/>
                      <w:lang w:val="en-US" w:eastAsia="zh-CN"/>
                    </w:rPr>
                  </w:pPr>
                  <w:r>
                    <w:rPr>
                      <w:rFonts w:hint="eastAsia" w:ascii="Times New Roman" w:hAnsi="Times New Roman" w:eastAsia="宋体" w:cs="Times New Roman"/>
                      <w:smallCaps w:val="0"/>
                      <w:color w:val="auto"/>
                      <w:sz w:val="21"/>
                      <w:szCs w:val="21"/>
                      <w:lang w:val="en-US" w:eastAsia="zh-CN"/>
                    </w:rPr>
                    <w:t>N5-2</w:t>
                  </w:r>
                </w:p>
              </w:tc>
              <w:tc>
                <w:tcPr>
                  <w:tcW w:w="644" w:type="pct"/>
                  <w:noWrap w:val="0"/>
                  <w:vAlign w:val="center"/>
                </w:tcPr>
                <w:p w14:paraId="5331373A">
                  <w:pPr>
                    <w:pStyle w:val="363"/>
                    <w:bidi w:val="0"/>
                    <w:spacing w:line="240" w:lineRule="auto"/>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shd w:val="clear" w:color="auto" w:fill="auto"/>
                      <w:lang w:val="en-US" w:eastAsia="zh-CN"/>
                    </w:rPr>
                    <w:t>项目南侧边界</w:t>
                  </w:r>
                </w:p>
              </w:tc>
              <w:tc>
                <w:tcPr>
                  <w:tcW w:w="411" w:type="pct"/>
                  <w:vMerge w:val="continue"/>
                  <w:noWrap w:val="0"/>
                  <w:vAlign w:val="top"/>
                </w:tcPr>
                <w:p w14:paraId="3019B315">
                  <w:pPr>
                    <w:keepNext w:val="0"/>
                    <w:keepLines w:val="0"/>
                    <w:pageBreakBefore w:val="0"/>
                    <w:kinsoku/>
                    <w:wordWrap/>
                    <w:overflowPunct/>
                    <w:topLinePunct w:val="0"/>
                    <w:autoSpaceDE/>
                    <w:autoSpaceDN/>
                    <w:bidi w:val="0"/>
                    <w:adjustRightInd/>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713" w:type="pct"/>
                  <w:noWrap w:val="0"/>
                  <w:vAlign w:val="center"/>
                </w:tcPr>
                <w:p w14:paraId="2C178CB0">
                  <w:pPr>
                    <w:pStyle w:val="8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mallCaps w:val="0"/>
                      <w:color w:val="auto"/>
                      <w:sz w:val="21"/>
                      <w:szCs w:val="21"/>
                    </w:rPr>
                  </w:pPr>
                  <w:r>
                    <w:rPr>
                      <w:rFonts w:hint="eastAsia" w:ascii="Times New Roman" w:hAnsi="Times New Roman" w:cs="Times New Roman"/>
                      <w:color w:val="auto"/>
                      <w:lang w:val="en-US" w:eastAsia="zh-CN"/>
                    </w:rPr>
                    <w:t>无列车通行时</w:t>
                  </w:r>
                </w:p>
              </w:tc>
              <w:tc>
                <w:tcPr>
                  <w:tcW w:w="509" w:type="pct"/>
                  <w:noWrap w:val="0"/>
                  <w:vAlign w:val="center"/>
                </w:tcPr>
                <w:p w14:paraId="6788372D">
                  <w:pPr>
                    <w:jc w:val="center"/>
                    <w:rPr>
                      <w:rFonts w:hint="eastAsia" w:ascii="Times New Roman" w:hAnsi="Times New Roman" w:eastAsia="宋体" w:cs="Times New Roman"/>
                      <w:smallCaps w:val="0"/>
                      <w:color w:val="auto"/>
                      <w:kern w:val="0"/>
                      <w:sz w:val="21"/>
                      <w:szCs w:val="21"/>
                      <w:lang w:val="en-US" w:eastAsia="zh-CN" w:bidi="ar-SA"/>
                    </w:rPr>
                  </w:pPr>
                </w:p>
              </w:tc>
              <w:tc>
                <w:tcPr>
                  <w:tcW w:w="510" w:type="pct"/>
                  <w:noWrap w:val="0"/>
                  <w:vAlign w:val="center"/>
                </w:tcPr>
                <w:p w14:paraId="69201370">
                  <w:pPr>
                    <w:jc w:val="center"/>
                    <w:rPr>
                      <w:rFonts w:hint="eastAsia" w:ascii="Times New Roman" w:hAnsi="Times New Roman" w:eastAsia="宋体" w:cs="Times New Roman"/>
                      <w:smallCaps w:val="0"/>
                      <w:color w:val="auto"/>
                      <w:kern w:val="0"/>
                      <w:sz w:val="21"/>
                      <w:szCs w:val="21"/>
                      <w:lang w:val="en-US" w:eastAsia="zh-CN" w:bidi="ar-SA"/>
                    </w:rPr>
                  </w:pPr>
                </w:p>
              </w:tc>
              <w:tc>
                <w:tcPr>
                  <w:tcW w:w="693" w:type="pct"/>
                  <w:vMerge w:val="continue"/>
                  <w:noWrap w:val="0"/>
                  <w:vAlign w:val="top"/>
                </w:tcPr>
                <w:p w14:paraId="2D7AE133">
                  <w:pPr>
                    <w:keepNext w:val="0"/>
                    <w:keepLines w:val="0"/>
                    <w:pageBreakBefore w:val="0"/>
                    <w:kinsoku/>
                    <w:wordWrap/>
                    <w:overflowPunct/>
                    <w:topLinePunct w:val="0"/>
                    <w:autoSpaceDE/>
                    <w:autoSpaceDN/>
                    <w:bidi w:val="0"/>
                    <w:adjustRightInd/>
                    <w:snapToGrid w:val="0"/>
                    <w:spacing w:line="240" w:lineRule="auto"/>
                    <w:ind w:left="0" w:leftChars="0" w:right="0" w:rightChars="0"/>
                    <w:jc w:val="center"/>
                    <w:textAlignment w:val="auto"/>
                    <w:rPr>
                      <w:rFonts w:ascii="Times New Roman" w:hAnsi="Times New Roman" w:eastAsia="宋体" w:cs="Times New Roman"/>
                      <w:smallCaps w:val="0"/>
                      <w:color w:val="auto"/>
                      <w:sz w:val="21"/>
                      <w:szCs w:val="21"/>
                    </w:rPr>
                  </w:pPr>
                </w:p>
              </w:tc>
              <w:tc>
                <w:tcPr>
                  <w:tcW w:w="510" w:type="pct"/>
                  <w:noWrap w:val="0"/>
                  <w:vAlign w:val="center"/>
                </w:tcPr>
                <w:p w14:paraId="79E729CE">
                  <w:pPr>
                    <w:jc w:val="center"/>
                    <w:rPr>
                      <w:rFonts w:hint="eastAsia" w:ascii="Times New Roman" w:hAnsi="Times New Roman" w:eastAsia="宋体" w:cs="Times New Roman"/>
                      <w:smallCaps w:val="0"/>
                      <w:color w:val="auto"/>
                      <w:kern w:val="0"/>
                      <w:sz w:val="21"/>
                      <w:szCs w:val="21"/>
                      <w:lang w:val="en-US" w:eastAsia="zh-CN" w:bidi="ar-SA"/>
                    </w:rPr>
                  </w:pPr>
                </w:p>
              </w:tc>
              <w:tc>
                <w:tcPr>
                  <w:tcW w:w="511" w:type="pct"/>
                  <w:noWrap w:val="0"/>
                  <w:vAlign w:val="center"/>
                </w:tcPr>
                <w:p w14:paraId="1B2E0526">
                  <w:pPr>
                    <w:jc w:val="center"/>
                    <w:rPr>
                      <w:rFonts w:hint="eastAsia" w:ascii="Times New Roman" w:hAnsi="Times New Roman" w:eastAsia="宋体" w:cs="Times New Roman"/>
                      <w:smallCaps w:val="0"/>
                      <w:color w:val="auto"/>
                      <w:kern w:val="0"/>
                      <w:sz w:val="21"/>
                      <w:szCs w:val="21"/>
                      <w:lang w:val="en-US" w:eastAsia="zh-CN" w:bidi="ar-SA"/>
                    </w:rPr>
                  </w:pPr>
                </w:p>
              </w:tc>
            </w:tr>
          </w:tbl>
          <w:p w14:paraId="14347669">
            <w:pPr>
              <w:pStyle w:val="349"/>
              <w:spacing w:before="0" w:line="360" w:lineRule="auto"/>
              <w:ind w:left="0" w:right="0" w:firstLine="480" w:firstLineChars="200"/>
              <w:rPr>
                <w:rFonts w:ascii="Times New Roman" w:hAnsi="Times New Roman" w:eastAsia="宋体" w:cs="Times New Roman"/>
                <w:smallCaps w:val="0"/>
                <w:snapToGrid w:val="0"/>
                <w:color w:val="auto"/>
                <w:sz w:val="24"/>
                <w:szCs w:val="32"/>
              </w:rPr>
            </w:pPr>
            <w:r>
              <w:rPr>
                <w:rFonts w:ascii="Times New Roman" w:hAnsi="Times New Roman" w:eastAsia="宋体" w:cs="Times New Roman"/>
                <w:smallCaps w:val="0"/>
                <w:snapToGrid w:val="0"/>
                <w:color w:val="auto"/>
                <w:sz w:val="24"/>
                <w:szCs w:val="32"/>
              </w:rPr>
              <w:t>由上表数据可知，项目</w:t>
            </w:r>
            <w:r>
              <w:rPr>
                <w:rFonts w:hint="eastAsia" w:ascii="Times New Roman" w:hAnsi="Times New Roman" w:cs="Times New Roman"/>
                <w:smallCaps w:val="0"/>
                <w:snapToGrid w:val="0"/>
                <w:color w:val="auto"/>
                <w:sz w:val="24"/>
                <w:szCs w:val="32"/>
                <w:lang w:val="en-US" w:eastAsia="zh-CN"/>
              </w:rPr>
              <w:t>起、终点</w:t>
            </w:r>
            <w:r>
              <w:rPr>
                <w:rFonts w:hint="eastAsia" w:ascii="Times New Roman" w:hAnsi="Times New Roman" w:eastAsia="宋体" w:cs="Times New Roman"/>
                <w:smallCaps w:val="0"/>
                <w:snapToGrid w:val="0"/>
                <w:color w:val="auto"/>
                <w:sz w:val="24"/>
                <w:szCs w:val="32"/>
                <w:lang w:val="en-US" w:eastAsia="zh-CN"/>
              </w:rPr>
              <w:t>噪声监测点</w:t>
            </w:r>
            <w:r>
              <w:rPr>
                <w:rFonts w:ascii="Times New Roman" w:hAnsi="Times New Roman" w:eastAsia="宋体" w:cs="Times New Roman"/>
                <w:smallCaps w:val="0"/>
                <w:snapToGrid w:val="0"/>
                <w:color w:val="auto"/>
                <w:sz w:val="24"/>
                <w:szCs w:val="32"/>
              </w:rPr>
              <w:t>昼夜间噪声</w:t>
            </w:r>
            <w:r>
              <w:rPr>
                <w:rFonts w:hint="eastAsia" w:ascii="Times New Roman" w:hAnsi="Times New Roman" w:cs="Times New Roman"/>
                <w:smallCaps w:val="0"/>
                <w:snapToGrid w:val="0"/>
                <w:color w:val="auto"/>
                <w:sz w:val="24"/>
                <w:szCs w:val="32"/>
                <w:lang w:val="en-US" w:eastAsia="zh-CN"/>
              </w:rPr>
              <w:t>有、无列车通行时</w:t>
            </w:r>
            <w:r>
              <w:rPr>
                <w:rFonts w:ascii="Times New Roman" w:hAnsi="Times New Roman" w:eastAsia="宋体" w:cs="Times New Roman"/>
                <w:smallCaps w:val="0"/>
                <w:snapToGrid w:val="0"/>
                <w:color w:val="auto"/>
                <w:sz w:val="24"/>
                <w:szCs w:val="32"/>
              </w:rPr>
              <w:t>均</w:t>
            </w:r>
            <w:r>
              <w:rPr>
                <w:rFonts w:hint="eastAsia" w:ascii="Times New Roman" w:hAnsi="Times New Roman" w:eastAsia="宋体" w:cs="Times New Roman"/>
                <w:smallCaps w:val="0"/>
                <w:snapToGrid w:val="0"/>
                <w:color w:val="auto"/>
                <w:sz w:val="24"/>
                <w:szCs w:val="32"/>
                <w:lang w:val="en-US" w:eastAsia="zh-CN"/>
              </w:rPr>
              <w:t>达到</w:t>
            </w:r>
            <w:r>
              <w:rPr>
                <w:rFonts w:ascii="Times New Roman" w:hAnsi="Times New Roman" w:eastAsia="宋体" w:cs="Times New Roman"/>
                <w:smallCaps w:val="0"/>
                <w:snapToGrid w:val="0"/>
                <w:color w:val="auto"/>
                <w:sz w:val="24"/>
                <w:szCs w:val="32"/>
              </w:rPr>
              <w:t>《声环境质量标准》</w:t>
            </w:r>
            <w:r>
              <w:rPr>
                <w:rFonts w:hint="eastAsia" w:ascii="Times New Roman" w:hAnsi="Times New Roman" w:eastAsia="宋体" w:cs="Times New Roman"/>
                <w:smallCaps w:val="0"/>
                <w:snapToGrid w:val="0"/>
                <w:color w:val="auto"/>
                <w:sz w:val="24"/>
                <w:szCs w:val="32"/>
                <w:lang w:eastAsia="zh-CN"/>
              </w:rPr>
              <w:t>（</w:t>
            </w:r>
            <w:r>
              <w:rPr>
                <w:rFonts w:ascii="Times New Roman" w:hAnsi="Times New Roman" w:eastAsia="宋体" w:cs="Times New Roman"/>
                <w:smallCaps w:val="0"/>
                <w:snapToGrid w:val="0"/>
                <w:color w:val="auto"/>
                <w:sz w:val="24"/>
                <w:szCs w:val="32"/>
              </w:rPr>
              <w:t>GB3096-2008</w:t>
            </w:r>
            <w:r>
              <w:rPr>
                <w:rFonts w:hint="eastAsia" w:ascii="Times New Roman" w:hAnsi="Times New Roman" w:eastAsia="宋体" w:cs="Times New Roman"/>
                <w:smallCaps w:val="0"/>
                <w:snapToGrid w:val="0"/>
                <w:color w:val="auto"/>
                <w:sz w:val="24"/>
                <w:szCs w:val="32"/>
                <w:lang w:eastAsia="zh-CN"/>
              </w:rPr>
              <w:t>）</w:t>
            </w:r>
            <w:r>
              <w:rPr>
                <w:rFonts w:ascii="Times New Roman" w:hAnsi="Times New Roman" w:eastAsia="宋体" w:cs="Times New Roman"/>
                <w:smallCaps w:val="0"/>
                <w:snapToGrid w:val="0"/>
                <w:color w:val="auto"/>
                <w:sz w:val="24"/>
                <w:szCs w:val="32"/>
              </w:rPr>
              <w:t>中的</w:t>
            </w:r>
            <w:r>
              <w:rPr>
                <w:rFonts w:hint="eastAsia" w:ascii="Times New Roman" w:hAnsi="Times New Roman" w:cs="Times New Roman"/>
                <w:smallCaps w:val="0"/>
                <w:snapToGrid w:val="0"/>
                <w:color w:val="auto"/>
                <w:sz w:val="24"/>
                <w:szCs w:val="32"/>
                <w:lang w:val="en-US" w:eastAsia="zh-CN"/>
              </w:rPr>
              <w:t>4b</w:t>
            </w:r>
            <w:r>
              <w:rPr>
                <w:rFonts w:ascii="Times New Roman" w:hAnsi="Times New Roman" w:eastAsia="宋体" w:cs="Times New Roman"/>
                <w:smallCaps w:val="0"/>
                <w:snapToGrid w:val="0"/>
                <w:color w:val="auto"/>
                <w:sz w:val="24"/>
                <w:szCs w:val="32"/>
              </w:rPr>
              <w:t>类标准：昼间：</w:t>
            </w:r>
            <w:r>
              <w:rPr>
                <w:rFonts w:hint="eastAsia" w:ascii="Times New Roman" w:hAnsi="Times New Roman" w:cs="Times New Roman"/>
                <w:smallCaps w:val="0"/>
                <w:snapToGrid w:val="0"/>
                <w:color w:val="auto"/>
                <w:sz w:val="24"/>
                <w:szCs w:val="32"/>
                <w:lang w:val="en-US" w:eastAsia="zh-CN"/>
              </w:rPr>
              <w:t>70</w:t>
            </w:r>
            <w:r>
              <w:rPr>
                <w:rFonts w:ascii="Times New Roman" w:hAnsi="Times New Roman" w:eastAsia="宋体" w:cs="Times New Roman"/>
                <w:smallCaps w:val="0"/>
                <w:snapToGrid w:val="0"/>
                <w:color w:val="auto"/>
                <w:sz w:val="24"/>
                <w:szCs w:val="32"/>
              </w:rPr>
              <w:t>dB(A)，夜间：</w:t>
            </w:r>
            <w:r>
              <w:rPr>
                <w:rFonts w:hint="eastAsia" w:ascii="Times New Roman" w:hAnsi="Times New Roman" w:cs="Times New Roman"/>
                <w:smallCaps w:val="0"/>
                <w:snapToGrid w:val="0"/>
                <w:color w:val="auto"/>
                <w:sz w:val="24"/>
                <w:szCs w:val="32"/>
                <w:lang w:val="en-US" w:eastAsia="zh-CN"/>
              </w:rPr>
              <w:t>60</w:t>
            </w:r>
            <w:r>
              <w:rPr>
                <w:rFonts w:ascii="Times New Roman" w:hAnsi="Times New Roman" w:eastAsia="宋体" w:cs="Times New Roman"/>
                <w:smallCaps w:val="0"/>
                <w:snapToGrid w:val="0"/>
                <w:color w:val="auto"/>
                <w:sz w:val="24"/>
                <w:szCs w:val="32"/>
              </w:rPr>
              <w:t>dB(A)</w:t>
            </w:r>
            <w:r>
              <w:rPr>
                <w:rFonts w:hint="eastAsia" w:ascii="Times New Roman" w:hAnsi="Times New Roman" w:cs="Times New Roman"/>
                <w:smallCaps w:val="0"/>
                <w:snapToGrid w:val="0"/>
                <w:color w:val="auto"/>
                <w:sz w:val="24"/>
                <w:szCs w:val="32"/>
                <w:lang w:eastAsia="zh-CN"/>
              </w:rPr>
              <w:t>；</w:t>
            </w:r>
            <w:r>
              <w:rPr>
                <w:rFonts w:hint="eastAsia" w:ascii="Times New Roman" w:hAnsi="Times New Roman" w:cs="Times New Roman"/>
                <w:smallCaps w:val="0"/>
                <w:snapToGrid w:val="0"/>
                <w:color w:val="auto"/>
                <w:sz w:val="24"/>
                <w:szCs w:val="32"/>
                <w:lang w:val="en-US" w:eastAsia="zh-CN"/>
              </w:rPr>
              <w:t>敏感点监测点昼、夜间噪声无列车通行时均达到《声环境质量标准》（GB3096-2008）中的2类标准：昼间：60dB(A)，夜间：50dB(A)，有列车通行时则超过《声环境质量标准》（GB3096-2008）中的2类标准</w:t>
            </w:r>
            <w:r>
              <w:rPr>
                <w:rFonts w:ascii="Times New Roman" w:hAnsi="Times New Roman" w:eastAsia="宋体" w:cs="Times New Roman"/>
                <w:smallCaps w:val="0"/>
                <w:snapToGrid w:val="0"/>
                <w:color w:val="auto"/>
                <w:sz w:val="24"/>
                <w:szCs w:val="32"/>
              </w:rPr>
              <w:t>。</w:t>
            </w:r>
          </w:p>
          <w:p w14:paraId="17953016">
            <w:pPr>
              <w:pStyle w:val="349"/>
              <w:spacing w:before="0" w:line="360" w:lineRule="auto"/>
              <w:ind w:left="0" w:right="0" w:firstLine="480" w:firstLineChars="200"/>
              <w:rPr>
                <w:rFonts w:hint="default" w:ascii="Times New Roman" w:hAnsi="Times New Roman" w:cs="Times New Roman"/>
                <w:color w:val="auto"/>
                <w:spacing w:val="-1"/>
                <w:sz w:val="24"/>
                <w:lang w:eastAsia="en-US"/>
              </w:rPr>
            </w:pPr>
            <w:r>
              <w:rPr>
                <w:rFonts w:hint="eastAsia" w:ascii="Times New Roman" w:hAnsi="Times New Roman" w:cs="Times New Roman"/>
                <w:smallCaps w:val="0"/>
                <w:snapToGrid w:val="0"/>
                <w:color w:val="auto"/>
                <w:sz w:val="24"/>
                <w:szCs w:val="32"/>
                <w:lang w:val="en-US" w:eastAsia="zh-CN"/>
              </w:rPr>
              <w:t>因无列车通过时能达到标准，因此分析超标原因为受到现有铁路的影响，仅在列车通过时超标，影响是短暂的，属于夜间突发噪声，根据《声环境质量标准》（GB3096-2008）中“5.4根据各类声环境功能区夜间突发噪声，其最大声级超过环境噪声限值的幅度不得高于15</w:t>
            </w:r>
            <w:r>
              <w:rPr>
                <w:rFonts w:hint="default" w:ascii="Times New Roman" w:hAnsi="Times New Roman" w:cs="Times New Roman"/>
                <w:smallCaps w:val="0"/>
                <w:snapToGrid w:val="0"/>
                <w:color w:val="auto"/>
                <w:sz w:val="24"/>
                <w:szCs w:val="32"/>
                <w:lang w:val="en-US" w:eastAsia="zh-CN"/>
              </w:rPr>
              <w:t>dB(A)</w:t>
            </w:r>
            <w:r>
              <w:rPr>
                <w:rFonts w:hint="eastAsia" w:ascii="Times New Roman" w:hAnsi="Times New Roman" w:cs="Times New Roman"/>
                <w:smallCaps w:val="0"/>
                <w:snapToGrid w:val="0"/>
                <w:color w:val="auto"/>
                <w:sz w:val="24"/>
                <w:szCs w:val="32"/>
                <w:lang w:val="en-US" w:eastAsia="zh-CN"/>
              </w:rPr>
              <w:t>”，上表数据均能满足此项要求。</w:t>
            </w:r>
          </w:p>
          <w:p w14:paraId="0663806A">
            <w:pPr>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5、地下水、土壤环境质量</w:t>
            </w:r>
          </w:p>
          <w:p w14:paraId="5EF6E3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szCs w:val="24"/>
              </w:rPr>
            </w:pPr>
            <w:r>
              <w:rPr>
                <w:rFonts w:hint="eastAsia"/>
                <w:bCs/>
                <w:color w:val="auto"/>
                <w:sz w:val="24"/>
                <w:szCs w:val="24"/>
              </w:rPr>
              <w:t>根据《环境影响评价技术导则  地下水环境》（</w:t>
            </w:r>
            <w:r>
              <w:rPr>
                <w:bCs/>
                <w:color w:val="auto"/>
                <w:sz w:val="24"/>
                <w:szCs w:val="24"/>
              </w:rPr>
              <w:t>HJ610-2016</w:t>
            </w:r>
            <w:r>
              <w:rPr>
                <w:rFonts w:hint="eastAsia"/>
                <w:bCs/>
                <w:color w:val="auto"/>
                <w:sz w:val="24"/>
                <w:szCs w:val="24"/>
              </w:rPr>
              <w:t>），项目为铁路</w:t>
            </w:r>
            <w:r>
              <w:rPr>
                <w:rFonts w:hint="eastAsia"/>
                <w:bCs/>
                <w:color w:val="auto"/>
                <w:sz w:val="24"/>
                <w:szCs w:val="24"/>
                <w:lang w:val="en-US" w:eastAsia="zh-CN"/>
              </w:rPr>
              <w:t>支线和集装箱堆场建设</w:t>
            </w:r>
            <w:r>
              <w:rPr>
                <w:rFonts w:hint="eastAsia"/>
                <w:bCs/>
                <w:color w:val="auto"/>
                <w:sz w:val="24"/>
                <w:szCs w:val="24"/>
              </w:rPr>
              <w:t>项目，</w:t>
            </w:r>
            <w:r>
              <w:rPr>
                <w:rFonts w:hint="default" w:ascii="Times New Roman" w:hAnsi="Times New Roman" w:eastAsia="宋体" w:cs="Times New Roman"/>
                <w:color w:val="auto"/>
                <w:sz w:val="24"/>
                <w:szCs w:val="24"/>
              </w:rPr>
              <w:t>项目生活污水经三级化粪池处理后</w:t>
            </w:r>
            <w:r>
              <w:rPr>
                <w:rFonts w:hint="eastAsia" w:cs="宋体"/>
                <w:color w:val="auto"/>
                <w:kern w:val="0"/>
                <w:sz w:val="24"/>
                <w:szCs w:val="24"/>
                <w:lang w:val="en-US" w:eastAsia="zh-CN"/>
              </w:rPr>
              <w:t>定期进行清理外运施肥</w:t>
            </w:r>
            <w:r>
              <w:rPr>
                <w:rFonts w:hint="default" w:ascii="Times New Roman" w:hAnsi="Times New Roman" w:eastAsia="宋体" w:cs="Times New Roman"/>
                <w:color w:val="auto"/>
                <w:sz w:val="24"/>
                <w:szCs w:val="24"/>
              </w:rPr>
              <w:t>。项目场地地面</w:t>
            </w:r>
            <w:r>
              <w:rPr>
                <w:rFonts w:hint="default" w:ascii="Times New Roman" w:hAnsi="Times New Roman" w:eastAsia="宋体" w:cs="Times New Roman"/>
                <w:bCs/>
                <w:color w:val="auto"/>
                <w:sz w:val="24"/>
                <w:szCs w:val="24"/>
              </w:rPr>
              <w:t>均采取了硬化</w:t>
            </w:r>
            <w:r>
              <w:rPr>
                <w:rFonts w:hint="eastAsia" w:ascii="Times New Roman" w:hAnsi="Times New Roman" w:eastAsia="宋体" w:cs="Times New Roman"/>
                <w:bCs/>
                <w:color w:val="auto"/>
                <w:sz w:val="24"/>
                <w:szCs w:val="24"/>
                <w:lang w:val="en-US" w:eastAsia="zh-CN"/>
              </w:rPr>
              <w:t>防渗</w:t>
            </w:r>
            <w:r>
              <w:rPr>
                <w:rFonts w:hint="default" w:ascii="Times New Roman" w:hAnsi="Times New Roman" w:eastAsia="宋体" w:cs="Times New Roman"/>
                <w:bCs/>
                <w:color w:val="auto"/>
                <w:sz w:val="24"/>
                <w:szCs w:val="24"/>
              </w:rPr>
              <w:t>措施</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color w:val="auto"/>
                <w:sz w:val="24"/>
                <w:szCs w:val="24"/>
                <w:lang w:val="en-US" w:eastAsia="zh-CN"/>
              </w:rPr>
              <w:t>集装箱密封，不在堆场内</w:t>
            </w:r>
            <w:r>
              <w:rPr>
                <w:rFonts w:hint="eastAsia" w:ascii="Times New Roman" w:hAnsi="Times New Roman" w:eastAsia="宋体" w:cs="Times New Roman"/>
                <w:color w:val="auto"/>
                <w:sz w:val="24"/>
                <w:szCs w:val="24"/>
              </w:rPr>
              <w:t>开箱卸货或散装分装</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pacing w:val="-10"/>
                <w:sz w:val="24"/>
                <w:szCs w:val="24"/>
              </w:rPr>
              <w:t>因此，没有地下水污染途径，本项目造成地下水污染的风险较小，</w:t>
            </w:r>
            <w:r>
              <w:rPr>
                <w:rFonts w:hint="default" w:ascii="Times New Roman" w:hAnsi="Times New Roman" w:eastAsia="宋体" w:cs="Times New Roman"/>
                <w:color w:val="auto"/>
                <w:sz w:val="24"/>
                <w:szCs w:val="24"/>
              </w:rPr>
              <w:t>项目营运期对周边地下水环境无明显影响</w:t>
            </w:r>
            <w:r>
              <w:rPr>
                <w:rFonts w:hint="eastAsia" w:cs="Times New Roman"/>
                <w:color w:val="auto"/>
                <w:sz w:val="24"/>
                <w:szCs w:val="24"/>
                <w:lang w:eastAsia="zh-CN"/>
              </w:rPr>
              <w:t>，可</w:t>
            </w:r>
            <w:r>
              <w:rPr>
                <w:rFonts w:hint="eastAsia"/>
                <w:bCs/>
                <w:color w:val="auto"/>
                <w:sz w:val="24"/>
                <w:szCs w:val="24"/>
              </w:rPr>
              <w:t>不开展地下水环境影响评价。</w:t>
            </w:r>
          </w:p>
          <w:p w14:paraId="24B471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default" w:ascii="Times New Roman" w:hAnsi="Times New Roman" w:eastAsia="宋体" w:cs="Times New Roman"/>
                <w:color w:val="auto"/>
                <w:spacing w:val="0"/>
                <w:sz w:val="24"/>
                <w:szCs w:val="24"/>
              </w:rPr>
              <w:t>项目场地地面</w:t>
            </w:r>
            <w:r>
              <w:rPr>
                <w:rFonts w:hint="default" w:ascii="Times New Roman" w:hAnsi="Times New Roman" w:eastAsia="宋体" w:cs="Times New Roman"/>
                <w:bCs/>
                <w:color w:val="auto"/>
                <w:spacing w:val="0"/>
                <w:sz w:val="24"/>
                <w:szCs w:val="24"/>
              </w:rPr>
              <w:t>均采取了硬化</w:t>
            </w:r>
            <w:r>
              <w:rPr>
                <w:rFonts w:hint="eastAsia" w:cs="Times New Roman"/>
                <w:bCs/>
                <w:color w:val="auto"/>
                <w:spacing w:val="0"/>
                <w:sz w:val="24"/>
                <w:szCs w:val="24"/>
                <w:lang w:eastAsia="zh-CN"/>
              </w:rPr>
              <w:t>防腐</w:t>
            </w:r>
            <w:r>
              <w:rPr>
                <w:rFonts w:hint="eastAsia" w:ascii="Times New Roman" w:hAnsi="Times New Roman" w:eastAsia="宋体" w:cs="Times New Roman"/>
                <w:bCs/>
                <w:color w:val="auto"/>
                <w:spacing w:val="0"/>
                <w:sz w:val="24"/>
                <w:szCs w:val="24"/>
                <w:lang w:val="en-US" w:eastAsia="zh-CN"/>
              </w:rPr>
              <w:t>防渗</w:t>
            </w:r>
            <w:r>
              <w:rPr>
                <w:rFonts w:hint="default" w:ascii="Times New Roman" w:hAnsi="Times New Roman" w:eastAsia="宋体" w:cs="Times New Roman"/>
                <w:bCs/>
                <w:color w:val="auto"/>
                <w:spacing w:val="0"/>
                <w:sz w:val="24"/>
                <w:szCs w:val="24"/>
              </w:rPr>
              <w:t>措施</w:t>
            </w: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color w:val="auto"/>
                <w:spacing w:val="0"/>
                <w:sz w:val="24"/>
                <w:szCs w:val="24"/>
                <w:lang w:val="en-US" w:eastAsia="zh-CN"/>
              </w:rPr>
              <w:t>集装箱密封，不在堆场内</w:t>
            </w:r>
            <w:r>
              <w:rPr>
                <w:rFonts w:hint="eastAsia" w:ascii="Times New Roman" w:hAnsi="Times New Roman" w:eastAsia="宋体" w:cs="Times New Roman"/>
                <w:color w:val="auto"/>
                <w:spacing w:val="0"/>
                <w:sz w:val="24"/>
                <w:szCs w:val="24"/>
              </w:rPr>
              <w:t>开箱卸货或散装分装</w:t>
            </w:r>
            <w:r>
              <w:rPr>
                <w:rFonts w:hint="default" w:ascii="Times New Roman" w:hAnsi="Times New Roman" w:eastAsia="宋体" w:cs="Times New Roman"/>
                <w:bCs/>
                <w:color w:val="auto"/>
                <w:spacing w:val="0"/>
                <w:sz w:val="24"/>
                <w:szCs w:val="24"/>
              </w:rPr>
              <w:t>，没有</w:t>
            </w:r>
            <w:r>
              <w:rPr>
                <w:rFonts w:hint="eastAsia" w:cs="Times New Roman"/>
                <w:bCs/>
                <w:color w:val="auto"/>
                <w:spacing w:val="0"/>
                <w:sz w:val="24"/>
                <w:szCs w:val="24"/>
                <w:lang w:val="en-US" w:eastAsia="zh-CN"/>
              </w:rPr>
              <w:t>土壤</w:t>
            </w:r>
            <w:r>
              <w:rPr>
                <w:rFonts w:hint="default" w:ascii="Times New Roman" w:hAnsi="Times New Roman" w:eastAsia="宋体" w:cs="Times New Roman"/>
                <w:bCs/>
                <w:color w:val="auto"/>
                <w:spacing w:val="0"/>
                <w:sz w:val="24"/>
                <w:szCs w:val="24"/>
              </w:rPr>
              <w:t>污染途径</w:t>
            </w:r>
            <w:r>
              <w:rPr>
                <w:rFonts w:hint="eastAsia" w:cs="Times New Roman"/>
                <w:bCs/>
                <w:color w:val="auto"/>
                <w:spacing w:val="0"/>
                <w:sz w:val="24"/>
                <w:szCs w:val="24"/>
                <w:lang w:eastAsia="zh-CN"/>
              </w:rPr>
              <w:t>，</w:t>
            </w:r>
            <w:r>
              <w:rPr>
                <w:rFonts w:hint="eastAsia"/>
                <w:bCs/>
                <w:color w:val="auto"/>
                <w:spacing w:val="0"/>
                <w:sz w:val="24"/>
                <w:szCs w:val="24"/>
              </w:rPr>
              <w:t>可不开展土壤环境影响评价。</w:t>
            </w:r>
          </w:p>
        </w:tc>
      </w:tr>
      <w:tr w14:paraId="3F7E7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8" w:hRule="atLeast"/>
          <w:jc w:val="center"/>
        </w:trPr>
        <w:tc>
          <w:tcPr>
            <w:tcW w:w="456" w:type="dxa"/>
            <w:vAlign w:val="center"/>
          </w:tcPr>
          <w:p w14:paraId="4EE5A76B">
            <w:pPr>
              <w:adjustRightInd w:val="0"/>
              <w:snapToGrid w:val="0"/>
              <w:jc w:val="center"/>
              <w:rPr>
                <w:rFonts w:cs="宋体"/>
                <w:color w:val="auto"/>
                <w:kern w:val="0"/>
                <w:sz w:val="24"/>
              </w:rPr>
            </w:pPr>
            <w:r>
              <w:rPr>
                <w:rFonts w:hint="eastAsia"/>
                <w:bCs/>
                <w:color w:val="auto"/>
                <w:sz w:val="24"/>
              </w:rPr>
              <w:t>与项目有关的原有环境污染和生态破坏问题</w:t>
            </w:r>
          </w:p>
        </w:tc>
        <w:tc>
          <w:tcPr>
            <w:tcW w:w="8606" w:type="dxa"/>
            <w:vAlign w:val="center"/>
          </w:tcPr>
          <w:p w14:paraId="42927AEB">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原有工程环保手续履行情况</w:t>
            </w:r>
          </w:p>
          <w:p w14:paraId="76C7C778">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cs="Times New Roman"/>
                <w:color w:val="auto"/>
                <w:sz w:val="24"/>
                <w:lang w:val="en-US" w:eastAsia="zh-CN"/>
              </w:rPr>
              <w:t>云约站为防城港企沙支线工程设置的中间站，该项目于2006年12月18日获得广西壮族自治区环境保护局文件《关于新建地方铁路防城港企沙支线工程环境影响报告表的批复》（桂环管字〔2006〕338号），</w:t>
            </w:r>
            <w:r>
              <w:rPr>
                <w:rFonts w:hint="eastAsia" w:ascii="Times New Roman" w:hAnsi="Times New Roman" w:eastAsia="宋体" w:cs="Times New Roman"/>
                <w:color w:val="auto"/>
                <w:sz w:val="24"/>
                <w:lang w:val="en-US" w:eastAsia="zh-CN"/>
              </w:rPr>
              <w:t>2020年6月21日，云约站铁路支线建成通车</w:t>
            </w:r>
            <w:r>
              <w:rPr>
                <w:rFonts w:hint="eastAsia" w:ascii="Times New Roman" w:hAnsi="Times New Roman" w:eastAsia="宋体" w:cs="Times New Roman"/>
                <w:color w:val="auto"/>
                <w:sz w:val="24"/>
              </w:rPr>
              <w:t>。</w:t>
            </w:r>
          </w:p>
          <w:p w14:paraId="3A9AF38B">
            <w:pPr>
              <w:adjustRightInd w:val="0"/>
              <w:snapToGrid w:val="0"/>
              <w:spacing w:line="360" w:lineRule="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与本项目有关的原有污染情况</w:t>
            </w:r>
          </w:p>
          <w:p w14:paraId="24DF1F16">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大气</w:t>
            </w:r>
            <w:r>
              <w:rPr>
                <w:rFonts w:hint="eastAsia" w:ascii="Times New Roman" w:hAnsi="Times New Roman" w:eastAsia="宋体" w:cs="Times New Roman"/>
                <w:color w:val="auto"/>
                <w:sz w:val="24"/>
              </w:rPr>
              <w:t>环境：</w:t>
            </w:r>
            <w:r>
              <w:rPr>
                <w:rFonts w:hint="eastAsia" w:ascii="Times New Roman" w:hAnsi="Times New Roman" w:eastAsia="宋体" w:cs="Times New Roman"/>
                <w:color w:val="auto"/>
                <w:sz w:val="24"/>
                <w:lang w:val="en-US" w:eastAsia="zh-CN"/>
              </w:rPr>
              <w:t>废气主要为装卸设备废气</w:t>
            </w:r>
            <w:r>
              <w:rPr>
                <w:rFonts w:hint="eastAsia" w:ascii="Times New Roman" w:hAnsi="Times New Roman" w:eastAsia="宋体" w:cs="Times New Roman"/>
                <w:color w:val="auto"/>
                <w:sz w:val="24"/>
              </w:rPr>
              <w:t>。</w:t>
            </w:r>
          </w:p>
          <w:p w14:paraId="706F4F6B">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声环境：</w:t>
            </w:r>
            <w:r>
              <w:rPr>
                <w:rFonts w:hint="eastAsia" w:ascii="Times New Roman" w:hAnsi="Times New Roman" w:eastAsia="宋体" w:cs="Times New Roman"/>
                <w:color w:val="auto"/>
                <w:sz w:val="24"/>
                <w:lang w:val="en-US" w:eastAsia="zh-CN"/>
              </w:rPr>
              <w:t>列车行驶产生的噪声、装卸噪声</w:t>
            </w:r>
            <w:r>
              <w:rPr>
                <w:rFonts w:hint="eastAsia" w:ascii="Times New Roman" w:hAnsi="Times New Roman" w:eastAsia="宋体" w:cs="Times New Roman"/>
                <w:color w:val="auto"/>
                <w:sz w:val="24"/>
              </w:rPr>
              <w:t>。</w:t>
            </w:r>
          </w:p>
          <w:p w14:paraId="4EAB372E">
            <w:pPr>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固体废物：固废主要有</w:t>
            </w:r>
            <w:r>
              <w:rPr>
                <w:rFonts w:hint="eastAsia" w:ascii="Times New Roman" w:hAnsi="Times New Roman" w:eastAsia="宋体" w:cs="Times New Roman"/>
                <w:color w:val="auto"/>
                <w:sz w:val="24"/>
                <w:lang w:val="en-US" w:eastAsia="zh-CN"/>
              </w:rPr>
              <w:t>云约站工作</w:t>
            </w:r>
            <w:r>
              <w:rPr>
                <w:rFonts w:hint="eastAsia" w:ascii="Times New Roman" w:hAnsi="Times New Roman" w:eastAsia="宋体" w:cs="Times New Roman"/>
                <w:color w:val="auto"/>
                <w:sz w:val="24"/>
              </w:rPr>
              <w:t>人员产生的少量生活垃圾。</w:t>
            </w:r>
          </w:p>
          <w:p w14:paraId="6E400DFF">
            <w:pPr>
              <w:adjustRightInd w:val="0"/>
              <w:snapToGri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废水：主要有</w:t>
            </w:r>
            <w:r>
              <w:rPr>
                <w:rFonts w:hint="eastAsia" w:ascii="Times New Roman" w:hAnsi="Times New Roman" w:eastAsia="宋体" w:cs="Times New Roman"/>
                <w:color w:val="auto"/>
                <w:sz w:val="24"/>
                <w:lang w:val="en-US" w:eastAsia="zh-CN"/>
              </w:rPr>
              <w:t>云约站工作</w:t>
            </w:r>
            <w:r>
              <w:rPr>
                <w:rFonts w:hint="eastAsia" w:ascii="Times New Roman" w:hAnsi="Times New Roman" w:eastAsia="宋体" w:cs="Times New Roman"/>
                <w:color w:val="auto"/>
                <w:sz w:val="24"/>
              </w:rPr>
              <w:t>人员产生的少量生活污水。</w:t>
            </w:r>
          </w:p>
          <w:p w14:paraId="10307AF9">
            <w:pPr>
              <w:adjustRightInd w:val="0"/>
              <w:snapToGrid w:val="0"/>
              <w:spacing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lang w:val="en-US" w:eastAsia="zh-CN"/>
              </w:rPr>
              <w:t>云约站运输车辆和装卸设备均采用符合环保要求低排放设备，加强机械车辆的保养、维修，使其保持正常运行；使用合格的燃料油，对大气环境影响较小；云约站铁路中心线60m范围内已按要求进行征地拆迁工作，无敏感点，对声环境影响较小；工作人员产生的生活垃圾分类收集后由环卫中心统一处理；生活污水经化粪池处理后用于周边施肥</w:t>
            </w:r>
            <w:r>
              <w:rPr>
                <w:rFonts w:hint="eastAsia" w:ascii="Times New Roman" w:hAnsi="Times New Roman" w:eastAsia="宋体" w:cs="Times New Roman"/>
                <w:color w:val="auto"/>
                <w:sz w:val="24"/>
                <w:u w:val="none"/>
              </w:rPr>
              <w:t>。</w:t>
            </w:r>
          </w:p>
          <w:p w14:paraId="7977B36C">
            <w:pPr>
              <w:adjustRightInd w:val="0"/>
              <w:snapToGrid w:val="0"/>
              <w:spacing w:line="360" w:lineRule="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与本项目有关的主要环境问题</w:t>
            </w:r>
          </w:p>
          <w:p w14:paraId="15443FFD">
            <w:pPr>
              <w:adjustRightInd w:val="0"/>
              <w:snapToGrid w:val="0"/>
              <w:spacing w:line="360" w:lineRule="auto"/>
              <w:ind w:firstLine="480" w:firstLineChars="200"/>
              <w:rPr>
                <w:rFonts w:cs="宋体"/>
                <w:color w:val="auto"/>
                <w:kern w:val="0"/>
                <w:sz w:val="24"/>
              </w:rPr>
            </w:pPr>
            <w:r>
              <w:rPr>
                <w:rFonts w:hint="eastAsia" w:ascii="Times New Roman" w:hAnsi="Times New Roman" w:eastAsia="宋体" w:cs="Times New Roman"/>
                <w:color w:val="auto"/>
                <w:sz w:val="24"/>
                <w:lang w:val="en-US" w:eastAsia="zh-CN"/>
              </w:rPr>
              <w:t>云约站</w:t>
            </w:r>
            <w:r>
              <w:rPr>
                <w:rFonts w:hint="eastAsia" w:ascii="Times New Roman" w:hAnsi="Times New Roman" w:eastAsia="宋体" w:cs="Times New Roman"/>
                <w:color w:val="auto"/>
                <w:sz w:val="24"/>
              </w:rPr>
              <w:t>区域环境质量良好，生态环境良好，固体废物</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生活污水</w:t>
            </w:r>
            <w:r>
              <w:rPr>
                <w:rFonts w:hint="eastAsia" w:ascii="Times New Roman" w:hAnsi="Times New Roman" w:eastAsia="宋体" w:cs="Times New Roman"/>
                <w:color w:val="auto"/>
                <w:sz w:val="24"/>
              </w:rPr>
              <w:t>已进行妥善处理不外排，未出现环境空气、生态环境等方面的环境污染问题。</w:t>
            </w:r>
          </w:p>
        </w:tc>
      </w:tr>
      <w:tr w14:paraId="09A53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456" w:type="dxa"/>
            <w:vAlign w:val="center"/>
          </w:tcPr>
          <w:p w14:paraId="76DE8B26">
            <w:pPr>
              <w:adjustRightInd w:val="0"/>
              <w:snapToGrid w:val="0"/>
              <w:jc w:val="center"/>
              <w:rPr>
                <w:rFonts w:cs="宋体"/>
                <w:color w:val="auto"/>
                <w:kern w:val="0"/>
                <w:sz w:val="24"/>
              </w:rPr>
            </w:pPr>
            <w:r>
              <w:rPr>
                <w:rFonts w:hint="eastAsia" w:cs="宋体"/>
                <w:color w:val="auto"/>
                <w:kern w:val="0"/>
                <w:sz w:val="24"/>
              </w:rPr>
              <w:t>生态环境保护目标</w:t>
            </w:r>
          </w:p>
        </w:tc>
        <w:tc>
          <w:tcPr>
            <w:tcW w:w="8606" w:type="dxa"/>
            <w:vAlign w:val="center"/>
          </w:tcPr>
          <w:p w14:paraId="437CB44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cs="宋体"/>
                <w:b/>
                <w:bCs/>
                <w:color w:val="auto"/>
                <w:kern w:val="0"/>
                <w:sz w:val="24"/>
              </w:rPr>
            </w:pPr>
            <w:r>
              <w:rPr>
                <w:rFonts w:hint="eastAsia" w:cs="宋体"/>
                <w:b/>
                <w:bCs/>
                <w:color w:val="auto"/>
                <w:kern w:val="0"/>
                <w:sz w:val="24"/>
              </w:rPr>
              <w:t>1、生态环境保护目标</w:t>
            </w:r>
          </w:p>
          <w:p w14:paraId="7174065B">
            <w:pPr>
              <w:adjustRightInd w:val="0"/>
              <w:snapToGrid w:val="0"/>
              <w:spacing w:line="360" w:lineRule="auto"/>
              <w:ind w:firstLine="480" w:firstLineChars="200"/>
              <w:rPr>
                <w:rFonts w:cs="宋体"/>
                <w:color w:val="auto"/>
                <w:kern w:val="0"/>
                <w:sz w:val="24"/>
              </w:rPr>
            </w:pPr>
            <w:r>
              <w:rPr>
                <w:rFonts w:hint="eastAsia" w:cs="宋体"/>
                <w:color w:val="auto"/>
                <w:kern w:val="0"/>
                <w:sz w:val="24"/>
              </w:rPr>
              <w:t>生态保护目标指受影响的重要物种、生态敏感区（包括法定生态保护区域、重要生境以及其他具有重要生态功能、对保护生物多样性具有重要意义的区域。其中，法定生态保护区域包括：依据法律法规、政策等规范性文件划定或确认的国家公园、自然保护区、自然公园等自然保护地、世界自然遗产、生态保护红线等区域；重要生境包括：重要物种的天然集中分布区、栖息地，重要水生生物的产卵场、索饵场、越冬场和洄游通道，迁徙鸟类的重要繁殖地、停歇地、越冬地以及野生动物迁徙通道等）以及其他需要保护的物种、种群、生物群落及生态空间等。</w:t>
            </w:r>
          </w:p>
          <w:p w14:paraId="4E3EB7FC">
            <w:pPr>
              <w:adjustRightInd w:val="0"/>
              <w:snapToGrid w:val="0"/>
              <w:spacing w:line="360" w:lineRule="auto"/>
              <w:ind w:firstLine="480" w:firstLineChars="200"/>
              <w:rPr>
                <w:rFonts w:cs="宋体"/>
                <w:color w:val="auto"/>
                <w:kern w:val="0"/>
                <w:sz w:val="24"/>
              </w:rPr>
            </w:pPr>
            <w:r>
              <w:rPr>
                <w:rFonts w:hint="eastAsia" w:cs="宋体"/>
                <w:color w:val="auto"/>
                <w:kern w:val="0"/>
                <w:sz w:val="24"/>
              </w:rPr>
              <w:t>经调查，项目评价范围内不涉及生态敏感区和生态保护目标。</w:t>
            </w:r>
          </w:p>
          <w:p w14:paraId="7231A351">
            <w:pPr>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2、</w:t>
            </w:r>
            <w:r>
              <w:rPr>
                <w:rFonts w:cs="宋体"/>
                <w:b/>
                <w:bCs/>
                <w:color w:val="auto"/>
                <w:kern w:val="0"/>
                <w:sz w:val="24"/>
              </w:rPr>
              <w:t>大气环境保护目标</w:t>
            </w:r>
          </w:p>
          <w:p w14:paraId="38010255">
            <w:pPr>
              <w:adjustRightInd w:val="0"/>
              <w:snapToGrid w:val="0"/>
              <w:spacing w:line="360" w:lineRule="auto"/>
              <w:ind w:firstLine="480" w:firstLineChars="200"/>
              <w:rPr>
                <w:color w:val="auto"/>
                <w:sz w:val="24"/>
              </w:rPr>
            </w:pPr>
            <w:r>
              <w:rPr>
                <w:rFonts w:hint="eastAsia" w:cs="宋体"/>
                <w:color w:val="auto"/>
                <w:kern w:val="0"/>
                <w:sz w:val="24"/>
              </w:rPr>
              <w:t>项目</w:t>
            </w:r>
            <w:r>
              <w:rPr>
                <w:color w:val="auto"/>
                <w:sz w:val="24"/>
              </w:rPr>
              <w:t>500米范围内</w:t>
            </w:r>
            <w:r>
              <w:rPr>
                <w:rFonts w:hint="eastAsia"/>
                <w:color w:val="auto"/>
                <w:sz w:val="24"/>
              </w:rPr>
              <w:t>大气环境保护目标详见表3</w:t>
            </w:r>
            <w:r>
              <w:rPr>
                <w:color w:val="auto"/>
                <w:sz w:val="24"/>
              </w:rPr>
              <w:t>-3</w:t>
            </w:r>
            <w:r>
              <w:rPr>
                <w:rFonts w:hint="eastAsia"/>
                <w:color w:val="auto"/>
                <w:sz w:val="24"/>
              </w:rPr>
              <w:t>。</w:t>
            </w:r>
          </w:p>
          <w:p w14:paraId="644DE27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cs="宋体"/>
                <w:b/>
                <w:bCs/>
                <w:color w:val="auto"/>
                <w:kern w:val="0"/>
                <w:sz w:val="24"/>
              </w:rPr>
            </w:pPr>
            <w:r>
              <w:rPr>
                <w:rFonts w:hint="eastAsia" w:cs="宋体"/>
                <w:b/>
                <w:bCs/>
                <w:color w:val="auto"/>
                <w:kern w:val="0"/>
                <w:sz w:val="24"/>
              </w:rPr>
              <w:t>3、声环境保护目标</w:t>
            </w:r>
          </w:p>
          <w:p w14:paraId="71762864">
            <w:pPr>
              <w:adjustRightInd w:val="0"/>
              <w:snapToGrid w:val="0"/>
              <w:spacing w:line="360" w:lineRule="auto"/>
              <w:ind w:firstLine="480" w:firstLineChars="200"/>
              <w:rPr>
                <w:rFonts w:hint="default"/>
                <w:color w:val="auto"/>
                <w:sz w:val="24"/>
                <w:lang w:val="en-US" w:eastAsia="zh-CN"/>
              </w:rPr>
            </w:pPr>
            <w:r>
              <w:rPr>
                <w:rFonts w:hint="eastAsia" w:cs="宋体"/>
                <w:color w:val="auto"/>
                <w:kern w:val="0"/>
                <w:sz w:val="24"/>
              </w:rPr>
              <w:t>项目</w:t>
            </w:r>
            <w:r>
              <w:rPr>
                <w:rFonts w:hint="eastAsia"/>
                <w:color w:val="auto"/>
                <w:sz w:val="24"/>
                <w:lang w:val="en-US" w:eastAsia="zh-CN"/>
              </w:rPr>
              <w:t>用地范围外延</w:t>
            </w:r>
            <w:r>
              <w:rPr>
                <w:color w:val="auto"/>
                <w:sz w:val="24"/>
              </w:rPr>
              <w:t>200米范围</w:t>
            </w:r>
            <w:r>
              <w:rPr>
                <w:rFonts w:hint="eastAsia"/>
                <w:color w:val="auto"/>
                <w:sz w:val="24"/>
                <w:lang w:val="en-US" w:eastAsia="zh-CN"/>
              </w:rPr>
              <w:t>内</w:t>
            </w:r>
            <w:r>
              <w:rPr>
                <w:rFonts w:hint="eastAsia"/>
                <w:color w:val="auto"/>
                <w:sz w:val="24"/>
              </w:rPr>
              <w:t>声环境保护目标详见表3-3</w:t>
            </w:r>
            <w:r>
              <w:rPr>
                <w:rFonts w:hint="eastAsia"/>
                <w:color w:val="auto"/>
                <w:sz w:val="24"/>
                <w:lang w:eastAsia="zh-CN"/>
              </w:rPr>
              <w:t>。</w:t>
            </w:r>
            <w:r>
              <w:rPr>
                <w:rFonts w:hint="eastAsia"/>
                <w:color w:val="auto"/>
                <w:sz w:val="24"/>
                <w:lang w:val="en-US" w:eastAsia="zh-CN"/>
              </w:rPr>
              <w:t>上云约、云约、下云约、傅屋村大多数搬迁至安置区，仅少量住户留守</w:t>
            </w:r>
            <w:r>
              <w:rPr>
                <w:rFonts w:hint="eastAsia"/>
                <w:color w:val="auto"/>
                <w:sz w:val="24"/>
                <w:lang w:eastAsia="zh-CN"/>
              </w:rPr>
              <w:t>。</w:t>
            </w:r>
          </w:p>
          <w:p w14:paraId="26B169D6">
            <w:pPr>
              <w:keepNext w:val="0"/>
              <w:keepLines w:val="0"/>
              <w:pageBreakBefore w:val="0"/>
              <w:widowControl/>
              <w:kinsoku/>
              <w:wordWrap/>
              <w:overflowPunct/>
              <w:topLinePunct w:val="0"/>
              <w:autoSpaceDE/>
              <w:autoSpaceDN/>
              <w:bidi w:val="0"/>
              <w:adjustRightInd/>
              <w:snapToGrid/>
              <w:spacing w:before="157" w:beforeLines="50" w:line="360" w:lineRule="auto"/>
              <w:jc w:val="center"/>
              <w:textAlignment w:val="auto"/>
              <w:rPr>
                <w:rFonts w:ascii="Times New Roman" w:hAnsi="Times New Roman" w:eastAsia="宋体" w:cs="Times New Roman"/>
                <w:b/>
                <w:bCs/>
                <w:color w:val="auto"/>
                <w:kern w:val="0"/>
                <w:szCs w:val="21"/>
              </w:rPr>
            </w:pPr>
            <w:r>
              <w:rPr>
                <w:rFonts w:hint="eastAsia" w:ascii="Times New Roman" w:hAnsi="Times New Roman" w:eastAsia="宋体" w:cs="宋体"/>
                <w:b/>
                <w:bCs/>
                <w:color w:val="auto"/>
                <w:kern w:val="0"/>
                <w:sz w:val="24"/>
                <w:szCs w:val="24"/>
              </w:rPr>
              <w:t>表3-</w:t>
            </w:r>
            <w:r>
              <w:rPr>
                <w:rFonts w:ascii="Times New Roman" w:hAnsi="Times New Roman" w:eastAsia="宋体" w:cs="宋体"/>
                <w:b/>
                <w:bCs/>
                <w:color w:val="auto"/>
                <w:kern w:val="0"/>
                <w:sz w:val="24"/>
                <w:szCs w:val="24"/>
              </w:rPr>
              <w:t>3</w:t>
            </w:r>
            <w:r>
              <w:rPr>
                <w:rFonts w:hint="eastAsia" w:ascii="Times New Roman" w:hAnsi="Times New Roman" w:eastAsia="宋体" w:cs="Times New Roman"/>
                <w:b/>
                <w:bCs/>
                <w:color w:val="auto"/>
                <w:kern w:val="0"/>
                <w:sz w:val="24"/>
                <w:szCs w:val="24"/>
              </w:rPr>
              <w:t xml:space="preserve"> </w:t>
            </w:r>
            <w:r>
              <w:rPr>
                <w:rFonts w:ascii="Times New Roman" w:hAnsi="Times New Roman" w:eastAsia="宋体" w:cs="Times New Roman"/>
                <w:b/>
                <w:bCs/>
                <w:color w:val="auto"/>
                <w:kern w:val="0"/>
                <w:sz w:val="24"/>
                <w:szCs w:val="24"/>
              </w:rPr>
              <w:t xml:space="preserve"> </w:t>
            </w:r>
            <w:r>
              <w:rPr>
                <w:rFonts w:hint="eastAsia" w:ascii="Times New Roman" w:hAnsi="Times New Roman" w:eastAsia="宋体" w:cs="Times New Roman"/>
                <w:b/>
                <w:bCs/>
                <w:color w:val="auto"/>
                <w:kern w:val="0"/>
                <w:sz w:val="24"/>
                <w:szCs w:val="24"/>
              </w:rPr>
              <w:t>环境空气</w:t>
            </w:r>
            <w:r>
              <w:rPr>
                <w:rFonts w:hint="eastAsia" w:ascii="Times New Roman" w:hAnsi="Times New Roman" w:eastAsia="宋体" w:cs="Times New Roman"/>
                <w:b/>
                <w:bCs/>
                <w:color w:val="auto"/>
                <w:kern w:val="0"/>
                <w:sz w:val="24"/>
                <w:szCs w:val="24"/>
                <w:lang w:eastAsia="zh-CN"/>
              </w:rPr>
              <w:t>、声环境</w:t>
            </w:r>
            <w:r>
              <w:rPr>
                <w:rFonts w:hint="eastAsia" w:ascii="Times New Roman" w:hAnsi="Times New Roman" w:eastAsia="宋体" w:cs="Times New Roman"/>
                <w:b/>
                <w:bCs/>
                <w:color w:val="auto"/>
                <w:kern w:val="0"/>
                <w:sz w:val="24"/>
                <w:szCs w:val="24"/>
              </w:rPr>
              <w:t>保护目标一览表</w:t>
            </w:r>
          </w:p>
          <w:tbl>
            <w:tblPr>
              <w:tblStyle w:val="4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340"/>
              <w:gridCol w:w="1286"/>
              <w:gridCol w:w="727"/>
              <w:gridCol w:w="672"/>
              <w:gridCol w:w="825"/>
              <w:gridCol w:w="1190"/>
              <w:gridCol w:w="1193"/>
            </w:tblGrid>
            <w:tr w14:paraId="72EF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pct"/>
                  <w:vMerge w:val="restart"/>
                  <w:vAlign w:val="center"/>
                </w:tcPr>
                <w:p w14:paraId="305D2AB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名称</w:t>
                  </w:r>
                </w:p>
              </w:tc>
              <w:tc>
                <w:tcPr>
                  <w:tcW w:w="1560" w:type="pct"/>
                  <w:gridSpan w:val="2"/>
                  <w:vAlign w:val="center"/>
                </w:tcPr>
                <w:p w14:paraId="2531D83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坐标°</w:t>
                  </w:r>
                </w:p>
              </w:tc>
              <w:tc>
                <w:tcPr>
                  <w:tcW w:w="432" w:type="pct"/>
                  <w:vMerge w:val="restart"/>
                  <w:vAlign w:val="center"/>
                </w:tcPr>
                <w:p w14:paraId="3F617EF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保护</w:t>
                  </w:r>
                </w:p>
                <w:p w14:paraId="2C20591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对象</w:t>
                  </w:r>
                </w:p>
              </w:tc>
              <w:tc>
                <w:tcPr>
                  <w:tcW w:w="399" w:type="pct"/>
                  <w:vMerge w:val="restart"/>
                  <w:vAlign w:val="center"/>
                </w:tcPr>
                <w:p w14:paraId="2B7C7A7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保护</w:t>
                  </w:r>
                </w:p>
                <w:p w14:paraId="01E5D4A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内容</w:t>
                  </w:r>
                </w:p>
              </w:tc>
              <w:tc>
                <w:tcPr>
                  <w:tcW w:w="490" w:type="pct"/>
                  <w:vMerge w:val="restart"/>
                  <w:vAlign w:val="center"/>
                </w:tcPr>
                <w:p w14:paraId="522360E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相对</w:t>
                  </w:r>
                </w:p>
                <w:p w14:paraId="7D49EB1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位置</w:t>
                  </w:r>
                </w:p>
              </w:tc>
              <w:tc>
                <w:tcPr>
                  <w:tcW w:w="707" w:type="pct"/>
                  <w:vMerge w:val="restart"/>
                  <w:vAlign w:val="center"/>
                </w:tcPr>
                <w:p w14:paraId="4A1181F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相对</w:t>
                  </w:r>
                  <w:r>
                    <w:rPr>
                      <w:rFonts w:hint="eastAsia" w:cs="Times New Roman"/>
                      <w:b/>
                      <w:bCs/>
                      <w:color w:val="auto"/>
                      <w:szCs w:val="21"/>
                      <w:lang w:val="en-US" w:eastAsia="zh-CN"/>
                    </w:rPr>
                    <w:t>红线</w:t>
                  </w:r>
                </w:p>
                <w:p w14:paraId="6CFB079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距离（m）</w:t>
                  </w:r>
                </w:p>
              </w:tc>
              <w:tc>
                <w:tcPr>
                  <w:tcW w:w="708" w:type="pct"/>
                  <w:vMerge w:val="restart"/>
                  <w:vAlign w:val="center"/>
                </w:tcPr>
                <w:p w14:paraId="71C21D2F">
                  <w:pPr>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相对装卸线距离（m）</w:t>
                  </w:r>
                </w:p>
              </w:tc>
            </w:tr>
            <w:tr w14:paraId="56BB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pct"/>
                  <w:vMerge w:val="continue"/>
                  <w:vAlign w:val="center"/>
                </w:tcPr>
                <w:p w14:paraId="3F0BCD57">
                  <w:pPr>
                    <w:jc w:val="center"/>
                    <w:rPr>
                      <w:rFonts w:ascii="Times New Roman" w:hAnsi="Times New Roman" w:eastAsia="宋体" w:cs="Times New Roman"/>
                      <w:color w:val="auto"/>
                      <w:szCs w:val="21"/>
                    </w:rPr>
                  </w:pPr>
                </w:p>
              </w:tc>
              <w:tc>
                <w:tcPr>
                  <w:tcW w:w="796" w:type="pct"/>
                  <w:vAlign w:val="center"/>
                </w:tcPr>
                <w:p w14:paraId="73B1E6F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经度</w:t>
                  </w:r>
                </w:p>
              </w:tc>
              <w:tc>
                <w:tcPr>
                  <w:tcW w:w="763" w:type="pct"/>
                  <w:vAlign w:val="center"/>
                </w:tcPr>
                <w:p w14:paraId="533A76E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纬度</w:t>
                  </w:r>
                </w:p>
              </w:tc>
              <w:tc>
                <w:tcPr>
                  <w:tcW w:w="432" w:type="pct"/>
                  <w:vMerge w:val="continue"/>
                  <w:vAlign w:val="center"/>
                </w:tcPr>
                <w:p w14:paraId="6EA8C9B7">
                  <w:pPr>
                    <w:jc w:val="center"/>
                    <w:rPr>
                      <w:rFonts w:ascii="Times New Roman" w:hAnsi="Times New Roman" w:eastAsia="宋体" w:cs="Times New Roman"/>
                      <w:color w:val="auto"/>
                      <w:szCs w:val="21"/>
                    </w:rPr>
                  </w:pPr>
                </w:p>
              </w:tc>
              <w:tc>
                <w:tcPr>
                  <w:tcW w:w="399" w:type="pct"/>
                  <w:vMerge w:val="continue"/>
                  <w:vAlign w:val="center"/>
                </w:tcPr>
                <w:p w14:paraId="48A93947">
                  <w:pPr>
                    <w:jc w:val="center"/>
                    <w:rPr>
                      <w:rFonts w:ascii="Times New Roman" w:hAnsi="Times New Roman" w:eastAsia="宋体" w:cs="Times New Roman"/>
                      <w:color w:val="auto"/>
                      <w:szCs w:val="21"/>
                    </w:rPr>
                  </w:pPr>
                </w:p>
              </w:tc>
              <w:tc>
                <w:tcPr>
                  <w:tcW w:w="490" w:type="pct"/>
                  <w:vMerge w:val="continue"/>
                  <w:vAlign w:val="center"/>
                </w:tcPr>
                <w:p w14:paraId="2B7997BC">
                  <w:pPr>
                    <w:jc w:val="center"/>
                    <w:rPr>
                      <w:rFonts w:ascii="Times New Roman" w:hAnsi="Times New Roman" w:eastAsia="宋体" w:cs="Times New Roman"/>
                      <w:color w:val="auto"/>
                      <w:szCs w:val="21"/>
                    </w:rPr>
                  </w:pPr>
                </w:p>
              </w:tc>
              <w:tc>
                <w:tcPr>
                  <w:tcW w:w="707" w:type="pct"/>
                  <w:vMerge w:val="continue"/>
                  <w:vAlign w:val="center"/>
                </w:tcPr>
                <w:p w14:paraId="57848686">
                  <w:pPr>
                    <w:jc w:val="center"/>
                    <w:rPr>
                      <w:rFonts w:ascii="Times New Roman" w:hAnsi="Times New Roman" w:eastAsia="宋体" w:cs="Times New Roman"/>
                      <w:color w:val="auto"/>
                      <w:szCs w:val="21"/>
                    </w:rPr>
                  </w:pPr>
                </w:p>
              </w:tc>
              <w:tc>
                <w:tcPr>
                  <w:tcW w:w="708" w:type="pct"/>
                  <w:vMerge w:val="continue"/>
                  <w:vAlign w:val="center"/>
                </w:tcPr>
                <w:p w14:paraId="7836D7C9">
                  <w:pPr>
                    <w:jc w:val="center"/>
                    <w:rPr>
                      <w:rFonts w:ascii="Times New Roman" w:hAnsi="Times New Roman" w:eastAsia="宋体" w:cs="Times New Roman"/>
                      <w:color w:val="auto"/>
                      <w:szCs w:val="21"/>
                    </w:rPr>
                  </w:pPr>
                </w:p>
              </w:tc>
            </w:tr>
            <w:tr w14:paraId="61F9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pct"/>
                  <w:vAlign w:val="center"/>
                </w:tcPr>
                <w:p w14:paraId="0F4523E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上云约</w:t>
                  </w:r>
                </w:p>
              </w:tc>
              <w:tc>
                <w:tcPr>
                  <w:tcW w:w="796" w:type="pct"/>
                  <w:vAlign w:val="center"/>
                </w:tcPr>
                <w:p w14:paraId="2FBC5F4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108.460376</w:t>
                  </w:r>
                </w:p>
              </w:tc>
              <w:tc>
                <w:tcPr>
                  <w:tcW w:w="763" w:type="pct"/>
                  <w:vAlign w:val="center"/>
                </w:tcPr>
                <w:p w14:paraId="7BD0AE2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21.614388</w:t>
                  </w:r>
                </w:p>
              </w:tc>
              <w:tc>
                <w:tcPr>
                  <w:tcW w:w="432" w:type="pct"/>
                  <w:vAlign w:val="center"/>
                </w:tcPr>
                <w:p w14:paraId="0DCF6A7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w:t>
                  </w:r>
                </w:p>
              </w:tc>
              <w:tc>
                <w:tcPr>
                  <w:tcW w:w="399" w:type="pct"/>
                  <w:vAlign w:val="center"/>
                </w:tcPr>
                <w:p w14:paraId="4654A6E5">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w:t>
                  </w:r>
                  <w:r>
                    <w:rPr>
                      <w:rFonts w:hint="eastAsia"/>
                      <w:color w:val="auto"/>
                      <w:lang w:val="en-US" w:eastAsia="zh-CN"/>
                    </w:rPr>
                    <w:t>人</w:t>
                  </w:r>
                </w:p>
              </w:tc>
              <w:tc>
                <w:tcPr>
                  <w:tcW w:w="490" w:type="pct"/>
                  <w:vAlign w:val="center"/>
                </w:tcPr>
                <w:p w14:paraId="1944A02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东面</w:t>
                  </w:r>
                </w:p>
              </w:tc>
              <w:tc>
                <w:tcPr>
                  <w:tcW w:w="707" w:type="pct"/>
                  <w:vAlign w:val="center"/>
                </w:tcPr>
                <w:p w14:paraId="770CCDB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w:t>
                  </w:r>
                </w:p>
              </w:tc>
              <w:tc>
                <w:tcPr>
                  <w:tcW w:w="1186" w:type="dxa"/>
                  <w:vAlign w:val="center"/>
                </w:tcPr>
                <w:p w14:paraId="05CF4043">
                  <w:pPr>
                    <w:pStyle w:val="86"/>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185</w:t>
                  </w:r>
                </w:p>
              </w:tc>
            </w:tr>
            <w:tr w14:paraId="6677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pct"/>
                  <w:vAlign w:val="center"/>
                </w:tcPr>
                <w:p w14:paraId="36E09D2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云约</w:t>
                  </w:r>
                </w:p>
              </w:tc>
              <w:tc>
                <w:tcPr>
                  <w:tcW w:w="796" w:type="pct"/>
                  <w:vAlign w:val="center"/>
                </w:tcPr>
                <w:p w14:paraId="7A54F38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108.459813</w:t>
                  </w:r>
                </w:p>
              </w:tc>
              <w:tc>
                <w:tcPr>
                  <w:tcW w:w="763" w:type="pct"/>
                  <w:vAlign w:val="center"/>
                </w:tcPr>
                <w:p w14:paraId="4088C8B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21.612108</w:t>
                  </w:r>
                </w:p>
              </w:tc>
              <w:tc>
                <w:tcPr>
                  <w:tcW w:w="432" w:type="pct"/>
                  <w:vAlign w:val="center"/>
                </w:tcPr>
                <w:p w14:paraId="18C16B4C">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居民</w:t>
                  </w:r>
                </w:p>
              </w:tc>
              <w:tc>
                <w:tcPr>
                  <w:tcW w:w="399" w:type="pct"/>
                  <w:vAlign w:val="center"/>
                </w:tcPr>
                <w:p w14:paraId="6ED6A24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30人</w:t>
                  </w:r>
                </w:p>
              </w:tc>
              <w:tc>
                <w:tcPr>
                  <w:tcW w:w="490" w:type="pct"/>
                  <w:vAlign w:val="center"/>
                </w:tcPr>
                <w:p w14:paraId="07750ED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西面</w:t>
                  </w:r>
                </w:p>
              </w:tc>
              <w:tc>
                <w:tcPr>
                  <w:tcW w:w="707" w:type="pct"/>
                  <w:vAlign w:val="center"/>
                </w:tcPr>
                <w:p w14:paraId="7F80BAB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紧邻</w:t>
                  </w:r>
                </w:p>
              </w:tc>
              <w:tc>
                <w:tcPr>
                  <w:tcW w:w="1186" w:type="dxa"/>
                  <w:vAlign w:val="center"/>
                </w:tcPr>
                <w:p w14:paraId="0F13ACF3">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38</w:t>
                  </w:r>
                </w:p>
              </w:tc>
            </w:tr>
            <w:tr w14:paraId="59C5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pct"/>
                  <w:vAlign w:val="center"/>
                </w:tcPr>
                <w:p w14:paraId="3DA3F5B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下云约</w:t>
                  </w:r>
                </w:p>
              </w:tc>
              <w:tc>
                <w:tcPr>
                  <w:tcW w:w="796" w:type="pct"/>
                  <w:vAlign w:val="center"/>
                </w:tcPr>
                <w:p w14:paraId="7C046CE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108.458333</w:t>
                  </w:r>
                </w:p>
              </w:tc>
              <w:tc>
                <w:tcPr>
                  <w:tcW w:w="763" w:type="pct"/>
                  <w:vAlign w:val="center"/>
                </w:tcPr>
                <w:p w14:paraId="172C301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21.610219</w:t>
                  </w:r>
                </w:p>
              </w:tc>
              <w:tc>
                <w:tcPr>
                  <w:tcW w:w="432" w:type="pct"/>
                  <w:vAlign w:val="center"/>
                </w:tcPr>
                <w:p w14:paraId="7EFC97E1">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w:t>
                  </w:r>
                </w:p>
              </w:tc>
              <w:tc>
                <w:tcPr>
                  <w:tcW w:w="399" w:type="pct"/>
                  <w:vAlign w:val="center"/>
                </w:tcPr>
                <w:p w14:paraId="2E36383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30人</w:t>
                  </w:r>
                </w:p>
              </w:tc>
              <w:tc>
                <w:tcPr>
                  <w:tcW w:w="490" w:type="pct"/>
                  <w:vAlign w:val="center"/>
                </w:tcPr>
                <w:p w14:paraId="3743DE3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西面</w:t>
                  </w:r>
                </w:p>
              </w:tc>
              <w:tc>
                <w:tcPr>
                  <w:tcW w:w="707" w:type="pct"/>
                  <w:vAlign w:val="center"/>
                </w:tcPr>
                <w:p w14:paraId="4724861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w:t>
                  </w:r>
                </w:p>
              </w:tc>
              <w:tc>
                <w:tcPr>
                  <w:tcW w:w="1186" w:type="dxa"/>
                  <w:vAlign w:val="center"/>
                </w:tcPr>
                <w:p w14:paraId="4F0D3B2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268</w:t>
                  </w:r>
                </w:p>
              </w:tc>
            </w:tr>
            <w:tr w14:paraId="2B9A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pct"/>
                  <w:vAlign w:val="center"/>
                </w:tcPr>
                <w:p w14:paraId="5A937D3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傅屋村</w:t>
                  </w:r>
                </w:p>
              </w:tc>
              <w:tc>
                <w:tcPr>
                  <w:tcW w:w="796" w:type="pct"/>
                  <w:vAlign w:val="center"/>
                </w:tcPr>
                <w:p w14:paraId="0E6FAAF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108.458462</w:t>
                  </w:r>
                </w:p>
              </w:tc>
              <w:tc>
                <w:tcPr>
                  <w:tcW w:w="763" w:type="pct"/>
                  <w:vAlign w:val="center"/>
                </w:tcPr>
                <w:p w14:paraId="445A33E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21.606636</w:t>
                  </w:r>
                </w:p>
              </w:tc>
              <w:tc>
                <w:tcPr>
                  <w:tcW w:w="432" w:type="pct"/>
                  <w:vAlign w:val="center"/>
                </w:tcPr>
                <w:p w14:paraId="0B61AA0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w:t>
                  </w:r>
                </w:p>
              </w:tc>
              <w:tc>
                <w:tcPr>
                  <w:tcW w:w="399" w:type="pct"/>
                  <w:vAlign w:val="center"/>
                </w:tcPr>
                <w:p w14:paraId="46C2559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5人</w:t>
                  </w:r>
                </w:p>
              </w:tc>
              <w:tc>
                <w:tcPr>
                  <w:tcW w:w="490" w:type="pct"/>
                  <w:vAlign w:val="center"/>
                </w:tcPr>
                <w:p w14:paraId="6B997F2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西南</w:t>
                  </w:r>
                </w:p>
              </w:tc>
              <w:tc>
                <w:tcPr>
                  <w:tcW w:w="707" w:type="pct"/>
                  <w:vAlign w:val="center"/>
                </w:tcPr>
                <w:p w14:paraId="0538035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w:t>
                  </w:r>
                </w:p>
              </w:tc>
              <w:tc>
                <w:tcPr>
                  <w:tcW w:w="1186" w:type="dxa"/>
                  <w:vAlign w:val="center"/>
                </w:tcPr>
                <w:p w14:paraId="199B0F2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231</w:t>
                  </w:r>
                </w:p>
              </w:tc>
            </w:tr>
            <w:tr w14:paraId="686E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pct"/>
                  <w:vAlign w:val="center"/>
                </w:tcPr>
                <w:p w14:paraId="0431BCD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黄京角村</w:t>
                  </w:r>
                </w:p>
              </w:tc>
              <w:tc>
                <w:tcPr>
                  <w:tcW w:w="796" w:type="pct"/>
                  <w:vAlign w:val="center"/>
                </w:tcPr>
                <w:p w14:paraId="682E536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108.456948</w:t>
                  </w:r>
                </w:p>
              </w:tc>
              <w:tc>
                <w:tcPr>
                  <w:tcW w:w="763" w:type="pct"/>
                  <w:vAlign w:val="center"/>
                </w:tcPr>
                <w:p w14:paraId="6483875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21.606049</w:t>
                  </w:r>
                </w:p>
              </w:tc>
              <w:tc>
                <w:tcPr>
                  <w:tcW w:w="432" w:type="pct"/>
                  <w:vAlign w:val="center"/>
                </w:tcPr>
                <w:p w14:paraId="5FBA9C2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w:t>
                  </w:r>
                </w:p>
              </w:tc>
              <w:tc>
                <w:tcPr>
                  <w:tcW w:w="399" w:type="pct"/>
                  <w:vAlign w:val="center"/>
                </w:tcPr>
                <w:p w14:paraId="011C3D7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130人</w:t>
                  </w:r>
                </w:p>
              </w:tc>
              <w:tc>
                <w:tcPr>
                  <w:tcW w:w="490" w:type="pct"/>
                  <w:vAlign w:val="center"/>
                </w:tcPr>
                <w:p w14:paraId="4E3BC17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西南</w:t>
                  </w:r>
                </w:p>
              </w:tc>
              <w:tc>
                <w:tcPr>
                  <w:tcW w:w="707" w:type="pct"/>
                  <w:vAlign w:val="center"/>
                </w:tcPr>
                <w:p w14:paraId="4249DB7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198</w:t>
                  </w:r>
                </w:p>
              </w:tc>
              <w:tc>
                <w:tcPr>
                  <w:tcW w:w="1186" w:type="dxa"/>
                  <w:vAlign w:val="center"/>
                </w:tcPr>
                <w:p w14:paraId="60D0EA37">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485</w:t>
                  </w:r>
                </w:p>
              </w:tc>
            </w:tr>
            <w:tr w14:paraId="501F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pct"/>
                  <w:vAlign w:val="center"/>
                </w:tcPr>
                <w:p w14:paraId="2A463C8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陈屋村</w:t>
                  </w:r>
                </w:p>
              </w:tc>
              <w:tc>
                <w:tcPr>
                  <w:tcW w:w="796" w:type="pct"/>
                  <w:vAlign w:val="center"/>
                </w:tcPr>
                <w:p w14:paraId="4A00959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108.457217</w:t>
                  </w:r>
                </w:p>
              </w:tc>
              <w:tc>
                <w:tcPr>
                  <w:tcW w:w="763" w:type="pct"/>
                  <w:vAlign w:val="center"/>
                </w:tcPr>
                <w:p w14:paraId="486473C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21.601832</w:t>
                  </w:r>
                </w:p>
              </w:tc>
              <w:tc>
                <w:tcPr>
                  <w:tcW w:w="432" w:type="pct"/>
                  <w:vAlign w:val="center"/>
                </w:tcPr>
                <w:p w14:paraId="0E85A42A">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w:t>
                  </w:r>
                </w:p>
              </w:tc>
              <w:tc>
                <w:tcPr>
                  <w:tcW w:w="399" w:type="pct"/>
                  <w:vAlign w:val="center"/>
                </w:tcPr>
                <w:p w14:paraId="7444D1E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100人</w:t>
                  </w:r>
                </w:p>
              </w:tc>
              <w:tc>
                <w:tcPr>
                  <w:tcW w:w="490" w:type="pct"/>
                  <w:vAlign w:val="center"/>
                </w:tcPr>
                <w:p w14:paraId="5F288D6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西南</w:t>
                  </w:r>
                </w:p>
              </w:tc>
              <w:tc>
                <w:tcPr>
                  <w:tcW w:w="707" w:type="pct"/>
                  <w:vAlign w:val="center"/>
                </w:tcPr>
                <w:p w14:paraId="1DD8AEAA">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180</w:t>
                  </w:r>
                </w:p>
              </w:tc>
              <w:tc>
                <w:tcPr>
                  <w:tcW w:w="1186" w:type="dxa"/>
                  <w:vAlign w:val="center"/>
                </w:tcPr>
                <w:p w14:paraId="48879BB6">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pacing w:val="0"/>
                      <w:w w:val="100"/>
                      <w:position w:val="0"/>
                      <w:sz w:val="21"/>
                      <w:szCs w:val="21"/>
                      <w:lang w:val="en-US" w:eastAsia="zh-CN"/>
                    </w:rPr>
                    <w:t>351</w:t>
                  </w:r>
                </w:p>
              </w:tc>
            </w:tr>
            <w:tr w14:paraId="5CD6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2" w:type="pct"/>
                  <w:vAlign w:val="center"/>
                </w:tcPr>
                <w:p w14:paraId="543137F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大𬇕尾村</w:t>
                  </w:r>
                </w:p>
              </w:tc>
              <w:tc>
                <w:tcPr>
                  <w:tcW w:w="796" w:type="pct"/>
                  <w:vAlign w:val="center"/>
                </w:tcPr>
                <w:p w14:paraId="3937B1F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108.463511</w:t>
                  </w:r>
                </w:p>
              </w:tc>
              <w:tc>
                <w:tcPr>
                  <w:tcW w:w="763" w:type="pct"/>
                  <w:vAlign w:val="center"/>
                </w:tcPr>
                <w:p w14:paraId="0E3EDB7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21.603631</w:t>
                  </w:r>
                </w:p>
              </w:tc>
              <w:tc>
                <w:tcPr>
                  <w:tcW w:w="432" w:type="pct"/>
                  <w:vAlign w:val="center"/>
                </w:tcPr>
                <w:p w14:paraId="481A5854">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w:t>
                  </w:r>
                </w:p>
              </w:tc>
              <w:tc>
                <w:tcPr>
                  <w:tcW w:w="399" w:type="pct"/>
                  <w:vAlign w:val="center"/>
                </w:tcPr>
                <w:p w14:paraId="1645108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40人</w:t>
                  </w:r>
                </w:p>
              </w:tc>
              <w:tc>
                <w:tcPr>
                  <w:tcW w:w="490" w:type="pct"/>
                  <w:vAlign w:val="center"/>
                </w:tcPr>
                <w:p w14:paraId="4A8E999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东南</w:t>
                  </w:r>
                </w:p>
              </w:tc>
              <w:tc>
                <w:tcPr>
                  <w:tcW w:w="707" w:type="pct"/>
                  <w:vAlign w:val="center"/>
                </w:tcPr>
                <w:p w14:paraId="5053DE6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136</w:t>
                  </w:r>
                </w:p>
              </w:tc>
              <w:tc>
                <w:tcPr>
                  <w:tcW w:w="1186" w:type="dxa"/>
                  <w:vAlign w:val="center"/>
                </w:tcPr>
                <w:p w14:paraId="6806B52B">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pacing w:val="0"/>
                      <w:w w:val="100"/>
                      <w:position w:val="0"/>
                      <w:sz w:val="21"/>
                      <w:szCs w:val="21"/>
                      <w:lang w:val="en-US" w:eastAsia="zh-CN"/>
                    </w:rPr>
                    <w:t>200</w:t>
                  </w:r>
                </w:p>
              </w:tc>
            </w:tr>
          </w:tbl>
          <w:p w14:paraId="7F6ED4FB">
            <w:pPr>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4、水环境保护目标</w:t>
            </w:r>
          </w:p>
          <w:p w14:paraId="3C094614">
            <w:pPr>
              <w:adjustRightInd w:val="0"/>
              <w:snapToGrid w:val="0"/>
              <w:spacing w:line="360" w:lineRule="auto"/>
              <w:ind w:firstLine="480" w:firstLineChars="200"/>
              <w:rPr>
                <w:rFonts w:cs="宋体"/>
                <w:color w:val="auto"/>
                <w:kern w:val="0"/>
                <w:sz w:val="24"/>
              </w:rPr>
            </w:pPr>
            <w:r>
              <w:rPr>
                <w:rFonts w:hint="eastAsia" w:cs="宋体"/>
                <w:color w:val="auto"/>
                <w:kern w:val="0"/>
                <w:sz w:val="24"/>
              </w:rPr>
              <w:t>项目铁路</w:t>
            </w:r>
            <w:r>
              <w:rPr>
                <w:rFonts w:hint="eastAsia"/>
                <w:color w:val="auto"/>
                <w:sz w:val="24"/>
              </w:rPr>
              <w:t>干线边界</w:t>
            </w:r>
            <w:r>
              <w:rPr>
                <w:rFonts w:hint="eastAsia" w:cs="宋体"/>
                <w:color w:val="auto"/>
                <w:kern w:val="0"/>
                <w:sz w:val="24"/>
              </w:rPr>
              <w:t>500m范围内不存在地下水集中式饮用水水源和热水、矿泉水、温泉等特殊地下水资源。</w:t>
            </w:r>
            <w:r>
              <w:rPr>
                <w:rFonts w:hint="eastAsia" w:cs="宋体"/>
                <w:color w:val="auto"/>
                <w:kern w:val="0"/>
                <w:sz w:val="24"/>
                <w:lang w:eastAsia="zh-CN"/>
              </w:rPr>
              <w:t>项目最近的地表水为</w:t>
            </w:r>
            <w:r>
              <w:rPr>
                <w:rFonts w:hint="eastAsia" w:cs="宋体"/>
                <w:color w:val="auto"/>
                <w:kern w:val="0"/>
                <w:sz w:val="24"/>
                <w:lang w:val="en-US" w:eastAsia="zh-CN"/>
              </w:rPr>
              <w:t>西面约1380m处的近岸海域，</w:t>
            </w:r>
            <w:r>
              <w:rPr>
                <w:rFonts w:hint="eastAsia"/>
                <w:color w:val="auto"/>
                <w:spacing w:val="-2"/>
                <w:sz w:val="24"/>
                <w:lang w:val="en-US" w:eastAsia="zh-CN"/>
              </w:rPr>
              <w:t>防城港市东湾红树林生态区（GX082BⅡ）、防城港市东湾交通用海区（GX083CⅢ）。</w:t>
            </w:r>
            <w:r>
              <w:rPr>
                <w:rFonts w:hint="eastAsia"/>
                <w:color w:val="auto"/>
                <w:spacing w:val="-2"/>
                <w:sz w:val="24"/>
                <w:lang w:eastAsia="zh-CN"/>
              </w:rPr>
              <w:t>项目周边无地表水保护目标。</w:t>
            </w:r>
          </w:p>
        </w:tc>
      </w:tr>
      <w:tr w14:paraId="1ACFA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456" w:type="dxa"/>
            <w:vAlign w:val="center"/>
          </w:tcPr>
          <w:p w14:paraId="366C77D6">
            <w:pPr>
              <w:adjustRightInd w:val="0"/>
              <w:snapToGrid w:val="0"/>
              <w:jc w:val="center"/>
              <w:rPr>
                <w:rFonts w:cs="宋体"/>
                <w:color w:val="auto"/>
                <w:kern w:val="0"/>
                <w:sz w:val="24"/>
              </w:rPr>
            </w:pPr>
            <w:r>
              <w:rPr>
                <w:rFonts w:hint="eastAsia" w:cs="宋体"/>
                <w:color w:val="auto"/>
                <w:kern w:val="0"/>
                <w:sz w:val="24"/>
              </w:rPr>
              <w:t>评价</w:t>
            </w:r>
          </w:p>
          <w:p w14:paraId="49502386">
            <w:pPr>
              <w:adjustRightInd w:val="0"/>
              <w:snapToGrid w:val="0"/>
              <w:jc w:val="center"/>
              <w:rPr>
                <w:rFonts w:cs="宋体"/>
                <w:color w:val="auto"/>
                <w:kern w:val="0"/>
                <w:sz w:val="24"/>
              </w:rPr>
            </w:pPr>
            <w:r>
              <w:rPr>
                <w:rFonts w:hint="eastAsia" w:cs="宋体"/>
                <w:color w:val="auto"/>
                <w:kern w:val="0"/>
                <w:sz w:val="24"/>
              </w:rPr>
              <w:t>标准</w:t>
            </w:r>
          </w:p>
        </w:tc>
        <w:tc>
          <w:tcPr>
            <w:tcW w:w="8606" w:type="dxa"/>
            <w:vAlign w:val="center"/>
          </w:tcPr>
          <w:p w14:paraId="5CD705D3">
            <w:pPr>
              <w:adjustRightInd w:val="0"/>
              <w:snapToGrid w:val="0"/>
              <w:spacing w:line="360" w:lineRule="auto"/>
              <w:ind w:firstLine="482" w:firstLineChars="200"/>
              <w:rPr>
                <w:rFonts w:cs="宋体"/>
                <w:b/>
                <w:bCs/>
                <w:color w:val="auto"/>
                <w:kern w:val="0"/>
                <w:sz w:val="24"/>
              </w:rPr>
            </w:pPr>
            <w:r>
              <w:rPr>
                <w:rFonts w:hint="eastAsia" w:cs="宋体"/>
                <w:b/>
                <w:bCs/>
                <w:color w:val="auto"/>
                <w:kern w:val="0"/>
                <w:sz w:val="24"/>
              </w:rPr>
              <w:t>1、环境质量标准</w:t>
            </w:r>
          </w:p>
          <w:p w14:paraId="738558A8">
            <w:pPr>
              <w:adjustRightInd w:val="0"/>
              <w:snapToGrid w:val="0"/>
              <w:spacing w:line="360" w:lineRule="auto"/>
              <w:ind w:firstLine="480" w:firstLineChars="200"/>
              <w:rPr>
                <w:rFonts w:cs="宋体"/>
                <w:color w:val="auto"/>
                <w:kern w:val="0"/>
                <w:sz w:val="24"/>
              </w:rPr>
            </w:pPr>
            <w:r>
              <w:rPr>
                <w:rFonts w:hint="eastAsia" w:cs="宋体"/>
                <w:color w:val="auto"/>
                <w:kern w:val="0"/>
                <w:sz w:val="24"/>
              </w:rPr>
              <w:t>（1）环境空气质量标准</w:t>
            </w:r>
          </w:p>
          <w:p w14:paraId="4898561D">
            <w:pPr>
              <w:adjustRightInd w:val="0"/>
              <w:snapToGrid w:val="0"/>
              <w:spacing w:line="360" w:lineRule="auto"/>
              <w:ind w:firstLine="480" w:firstLineChars="200"/>
              <w:rPr>
                <w:rFonts w:cs="宋体"/>
                <w:color w:val="auto"/>
                <w:kern w:val="0"/>
                <w:sz w:val="24"/>
              </w:rPr>
            </w:pPr>
            <w:r>
              <w:rPr>
                <w:rFonts w:hint="eastAsia" w:cs="宋体"/>
                <w:color w:val="auto"/>
                <w:kern w:val="0"/>
                <w:sz w:val="24"/>
              </w:rPr>
              <w:t>项目区域环境空气质量</w:t>
            </w:r>
            <w:r>
              <w:rPr>
                <w:rFonts w:hint="eastAsia" w:cs="宋体"/>
                <w:color w:val="auto"/>
                <w:kern w:val="0"/>
                <w:sz w:val="24"/>
                <w:lang w:val="en-US" w:eastAsia="zh-CN"/>
              </w:rPr>
              <w:t>2030年12月31日前</w:t>
            </w:r>
            <w:r>
              <w:rPr>
                <w:rFonts w:hint="eastAsia" w:cs="宋体"/>
                <w:color w:val="auto"/>
                <w:kern w:val="0"/>
                <w:sz w:val="24"/>
              </w:rPr>
              <w:t>执行《环境空气质量标准》（GB3095-20</w:t>
            </w:r>
            <w:r>
              <w:rPr>
                <w:rFonts w:hint="eastAsia" w:cs="宋体"/>
                <w:color w:val="auto"/>
                <w:kern w:val="0"/>
                <w:sz w:val="24"/>
                <w:lang w:val="en-US" w:eastAsia="zh-CN"/>
              </w:rPr>
              <w:t>26</w:t>
            </w:r>
            <w:r>
              <w:rPr>
                <w:rFonts w:hint="eastAsia" w:cs="宋体"/>
                <w:color w:val="auto"/>
                <w:kern w:val="0"/>
                <w:sz w:val="24"/>
              </w:rPr>
              <w:t>）中的二级标准</w:t>
            </w:r>
            <w:r>
              <w:rPr>
                <w:rFonts w:hint="eastAsia"/>
                <w:color w:val="auto"/>
                <w:sz w:val="24"/>
                <w:szCs w:val="32"/>
                <w:lang w:val="en-US" w:eastAsia="zh-CN"/>
              </w:rPr>
              <w:t>过渡阶段</w:t>
            </w:r>
            <w:r>
              <w:rPr>
                <w:color w:val="auto"/>
                <w:sz w:val="24"/>
                <w:szCs w:val="32"/>
              </w:rPr>
              <w:t>浓度限值</w:t>
            </w:r>
            <w:r>
              <w:rPr>
                <w:rFonts w:hint="eastAsia"/>
                <w:color w:val="auto"/>
                <w:sz w:val="24"/>
                <w:szCs w:val="32"/>
                <w:lang w:eastAsia="zh-CN"/>
              </w:rPr>
              <w:t>，</w:t>
            </w:r>
            <w:r>
              <w:rPr>
                <w:rFonts w:hint="eastAsia"/>
                <w:color w:val="auto"/>
                <w:sz w:val="24"/>
                <w:szCs w:val="32"/>
                <w:lang w:val="en-US" w:eastAsia="zh-CN"/>
              </w:rPr>
              <w:t>之后执行《环境空气质量标准》（GB3095-2026）中二级标准浓度限值</w:t>
            </w:r>
            <w:r>
              <w:rPr>
                <w:rFonts w:hint="eastAsia" w:cs="宋体"/>
                <w:color w:val="auto"/>
                <w:kern w:val="0"/>
                <w:sz w:val="24"/>
              </w:rPr>
              <w:t>。</w:t>
            </w:r>
          </w:p>
          <w:p w14:paraId="5AEB116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b/>
                <w:color w:val="auto"/>
                <w:szCs w:val="21"/>
              </w:rPr>
            </w:pPr>
            <w:r>
              <w:rPr>
                <w:b/>
                <w:color w:val="auto"/>
                <w:sz w:val="24"/>
                <w:szCs w:val="24"/>
              </w:rPr>
              <w:t>表3-</w:t>
            </w:r>
            <w:r>
              <w:rPr>
                <w:rFonts w:hint="eastAsia"/>
                <w:b/>
                <w:color w:val="auto"/>
                <w:sz w:val="24"/>
                <w:szCs w:val="24"/>
                <w:lang w:val="en-US" w:eastAsia="zh-CN"/>
              </w:rPr>
              <w:t>4</w:t>
            </w:r>
            <w:r>
              <w:rPr>
                <w:b/>
                <w:color w:val="auto"/>
                <w:sz w:val="24"/>
                <w:szCs w:val="24"/>
              </w:rPr>
              <w:t xml:space="preserve">  </w:t>
            </w:r>
            <w:r>
              <w:rPr>
                <w:rFonts w:hint="eastAsia"/>
                <w:b/>
                <w:color w:val="auto"/>
                <w:sz w:val="24"/>
                <w:szCs w:val="24"/>
              </w:rPr>
              <w:t>《环境空气质量标准》（GB3095-20</w:t>
            </w:r>
            <w:r>
              <w:rPr>
                <w:rFonts w:hint="eastAsia"/>
                <w:b/>
                <w:color w:val="auto"/>
                <w:sz w:val="24"/>
                <w:szCs w:val="24"/>
                <w:lang w:val="en-US" w:eastAsia="zh-CN"/>
              </w:rPr>
              <w:t>26</w:t>
            </w:r>
            <w:r>
              <w:rPr>
                <w:rFonts w:hint="eastAsia"/>
                <w:b/>
                <w:color w:val="auto"/>
                <w:sz w:val="24"/>
                <w:szCs w:val="24"/>
              </w:rPr>
              <w:t>）中二级标准一览表</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2085"/>
              <w:gridCol w:w="1881"/>
              <w:gridCol w:w="1487"/>
              <w:gridCol w:w="1487"/>
            </w:tblGrid>
            <w:tr w14:paraId="5F83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noWrap w:val="0"/>
                  <w:vAlign w:val="center"/>
                </w:tcPr>
                <w:p w14:paraId="449AFC6A">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
                      <w:smallCaps w:val="0"/>
                      <w:color w:val="auto"/>
                      <w:kern w:val="2"/>
                      <w:sz w:val="21"/>
                      <w:szCs w:val="21"/>
                    </w:rPr>
                  </w:pPr>
                  <w:r>
                    <w:rPr>
                      <w:rFonts w:ascii="Times New Roman" w:hAnsi="Times New Roman" w:eastAsia="宋体"/>
                      <w:b/>
                      <w:smallCaps w:val="0"/>
                      <w:color w:val="auto"/>
                      <w:kern w:val="2"/>
                      <w:sz w:val="21"/>
                      <w:szCs w:val="21"/>
                    </w:rPr>
                    <w:t>污染物</w:t>
                  </w:r>
                </w:p>
              </w:tc>
              <w:tc>
                <w:tcPr>
                  <w:tcW w:w="1238" w:type="pct"/>
                  <w:noWrap w:val="0"/>
                  <w:vAlign w:val="center"/>
                </w:tcPr>
                <w:p w14:paraId="7BCF8BA3">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
                      <w:smallCaps w:val="0"/>
                      <w:color w:val="auto"/>
                      <w:kern w:val="2"/>
                      <w:sz w:val="21"/>
                      <w:szCs w:val="21"/>
                    </w:rPr>
                  </w:pPr>
                  <w:r>
                    <w:rPr>
                      <w:rFonts w:ascii="Times New Roman" w:hAnsi="Times New Roman" w:eastAsia="宋体"/>
                      <w:b/>
                      <w:smallCaps w:val="0"/>
                      <w:color w:val="auto"/>
                      <w:kern w:val="2"/>
                      <w:sz w:val="21"/>
                      <w:szCs w:val="21"/>
                    </w:rPr>
                    <w:t>平均时间</w:t>
                  </w:r>
                </w:p>
              </w:tc>
              <w:tc>
                <w:tcPr>
                  <w:tcW w:w="1117" w:type="pct"/>
                  <w:noWrap w:val="0"/>
                  <w:vAlign w:val="center"/>
                </w:tcPr>
                <w:p w14:paraId="1AFFF5A6">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
                      <w:smallCaps w:val="0"/>
                      <w:color w:val="auto"/>
                      <w:kern w:val="2"/>
                      <w:sz w:val="21"/>
                      <w:szCs w:val="21"/>
                    </w:rPr>
                  </w:pPr>
                  <w:r>
                    <w:rPr>
                      <w:rFonts w:hint="eastAsia" w:ascii="Times New Roman" w:hAnsi="Times New Roman" w:eastAsia="宋体"/>
                      <w:b/>
                      <w:smallCaps w:val="0"/>
                      <w:color w:val="auto"/>
                      <w:kern w:val="2"/>
                      <w:sz w:val="21"/>
                      <w:szCs w:val="21"/>
                      <w:lang w:val="en-US" w:eastAsia="zh-CN"/>
                    </w:rPr>
                    <w:t>过渡阶段二级</w:t>
                  </w:r>
                  <w:r>
                    <w:rPr>
                      <w:rFonts w:ascii="Times New Roman" w:hAnsi="Times New Roman" w:eastAsia="宋体"/>
                      <w:b/>
                      <w:smallCaps w:val="0"/>
                      <w:color w:val="auto"/>
                      <w:kern w:val="2"/>
                      <w:sz w:val="21"/>
                      <w:szCs w:val="21"/>
                    </w:rPr>
                    <w:t>浓度限值</w:t>
                  </w:r>
                </w:p>
              </w:tc>
              <w:tc>
                <w:tcPr>
                  <w:tcW w:w="883" w:type="pct"/>
                  <w:noWrap w:val="0"/>
                  <w:vAlign w:val="center"/>
                </w:tcPr>
                <w:p w14:paraId="015A29E8">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
                      <w:smallCaps w:val="0"/>
                      <w:color w:val="auto"/>
                      <w:kern w:val="2"/>
                      <w:sz w:val="21"/>
                      <w:szCs w:val="21"/>
                      <w:lang w:val="en-US" w:eastAsia="zh-CN"/>
                    </w:rPr>
                  </w:pPr>
                  <w:r>
                    <w:rPr>
                      <w:rFonts w:hint="eastAsia"/>
                      <w:b/>
                      <w:bCs/>
                      <w:color w:val="auto"/>
                    </w:rPr>
                    <w:t>二级</w:t>
                  </w:r>
                  <w:r>
                    <w:rPr>
                      <w:rFonts w:hint="eastAsia" w:ascii="Times New Roman" w:hAnsi="Times New Roman" w:eastAsia="宋体"/>
                      <w:b/>
                      <w:smallCaps w:val="0"/>
                      <w:color w:val="auto"/>
                      <w:kern w:val="2"/>
                      <w:sz w:val="21"/>
                      <w:szCs w:val="21"/>
                      <w:lang w:val="en-US" w:eastAsia="zh-CN"/>
                    </w:rPr>
                    <w:t>浓度限值</w:t>
                  </w:r>
                </w:p>
              </w:tc>
              <w:tc>
                <w:tcPr>
                  <w:tcW w:w="883" w:type="pct"/>
                  <w:noWrap w:val="0"/>
                  <w:vAlign w:val="center"/>
                </w:tcPr>
                <w:p w14:paraId="70CC4526">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
                      <w:smallCaps w:val="0"/>
                      <w:color w:val="auto"/>
                      <w:kern w:val="2"/>
                      <w:sz w:val="21"/>
                      <w:szCs w:val="21"/>
                    </w:rPr>
                  </w:pPr>
                  <w:r>
                    <w:rPr>
                      <w:rFonts w:ascii="Times New Roman" w:hAnsi="Times New Roman" w:eastAsia="宋体"/>
                      <w:b/>
                      <w:smallCaps w:val="0"/>
                      <w:color w:val="auto"/>
                      <w:kern w:val="2"/>
                      <w:sz w:val="21"/>
                      <w:szCs w:val="21"/>
                    </w:rPr>
                    <w:t>单位</w:t>
                  </w:r>
                </w:p>
              </w:tc>
            </w:tr>
            <w:tr w14:paraId="2CE1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restart"/>
                  <w:noWrap w:val="0"/>
                  <w:vAlign w:val="center"/>
                </w:tcPr>
                <w:p w14:paraId="229C89DB">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SO</w:t>
                  </w:r>
                  <w:r>
                    <w:rPr>
                      <w:rFonts w:ascii="Times New Roman" w:hAnsi="Times New Roman" w:eastAsia="宋体"/>
                      <w:bCs/>
                      <w:smallCaps w:val="0"/>
                      <w:color w:val="auto"/>
                      <w:kern w:val="2"/>
                      <w:sz w:val="21"/>
                      <w:szCs w:val="21"/>
                      <w:vertAlign w:val="subscript"/>
                    </w:rPr>
                    <w:t>2</w:t>
                  </w:r>
                </w:p>
              </w:tc>
              <w:tc>
                <w:tcPr>
                  <w:tcW w:w="1238" w:type="pct"/>
                  <w:noWrap w:val="0"/>
                  <w:vAlign w:val="center"/>
                </w:tcPr>
                <w:p w14:paraId="4341FD59">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年平均</w:t>
                  </w:r>
                </w:p>
              </w:tc>
              <w:tc>
                <w:tcPr>
                  <w:tcW w:w="1117" w:type="pct"/>
                  <w:noWrap w:val="0"/>
                  <w:vAlign w:val="center"/>
                </w:tcPr>
                <w:p w14:paraId="79B5CC9B">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60</w:t>
                  </w:r>
                </w:p>
              </w:tc>
              <w:tc>
                <w:tcPr>
                  <w:tcW w:w="883" w:type="pct"/>
                  <w:noWrap w:val="0"/>
                  <w:vAlign w:val="center"/>
                </w:tcPr>
                <w:p w14:paraId="6DF92F14">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20</w:t>
                  </w:r>
                </w:p>
              </w:tc>
              <w:tc>
                <w:tcPr>
                  <w:tcW w:w="883" w:type="pct"/>
                  <w:vMerge w:val="restart"/>
                  <w:noWrap w:val="0"/>
                  <w:vAlign w:val="center"/>
                </w:tcPr>
                <w:p w14:paraId="048C4104">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μg/m</w:t>
                  </w:r>
                  <w:r>
                    <w:rPr>
                      <w:rFonts w:ascii="Times New Roman" w:hAnsi="Times New Roman" w:eastAsia="宋体"/>
                      <w:bCs/>
                      <w:smallCaps w:val="0"/>
                      <w:color w:val="auto"/>
                      <w:kern w:val="2"/>
                      <w:sz w:val="21"/>
                      <w:szCs w:val="21"/>
                      <w:vertAlign w:val="superscript"/>
                    </w:rPr>
                    <w:t>3</w:t>
                  </w:r>
                </w:p>
              </w:tc>
            </w:tr>
            <w:tr w14:paraId="5DB1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continue"/>
                  <w:noWrap w:val="0"/>
                  <w:vAlign w:val="center"/>
                </w:tcPr>
                <w:p w14:paraId="1268C9FE">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c>
                <w:tcPr>
                  <w:tcW w:w="1238" w:type="pct"/>
                  <w:noWrap w:val="0"/>
                  <w:vAlign w:val="center"/>
                </w:tcPr>
                <w:p w14:paraId="2876048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24小时平均</w:t>
                  </w:r>
                </w:p>
              </w:tc>
              <w:tc>
                <w:tcPr>
                  <w:tcW w:w="1117" w:type="pct"/>
                  <w:noWrap w:val="0"/>
                  <w:vAlign w:val="center"/>
                </w:tcPr>
                <w:p w14:paraId="175E0392">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150</w:t>
                  </w:r>
                </w:p>
              </w:tc>
              <w:tc>
                <w:tcPr>
                  <w:tcW w:w="883" w:type="pct"/>
                  <w:noWrap w:val="0"/>
                  <w:vAlign w:val="center"/>
                </w:tcPr>
                <w:p w14:paraId="012F1F85">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50</w:t>
                  </w:r>
                </w:p>
              </w:tc>
              <w:tc>
                <w:tcPr>
                  <w:tcW w:w="883" w:type="pct"/>
                  <w:vMerge w:val="continue"/>
                  <w:noWrap w:val="0"/>
                  <w:vAlign w:val="center"/>
                </w:tcPr>
                <w:p w14:paraId="71FDB4F6">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345B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continue"/>
                  <w:noWrap w:val="0"/>
                  <w:vAlign w:val="center"/>
                </w:tcPr>
                <w:p w14:paraId="24FE5B73">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c>
                <w:tcPr>
                  <w:tcW w:w="1238" w:type="pct"/>
                  <w:noWrap w:val="0"/>
                  <w:vAlign w:val="center"/>
                </w:tcPr>
                <w:p w14:paraId="155C8228">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1小时平均</w:t>
                  </w:r>
                </w:p>
              </w:tc>
              <w:tc>
                <w:tcPr>
                  <w:tcW w:w="1117" w:type="pct"/>
                  <w:noWrap w:val="0"/>
                  <w:vAlign w:val="center"/>
                </w:tcPr>
                <w:p w14:paraId="6CF1A64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500</w:t>
                  </w:r>
                </w:p>
              </w:tc>
              <w:tc>
                <w:tcPr>
                  <w:tcW w:w="883" w:type="pct"/>
                  <w:noWrap w:val="0"/>
                  <w:vAlign w:val="center"/>
                </w:tcPr>
                <w:p w14:paraId="5B03896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150</w:t>
                  </w:r>
                </w:p>
              </w:tc>
              <w:tc>
                <w:tcPr>
                  <w:tcW w:w="883" w:type="pct"/>
                  <w:vMerge w:val="continue"/>
                  <w:noWrap w:val="0"/>
                  <w:vAlign w:val="center"/>
                </w:tcPr>
                <w:p w14:paraId="3671C565">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1B0E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restart"/>
                  <w:noWrap w:val="0"/>
                  <w:vAlign w:val="center"/>
                </w:tcPr>
                <w:p w14:paraId="34A0C83F">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NO</w:t>
                  </w:r>
                  <w:r>
                    <w:rPr>
                      <w:rFonts w:ascii="Times New Roman" w:hAnsi="Times New Roman" w:eastAsia="宋体"/>
                      <w:bCs/>
                      <w:smallCaps w:val="0"/>
                      <w:color w:val="auto"/>
                      <w:kern w:val="2"/>
                      <w:sz w:val="21"/>
                      <w:szCs w:val="21"/>
                      <w:vertAlign w:val="subscript"/>
                    </w:rPr>
                    <w:t>2</w:t>
                  </w:r>
                </w:p>
              </w:tc>
              <w:tc>
                <w:tcPr>
                  <w:tcW w:w="1238" w:type="pct"/>
                  <w:noWrap w:val="0"/>
                  <w:vAlign w:val="center"/>
                </w:tcPr>
                <w:p w14:paraId="4717B77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年平均</w:t>
                  </w:r>
                </w:p>
              </w:tc>
              <w:tc>
                <w:tcPr>
                  <w:tcW w:w="1117" w:type="pct"/>
                  <w:noWrap w:val="0"/>
                  <w:vAlign w:val="center"/>
                </w:tcPr>
                <w:p w14:paraId="1AF9CD13">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40</w:t>
                  </w:r>
                </w:p>
              </w:tc>
              <w:tc>
                <w:tcPr>
                  <w:tcW w:w="883" w:type="pct"/>
                  <w:noWrap w:val="0"/>
                  <w:vAlign w:val="center"/>
                </w:tcPr>
                <w:p w14:paraId="3125525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30</w:t>
                  </w:r>
                </w:p>
              </w:tc>
              <w:tc>
                <w:tcPr>
                  <w:tcW w:w="883" w:type="pct"/>
                  <w:vMerge w:val="continue"/>
                  <w:noWrap w:val="0"/>
                  <w:vAlign w:val="center"/>
                </w:tcPr>
                <w:p w14:paraId="7955D5A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5B23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continue"/>
                  <w:noWrap w:val="0"/>
                  <w:vAlign w:val="center"/>
                </w:tcPr>
                <w:p w14:paraId="64D5F48E">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c>
                <w:tcPr>
                  <w:tcW w:w="1238" w:type="pct"/>
                  <w:noWrap w:val="0"/>
                  <w:vAlign w:val="center"/>
                </w:tcPr>
                <w:p w14:paraId="5D713215">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24小时平均</w:t>
                  </w:r>
                </w:p>
              </w:tc>
              <w:tc>
                <w:tcPr>
                  <w:tcW w:w="1117" w:type="pct"/>
                  <w:noWrap w:val="0"/>
                  <w:vAlign w:val="center"/>
                </w:tcPr>
                <w:p w14:paraId="3A8F93DE">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80</w:t>
                  </w:r>
                </w:p>
              </w:tc>
              <w:tc>
                <w:tcPr>
                  <w:tcW w:w="883" w:type="pct"/>
                  <w:noWrap w:val="0"/>
                  <w:vAlign w:val="center"/>
                </w:tcPr>
                <w:p w14:paraId="1DC95514">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50</w:t>
                  </w:r>
                </w:p>
              </w:tc>
              <w:tc>
                <w:tcPr>
                  <w:tcW w:w="883" w:type="pct"/>
                  <w:vMerge w:val="continue"/>
                  <w:noWrap w:val="0"/>
                  <w:vAlign w:val="center"/>
                </w:tcPr>
                <w:p w14:paraId="77007A9A">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5A40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continue"/>
                  <w:noWrap w:val="0"/>
                  <w:vAlign w:val="center"/>
                </w:tcPr>
                <w:p w14:paraId="130E8959">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c>
                <w:tcPr>
                  <w:tcW w:w="1238" w:type="pct"/>
                  <w:noWrap w:val="0"/>
                  <w:vAlign w:val="center"/>
                </w:tcPr>
                <w:p w14:paraId="1C9CF6F3">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1小时平均</w:t>
                  </w:r>
                </w:p>
              </w:tc>
              <w:tc>
                <w:tcPr>
                  <w:tcW w:w="1117" w:type="pct"/>
                  <w:noWrap w:val="0"/>
                  <w:vAlign w:val="center"/>
                </w:tcPr>
                <w:p w14:paraId="1026388E">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200</w:t>
                  </w:r>
                </w:p>
              </w:tc>
              <w:tc>
                <w:tcPr>
                  <w:tcW w:w="883" w:type="pct"/>
                  <w:noWrap w:val="0"/>
                  <w:vAlign w:val="center"/>
                </w:tcPr>
                <w:p w14:paraId="5B6C8BD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200</w:t>
                  </w:r>
                </w:p>
              </w:tc>
              <w:tc>
                <w:tcPr>
                  <w:tcW w:w="883" w:type="pct"/>
                  <w:vMerge w:val="continue"/>
                  <w:noWrap w:val="0"/>
                  <w:vAlign w:val="center"/>
                </w:tcPr>
                <w:p w14:paraId="752CC62A">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6893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restart"/>
                  <w:noWrap w:val="0"/>
                  <w:vAlign w:val="center"/>
                </w:tcPr>
                <w:p w14:paraId="5FCFC3BB">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CO</w:t>
                  </w:r>
                </w:p>
              </w:tc>
              <w:tc>
                <w:tcPr>
                  <w:tcW w:w="1238" w:type="pct"/>
                  <w:noWrap w:val="0"/>
                  <w:vAlign w:val="center"/>
                </w:tcPr>
                <w:p w14:paraId="6C2D854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24小时平均</w:t>
                  </w:r>
                </w:p>
              </w:tc>
              <w:tc>
                <w:tcPr>
                  <w:tcW w:w="1117" w:type="pct"/>
                  <w:noWrap w:val="0"/>
                  <w:vAlign w:val="center"/>
                </w:tcPr>
                <w:p w14:paraId="546B25D4">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4</w:t>
                  </w:r>
                </w:p>
              </w:tc>
              <w:tc>
                <w:tcPr>
                  <w:tcW w:w="883" w:type="pct"/>
                  <w:noWrap w:val="0"/>
                  <w:vAlign w:val="center"/>
                </w:tcPr>
                <w:p w14:paraId="61DDD08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4</w:t>
                  </w:r>
                </w:p>
              </w:tc>
              <w:tc>
                <w:tcPr>
                  <w:tcW w:w="883" w:type="pct"/>
                  <w:vMerge w:val="restart"/>
                  <w:noWrap w:val="0"/>
                  <w:vAlign w:val="center"/>
                </w:tcPr>
                <w:p w14:paraId="4CD12A82">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mg/m</w:t>
                  </w:r>
                  <w:r>
                    <w:rPr>
                      <w:rFonts w:ascii="Times New Roman" w:hAnsi="Times New Roman" w:eastAsia="宋体"/>
                      <w:bCs/>
                      <w:smallCaps w:val="0"/>
                      <w:color w:val="auto"/>
                      <w:kern w:val="2"/>
                      <w:sz w:val="21"/>
                      <w:szCs w:val="21"/>
                      <w:vertAlign w:val="superscript"/>
                    </w:rPr>
                    <w:t>3</w:t>
                  </w:r>
                </w:p>
              </w:tc>
            </w:tr>
            <w:tr w14:paraId="7745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continue"/>
                  <w:noWrap w:val="0"/>
                  <w:vAlign w:val="center"/>
                </w:tcPr>
                <w:p w14:paraId="35F44898">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c>
                <w:tcPr>
                  <w:tcW w:w="1238" w:type="pct"/>
                  <w:noWrap w:val="0"/>
                  <w:vAlign w:val="center"/>
                </w:tcPr>
                <w:p w14:paraId="565ABA4B">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1小时平均</w:t>
                  </w:r>
                </w:p>
              </w:tc>
              <w:tc>
                <w:tcPr>
                  <w:tcW w:w="1117" w:type="pct"/>
                  <w:noWrap w:val="0"/>
                  <w:vAlign w:val="center"/>
                </w:tcPr>
                <w:p w14:paraId="6BE48E3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10</w:t>
                  </w:r>
                </w:p>
              </w:tc>
              <w:tc>
                <w:tcPr>
                  <w:tcW w:w="883" w:type="pct"/>
                  <w:noWrap w:val="0"/>
                  <w:vAlign w:val="center"/>
                </w:tcPr>
                <w:p w14:paraId="7417C95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10</w:t>
                  </w:r>
                </w:p>
              </w:tc>
              <w:tc>
                <w:tcPr>
                  <w:tcW w:w="883" w:type="pct"/>
                  <w:vMerge w:val="continue"/>
                  <w:noWrap w:val="0"/>
                  <w:vAlign w:val="center"/>
                </w:tcPr>
                <w:p w14:paraId="0563023E">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6A6A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restart"/>
                  <w:noWrap w:val="0"/>
                  <w:vAlign w:val="center"/>
                </w:tcPr>
                <w:p w14:paraId="2C20B14F">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O</w:t>
                  </w:r>
                  <w:r>
                    <w:rPr>
                      <w:rFonts w:ascii="Times New Roman" w:hAnsi="Times New Roman" w:eastAsia="宋体"/>
                      <w:bCs/>
                      <w:smallCaps w:val="0"/>
                      <w:color w:val="auto"/>
                      <w:kern w:val="2"/>
                      <w:sz w:val="21"/>
                      <w:szCs w:val="21"/>
                      <w:vertAlign w:val="subscript"/>
                    </w:rPr>
                    <w:t>3</w:t>
                  </w:r>
                </w:p>
              </w:tc>
              <w:tc>
                <w:tcPr>
                  <w:tcW w:w="1238" w:type="pct"/>
                  <w:noWrap w:val="0"/>
                  <w:vAlign w:val="center"/>
                </w:tcPr>
                <w:p w14:paraId="67B6E77C">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日最大8小时平均</w:t>
                  </w:r>
                </w:p>
              </w:tc>
              <w:tc>
                <w:tcPr>
                  <w:tcW w:w="1117" w:type="pct"/>
                  <w:noWrap w:val="0"/>
                  <w:vAlign w:val="center"/>
                </w:tcPr>
                <w:p w14:paraId="2D72B0BC">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160</w:t>
                  </w:r>
                </w:p>
              </w:tc>
              <w:tc>
                <w:tcPr>
                  <w:tcW w:w="883" w:type="pct"/>
                  <w:noWrap w:val="0"/>
                  <w:vAlign w:val="center"/>
                </w:tcPr>
                <w:p w14:paraId="5E720EC7">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160</w:t>
                  </w:r>
                </w:p>
              </w:tc>
              <w:tc>
                <w:tcPr>
                  <w:tcW w:w="883" w:type="pct"/>
                  <w:vMerge w:val="restart"/>
                  <w:noWrap w:val="0"/>
                  <w:vAlign w:val="center"/>
                </w:tcPr>
                <w:p w14:paraId="1967034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μg/m</w:t>
                  </w:r>
                  <w:r>
                    <w:rPr>
                      <w:rFonts w:ascii="Times New Roman" w:hAnsi="Times New Roman" w:eastAsia="宋体"/>
                      <w:bCs/>
                      <w:smallCaps w:val="0"/>
                      <w:color w:val="auto"/>
                      <w:kern w:val="2"/>
                      <w:sz w:val="21"/>
                      <w:szCs w:val="21"/>
                      <w:vertAlign w:val="superscript"/>
                    </w:rPr>
                    <w:t>3</w:t>
                  </w:r>
                </w:p>
              </w:tc>
            </w:tr>
            <w:tr w14:paraId="4544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continue"/>
                  <w:noWrap w:val="0"/>
                  <w:vAlign w:val="center"/>
                </w:tcPr>
                <w:p w14:paraId="5E474222">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c>
                <w:tcPr>
                  <w:tcW w:w="1238" w:type="pct"/>
                  <w:noWrap w:val="0"/>
                  <w:vAlign w:val="center"/>
                </w:tcPr>
                <w:p w14:paraId="68F918FC">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1小时平均</w:t>
                  </w:r>
                </w:p>
              </w:tc>
              <w:tc>
                <w:tcPr>
                  <w:tcW w:w="1117" w:type="pct"/>
                  <w:noWrap w:val="0"/>
                  <w:vAlign w:val="center"/>
                </w:tcPr>
                <w:p w14:paraId="2E900DF4">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200</w:t>
                  </w:r>
                </w:p>
              </w:tc>
              <w:tc>
                <w:tcPr>
                  <w:tcW w:w="883" w:type="pct"/>
                  <w:noWrap w:val="0"/>
                  <w:vAlign w:val="center"/>
                </w:tcPr>
                <w:p w14:paraId="3235D937">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200</w:t>
                  </w:r>
                </w:p>
              </w:tc>
              <w:tc>
                <w:tcPr>
                  <w:tcW w:w="883" w:type="pct"/>
                  <w:vMerge w:val="continue"/>
                  <w:noWrap w:val="0"/>
                  <w:vAlign w:val="center"/>
                </w:tcPr>
                <w:p w14:paraId="7F1F04A4">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6AA50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restart"/>
                  <w:noWrap w:val="0"/>
                  <w:vAlign w:val="center"/>
                </w:tcPr>
                <w:p w14:paraId="5F6BAA5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PM</w:t>
                  </w:r>
                  <w:r>
                    <w:rPr>
                      <w:rFonts w:ascii="Times New Roman" w:hAnsi="Times New Roman" w:eastAsia="宋体"/>
                      <w:bCs/>
                      <w:smallCaps w:val="0"/>
                      <w:color w:val="auto"/>
                      <w:kern w:val="2"/>
                      <w:sz w:val="21"/>
                      <w:szCs w:val="21"/>
                      <w:vertAlign w:val="subscript"/>
                    </w:rPr>
                    <w:t>10</w:t>
                  </w:r>
                </w:p>
              </w:tc>
              <w:tc>
                <w:tcPr>
                  <w:tcW w:w="1238" w:type="pct"/>
                  <w:noWrap w:val="0"/>
                  <w:vAlign w:val="center"/>
                </w:tcPr>
                <w:p w14:paraId="41D7BAE9">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年平均</w:t>
                  </w:r>
                </w:p>
              </w:tc>
              <w:tc>
                <w:tcPr>
                  <w:tcW w:w="1117" w:type="pct"/>
                  <w:noWrap w:val="0"/>
                  <w:vAlign w:val="center"/>
                </w:tcPr>
                <w:p w14:paraId="65488CCC">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60</w:t>
                  </w:r>
                </w:p>
              </w:tc>
              <w:tc>
                <w:tcPr>
                  <w:tcW w:w="883" w:type="pct"/>
                  <w:noWrap w:val="0"/>
                  <w:vAlign w:val="center"/>
                </w:tcPr>
                <w:p w14:paraId="264A88D0">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50</w:t>
                  </w:r>
                </w:p>
              </w:tc>
              <w:tc>
                <w:tcPr>
                  <w:tcW w:w="883" w:type="pct"/>
                  <w:vMerge w:val="continue"/>
                  <w:noWrap w:val="0"/>
                  <w:vAlign w:val="center"/>
                </w:tcPr>
                <w:p w14:paraId="77D4B71A">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60EC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continue"/>
                  <w:noWrap w:val="0"/>
                  <w:vAlign w:val="center"/>
                </w:tcPr>
                <w:p w14:paraId="34A1F35C">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c>
                <w:tcPr>
                  <w:tcW w:w="1238" w:type="pct"/>
                  <w:noWrap w:val="0"/>
                  <w:vAlign w:val="center"/>
                </w:tcPr>
                <w:p w14:paraId="3B419A5E">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24小时平均</w:t>
                  </w:r>
                </w:p>
              </w:tc>
              <w:tc>
                <w:tcPr>
                  <w:tcW w:w="1117" w:type="pct"/>
                  <w:noWrap w:val="0"/>
                  <w:vAlign w:val="center"/>
                </w:tcPr>
                <w:p w14:paraId="405A1E52">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120</w:t>
                  </w:r>
                </w:p>
              </w:tc>
              <w:tc>
                <w:tcPr>
                  <w:tcW w:w="883" w:type="pct"/>
                  <w:noWrap w:val="0"/>
                  <w:vAlign w:val="center"/>
                </w:tcPr>
                <w:p w14:paraId="49BC3108">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100</w:t>
                  </w:r>
                </w:p>
              </w:tc>
              <w:tc>
                <w:tcPr>
                  <w:tcW w:w="883" w:type="pct"/>
                  <w:vMerge w:val="continue"/>
                  <w:noWrap w:val="0"/>
                  <w:vAlign w:val="center"/>
                </w:tcPr>
                <w:p w14:paraId="53F53854">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5871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restart"/>
                  <w:noWrap w:val="0"/>
                  <w:vAlign w:val="center"/>
                </w:tcPr>
                <w:p w14:paraId="65EB2B0F">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PM</w:t>
                  </w:r>
                  <w:r>
                    <w:rPr>
                      <w:rFonts w:ascii="Times New Roman" w:hAnsi="Times New Roman" w:eastAsia="宋体"/>
                      <w:bCs/>
                      <w:smallCaps w:val="0"/>
                      <w:color w:val="auto"/>
                      <w:kern w:val="2"/>
                      <w:sz w:val="21"/>
                      <w:szCs w:val="21"/>
                      <w:vertAlign w:val="subscript"/>
                    </w:rPr>
                    <w:t>2.5</w:t>
                  </w:r>
                </w:p>
              </w:tc>
              <w:tc>
                <w:tcPr>
                  <w:tcW w:w="1238" w:type="pct"/>
                  <w:noWrap w:val="0"/>
                  <w:vAlign w:val="center"/>
                </w:tcPr>
                <w:p w14:paraId="2D569103">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年平均</w:t>
                  </w:r>
                </w:p>
              </w:tc>
              <w:tc>
                <w:tcPr>
                  <w:tcW w:w="1117" w:type="pct"/>
                  <w:noWrap w:val="0"/>
                  <w:vAlign w:val="center"/>
                </w:tcPr>
                <w:p w14:paraId="56E9BCCF">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30</w:t>
                  </w:r>
                </w:p>
              </w:tc>
              <w:tc>
                <w:tcPr>
                  <w:tcW w:w="883" w:type="pct"/>
                  <w:noWrap w:val="0"/>
                  <w:vAlign w:val="center"/>
                </w:tcPr>
                <w:p w14:paraId="3EF0A068">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25</w:t>
                  </w:r>
                </w:p>
              </w:tc>
              <w:tc>
                <w:tcPr>
                  <w:tcW w:w="883" w:type="pct"/>
                  <w:vMerge w:val="continue"/>
                  <w:noWrap w:val="0"/>
                  <w:vAlign w:val="center"/>
                </w:tcPr>
                <w:p w14:paraId="2A63DFA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r>
            <w:tr w14:paraId="1062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continue"/>
                  <w:noWrap w:val="0"/>
                  <w:vAlign w:val="center"/>
                </w:tcPr>
                <w:p w14:paraId="4B57F9A7">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c>
                <w:tcPr>
                  <w:tcW w:w="1238" w:type="pct"/>
                  <w:noWrap w:val="0"/>
                  <w:vAlign w:val="center"/>
                </w:tcPr>
                <w:p w14:paraId="145D2985">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r>
                    <w:rPr>
                      <w:rFonts w:ascii="Times New Roman" w:hAnsi="Times New Roman" w:eastAsia="宋体"/>
                      <w:bCs/>
                      <w:smallCaps w:val="0"/>
                      <w:color w:val="auto"/>
                      <w:kern w:val="2"/>
                      <w:sz w:val="21"/>
                      <w:szCs w:val="21"/>
                    </w:rPr>
                    <w:t>24小时平均</w:t>
                  </w:r>
                </w:p>
              </w:tc>
              <w:tc>
                <w:tcPr>
                  <w:tcW w:w="1117" w:type="pct"/>
                  <w:noWrap w:val="0"/>
                  <w:vAlign w:val="center"/>
                </w:tcPr>
                <w:p w14:paraId="472FBAD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60</w:t>
                  </w:r>
                </w:p>
              </w:tc>
              <w:tc>
                <w:tcPr>
                  <w:tcW w:w="883" w:type="pct"/>
                  <w:noWrap w:val="0"/>
                  <w:vAlign w:val="center"/>
                </w:tcPr>
                <w:p w14:paraId="440F2393">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50</w:t>
                  </w:r>
                </w:p>
              </w:tc>
              <w:tc>
                <w:tcPr>
                  <w:tcW w:w="883" w:type="pct"/>
                  <w:vMerge w:val="continue"/>
                  <w:noWrap w:val="0"/>
                  <w:vAlign w:val="center"/>
                </w:tcPr>
                <w:p w14:paraId="33819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mallCaps w:val="0"/>
                      <w:color w:val="auto"/>
                      <w:szCs w:val="21"/>
                    </w:rPr>
                  </w:pPr>
                </w:p>
              </w:tc>
            </w:tr>
            <w:tr w14:paraId="4100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7" w:type="pct"/>
                  <w:vMerge w:val="restart"/>
                  <w:noWrap w:val="0"/>
                  <w:vAlign w:val="center"/>
                </w:tcPr>
                <w:p w14:paraId="39038845">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TSP</w:t>
                  </w:r>
                </w:p>
              </w:tc>
              <w:tc>
                <w:tcPr>
                  <w:tcW w:w="1238" w:type="pct"/>
                  <w:noWrap w:val="0"/>
                  <w:vAlign w:val="center"/>
                </w:tcPr>
                <w:p w14:paraId="43304D6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lang w:bidi="ar-SA"/>
                    </w:rPr>
                  </w:pPr>
                  <w:r>
                    <w:rPr>
                      <w:rFonts w:ascii="Times New Roman" w:hAnsi="Times New Roman" w:eastAsia="宋体"/>
                      <w:bCs/>
                      <w:smallCaps w:val="0"/>
                      <w:color w:val="auto"/>
                      <w:kern w:val="2"/>
                      <w:sz w:val="21"/>
                      <w:szCs w:val="21"/>
                    </w:rPr>
                    <w:t>年平均</w:t>
                  </w:r>
                </w:p>
              </w:tc>
              <w:tc>
                <w:tcPr>
                  <w:tcW w:w="1117" w:type="pct"/>
                  <w:noWrap w:val="0"/>
                  <w:vAlign w:val="center"/>
                </w:tcPr>
                <w:p w14:paraId="15AA7B6E">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200</w:t>
                  </w:r>
                </w:p>
              </w:tc>
              <w:tc>
                <w:tcPr>
                  <w:tcW w:w="1520" w:type="dxa"/>
                  <w:noWrap w:val="0"/>
                  <w:vAlign w:val="center"/>
                </w:tcPr>
                <w:p w14:paraId="1329952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200</w:t>
                  </w:r>
                </w:p>
              </w:tc>
              <w:tc>
                <w:tcPr>
                  <w:tcW w:w="883" w:type="pct"/>
                  <w:vMerge w:val="continue"/>
                  <w:noWrap w:val="0"/>
                  <w:vAlign w:val="center"/>
                </w:tcPr>
                <w:p w14:paraId="1F9B4C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mallCaps w:val="0"/>
                      <w:color w:val="auto"/>
                      <w:szCs w:val="21"/>
                    </w:rPr>
                  </w:pPr>
                </w:p>
              </w:tc>
            </w:tr>
            <w:tr w14:paraId="1F66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77" w:type="pct"/>
                  <w:vMerge w:val="continue"/>
                  <w:noWrap w:val="0"/>
                  <w:vAlign w:val="center"/>
                </w:tcPr>
                <w:p w14:paraId="612C5FFE">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rPr>
                  </w:pPr>
                </w:p>
              </w:tc>
              <w:tc>
                <w:tcPr>
                  <w:tcW w:w="1238" w:type="pct"/>
                  <w:noWrap w:val="0"/>
                  <w:vAlign w:val="center"/>
                </w:tcPr>
                <w:p w14:paraId="3DE22FDD">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ascii="Times New Roman" w:hAnsi="Times New Roman" w:eastAsia="宋体"/>
                      <w:bCs/>
                      <w:smallCaps w:val="0"/>
                      <w:color w:val="auto"/>
                      <w:kern w:val="2"/>
                      <w:sz w:val="21"/>
                      <w:szCs w:val="21"/>
                      <w:lang w:bidi="ar-SA"/>
                    </w:rPr>
                  </w:pPr>
                  <w:r>
                    <w:rPr>
                      <w:rFonts w:ascii="Times New Roman" w:hAnsi="Times New Roman" w:eastAsia="宋体"/>
                      <w:bCs/>
                      <w:smallCaps w:val="0"/>
                      <w:color w:val="auto"/>
                      <w:kern w:val="2"/>
                      <w:sz w:val="21"/>
                      <w:szCs w:val="21"/>
                    </w:rPr>
                    <w:t>24小时平均</w:t>
                  </w:r>
                </w:p>
              </w:tc>
              <w:tc>
                <w:tcPr>
                  <w:tcW w:w="1117" w:type="pct"/>
                  <w:noWrap w:val="0"/>
                  <w:vAlign w:val="center"/>
                </w:tcPr>
                <w:p w14:paraId="460A4208">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300</w:t>
                  </w:r>
                </w:p>
              </w:tc>
              <w:tc>
                <w:tcPr>
                  <w:tcW w:w="1520" w:type="dxa"/>
                  <w:noWrap w:val="0"/>
                  <w:vAlign w:val="center"/>
                </w:tcPr>
                <w:p w14:paraId="08449D25">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bCs/>
                      <w:smallCaps w:val="0"/>
                      <w:color w:val="auto"/>
                      <w:kern w:val="2"/>
                      <w:sz w:val="21"/>
                      <w:szCs w:val="21"/>
                      <w:lang w:val="en-US" w:eastAsia="zh-CN"/>
                    </w:rPr>
                  </w:pPr>
                  <w:r>
                    <w:rPr>
                      <w:rFonts w:hint="eastAsia" w:ascii="Times New Roman" w:hAnsi="Times New Roman" w:eastAsia="宋体"/>
                      <w:bCs/>
                      <w:smallCaps w:val="0"/>
                      <w:color w:val="auto"/>
                      <w:kern w:val="2"/>
                      <w:sz w:val="21"/>
                      <w:szCs w:val="21"/>
                      <w:lang w:val="en-US" w:eastAsia="zh-CN"/>
                    </w:rPr>
                    <w:t>300</w:t>
                  </w:r>
                </w:p>
              </w:tc>
              <w:tc>
                <w:tcPr>
                  <w:tcW w:w="883" w:type="pct"/>
                  <w:vMerge w:val="continue"/>
                  <w:noWrap w:val="0"/>
                  <w:vAlign w:val="center"/>
                </w:tcPr>
                <w:p w14:paraId="6D5ACF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smallCaps w:val="0"/>
                      <w:color w:val="auto"/>
                      <w:szCs w:val="21"/>
                    </w:rPr>
                  </w:pPr>
                </w:p>
              </w:tc>
            </w:tr>
          </w:tbl>
          <w:p w14:paraId="7658FFA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cs="宋体"/>
                <w:color w:val="auto"/>
                <w:kern w:val="0"/>
                <w:sz w:val="24"/>
              </w:rPr>
            </w:pPr>
            <w:r>
              <w:rPr>
                <w:rFonts w:hint="eastAsia" w:cs="宋体"/>
                <w:color w:val="auto"/>
                <w:kern w:val="0"/>
                <w:sz w:val="24"/>
              </w:rPr>
              <w:t>（2）地表水环境质量标准</w:t>
            </w:r>
          </w:p>
          <w:p w14:paraId="3997A5B9">
            <w:pPr>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根据《广西壮族自治区近岸海域环境功能区划调整方案》，项目最近海域为防城港市东湾红树林生态区（GX082BⅡ）、防城港市东湾交通用海区（GX083CⅢ）。</w:t>
            </w:r>
          </w:p>
          <w:p w14:paraId="03709ECE">
            <w:pPr>
              <w:adjustRightInd w:val="0"/>
              <w:snapToGrid w:val="0"/>
              <w:spacing w:line="360" w:lineRule="auto"/>
              <w:ind w:firstLine="480" w:firstLineChars="200"/>
              <w:rPr>
                <w:rFonts w:cs="宋体"/>
                <w:color w:val="auto"/>
                <w:kern w:val="0"/>
                <w:sz w:val="24"/>
              </w:rPr>
            </w:pPr>
            <w:r>
              <w:rPr>
                <w:rFonts w:hint="eastAsia" w:cs="宋体"/>
                <w:color w:val="auto"/>
                <w:kern w:val="0"/>
                <w:sz w:val="24"/>
                <w:lang w:val="en-US" w:eastAsia="zh-CN"/>
              </w:rPr>
              <w:t>防城港市东湾红树林生态区（GX082BⅡ）主导功能为保护红树林及重要湿地生态系统，水质保护目标为第二类，因此执行《海水水质标准》（GB3097-1997）第二类标准；防城港市东湾交通用海区（GX083CⅢ）主导功能为交通运输用海，水质保护目标为第三类，因此执行《海水水质标准》（GB3097-1997）第三类标准</w:t>
            </w:r>
            <w:r>
              <w:rPr>
                <w:rFonts w:hint="eastAsia" w:ascii="Times New Roman" w:hAnsi="Times New Roman" w:eastAsia="宋体" w:cs="宋体"/>
                <w:color w:val="auto"/>
                <w:kern w:val="0"/>
                <w:sz w:val="24"/>
              </w:rPr>
              <w:t>准</w:t>
            </w:r>
            <w:r>
              <w:rPr>
                <w:rFonts w:hint="eastAsia" w:cs="宋体"/>
                <w:color w:val="auto"/>
                <w:kern w:val="0"/>
                <w:sz w:val="24"/>
              </w:rPr>
              <w:t>，相关标准限值详见表3</w:t>
            </w:r>
            <w:r>
              <w:rPr>
                <w:rFonts w:cs="宋体"/>
                <w:color w:val="auto"/>
                <w:kern w:val="0"/>
                <w:sz w:val="24"/>
              </w:rPr>
              <w:t>-</w:t>
            </w:r>
            <w:r>
              <w:rPr>
                <w:rFonts w:hint="eastAsia" w:cs="宋体"/>
                <w:color w:val="auto"/>
                <w:kern w:val="0"/>
                <w:sz w:val="24"/>
                <w:lang w:val="en-US" w:eastAsia="zh-CN"/>
              </w:rPr>
              <w:t>5</w:t>
            </w:r>
            <w:r>
              <w:rPr>
                <w:rFonts w:hint="eastAsia" w:cs="宋体"/>
                <w:color w:val="auto"/>
                <w:kern w:val="0"/>
                <w:sz w:val="24"/>
              </w:rPr>
              <w:t>。</w:t>
            </w:r>
          </w:p>
          <w:p w14:paraId="2B7B87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4"/>
                <w:szCs w:val="24"/>
              </w:rPr>
            </w:pPr>
          </w:p>
          <w:p w14:paraId="1B57B9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4"/>
                <w:szCs w:val="24"/>
              </w:rPr>
            </w:pPr>
          </w:p>
          <w:p w14:paraId="1C40A3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4"/>
                <w:szCs w:val="24"/>
              </w:rPr>
            </w:pPr>
          </w:p>
          <w:p w14:paraId="186DE447">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color w:val="auto"/>
                <w:szCs w:val="21"/>
              </w:rPr>
            </w:pPr>
            <w:r>
              <w:rPr>
                <w:b/>
                <w:color w:val="auto"/>
                <w:sz w:val="24"/>
                <w:szCs w:val="24"/>
              </w:rPr>
              <w:t>表3-</w:t>
            </w:r>
            <w:r>
              <w:rPr>
                <w:rFonts w:hint="eastAsia"/>
                <w:b/>
                <w:color w:val="auto"/>
                <w:sz w:val="24"/>
                <w:szCs w:val="24"/>
                <w:lang w:val="en-US" w:eastAsia="zh-CN"/>
              </w:rPr>
              <w:t>5</w:t>
            </w:r>
            <w:r>
              <w:rPr>
                <w:b/>
                <w:color w:val="auto"/>
                <w:sz w:val="24"/>
                <w:szCs w:val="24"/>
              </w:rPr>
              <w:t xml:space="preserve">  </w:t>
            </w:r>
            <w:r>
              <w:rPr>
                <w:rFonts w:hint="eastAsia"/>
                <w:b/>
                <w:color w:val="auto"/>
                <w:sz w:val="24"/>
                <w:szCs w:val="24"/>
              </w:rPr>
              <w:t xml:space="preserve">《海水水质标准》（摘录） </w:t>
            </w:r>
            <w:r>
              <w:rPr>
                <w:b/>
                <w:color w:val="auto"/>
                <w:sz w:val="24"/>
                <w:szCs w:val="24"/>
              </w:rPr>
              <w:t xml:space="preserve"> 单位：mg/L，pH</w:t>
            </w:r>
            <w:r>
              <w:rPr>
                <w:rFonts w:hint="eastAsia"/>
                <w:b/>
                <w:color w:val="auto"/>
                <w:sz w:val="24"/>
                <w:szCs w:val="24"/>
              </w:rPr>
              <w:t>无量纲</w:t>
            </w:r>
          </w:p>
          <w:tbl>
            <w:tblPr>
              <w:tblStyle w:val="4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2772"/>
              <w:gridCol w:w="2773"/>
            </w:tblGrid>
            <w:tr w14:paraId="4CE7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vAlign w:val="center"/>
                </w:tcPr>
                <w:p w14:paraId="5FD51648">
                  <w:pPr>
                    <w:jc w:val="center"/>
                    <w:rPr>
                      <w:rFonts w:hint="default" w:ascii="Times New Roman" w:hAnsi="Times New Roman" w:eastAsia="宋体" w:cs="Times New Roman"/>
                      <w:b/>
                      <w:bCs/>
                      <w:color w:val="auto"/>
                      <w:spacing w:val="12"/>
                      <w:sz w:val="21"/>
                      <w:szCs w:val="21"/>
                    </w:rPr>
                  </w:pPr>
                  <w:bookmarkStart w:id="8" w:name="_Hlk69717792"/>
                  <w:r>
                    <w:rPr>
                      <w:rFonts w:hint="default" w:ascii="Times New Roman" w:hAnsi="Times New Roman" w:eastAsia="宋体" w:cs="Times New Roman"/>
                      <w:b/>
                      <w:bCs/>
                      <w:color w:val="auto"/>
                      <w:spacing w:val="12"/>
                      <w:sz w:val="21"/>
                      <w:szCs w:val="21"/>
                    </w:rPr>
                    <w:t>评价因子</w:t>
                  </w:r>
                </w:p>
              </w:tc>
              <w:tc>
                <w:tcPr>
                  <w:tcW w:w="1646" w:type="pct"/>
                  <w:vAlign w:val="center"/>
                </w:tcPr>
                <w:p w14:paraId="5AD0F1FC">
                  <w:pPr>
                    <w:jc w:val="center"/>
                    <w:rPr>
                      <w:rFonts w:hint="default" w:ascii="Times New Roman" w:hAnsi="Times New Roman" w:eastAsia="宋体" w:cs="Times New Roman"/>
                      <w:b/>
                      <w:bCs/>
                      <w:color w:val="auto"/>
                      <w:spacing w:val="12"/>
                      <w:sz w:val="21"/>
                      <w:szCs w:val="21"/>
                    </w:rPr>
                  </w:pPr>
                  <w:r>
                    <w:rPr>
                      <w:rFonts w:hint="eastAsia" w:cs="Times New Roman"/>
                      <w:b/>
                      <w:bCs/>
                      <w:color w:val="auto"/>
                      <w:spacing w:val="12"/>
                      <w:sz w:val="21"/>
                      <w:szCs w:val="21"/>
                      <w:lang w:val="en-US" w:eastAsia="zh-CN"/>
                    </w:rPr>
                    <w:t>二</w:t>
                  </w:r>
                  <w:r>
                    <w:rPr>
                      <w:rFonts w:hint="default" w:ascii="Times New Roman" w:hAnsi="Times New Roman" w:eastAsia="宋体" w:cs="Times New Roman"/>
                      <w:b/>
                      <w:bCs/>
                      <w:color w:val="auto"/>
                      <w:spacing w:val="12"/>
                      <w:sz w:val="21"/>
                      <w:szCs w:val="21"/>
                      <w:lang w:val="en-US" w:eastAsia="zh-CN"/>
                    </w:rPr>
                    <w:t>类</w:t>
                  </w:r>
                  <w:r>
                    <w:rPr>
                      <w:rFonts w:hint="default" w:ascii="Times New Roman" w:hAnsi="Times New Roman" w:eastAsia="宋体" w:cs="Times New Roman"/>
                      <w:b/>
                      <w:bCs/>
                      <w:color w:val="auto"/>
                      <w:spacing w:val="12"/>
                      <w:sz w:val="21"/>
                      <w:szCs w:val="21"/>
                    </w:rPr>
                    <w:t>标准限值</w:t>
                  </w:r>
                </w:p>
              </w:tc>
              <w:tc>
                <w:tcPr>
                  <w:tcW w:w="1647" w:type="pct"/>
                  <w:vAlign w:val="center"/>
                </w:tcPr>
                <w:p w14:paraId="44BEE6A3">
                  <w:pPr>
                    <w:jc w:val="center"/>
                    <w:rPr>
                      <w:rFonts w:hint="default" w:ascii="Times New Roman" w:hAnsi="Times New Roman" w:eastAsia="宋体" w:cs="Times New Roman"/>
                      <w:b/>
                      <w:bCs/>
                      <w:color w:val="auto"/>
                      <w:spacing w:val="12"/>
                      <w:sz w:val="21"/>
                      <w:szCs w:val="21"/>
                      <w:lang w:val="en-US" w:eastAsia="zh-CN"/>
                    </w:rPr>
                  </w:pPr>
                  <w:r>
                    <w:rPr>
                      <w:rFonts w:hint="eastAsia" w:cs="Times New Roman"/>
                      <w:b/>
                      <w:bCs/>
                      <w:color w:val="auto"/>
                      <w:spacing w:val="12"/>
                      <w:sz w:val="21"/>
                      <w:szCs w:val="21"/>
                      <w:lang w:val="en-US" w:eastAsia="zh-CN"/>
                    </w:rPr>
                    <w:t>三</w:t>
                  </w:r>
                  <w:r>
                    <w:rPr>
                      <w:rFonts w:hint="default" w:ascii="Times New Roman" w:hAnsi="Times New Roman" w:eastAsia="宋体" w:cs="Times New Roman"/>
                      <w:b/>
                      <w:bCs/>
                      <w:color w:val="auto"/>
                      <w:spacing w:val="12"/>
                      <w:sz w:val="21"/>
                      <w:szCs w:val="21"/>
                      <w:lang w:val="en-US" w:eastAsia="zh-CN"/>
                    </w:rPr>
                    <w:t>类标准限值</w:t>
                  </w:r>
                </w:p>
              </w:tc>
            </w:tr>
            <w:tr w14:paraId="6586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vAlign w:val="center"/>
                </w:tcPr>
                <w:p w14:paraId="2584BAE1">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pH值（无量纲）</w:t>
                  </w:r>
                </w:p>
              </w:tc>
              <w:tc>
                <w:tcPr>
                  <w:tcW w:w="1646" w:type="pct"/>
                  <w:vAlign w:val="center"/>
                </w:tcPr>
                <w:p w14:paraId="52D81508">
                  <w:pPr>
                    <w:jc w:val="center"/>
                    <w:rPr>
                      <w:rFonts w:hint="default" w:ascii="Times New Roman" w:hAnsi="Times New Roman" w:eastAsia="宋体" w:cs="Times New Roman"/>
                      <w:color w:val="auto"/>
                      <w:spacing w:val="12"/>
                      <w:sz w:val="21"/>
                      <w:szCs w:val="21"/>
                      <w:lang w:val="en-US" w:eastAsia="zh-CN"/>
                    </w:rPr>
                  </w:pPr>
                  <w:r>
                    <w:rPr>
                      <w:rFonts w:hint="eastAsia" w:cs="Times New Roman"/>
                      <w:color w:val="auto"/>
                      <w:spacing w:val="12"/>
                      <w:sz w:val="21"/>
                      <w:szCs w:val="21"/>
                      <w:lang w:val="en-US" w:eastAsia="zh-CN"/>
                    </w:rPr>
                    <w:t>7</w:t>
                  </w:r>
                  <w:r>
                    <w:rPr>
                      <w:rFonts w:hint="default" w:ascii="Times New Roman" w:hAnsi="Times New Roman" w:eastAsia="宋体" w:cs="Times New Roman"/>
                      <w:color w:val="auto"/>
                      <w:spacing w:val="12"/>
                      <w:sz w:val="21"/>
                      <w:szCs w:val="21"/>
                      <w:lang w:val="en-US" w:eastAsia="zh-CN"/>
                    </w:rPr>
                    <w:t>.8</w:t>
                  </w:r>
                  <w:r>
                    <w:rPr>
                      <w:rFonts w:hint="default" w:ascii="Times New Roman" w:hAnsi="Times New Roman" w:eastAsia="宋体" w:cs="Times New Roman"/>
                      <w:color w:val="auto"/>
                      <w:spacing w:val="12"/>
                      <w:sz w:val="21"/>
                      <w:szCs w:val="21"/>
                    </w:rPr>
                    <w:t>～</w:t>
                  </w:r>
                  <w:r>
                    <w:rPr>
                      <w:rFonts w:hint="default" w:ascii="Times New Roman" w:hAnsi="Times New Roman" w:eastAsia="宋体" w:cs="Times New Roman"/>
                      <w:color w:val="auto"/>
                      <w:spacing w:val="12"/>
                      <w:sz w:val="21"/>
                      <w:szCs w:val="21"/>
                      <w:lang w:val="en-US" w:eastAsia="zh-CN"/>
                    </w:rPr>
                    <w:t>8.</w:t>
                  </w:r>
                  <w:r>
                    <w:rPr>
                      <w:rFonts w:hint="eastAsia" w:cs="Times New Roman"/>
                      <w:color w:val="auto"/>
                      <w:spacing w:val="12"/>
                      <w:sz w:val="21"/>
                      <w:szCs w:val="21"/>
                      <w:lang w:val="en-US" w:eastAsia="zh-CN"/>
                    </w:rPr>
                    <w:t>5</w:t>
                  </w:r>
                </w:p>
              </w:tc>
              <w:tc>
                <w:tcPr>
                  <w:tcW w:w="1647" w:type="pct"/>
                  <w:vAlign w:val="center"/>
                </w:tcPr>
                <w:p w14:paraId="0C8BFFD8">
                  <w:pPr>
                    <w:jc w:val="center"/>
                    <w:rPr>
                      <w:rFonts w:hint="default" w:ascii="Times New Roman" w:hAnsi="Times New Roman" w:eastAsia="宋体" w:cs="Times New Roman"/>
                      <w:color w:val="auto"/>
                      <w:spacing w:val="12"/>
                      <w:sz w:val="21"/>
                      <w:szCs w:val="21"/>
                      <w:lang w:val="en-US" w:eastAsia="zh-CN"/>
                    </w:rPr>
                  </w:pPr>
                  <w:r>
                    <w:rPr>
                      <w:rFonts w:hint="eastAsia" w:cs="Times New Roman"/>
                      <w:color w:val="auto"/>
                      <w:spacing w:val="12"/>
                      <w:sz w:val="21"/>
                      <w:szCs w:val="21"/>
                      <w:lang w:val="en-US" w:eastAsia="zh-CN"/>
                    </w:rPr>
                    <w:t>6</w:t>
                  </w:r>
                  <w:r>
                    <w:rPr>
                      <w:rFonts w:hint="default" w:ascii="Times New Roman" w:hAnsi="Times New Roman" w:eastAsia="宋体" w:cs="Times New Roman"/>
                      <w:color w:val="auto"/>
                      <w:spacing w:val="12"/>
                      <w:sz w:val="21"/>
                      <w:szCs w:val="21"/>
                      <w:lang w:val="en-US" w:eastAsia="zh-CN"/>
                    </w:rPr>
                    <w:t>.8～8.</w:t>
                  </w:r>
                  <w:r>
                    <w:rPr>
                      <w:rFonts w:hint="eastAsia" w:cs="Times New Roman"/>
                      <w:color w:val="auto"/>
                      <w:spacing w:val="12"/>
                      <w:sz w:val="21"/>
                      <w:szCs w:val="21"/>
                      <w:lang w:val="en-US" w:eastAsia="zh-CN"/>
                    </w:rPr>
                    <w:t>8</w:t>
                  </w:r>
                </w:p>
              </w:tc>
            </w:tr>
            <w:tr w14:paraId="705E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vAlign w:val="center"/>
                </w:tcPr>
                <w:p w14:paraId="75065CB4">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水温（℃）</w:t>
                  </w:r>
                </w:p>
              </w:tc>
              <w:tc>
                <w:tcPr>
                  <w:tcW w:w="1646" w:type="pct"/>
                  <w:vAlign w:val="center"/>
                </w:tcPr>
                <w:p w14:paraId="7049DA87">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人为造成的海水温升</w:t>
                  </w:r>
                  <w:r>
                    <w:rPr>
                      <w:rFonts w:hint="eastAsia" w:cs="Times New Roman"/>
                      <w:color w:val="auto"/>
                      <w:spacing w:val="12"/>
                      <w:sz w:val="21"/>
                      <w:szCs w:val="21"/>
                      <w:lang w:val="en-US" w:eastAsia="zh-CN"/>
                    </w:rPr>
                    <w:t>夏季不超过当时当地1℃，其他季节</w:t>
                  </w:r>
                  <w:r>
                    <w:rPr>
                      <w:rFonts w:hint="default" w:ascii="Times New Roman" w:hAnsi="Times New Roman" w:eastAsia="宋体" w:cs="Times New Roman"/>
                      <w:color w:val="auto"/>
                      <w:spacing w:val="12"/>
                      <w:sz w:val="21"/>
                      <w:szCs w:val="21"/>
                    </w:rPr>
                    <w:t>不超过</w:t>
                  </w:r>
                  <w:r>
                    <w:rPr>
                      <w:rFonts w:hint="eastAsia" w:cs="Times New Roman"/>
                      <w:color w:val="auto"/>
                      <w:spacing w:val="12"/>
                      <w:sz w:val="21"/>
                      <w:szCs w:val="21"/>
                      <w:lang w:val="en-US" w:eastAsia="zh-CN"/>
                    </w:rPr>
                    <w:t>2</w:t>
                  </w:r>
                  <w:r>
                    <w:rPr>
                      <w:rFonts w:hint="default" w:ascii="Times New Roman" w:hAnsi="Times New Roman" w:eastAsia="宋体" w:cs="Times New Roman"/>
                      <w:color w:val="auto"/>
                      <w:spacing w:val="12"/>
                      <w:sz w:val="21"/>
                      <w:szCs w:val="21"/>
                    </w:rPr>
                    <w:t>℃</w:t>
                  </w:r>
                </w:p>
              </w:tc>
              <w:tc>
                <w:tcPr>
                  <w:tcW w:w="1647" w:type="pct"/>
                  <w:vAlign w:val="center"/>
                </w:tcPr>
                <w:p w14:paraId="682A4325">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人为造成的海水温升不超过当时当地4℃</w:t>
                  </w:r>
                </w:p>
              </w:tc>
            </w:tr>
            <w:tr w14:paraId="3ECE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vAlign w:val="center"/>
                </w:tcPr>
                <w:p w14:paraId="79983EE2">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溶解氧</w:t>
                  </w:r>
                </w:p>
              </w:tc>
              <w:tc>
                <w:tcPr>
                  <w:tcW w:w="1646" w:type="pct"/>
                  <w:vAlign w:val="center"/>
                </w:tcPr>
                <w:p w14:paraId="754920D7">
                  <w:pPr>
                    <w:jc w:val="center"/>
                    <w:rPr>
                      <w:rFonts w:hint="default" w:ascii="Times New Roman" w:hAnsi="Times New Roman" w:eastAsia="宋体" w:cs="Times New Roman"/>
                      <w:color w:val="auto"/>
                      <w:spacing w:val="12"/>
                      <w:sz w:val="21"/>
                      <w:szCs w:val="21"/>
                      <w:lang w:eastAsia="zh-CN"/>
                    </w:rPr>
                  </w:pPr>
                  <w:r>
                    <w:rPr>
                      <w:rFonts w:hint="default" w:ascii="Times New Roman" w:hAnsi="Times New Roman" w:cs="Times New Roman"/>
                      <w:color w:val="auto"/>
                      <w:spacing w:val="12"/>
                      <w:sz w:val="21"/>
                      <w:szCs w:val="21"/>
                      <w:lang w:val="en-US" w:eastAsia="zh-CN"/>
                    </w:rPr>
                    <w:t>&gt;</w:t>
                  </w:r>
                  <w:r>
                    <w:rPr>
                      <w:rFonts w:hint="eastAsia" w:cs="Times New Roman"/>
                      <w:color w:val="auto"/>
                      <w:spacing w:val="12"/>
                      <w:sz w:val="21"/>
                      <w:szCs w:val="21"/>
                      <w:lang w:val="en-US" w:eastAsia="zh-CN"/>
                    </w:rPr>
                    <w:t>5</w:t>
                  </w:r>
                </w:p>
              </w:tc>
              <w:tc>
                <w:tcPr>
                  <w:tcW w:w="1647" w:type="pct"/>
                  <w:vAlign w:val="center"/>
                </w:tcPr>
                <w:p w14:paraId="3E97F257">
                  <w:pPr>
                    <w:jc w:val="center"/>
                    <w:rPr>
                      <w:rFonts w:hint="default" w:ascii="Times New Roman" w:hAnsi="Times New Roman" w:eastAsia="宋体" w:cs="Times New Roman"/>
                      <w:color w:val="auto"/>
                      <w:spacing w:val="12"/>
                      <w:sz w:val="21"/>
                      <w:szCs w:val="21"/>
                      <w:lang w:val="en-US"/>
                    </w:rPr>
                  </w:pPr>
                  <w:r>
                    <w:rPr>
                      <w:rFonts w:hint="default" w:ascii="Times New Roman" w:hAnsi="Times New Roman" w:eastAsia="宋体" w:cs="Times New Roman"/>
                      <w:color w:val="auto"/>
                      <w:spacing w:val="12"/>
                      <w:sz w:val="21"/>
                      <w:szCs w:val="21"/>
                      <w:lang w:val="en-US" w:eastAsia="zh-CN"/>
                    </w:rPr>
                    <w:t>&gt;</w:t>
                  </w:r>
                  <w:r>
                    <w:rPr>
                      <w:rFonts w:hint="eastAsia" w:cs="Times New Roman"/>
                      <w:color w:val="auto"/>
                      <w:spacing w:val="12"/>
                      <w:sz w:val="21"/>
                      <w:szCs w:val="21"/>
                      <w:lang w:val="en-US" w:eastAsia="zh-CN"/>
                    </w:rPr>
                    <w:t>4</w:t>
                  </w:r>
                </w:p>
              </w:tc>
            </w:tr>
            <w:tr w14:paraId="7427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vAlign w:val="center"/>
                </w:tcPr>
                <w:p w14:paraId="586FD3B0">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化学需氧量</w:t>
                  </w:r>
                </w:p>
              </w:tc>
              <w:tc>
                <w:tcPr>
                  <w:tcW w:w="1646" w:type="pct"/>
                  <w:vAlign w:val="center"/>
                </w:tcPr>
                <w:p w14:paraId="6E5E39E9">
                  <w:pPr>
                    <w:jc w:val="center"/>
                    <w:rPr>
                      <w:rFonts w:hint="default" w:ascii="Times New Roman" w:hAnsi="Times New Roman" w:eastAsia="宋体" w:cs="Times New Roman"/>
                      <w:color w:val="auto"/>
                      <w:spacing w:val="12"/>
                      <w:sz w:val="21"/>
                      <w:szCs w:val="21"/>
                      <w:lang w:eastAsia="zh-CN"/>
                    </w:rPr>
                  </w:pPr>
                  <w:r>
                    <w:rPr>
                      <w:rFonts w:hint="default" w:ascii="Times New Roman" w:hAnsi="Times New Roman" w:eastAsia="宋体" w:cs="Times New Roman"/>
                      <w:color w:val="auto"/>
                      <w:spacing w:val="12"/>
                      <w:sz w:val="21"/>
                      <w:szCs w:val="21"/>
                    </w:rPr>
                    <w:t>≤</w:t>
                  </w:r>
                  <w:r>
                    <w:rPr>
                      <w:rFonts w:hint="eastAsia" w:cs="Times New Roman"/>
                      <w:color w:val="auto"/>
                      <w:spacing w:val="12"/>
                      <w:sz w:val="21"/>
                      <w:szCs w:val="21"/>
                      <w:lang w:val="en-US" w:eastAsia="zh-CN"/>
                    </w:rPr>
                    <w:t>3</w:t>
                  </w:r>
                </w:p>
              </w:tc>
              <w:tc>
                <w:tcPr>
                  <w:tcW w:w="1647" w:type="pct"/>
                  <w:vAlign w:val="center"/>
                </w:tcPr>
                <w:p w14:paraId="63E04026">
                  <w:pPr>
                    <w:jc w:val="center"/>
                    <w:rPr>
                      <w:rFonts w:hint="eastAsia" w:ascii="Times New Roman" w:hAnsi="Times New Roman" w:eastAsia="宋体" w:cs="Times New Roman"/>
                      <w:color w:val="auto"/>
                      <w:spacing w:val="12"/>
                      <w:sz w:val="21"/>
                      <w:szCs w:val="21"/>
                      <w:lang w:val="en-US" w:eastAsia="zh-CN"/>
                    </w:rPr>
                  </w:pPr>
                  <w:r>
                    <w:rPr>
                      <w:rFonts w:hint="default" w:ascii="Times New Roman" w:hAnsi="Times New Roman" w:eastAsia="宋体" w:cs="Times New Roman"/>
                      <w:color w:val="auto"/>
                      <w:spacing w:val="12"/>
                      <w:sz w:val="21"/>
                      <w:szCs w:val="21"/>
                    </w:rPr>
                    <w:t>≤</w:t>
                  </w:r>
                  <w:r>
                    <w:rPr>
                      <w:rFonts w:hint="eastAsia" w:cs="Times New Roman"/>
                      <w:color w:val="auto"/>
                      <w:spacing w:val="12"/>
                      <w:sz w:val="21"/>
                      <w:szCs w:val="21"/>
                      <w:lang w:val="en-US" w:eastAsia="zh-CN"/>
                    </w:rPr>
                    <w:t>4</w:t>
                  </w:r>
                </w:p>
              </w:tc>
            </w:tr>
            <w:tr w14:paraId="5767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vAlign w:val="center"/>
                </w:tcPr>
                <w:p w14:paraId="5053E0B4">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五日生化需氧量</w:t>
                  </w:r>
                </w:p>
              </w:tc>
              <w:tc>
                <w:tcPr>
                  <w:tcW w:w="1646" w:type="pct"/>
                  <w:vAlign w:val="center"/>
                </w:tcPr>
                <w:p w14:paraId="7EE34AC0">
                  <w:pPr>
                    <w:jc w:val="center"/>
                    <w:rPr>
                      <w:rFonts w:hint="default" w:ascii="Times New Roman" w:hAnsi="Times New Roman" w:eastAsia="宋体" w:cs="Times New Roman"/>
                      <w:color w:val="auto"/>
                      <w:spacing w:val="12"/>
                      <w:sz w:val="21"/>
                      <w:szCs w:val="21"/>
                      <w:lang w:eastAsia="zh-CN"/>
                    </w:rPr>
                  </w:pPr>
                  <w:r>
                    <w:rPr>
                      <w:rFonts w:hint="default" w:ascii="Times New Roman" w:hAnsi="Times New Roman" w:eastAsia="宋体" w:cs="Times New Roman"/>
                      <w:color w:val="auto"/>
                      <w:spacing w:val="12"/>
                      <w:sz w:val="21"/>
                      <w:szCs w:val="21"/>
                    </w:rPr>
                    <w:t>≤</w:t>
                  </w:r>
                  <w:r>
                    <w:rPr>
                      <w:rFonts w:hint="eastAsia" w:cs="Times New Roman"/>
                      <w:color w:val="auto"/>
                      <w:spacing w:val="12"/>
                      <w:sz w:val="21"/>
                      <w:szCs w:val="21"/>
                      <w:lang w:val="en-US" w:eastAsia="zh-CN"/>
                    </w:rPr>
                    <w:t>3</w:t>
                  </w:r>
                </w:p>
              </w:tc>
              <w:tc>
                <w:tcPr>
                  <w:tcW w:w="1647" w:type="pct"/>
                  <w:vAlign w:val="center"/>
                </w:tcPr>
                <w:p w14:paraId="79DA1375">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w:t>
                  </w:r>
                  <w:r>
                    <w:rPr>
                      <w:rFonts w:hint="eastAsia" w:cs="Times New Roman"/>
                      <w:color w:val="auto"/>
                      <w:spacing w:val="12"/>
                      <w:sz w:val="21"/>
                      <w:szCs w:val="21"/>
                      <w:lang w:val="en-US" w:eastAsia="zh-CN"/>
                    </w:rPr>
                    <w:t>4</w:t>
                  </w:r>
                </w:p>
              </w:tc>
            </w:tr>
            <w:tr w14:paraId="09B8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vAlign w:val="center"/>
                </w:tcPr>
                <w:p w14:paraId="6082AF60">
                  <w:pPr>
                    <w:jc w:val="center"/>
                    <w:rPr>
                      <w:rFonts w:hint="default" w:ascii="Times New Roman" w:hAnsi="Times New Roman" w:eastAsia="宋体" w:cs="Times New Roman"/>
                      <w:color w:val="auto"/>
                      <w:spacing w:val="12"/>
                      <w:sz w:val="21"/>
                      <w:szCs w:val="21"/>
                      <w:lang w:eastAsia="zh-CN"/>
                    </w:rPr>
                  </w:pPr>
                  <w:r>
                    <w:rPr>
                      <w:rFonts w:hint="default" w:ascii="Times New Roman" w:hAnsi="Times New Roman" w:eastAsia="宋体" w:cs="Times New Roman"/>
                      <w:color w:val="auto"/>
                      <w:spacing w:val="12"/>
                      <w:sz w:val="21"/>
                      <w:szCs w:val="21"/>
                      <w:lang w:val="en-US" w:eastAsia="zh-CN"/>
                    </w:rPr>
                    <w:t>无机氮（以N计）</w:t>
                  </w:r>
                </w:p>
              </w:tc>
              <w:tc>
                <w:tcPr>
                  <w:tcW w:w="1646" w:type="pct"/>
                  <w:vAlign w:val="center"/>
                </w:tcPr>
                <w:p w14:paraId="102949F2">
                  <w:pPr>
                    <w:jc w:val="center"/>
                    <w:rPr>
                      <w:rFonts w:hint="default" w:ascii="Times New Roman" w:hAnsi="Times New Roman" w:eastAsia="宋体" w:cs="Times New Roman"/>
                      <w:color w:val="auto"/>
                      <w:spacing w:val="12"/>
                      <w:sz w:val="21"/>
                      <w:szCs w:val="21"/>
                      <w:lang w:val="en-US" w:eastAsia="zh-CN"/>
                    </w:rPr>
                  </w:pPr>
                  <w:r>
                    <w:rPr>
                      <w:rFonts w:hint="default" w:ascii="Times New Roman" w:hAnsi="Times New Roman" w:eastAsia="宋体" w:cs="Times New Roman"/>
                      <w:color w:val="auto"/>
                      <w:spacing w:val="12"/>
                      <w:sz w:val="21"/>
                      <w:szCs w:val="21"/>
                    </w:rPr>
                    <w:t>≤0.</w:t>
                  </w:r>
                  <w:r>
                    <w:rPr>
                      <w:rFonts w:hint="eastAsia" w:cs="Times New Roman"/>
                      <w:color w:val="auto"/>
                      <w:spacing w:val="12"/>
                      <w:sz w:val="21"/>
                      <w:szCs w:val="21"/>
                      <w:lang w:val="en-US" w:eastAsia="zh-CN"/>
                    </w:rPr>
                    <w:t>30</w:t>
                  </w:r>
                </w:p>
              </w:tc>
              <w:tc>
                <w:tcPr>
                  <w:tcW w:w="1647" w:type="pct"/>
                  <w:vAlign w:val="center"/>
                </w:tcPr>
                <w:p w14:paraId="61A06EC4">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≤0.</w:t>
                  </w:r>
                  <w:r>
                    <w:rPr>
                      <w:rFonts w:hint="eastAsia" w:cs="Times New Roman"/>
                      <w:color w:val="auto"/>
                      <w:spacing w:val="12"/>
                      <w:sz w:val="21"/>
                      <w:szCs w:val="21"/>
                      <w:lang w:val="en-US" w:eastAsia="zh-CN"/>
                    </w:rPr>
                    <w:t>4</w:t>
                  </w:r>
                  <w:r>
                    <w:rPr>
                      <w:rFonts w:hint="default" w:ascii="Times New Roman" w:hAnsi="Times New Roman" w:eastAsia="宋体" w:cs="Times New Roman"/>
                      <w:color w:val="auto"/>
                      <w:spacing w:val="12"/>
                      <w:sz w:val="21"/>
                      <w:szCs w:val="21"/>
                      <w:lang w:val="en-US" w:eastAsia="zh-CN"/>
                    </w:rPr>
                    <w:t>0</w:t>
                  </w:r>
                </w:p>
              </w:tc>
            </w:tr>
            <w:tr w14:paraId="5E48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6" w:type="pct"/>
                  <w:vAlign w:val="center"/>
                </w:tcPr>
                <w:p w14:paraId="5DE1623E">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lang w:val="en-US" w:eastAsia="zh-CN"/>
                    </w:rPr>
                    <w:t>非离子氨（以N计）</w:t>
                  </w:r>
                </w:p>
              </w:tc>
              <w:tc>
                <w:tcPr>
                  <w:tcW w:w="3293" w:type="pct"/>
                  <w:gridSpan w:val="2"/>
                  <w:vAlign w:val="center"/>
                </w:tcPr>
                <w:p w14:paraId="46CBDC30">
                  <w:pPr>
                    <w:jc w:val="center"/>
                    <w:rPr>
                      <w:rFonts w:hint="default" w:ascii="Times New Roman" w:hAnsi="Times New Roman" w:eastAsia="宋体" w:cs="Times New Roman"/>
                      <w:color w:val="auto"/>
                      <w:spacing w:val="12"/>
                      <w:sz w:val="21"/>
                      <w:szCs w:val="21"/>
                    </w:rPr>
                  </w:pPr>
                  <w:r>
                    <w:rPr>
                      <w:rFonts w:hint="default" w:ascii="Times New Roman" w:hAnsi="Times New Roman" w:eastAsia="宋体" w:cs="Times New Roman"/>
                      <w:color w:val="auto"/>
                      <w:spacing w:val="12"/>
                      <w:sz w:val="21"/>
                      <w:szCs w:val="21"/>
                    </w:rPr>
                    <w:t>≤</w:t>
                  </w:r>
                  <w:r>
                    <w:rPr>
                      <w:rFonts w:hint="default" w:ascii="Times New Roman" w:hAnsi="Times New Roman" w:eastAsia="宋体" w:cs="Times New Roman"/>
                      <w:color w:val="auto"/>
                      <w:spacing w:val="12"/>
                      <w:sz w:val="21"/>
                      <w:szCs w:val="21"/>
                      <w:lang w:val="en-US" w:eastAsia="zh-CN"/>
                    </w:rPr>
                    <w:t>0.020</w:t>
                  </w:r>
                </w:p>
              </w:tc>
            </w:tr>
            <w:bookmarkEnd w:id="8"/>
          </w:tbl>
          <w:p w14:paraId="6915B8C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cs="宋体"/>
                <w:color w:val="auto"/>
                <w:kern w:val="0"/>
                <w:sz w:val="24"/>
              </w:rPr>
            </w:pPr>
            <w:r>
              <w:rPr>
                <w:rFonts w:hint="eastAsia" w:cs="宋体"/>
                <w:color w:val="auto"/>
                <w:kern w:val="0"/>
                <w:sz w:val="24"/>
              </w:rPr>
              <w:t>（3）声环境质量标准</w:t>
            </w:r>
          </w:p>
          <w:p w14:paraId="5001CCB5">
            <w:pPr>
              <w:spacing w:line="360" w:lineRule="auto"/>
              <w:ind w:firstLine="480"/>
              <w:rPr>
                <w:rFonts w:hint="eastAsia" w:ascii="Times New Roman" w:hAnsi="Times New Roman" w:eastAsia="宋体" w:cs="Times New Roman"/>
                <w:color w:val="auto"/>
                <w:spacing w:val="0"/>
                <w:w w:val="100"/>
                <w:position w:val="0"/>
                <w:sz w:val="24"/>
                <w:szCs w:val="22"/>
                <w:lang w:eastAsia="zh-CN"/>
              </w:rPr>
            </w:pPr>
            <w:r>
              <w:rPr>
                <w:rFonts w:hint="eastAsia" w:ascii="Times New Roman" w:hAnsi="Times New Roman" w:eastAsia="宋体" w:cs="Times New Roman"/>
                <w:color w:val="auto"/>
                <w:spacing w:val="0"/>
                <w:w w:val="100"/>
                <w:position w:val="0"/>
                <w:sz w:val="24"/>
                <w:szCs w:val="22"/>
                <w:lang w:val="en-US" w:eastAsia="zh-CN"/>
              </w:rPr>
              <w:t>根据防城港市中心城区声环境功能区划，4类声环境功能区划分，将交通干线边界线外一定距离内的区域划分为4a类声环境功能区、4b类声环境功能区。距离的确定方法如下：</w:t>
            </w:r>
          </w:p>
          <w:p w14:paraId="2A21875F">
            <w:pPr>
              <w:spacing w:line="360" w:lineRule="auto"/>
              <w:ind w:firstLine="480"/>
              <w:rPr>
                <w:rFonts w:hint="eastAsia" w:ascii="Times New Roman" w:hAnsi="Times New Roman" w:eastAsia="宋体" w:cs="Times New Roman"/>
                <w:color w:val="auto"/>
                <w:spacing w:val="0"/>
                <w:w w:val="100"/>
                <w:position w:val="0"/>
                <w:sz w:val="24"/>
                <w:szCs w:val="22"/>
                <w:lang w:eastAsia="zh-CN"/>
              </w:rPr>
            </w:pPr>
            <w:r>
              <w:rPr>
                <w:rFonts w:hint="eastAsia" w:ascii="Times New Roman" w:hAnsi="Times New Roman" w:eastAsia="宋体" w:cs="Times New Roman"/>
                <w:color w:val="auto"/>
                <w:spacing w:val="0"/>
                <w:w w:val="100"/>
                <w:position w:val="0"/>
                <w:sz w:val="24"/>
                <w:szCs w:val="22"/>
                <w:lang w:val="en-US" w:eastAsia="zh-CN"/>
              </w:rPr>
              <w:t>①相邻区域为1类区域，距离为50m±5m；</w:t>
            </w:r>
          </w:p>
          <w:p w14:paraId="4A776272">
            <w:pPr>
              <w:spacing w:line="360" w:lineRule="auto"/>
              <w:ind w:firstLine="480"/>
              <w:rPr>
                <w:rFonts w:hint="eastAsia" w:ascii="Times New Roman" w:hAnsi="Times New Roman" w:eastAsia="宋体" w:cs="Times New Roman"/>
                <w:color w:val="auto"/>
                <w:spacing w:val="0"/>
                <w:w w:val="100"/>
                <w:position w:val="0"/>
                <w:sz w:val="24"/>
                <w:szCs w:val="22"/>
                <w:lang w:eastAsia="zh-CN"/>
              </w:rPr>
            </w:pPr>
            <w:r>
              <w:rPr>
                <w:rFonts w:hint="eastAsia" w:ascii="Times New Roman" w:hAnsi="Times New Roman" w:eastAsia="宋体" w:cs="Times New Roman"/>
                <w:color w:val="auto"/>
                <w:spacing w:val="0"/>
                <w:w w:val="100"/>
                <w:position w:val="0"/>
                <w:sz w:val="24"/>
                <w:szCs w:val="22"/>
                <w:lang w:val="en-US" w:eastAsia="zh-CN"/>
              </w:rPr>
              <w:t>②相邻区域为2类区域，距离为35m±5m；</w:t>
            </w:r>
          </w:p>
          <w:p w14:paraId="0BE5CA5C">
            <w:pPr>
              <w:spacing w:line="360" w:lineRule="auto"/>
              <w:ind w:firstLine="480"/>
              <w:rPr>
                <w:rFonts w:hint="eastAsia" w:ascii="Times New Roman" w:hAnsi="Times New Roman" w:eastAsia="宋体" w:cs="Times New Roman"/>
                <w:color w:val="auto"/>
                <w:spacing w:val="0"/>
                <w:w w:val="100"/>
                <w:position w:val="0"/>
                <w:sz w:val="24"/>
                <w:szCs w:val="22"/>
                <w:lang w:eastAsia="zh-CN"/>
              </w:rPr>
            </w:pPr>
            <w:r>
              <w:rPr>
                <w:rFonts w:hint="eastAsia" w:ascii="Times New Roman" w:hAnsi="Times New Roman" w:eastAsia="宋体" w:cs="Times New Roman"/>
                <w:color w:val="auto"/>
                <w:spacing w:val="0"/>
                <w:w w:val="100"/>
                <w:position w:val="0"/>
                <w:sz w:val="24"/>
                <w:szCs w:val="22"/>
                <w:lang w:val="en-US" w:eastAsia="zh-CN"/>
              </w:rPr>
              <w:t>③相邻区域为3类区域，距离为20m±5m。</w:t>
            </w:r>
          </w:p>
          <w:p w14:paraId="12F46147">
            <w:pPr>
              <w:spacing w:line="360" w:lineRule="auto"/>
              <w:ind w:firstLine="480"/>
              <w:rPr>
                <w:rFonts w:hint="eastAsia" w:ascii="Times New Roman" w:hAnsi="Times New Roman" w:eastAsia="宋体" w:cs="Times New Roman"/>
                <w:color w:val="auto"/>
                <w:spacing w:val="0"/>
                <w:w w:val="100"/>
                <w:position w:val="0"/>
                <w:sz w:val="24"/>
                <w:szCs w:val="22"/>
                <w:lang w:eastAsia="zh-CN"/>
              </w:rPr>
            </w:pPr>
            <w:r>
              <w:rPr>
                <w:rFonts w:hint="eastAsia" w:ascii="Times New Roman" w:hAnsi="Times New Roman" w:eastAsia="宋体" w:cs="Times New Roman"/>
                <w:color w:val="auto"/>
                <w:spacing w:val="0"/>
                <w:w w:val="100"/>
                <w:position w:val="0"/>
                <w:sz w:val="24"/>
                <w:szCs w:val="22"/>
                <w:lang w:val="en-US" w:eastAsia="zh-CN"/>
              </w:rPr>
              <w:t>评价对象为位于交通干线边界外两侧3</w:t>
            </w:r>
            <w:r>
              <w:rPr>
                <w:rFonts w:hint="eastAsia" w:cs="Times New Roman"/>
                <w:color w:val="auto"/>
                <w:spacing w:val="0"/>
                <w:w w:val="100"/>
                <w:position w:val="0"/>
                <w:sz w:val="24"/>
                <w:szCs w:val="22"/>
                <w:lang w:val="en-US" w:eastAsia="zh-CN"/>
              </w:rPr>
              <w:t>0</w:t>
            </w:r>
            <w:r>
              <w:rPr>
                <w:rFonts w:hint="eastAsia" w:ascii="Times New Roman" w:hAnsi="Times New Roman" w:eastAsia="宋体" w:cs="Times New Roman"/>
                <w:color w:val="auto"/>
                <w:spacing w:val="0"/>
                <w:w w:val="100"/>
                <w:position w:val="0"/>
                <w:sz w:val="24"/>
                <w:szCs w:val="22"/>
                <w:lang w:val="en-US" w:eastAsia="zh-CN"/>
              </w:rPr>
              <w:t>m以内区域的2类声环境功能区保护目标，执行《声环境质量标准》(GB3096-2008)4a类标准；</w:t>
            </w:r>
          </w:p>
          <w:p w14:paraId="4B8D2CE3">
            <w:pPr>
              <w:spacing w:line="360" w:lineRule="auto"/>
              <w:ind w:firstLine="480"/>
              <w:rPr>
                <w:rFonts w:hint="eastAsia" w:ascii="Times New Roman" w:hAnsi="Times New Roman" w:eastAsia="宋体" w:cs="Times New Roman"/>
                <w:color w:val="auto"/>
                <w:spacing w:val="0"/>
                <w:w w:val="100"/>
                <w:position w:val="0"/>
                <w:sz w:val="24"/>
                <w:szCs w:val="22"/>
                <w:lang w:eastAsia="zh-CN"/>
              </w:rPr>
            </w:pPr>
            <w:r>
              <w:rPr>
                <w:rFonts w:hint="eastAsia" w:ascii="Times New Roman" w:hAnsi="Times New Roman" w:eastAsia="宋体" w:cs="Times New Roman"/>
                <w:color w:val="auto"/>
                <w:spacing w:val="0"/>
                <w:w w:val="100"/>
                <w:position w:val="0"/>
                <w:sz w:val="24"/>
                <w:szCs w:val="22"/>
                <w:lang w:val="en-US" w:eastAsia="zh-CN"/>
              </w:rPr>
              <w:t>评价对象为位于交通干线边界外两侧</w:t>
            </w:r>
            <w:r>
              <w:rPr>
                <w:rFonts w:hint="eastAsia" w:cs="Times New Roman"/>
                <w:color w:val="auto"/>
                <w:spacing w:val="0"/>
                <w:w w:val="100"/>
                <w:position w:val="0"/>
                <w:sz w:val="24"/>
                <w:szCs w:val="22"/>
                <w:lang w:val="en-US" w:eastAsia="zh-CN"/>
              </w:rPr>
              <w:t>15</w:t>
            </w:r>
            <w:r>
              <w:rPr>
                <w:rFonts w:hint="eastAsia" w:ascii="Times New Roman" w:hAnsi="Times New Roman" w:eastAsia="宋体" w:cs="Times New Roman"/>
                <w:color w:val="auto"/>
                <w:spacing w:val="0"/>
                <w:w w:val="100"/>
                <w:position w:val="0"/>
                <w:sz w:val="24"/>
                <w:szCs w:val="22"/>
                <w:lang w:val="en-US" w:eastAsia="zh-CN"/>
              </w:rPr>
              <w:t>m以内区域的3类声环境功能区保护目标，执行《声环境质量标准》(GB3096-2008)4a类标准；</w:t>
            </w:r>
          </w:p>
          <w:p w14:paraId="6985E1A9">
            <w:pPr>
              <w:spacing w:line="360" w:lineRule="auto"/>
              <w:ind w:firstLine="480"/>
              <w:rPr>
                <w:rFonts w:hint="eastAsia" w:ascii="Times New Roman" w:hAnsi="Times New Roman" w:eastAsia="宋体" w:cs="Times New Roman"/>
                <w:color w:val="auto"/>
                <w:spacing w:val="0"/>
                <w:w w:val="100"/>
                <w:position w:val="0"/>
                <w:sz w:val="24"/>
                <w:szCs w:val="22"/>
                <w:lang w:val="en-US" w:eastAsia="zh-CN"/>
              </w:rPr>
            </w:pPr>
            <w:r>
              <w:rPr>
                <w:rFonts w:hint="eastAsia" w:ascii="Times New Roman" w:hAnsi="Times New Roman" w:eastAsia="宋体" w:cs="Times New Roman"/>
                <w:color w:val="auto"/>
                <w:spacing w:val="0"/>
                <w:w w:val="100"/>
                <w:position w:val="0"/>
                <w:sz w:val="24"/>
                <w:szCs w:val="22"/>
                <w:lang w:val="en-US" w:eastAsia="zh-CN"/>
              </w:rPr>
              <w:t>本项目货物线两侧3</w:t>
            </w:r>
            <w:r>
              <w:rPr>
                <w:rFonts w:hint="eastAsia" w:cs="Times New Roman"/>
                <w:color w:val="auto"/>
                <w:spacing w:val="0"/>
                <w:w w:val="100"/>
                <w:position w:val="0"/>
                <w:sz w:val="24"/>
                <w:szCs w:val="22"/>
                <w:lang w:val="en-US" w:eastAsia="zh-CN"/>
              </w:rPr>
              <w:t>0</w:t>
            </w:r>
            <w:r>
              <w:rPr>
                <w:rFonts w:hint="eastAsia" w:ascii="Times New Roman" w:hAnsi="Times New Roman" w:eastAsia="宋体" w:cs="Times New Roman"/>
                <w:color w:val="auto"/>
                <w:spacing w:val="0"/>
                <w:w w:val="100"/>
                <w:position w:val="0"/>
                <w:sz w:val="24"/>
                <w:szCs w:val="22"/>
                <w:lang w:val="en-US" w:eastAsia="zh-CN"/>
              </w:rPr>
              <w:t>m范围内无敏感点。</w:t>
            </w:r>
          </w:p>
          <w:p w14:paraId="76EA1A57">
            <w:pPr>
              <w:spacing w:line="360" w:lineRule="auto"/>
              <w:ind w:firstLine="480"/>
              <w:rPr>
                <w:rFonts w:hint="eastAsia" w:ascii="Times New Roman" w:hAnsi="Times New Roman" w:eastAsia="宋体" w:cs="Times New Roman"/>
                <w:color w:val="auto"/>
                <w:spacing w:val="0"/>
                <w:w w:val="100"/>
                <w:position w:val="0"/>
                <w:sz w:val="24"/>
                <w:szCs w:val="22"/>
                <w:lang w:val="en-US" w:eastAsia="zh-CN"/>
              </w:rPr>
            </w:pPr>
            <w:r>
              <w:rPr>
                <w:rFonts w:hint="eastAsia" w:ascii="Times New Roman" w:hAnsi="Times New Roman" w:eastAsia="宋体" w:cs="Times New Roman"/>
                <w:color w:val="auto"/>
                <w:spacing w:val="0"/>
                <w:w w:val="100"/>
                <w:position w:val="0"/>
                <w:sz w:val="24"/>
                <w:szCs w:val="22"/>
                <w:lang w:val="en-US" w:eastAsia="zh-CN"/>
              </w:rPr>
              <w:t>根据防城港市中心城区声环境功能区划，3类声环境功能区中的生活小区，执行2类声环境功能区标准。陈屋村</w:t>
            </w:r>
            <w:r>
              <w:rPr>
                <w:rFonts w:hint="eastAsia" w:cs="Times New Roman"/>
                <w:color w:val="auto"/>
                <w:spacing w:val="0"/>
                <w:w w:val="100"/>
                <w:position w:val="0"/>
                <w:sz w:val="24"/>
                <w:szCs w:val="22"/>
                <w:lang w:val="en-US" w:eastAsia="zh-CN"/>
              </w:rPr>
              <w:t>分布</w:t>
            </w:r>
            <w:r>
              <w:rPr>
                <w:rFonts w:hint="eastAsia" w:ascii="Times New Roman" w:hAnsi="Times New Roman" w:eastAsia="宋体" w:cs="Times New Roman"/>
                <w:color w:val="auto"/>
                <w:spacing w:val="0"/>
                <w:w w:val="100"/>
                <w:position w:val="0"/>
                <w:sz w:val="24"/>
                <w:szCs w:val="22"/>
                <w:lang w:val="en-US" w:eastAsia="zh-CN"/>
              </w:rPr>
              <w:t>于沙企一级路交通干线两侧，最近距离分别为20m、13m。因此，陈屋村位于交通干线两侧</w:t>
            </w:r>
            <w:r>
              <w:rPr>
                <w:rFonts w:hint="eastAsia" w:cs="Times New Roman"/>
                <w:color w:val="auto"/>
                <w:spacing w:val="0"/>
                <w:w w:val="100"/>
                <w:position w:val="0"/>
                <w:sz w:val="24"/>
                <w:szCs w:val="22"/>
                <w:lang w:val="en-US" w:eastAsia="zh-CN"/>
              </w:rPr>
              <w:t>30</w:t>
            </w:r>
            <w:r>
              <w:rPr>
                <w:rFonts w:hint="eastAsia" w:ascii="Times New Roman" w:hAnsi="Times New Roman" w:eastAsia="宋体" w:cs="Times New Roman"/>
                <w:color w:val="auto"/>
                <w:spacing w:val="0"/>
                <w:w w:val="100"/>
                <w:position w:val="0"/>
                <w:sz w:val="24"/>
                <w:szCs w:val="22"/>
                <w:lang w:val="en-US" w:eastAsia="zh-CN"/>
              </w:rPr>
              <w:t>m以内区域执行《声环境质量标准》（GB 3096-2008）4a类标准，其余部分执行《声环境质量标准》（GB 3096-2008）2类标准。上云约、云约、下云约、傅屋村、</w:t>
            </w:r>
            <w:r>
              <w:rPr>
                <w:rFonts w:hint="eastAsia" w:cs="Times New Roman"/>
                <w:color w:val="auto"/>
                <w:spacing w:val="0"/>
                <w:w w:val="100"/>
                <w:position w:val="0"/>
                <w:sz w:val="24"/>
                <w:szCs w:val="22"/>
                <w:lang w:val="en-US" w:eastAsia="zh-CN"/>
              </w:rPr>
              <w:t>黄京角村、</w:t>
            </w:r>
            <w:r>
              <w:rPr>
                <w:rFonts w:hint="eastAsia" w:ascii="Times New Roman" w:hAnsi="Times New Roman" w:eastAsia="宋体" w:cs="Times New Roman"/>
                <w:color w:val="auto"/>
                <w:spacing w:val="0"/>
                <w:w w:val="100"/>
                <w:position w:val="0"/>
                <w:sz w:val="24"/>
                <w:szCs w:val="22"/>
                <w:lang w:val="en-US" w:eastAsia="zh-CN"/>
              </w:rPr>
              <w:t>大𬇕尾村执行《声环境质量标准》（GB 3096-2008）2类标准。</w:t>
            </w:r>
          </w:p>
          <w:p w14:paraId="54C61628">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b/>
                <w:color w:val="auto"/>
                <w:sz w:val="24"/>
                <w:szCs w:val="24"/>
              </w:rPr>
            </w:pPr>
          </w:p>
          <w:p w14:paraId="3E99052C">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b/>
                <w:color w:val="auto"/>
                <w:sz w:val="24"/>
                <w:szCs w:val="24"/>
              </w:rPr>
            </w:pPr>
          </w:p>
          <w:p w14:paraId="1848F7D7">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pacing w:val="0"/>
                <w:w w:val="100"/>
                <w:position w:val="0"/>
                <w:sz w:val="24"/>
                <w:szCs w:val="22"/>
              </w:rPr>
            </w:pPr>
            <w:r>
              <w:rPr>
                <w:b/>
                <w:color w:val="auto"/>
                <w:sz w:val="24"/>
                <w:szCs w:val="24"/>
              </w:rPr>
              <w:t>表3-</w:t>
            </w:r>
            <w:r>
              <w:rPr>
                <w:rFonts w:hint="eastAsia" w:ascii="Times New Roman" w:eastAsia="宋体"/>
                <w:b/>
                <w:color w:val="auto"/>
                <w:sz w:val="24"/>
                <w:szCs w:val="24"/>
                <w:lang w:val="en-US" w:eastAsia="zh-CN"/>
              </w:rPr>
              <w:t>6</w:t>
            </w:r>
            <w:r>
              <w:rPr>
                <w:b/>
                <w:color w:val="auto"/>
                <w:sz w:val="24"/>
                <w:szCs w:val="24"/>
              </w:rPr>
              <w:t xml:space="preserve">  </w:t>
            </w:r>
            <w:r>
              <w:rPr>
                <w:rFonts w:hint="eastAsia"/>
                <w:b/>
                <w:color w:val="auto"/>
                <w:sz w:val="24"/>
                <w:szCs w:val="24"/>
              </w:rPr>
              <w:t>《</w:t>
            </w:r>
            <w:r>
              <w:rPr>
                <w:b/>
                <w:color w:val="auto"/>
                <w:sz w:val="24"/>
                <w:szCs w:val="24"/>
              </w:rPr>
              <w:t>声环境质量标准</w:t>
            </w:r>
            <w:r>
              <w:rPr>
                <w:rFonts w:hint="eastAsia"/>
                <w:b/>
                <w:color w:val="auto"/>
                <w:sz w:val="24"/>
                <w:szCs w:val="24"/>
              </w:rPr>
              <w:t xml:space="preserve">》（摘录） </w:t>
            </w:r>
            <w:r>
              <w:rPr>
                <w:b/>
                <w:color w:val="auto"/>
                <w:sz w:val="24"/>
                <w:szCs w:val="24"/>
              </w:rPr>
              <w:t xml:space="preserve"> </w:t>
            </w:r>
            <w:r>
              <w:rPr>
                <w:rFonts w:hint="eastAsia"/>
                <w:b/>
                <w:color w:val="auto"/>
                <w:sz w:val="24"/>
                <w:szCs w:val="24"/>
              </w:rPr>
              <w:t>单位：</w:t>
            </w:r>
            <w:r>
              <w:rPr>
                <w:b/>
                <w:color w:val="auto"/>
                <w:sz w:val="24"/>
                <w:szCs w:val="32"/>
              </w:rPr>
              <w:t>dB</w:t>
            </w:r>
            <w:r>
              <w:rPr>
                <w:rFonts w:hint="eastAsia"/>
                <w:b/>
                <w:color w:val="auto"/>
                <w:sz w:val="24"/>
                <w:szCs w:val="32"/>
              </w:rPr>
              <w:t>(</w:t>
            </w:r>
            <w:r>
              <w:rPr>
                <w:b/>
                <w:color w:val="auto"/>
                <w:sz w:val="24"/>
                <w:szCs w:val="32"/>
              </w:rPr>
              <w:t>A)</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3212"/>
              <w:gridCol w:w="3876"/>
            </w:tblGrid>
            <w:tr w14:paraId="06DC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8" w:type="pct"/>
                  <w:gridSpan w:val="2"/>
                  <w:noWrap w:val="0"/>
                  <w:vAlign w:val="center"/>
                </w:tcPr>
                <w:p w14:paraId="65C783D9">
                  <w:pPr>
                    <w:adjustRightInd w:val="0"/>
                    <w:snapToGrid w:val="0"/>
                    <w:jc w:val="center"/>
                    <w:rPr>
                      <w:rFonts w:hint="eastAsia" w:ascii="Times New Roman" w:hAnsi="Times New Roman" w:eastAsia="宋体" w:cs="宋体"/>
                      <w:b/>
                      <w:bCs/>
                      <w:color w:val="auto"/>
                      <w:kern w:val="0"/>
                      <w:szCs w:val="21"/>
                      <w:lang w:eastAsia="zh-CN"/>
                    </w:rPr>
                  </w:pPr>
                  <w:r>
                    <w:rPr>
                      <w:rFonts w:hint="eastAsia" w:ascii="Times New Roman" w:hAnsi="Times New Roman" w:eastAsia="宋体" w:cs="宋体"/>
                      <w:b/>
                      <w:bCs/>
                      <w:color w:val="auto"/>
                      <w:kern w:val="0"/>
                      <w:szCs w:val="21"/>
                      <w:lang w:val="en-US" w:eastAsia="zh-CN"/>
                    </w:rPr>
                    <w:t>评价范围</w:t>
                  </w:r>
                </w:p>
              </w:tc>
              <w:tc>
                <w:tcPr>
                  <w:tcW w:w="2301" w:type="pct"/>
                  <w:noWrap w:val="0"/>
                  <w:vAlign w:val="center"/>
                </w:tcPr>
                <w:p w14:paraId="3DE10E8F">
                  <w:pPr>
                    <w:adjustRightInd w:val="0"/>
                    <w:snapToGrid w:val="0"/>
                    <w:jc w:val="center"/>
                    <w:rPr>
                      <w:rFonts w:hint="default" w:ascii="Times New Roman" w:hAnsi="Times New Roman" w:eastAsia="宋体" w:cs="宋体"/>
                      <w:b/>
                      <w:bCs/>
                      <w:color w:val="auto"/>
                      <w:kern w:val="0"/>
                      <w:szCs w:val="21"/>
                      <w:lang w:val="en-US" w:eastAsia="zh-CN"/>
                    </w:rPr>
                  </w:pPr>
                  <w:r>
                    <w:rPr>
                      <w:rFonts w:hint="eastAsia" w:ascii="Times New Roman" w:hAnsi="Times New Roman" w:eastAsia="宋体" w:cs="宋体"/>
                      <w:b/>
                      <w:bCs/>
                      <w:color w:val="auto"/>
                      <w:kern w:val="0"/>
                      <w:szCs w:val="21"/>
                      <w:lang w:val="en-US" w:eastAsia="zh-CN"/>
                    </w:rPr>
                    <w:t>执行标准和级别</w:t>
                  </w:r>
                </w:p>
              </w:tc>
            </w:tr>
            <w:tr w14:paraId="07BF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91" w:type="pct"/>
                  <w:vMerge w:val="restart"/>
                  <w:noWrap w:val="0"/>
                  <w:vAlign w:val="center"/>
                </w:tcPr>
                <w:p w14:paraId="6AF6DB13">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2类声环境功能区保护目标</w:t>
                  </w:r>
                </w:p>
              </w:tc>
              <w:tc>
                <w:tcPr>
                  <w:tcW w:w="1906" w:type="pct"/>
                  <w:noWrap w:val="0"/>
                  <w:vAlign w:val="center"/>
                </w:tcPr>
                <w:p w14:paraId="004F55B2">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距交通干线两侧3</w:t>
                  </w:r>
                  <w:r>
                    <w:rPr>
                      <w:rFonts w:hint="eastAsia" w:cs="宋体"/>
                      <w:color w:val="auto"/>
                      <w:kern w:val="0"/>
                      <w:szCs w:val="21"/>
                      <w:lang w:val="en-US" w:eastAsia="zh-CN"/>
                    </w:rPr>
                    <w:t>0</w:t>
                  </w:r>
                  <w:r>
                    <w:rPr>
                      <w:rFonts w:hint="eastAsia" w:ascii="Times New Roman" w:hAnsi="Times New Roman" w:eastAsia="宋体" w:cs="宋体"/>
                      <w:color w:val="auto"/>
                      <w:kern w:val="0"/>
                      <w:szCs w:val="21"/>
                      <w:lang w:val="en-US" w:eastAsia="zh-CN"/>
                    </w:rPr>
                    <w:t>m以内区域</w:t>
                  </w:r>
                </w:p>
              </w:tc>
              <w:tc>
                <w:tcPr>
                  <w:tcW w:w="2301" w:type="pct"/>
                  <w:noWrap w:val="0"/>
                  <w:vAlign w:val="center"/>
                </w:tcPr>
                <w:p w14:paraId="6235E387">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《声环境质量标准》(GB3096-2008)4a类标准（昼间70dB（A）/夜间55dB（A））</w:t>
                  </w:r>
                </w:p>
              </w:tc>
            </w:tr>
            <w:tr w14:paraId="7636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91" w:type="pct"/>
                  <w:vMerge w:val="continue"/>
                  <w:noWrap w:val="0"/>
                  <w:vAlign w:val="center"/>
                </w:tcPr>
                <w:p w14:paraId="7D45344C">
                  <w:pPr>
                    <w:adjustRightInd w:val="0"/>
                    <w:snapToGrid w:val="0"/>
                    <w:jc w:val="center"/>
                    <w:rPr>
                      <w:rFonts w:hint="default" w:ascii="Times New Roman" w:hAnsi="Times New Roman" w:eastAsia="宋体" w:cs="宋体"/>
                      <w:color w:val="auto"/>
                      <w:kern w:val="0"/>
                      <w:szCs w:val="21"/>
                      <w:lang w:val="en-US" w:eastAsia="zh-CN"/>
                    </w:rPr>
                  </w:pPr>
                </w:p>
              </w:tc>
              <w:tc>
                <w:tcPr>
                  <w:tcW w:w="1906" w:type="pct"/>
                  <w:noWrap w:val="0"/>
                  <w:vAlign w:val="center"/>
                </w:tcPr>
                <w:p w14:paraId="687F728B">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距铁路边界线两侧3</w:t>
                  </w:r>
                  <w:r>
                    <w:rPr>
                      <w:rFonts w:hint="eastAsia" w:cs="宋体"/>
                      <w:color w:val="auto"/>
                      <w:kern w:val="0"/>
                      <w:szCs w:val="21"/>
                      <w:lang w:val="en-US" w:eastAsia="zh-CN"/>
                    </w:rPr>
                    <w:t>0</w:t>
                  </w:r>
                  <w:r>
                    <w:rPr>
                      <w:rFonts w:hint="eastAsia" w:ascii="Times New Roman" w:hAnsi="Times New Roman" w:eastAsia="宋体" w:cs="宋体"/>
                      <w:color w:val="auto"/>
                      <w:kern w:val="0"/>
                      <w:szCs w:val="21"/>
                      <w:lang w:val="en-US" w:eastAsia="zh-CN"/>
                    </w:rPr>
                    <w:t>m以内区域</w:t>
                  </w:r>
                </w:p>
              </w:tc>
              <w:tc>
                <w:tcPr>
                  <w:tcW w:w="2301" w:type="pct"/>
                  <w:noWrap w:val="0"/>
                  <w:vAlign w:val="center"/>
                </w:tcPr>
                <w:p w14:paraId="4195BEC1">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《声环境质量标准》(GB3096-2008)4b类标准（昼间70dB（A）/夜间60dB（A））</w:t>
                  </w:r>
                </w:p>
              </w:tc>
            </w:tr>
            <w:tr w14:paraId="4D15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91" w:type="pct"/>
                  <w:vMerge w:val="restart"/>
                  <w:noWrap w:val="0"/>
                  <w:vAlign w:val="center"/>
                </w:tcPr>
                <w:p w14:paraId="7EA8BA5A">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3类声环境功能区保护目标</w:t>
                  </w:r>
                </w:p>
              </w:tc>
              <w:tc>
                <w:tcPr>
                  <w:tcW w:w="1906" w:type="pct"/>
                  <w:noWrap w:val="0"/>
                  <w:vAlign w:val="center"/>
                </w:tcPr>
                <w:p w14:paraId="0295CE99">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距交通干线两侧</w:t>
                  </w:r>
                  <w:r>
                    <w:rPr>
                      <w:rFonts w:hint="eastAsia" w:cs="宋体"/>
                      <w:color w:val="auto"/>
                      <w:kern w:val="0"/>
                      <w:szCs w:val="21"/>
                      <w:lang w:val="en-US" w:eastAsia="zh-CN"/>
                    </w:rPr>
                    <w:t>15</w:t>
                  </w:r>
                  <w:r>
                    <w:rPr>
                      <w:rFonts w:hint="eastAsia" w:ascii="Times New Roman" w:hAnsi="Times New Roman" w:eastAsia="宋体" w:cs="宋体"/>
                      <w:color w:val="auto"/>
                      <w:kern w:val="0"/>
                      <w:szCs w:val="21"/>
                      <w:lang w:val="en-US" w:eastAsia="zh-CN"/>
                    </w:rPr>
                    <w:t>m以内区域</w:t>
                  </w:r>
                </w:p>
              </w:tc>
              <w:tc>
                <w:tcPr>
                  <w:tcW w:w="2301" w:type="pct"/>
                  <w:noWrap w:val="0"/>
                  <w:vAlign w:val="center"/>
                </w:tcPr>
                <w:p w14:paraId="78D4AACE">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《声环境质量标准》(GB3096-2008)4a类标准（昼间70dB（A）/夜间55dB（A））</w:t>
                  </w:r>
                </w:p>
              </w:tc>
            </w:tr>
            <w:tr w14:paraId="5FBA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91" w:type="pct"/>
                  <w:vMerge w:val="continue"/>
                  <w:noWrap w:val="0"/>
                  <w:vAlign w:val="center"/>
                </w:tcPr>
                <w:p w14:paraId="3C3CA64F">
                  <w:pPr>
                    <w:adjustRightInd w:val="0"/>
                    <w:snapToGrid w:val="0"/>
                    <w:jc w:val="center"/>
                    <w:rPr>
                      <w:rFonts w:hint="default" w:ascii="Times New Roman" w:hAnsi="Times New Roman" w:eastAsia="宋体" w:cs="宋体"/>
                      <w:color w:val="auto"/>
                      <w:kern w:val="0"/>
                      <w:szCs w:val="21"/>
                      <w:lang w:val="en-US" w:eastAsia="zh-CN"/>
                    </w:rPr>
                  </w:pPr>
                </w:p>
              </w:tc>
              <w:tc>
                <w:tcPr>
                  <w:tcW w:w="1906" w:type="pct"/>
                  <w:noWrap w:val="0"/>
                  <w:vAlign w:val="center"/>
                </w:tcPr>
                <w:p w14:paraId="49026F85">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距铁路边界线两侧</w:t>
                  </w:r>
                  <w:r>
                    <w:rPr>
                      <w:rFonts w:hint="eastAsia" w:cs="宋体"/>
                      <w:color w:val="auto"/>
                      <w:kern w:val="0"/>
                      <w:szCs w:val="21"/>
                      <w:lang w:val="en-US" w:eastAsia="zh-CN"/>
                    </w:rPr>
                    <w:t>15</w:t>
                  </w:r>
                  <w:r>
                    <w:rPr>
                      <w:rFonts w:hint="eastAsia" w:ascii="Times New Roman" w:hAnsi="Times New Roman" w:eastAsia="宋体" w:cs="宋体"/>
                      <w:color w:val="auto"/>
                      <w:kern w:val="0"/>
                      <w:szCs w:val="21"/>
                      <w:lang w:val="en-US" w:eastAsia="zh-CN"/>
                    </w:rPr>
                    <w:t>m以内区域</w:t>
                  </w:r>
                </w:p>
              </w:tc>
              <w:tc>
                <w:tcPr>
                  <w:tcW w:w="2301" w:type="pct"/>
                  <w:noWrap w:val="0"/>
                  <w:vAlign w:val="center"/>
                </w:tcPr>
                <w:p w14:paraId="7840D791">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《声环境质量标准》(GB3096-2008)4b类标准（昼间70dB（A）/夜间60dB（A））</w:t>
                  </w:r>
                </w:p>
              </w:tc>
            </w:tr>
          </w:tbl>
          <w:p w14:paraId="189D9D6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4）环境振动质量标准</w:t>
            </w:r>
          </w:p>
          <w:p w14:paraId="384A665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rFonts w:ascii="Times New Roman" w:hAnsi="Times New Roman" w:eastAsia="宋体" w:cs="Times New Roman"/>
                <w:b/>
                <w:bCs/>
                <w:color w:val="auto"/>
                <w:szCs w:val="21"/>
              </w:rPr>
            </w:pPr>
            <w:r>
              <w:rPr>
                <w:rFonts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rPr>
              <w:t>3</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 xml:space="preserve">7  </w:t>
            </w:r>
            <w:r>
              <w:rPr>
                <w:rFonts w:hint="eastAsia" w:ascii="Times New Roman" w:hAnsi="Times New Roman" w:eastAsia="宋体" w:cs="Times New Roman"/>
                <w:b/>
                <w:bCs/>
                <w:color w:val="auto"/>
                <w:sz w:val="24"/>
                <w:szCs w:val="24"/>
              </w:rPr>
              <w:t>城市区域环境振动标准</w:t>
            </w:r>
            <w:r>
              <w:rPr>
                <w:rFonts w:ascii="Times New Roman" w:hAnsi="Times New Roman" w:eastAsia="宋体" w:cs="Times New Roman"/>
                <w:b/>
                <w:bCs/>
                <w:color w:val="auto"/>
                <w:sz w:val="24"/>
                <w:szCs w:val="24"/>
              </w:rPr>
              <w:t>排放标准（摘录）  单位：dB(A)</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9"/>
              <w:gridCol w:w="3175"/>
              <w:gridCol w:w="3176"/>
            </w:tblGrid>
            <w:tr w14:paraId="2FE2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center"/>
                </w:tcPr>
                <w:p w14:paraId="5826ED8A">
                  <w:pPr>
                    <w:adjustRightInd w:val="0"/>
                    <w:snapToGrid w:val="0"/>
                    <w:jc w:val="center"/>
                    <w:rPr>
                      <w:rFonts w:ascii="Times New Roman" w:hAnsi="Times New Roman" w:eastAsia="宋体" w:cs="宋体"/>
                      <w:b/>
                      <w:bCs/>
                      <w:color w:val="auto"/>
                      <w:kern w:val="0"/>
                      <w:szCs w:val="21"/>
                    </w:rPr>
                  </w:pPr>
                  <w:r>
                    <w:rPr>
                      <w:rFonts w:hint="eastAsia" w:ascii="Times New Roman" w:hAnsi="Times New Roman" w:eastAsia="宋体" w:cs="宋体"/>
                      <w:b/>
                      <w:bCs/>
                      <w:color w:val="auto"/>
                      <w:kern w:val="0"/>
                      <w:szCs w:val="21"/>
                      <w:lang w:eastAsia="zh-CN"/>
                    </w:rPr>
                    <w:t>适用地带范围</w:t>
                  </w:r>
                </w:p>
              </w:tc>
              <w:tc>
                <w:tcPr>
                  <w:tcW w:w="1885" w:type="pct"/>
                  <w:vAlign w:val="center"/>
                </w:tcPr>
                <w:p w14:paraId="66F959B3">
                  <w:pPr>
                    <w:adjustRightInd w:val="0"/>
                    <w:snapToGrid w:val="0"/>
                    <w:jc w:val="center"/>
                    <w:rPr>
                      <w:rFonts w:hint="eastAsia" w:ascii="Times New Roman" w:hAnsi="Times New Roman" w:eastAsia="宋体" w:cs="宋体"/>
                      <w:b/>
                      <w:bCs/>
                      <w:color w:val="auto"/>
                      <w:kern w:val="0"/>
                      <w:szCs w:val="21"/>
                      <w:lang w:eastAsia="zh-CN"/>
                    </w:rPr>
                  </w:pPr>
                  <w:r>
                    <w:rPr>
                      <w:rFonts w:hint="eastAsia" w:ascii="Times New Roman" w:hAnsi="Times New Roman" w:eastAsia="宋体" w:cs="宋体"/>
                      <w:b/>
                      <w:bCs/>
                      <w:color w:val="auto"/>
                      <w:kern w:val="0"/>
                      <w:szCs w:val="21"/>
                      <w:lang w:eastAsia="zh-CN"/>
                    </w:rPr>
                    <w:t>昼间</w:t>
                  </w:r>
                </w:p>
              </w:tc>
              <w:tc>
                <w:tcPr>
                  <w:tcW w:w="1885" w:type="pct"/>
                  <w:vAlign w:val="center"/>
                </w:tcPr>
                <w:p w14:paraId="40C0D06A">
                  <w:pPr>
                    <w:adjustRightInd w:val="0"/>
                    <w:snapToGrid w:val="0"/>
                    <w:jc w:val="center"/>
                    <w:rPr>
                      <w:rFonts w:hint="eastAsia" w:ascii="Times New Roman" w:hAnsi="Times New Roman" w:eastAsia="宋体" w:cs="宋体"/>
                      <w:b/>
                      <w:bCs/>
                      <w:color w:val="auto"/>
                      <w:kern w:val="0"/>
                      <w:szCs w:val="21"/>
                      <w:lang w:eastAsia="zh-CN"/>
                    </w:rPr>
                  </w:pPr>
                  <w:r>
                    <w:rPr>
                      <w:rFonts w:hint="eastAsia" w:ascii="Times New Roman" w:hAnsi="Times New Roman" w:eastAsia="宋体" w:cs="宋体"/>
                      <w:b/>
                      <w:bCs/>
                      <w:color w:val="auto"/>
                      <w:kern w:val="0"/>
                      <w:szCs w:val="21"/>
                      <w:lang w:eastAsia="zh-CN"/>
                    </w:rPr>
                    <w:t>夜间</w:t>
                  </w:r>
                </w:p>
              </w:tc>
            </w:tr>
            <w:tr w14:paraId="6AD4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center"/>
                </w:tcPr>
                <w:p w14:paraId="3B90A25C">
                  <w:pPr>
                    <w:adjustRightInd w:val="0"/>
                    <w:snapToGrid w:val="0"/>
                    <w:jc w:val="center"/>
                    <w:rPr>
                      <w:rFonts w:hint="eastAsia" w:ascii="Times New Roman" w:hAnsi="Times New Roman" w:eastAsia="宋体" w:cs="宋体"/>
                      <w:color w:val="auto"/>
                      <w:kern w:val="0"/>
                      <w:szCs w:val="21"/>
                      <w:lang w:eastAsia="zh-CN"/>
                    </w:rPr>
                  </w:pPr>
                  <w:r>
                    <w:rPr>
                      <w:rFonts w:hint="eastAsia" w:ascii="Times New Roman" w:hAnsi="Times New Roman" w:eastAsia="宋体" w:cs="宋体"/>
                      <w:color w:val="auto"/>
                      <w:kern w:val="0"/>
                      <w:szCs w:val="21"/>
                      <w:lang w:eastAsia="zh-CN"/>
                    </w:rPr>
                    <w:t>工业集中区</w:t>
                  </w:r>
                </w:p>
              </w:tc>
              <w:tc>
                <w:tcPr>
                  <w:tcW w:w="1885" w:type="pct"/>
                  <w:vAlign w:val="center"/>
                </w:tcPr>
                <w:p w14:paraId="2C835779">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75</w:t>
                  </w:r>
                </w:p>
              </w:tc>
              <w:tc>
                <w:tcPr>
                  <w:tcW w:w="1885" w:type="pct"/>
                  <w:vAlign w:val="center"/>
                </w:tcPr>
                <w:p w14:paraId="65A001D3">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72</w:t>
                  </w:r>
                </w:p>
              </w:tc>
            </w:tr>
            <w:tr w14:paraId="3F16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center"/>
                </w:tcPr>
                <w:p w14:paraId="2D4446FC">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居民、文教区</w:t>
                  </w:r>
                </w:p>
              </w:tc>
              <w:tc>
                <w:tcPr>
                  <w:tcW w:w="1885" w:type="pct"/>
                  <w:vAlign w:val="center"/>
                </w:tcPr>
                <w:p w14:paraId="1B9890EF">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70</w:t>
                  </w:r>
                </w:p>
              </w:tc>
              <w:tc>
                <w:tcPr>
                  <w:tcW w:w="1885" w:type="pct"/>
                  <w:vAlign w:val="center"/>
                </w:tcPr>
                <w:p w14:paraId="0253DDF1">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67</w:t>
                  </w:r>
                </w:p>
              </w:tc>
            </w:tr>
            <w:tr w14:paraId="133B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center"/>
                </w:tcPr>
                <w:p w14:paraId="3A8B82E5">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交通干线道路两侧</w:t>
                  </w:r>
                </w:p>
              </w:tc>
              <w:tc>
                <w:tcPr>
                  <w:tcW w:w="1885" w:type="pct"/>
                  <w:vAlign w:val="center"/>
                </w:tcPr>
                <w:p w14:paraId="52E77607">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75</w:t>
                  </w:r>
                </w:p>
              </w:tc>
              <w:tc>
                <w:tcPr>
                  <w:tcW w:w="1885" w:type="pct"/>
                  <w:vAlign w:val="center"/>
                </w:tcPr>
                <w:p w14:paraId="5EC257E0">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72</w:t>
                  </w:r>
                </w:p>
              </w:tc>
            </w:tr>
            <w:tr w14:paraId="207B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28" w:type="pct"/>
                  <w:vAlign w:val="center"/>
                </w:tcPr>
                <w:p w14:paraId="71EDA68F">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铁路干线两侧</w:t>
                  </w:r>
                </w:p>
              </w:tc>
              <w:tc>
                <w:tcPr>
                  <w:tcW w:w="1885" w:type="pct"/>
                  <w:vAlign w:val="center"/>
                </w:tcPr>
                <w:p w14:paraId="216D6E01">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80</w:t>
                  </w:r>
                </w:p>
              </w:tc>
              <w:tc>
                <w:tcPr>
                  <w:tcW w:w="1885" w:type="pct"/>
                  <w:vAlign w:val="center"/>
                </w:tcPr>
                <w:p w14:paraId="32830CE6">
                  <w:pPr>
                    <w:adjustRightInd w:val="0"/>
                    <w:snapToGrid w:val="0"/>
                    <w:jc w:val="center"/>
                    <w:rPr>
                      <w:rFonts w:hint="default" w:ascii="Times New Roman" w:hAnsi="Times New Roman"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80</w:t>
                  </w:r>
                </w:p>
              </w:tc>
            </w:tr>
          </w:tbl>
          <w:p w14:paraId="5AEBB5F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cs="宋体"/>
                <w:b/>
                <w:bCs/>
                <w:color w:val="auto"/>
                <w:kern w:val="0"/>
                <w:sz w:val="24"/>
              </w:rPr>
            </w:pPr>
            <w:r>
              <w:rPr>
                <w:rFonts w:hint="eastAsia" w:cs="宋体"/>
                <w:b/>
                <w:bCs/>
                <w:color w:val="auto"/>
                <w:kern w:val="0"/>
                <w:sz w:val="24"/>
              </w:rPr>
              <w:t>2、污染物排放标准</w:t>
            </w:r>
          </w:p>
          <w:p w14:paraId="610006E8">
            <w:pPr>
              <w:adjustRightInd w:val="0"/>
              <w:snapToGrid w:val="0"/>
              <w:spacing w:line="360" w:lineRule="auto"/>
              <w:ind w:firstLine="480" w:firstLineChars="200"/>
              <w:rPr>
                <w:rFonts w:cs="宋体"/>
                <w:color w:val="auto"/>
                <w:kern w:val="0"/>
                <w:sz w:val="24"/>
              </w:rPr>
            </w:pPr>
            <w:r>
              <w:rPr>
                <w:rFonts w:hint="eastAsia" w:cs="宋体"/>
                <w:color w:val="auto"/>
                <w:kern w:val="0"/>
                <w:sz w:val="24"/>
              </w:rPr>
              <w:t>（1）废气</w:t>
            </w:r>
          </w:p>
          <w:p w14:paraId="1F3D6DAB">
            <w:pPr>
              <w:adjustRightInd/>
              <w:snapToGrid/>
              <w:spacing w:line="360" w:lineRule="auto"/>
              <w:ind w:firstLine="480" w:firstLineChars="200"/>
              <w:rPr>
                <w:rFonts w:hint="eastAsia" w:cs="宋体"/>
                <w:bCs/>
                <w:color w:val="auto"/>
                <w:kern w:val="0"/>
                <w:sz w:val="24"/>
                <w:lang w:eastAsia="zh-CN"/>
              </w:rPr>
            </w:pPr>
            <w:r>
              <w:rPr>
                <w:rFonts w:cs="宋体"/>
                <w:bCs/>
                <w:color w:val="auto"/>
                <w:kern w:val="0"/>
                <w:sz w:val="24"/>
              </w:rPr>
              <w:t>项目施工期</w:t>
            </w:r>
            <w:r>
              <w:rPr>
                <w:rFonts w:hint="eastAsia" w:cs="宋体"/>
                <w:bCs/>
                <w:color w:val="auto"/>
                <w:kern w:val="0"/>
                <w:sz w:val="24"/>
              </w:rPr>
              <w:t>施工</w:t>
            </w:r>
            <w:r>
              <w:rPr>
                <w:rFonts w:cs="宋体"/>
                <w:bCs/>
                <w:color w:val="auto"/>
                <w:kern w:val="0"/>
                <w:sz w:val="24"/>
              </w:rPr>
              <w:t>废气执行《大气污染物综合排放标准》（GB16297-1996）表2无组织排放监控浓度限值</w:t>
            </w:r>
            <w:r>
              <w:rPr>
                <w:rFonts w:hint="eastAsia" w:cs="宋体"/>
                <w:bCs/>
                <w:color w:val="auto"/>
                <w:kern w:val="0"/>
                <w:sz w:val="24"/>
                <w:lang w:eastAsia="zh-CN"/>
              </w:rPr>
              <w:t>；</w:t>
            </w:r>
          </w:p>
          <w:p w14:paraId="5AF927D3">
            <w:pPr>
              <w:adjustRightInd/>
              <w:snapToGrid/>
              <w:spacing w:line="360" w:lineRule="auto"/>
              <w:ind w:firstLine="480" w:firstLineChars="200"/>
              <w:rPr>
                <w:rFonts w:hint="eastAsia" w:cs="Times New Roman"/>
                <w:color w:val="auto"/>
                <w:sz w:val="24"/>
                <w:szCs w:val="24"/>
                <w:lang w:eastAsia="zh-CN"/>
              </w:rPr>
            </w:pPr>
            <w:r>
              <w:rPr>
                <w:rFonts w:hint="eastAsia" w:cs="宋体"/>
                <w:bCs/>
                <w:color w:val="auto"/>
                <w:kern w:val="0"/>
                <w:sz w:val="24"/>
                <w:lang w:val="en-US" w:eastAsia="zh-CN"/>
              </w:rPr>
              <w:t>运营期</w:t>
            </w:r>
            <w:r>
              <w:rPr>
                <w:rFonts w:hint="eastAsia" w:ascii="Times New Roman" w:hAnsi="Times New Roman" w:eastAsia="宋体" w:cs="Times New Roman"/>
                <w:color w:val="auto"/>
                <w:sz w:val="24"/>
                <w:szCs w:val="24"/>
                <w:lang w:val="en-US" w:eastAsia="zh-CN"/>
              </w:rPr>
              <w:t>内燃机废气和汽车尾气</w:t>
            </w:r>
            <w:r>
              <w:rPr>
                <w:rFonts w:hint="default" w:ascii="Times New Roman" w:hAnsi="Times New Roman" w:eastAsia="宋体" w:cs="Times New Roman"/>
                <w:color w:val="auto"/>
                <w:sz w:val="24"/>
                <w:szCs w:val="24"/>
              </w:rPr>
              <w:t>中主要污染物为</w:t>
            </w:r>
            <w:r>
              <w:rPr>
                <w:rFonts w:hint="eastAsia" w:cs="Times New Roman"/>
                <w:color w:val="auto"/>
                <w:sz w:val="24"/>
                <w:szCs w:val="24"/>
                <w:lang w:eastAsia="zh-CN"/>
              </w:rPr>
              <w:t>颗粒物、</w:t>
            </w:r>
            <w:r>
              <w:rPr>
                <w:rFonts w:hint="default" w:ascii="Times New Roman" w:hAnsi="Times New Roman" w:eastAsia="宋体" w:cs="Times New Roman"/>
                <w:color w:val="auto"/>
                <w:sz w:val="24"/>
                <w:szCs w:val="24"/>
              </w:rPr>
              <w:t>一氧化碳(CO)、氮氧化物(NOx)、碳氢化合物(HC)，执行</w:t>
            </w:r>
            <w:r>
              <w:rPr>
                <w:rFonts w:hint="eastAsia" w:cs="Times New Roman"/>
                <w:color w:val="auto"/>
                <w:sz w:val="24"/>
                <w:szCs w:val="24"/>
                <w:lang w:eastAsia="zh-CN"/>
              </w:rPr>
              <w:t>《</w:t>
            </w:r>
            <w:r>
              <w:rPr>
                <w:rFonts w:hint="eastAsia" w:cs="Times New Roman"/>
                <w:color w:val="auto"/>
                <w:sz w:val="24"/>
                <w:szCs w:val="24"/>
                <w:lang w:val="en-US" w:eastAsia="zh-CN"/>
              </w:rPr>
              <w:t>铁路内燃机车及其发动机排气污染物排放限值及测量方法（中国第一阶段）</w:t>
            </w:r>
            <w:r>
              <w:rPr>
                <w:rFonts w:hint="eastAsia" w:cs="Times New Roman"/>
                <w:color w:val="auto"/>
                <w:sz w:val="24"/>
                <w:szCs w:val="24"/>
                <w:lang w:eastAsia="zh-CN"/>
              </w:rPr>
              <w:t>》</w:t>
            </w:r>
            <w:r>
              <w:rPr>
                <w:rFonts w:hint="eastAsia" w:cs="Times New Roman"/>
                <w:color w:val="auto"/>
                <w:sz w:val="24"/>
                <w:szCs w:val="24"/>
                <w:lang w:val="en-US" w:eastAsia="zh-CN"/>
              </w:rPr>
              <w:t>中表2排放限值，详见表3-8</w:t>
            </w:r>
            <w:r>
              <w:rPr>
                <w:rFonts w:hint="eastAsia" w:cs="Times New Roman"/>
                <w:color w:val="auto"/>
                <w:sz w:val="24"/>
                <w:szCs w:val="24"/>
                <w:lang w:eastAsia="zh-CN"/>
              </w:rPr>
              <w:t>。</w:t>
            </w:r>
          </w:p>
          <w:p w14:paraId="4498CD7E">
            <w:pPr>
              <w:adjustRightInd/>
              <w:snapToGrid/>
              <w:spacing w:line="360" w:lineRule="auto"/>
              <w:ind w:firstLine="480" w:firstLineChars="200"/>
              <w:rPr>
                <w:rFonts w:cs="宋体"/>
                <w:bCs/>
                <w:color w:val="auto"/>
                <w:kern w:val="0"/>
                <w:sz w:val="24"/>
              </w:rPr>
            </w:pPr>
            <w:r>
              <w:rPr>
                <w:rFonts w:hint="eastAsia" w:cs="Times New Roman"/>
                <w:color w:val="auto"/>
                <w:sz w:val="24"/>
                <w:szCs w:val="24"/>
                <w:lang w:val="en-US" w:eastAsia="zh-CN"/>
              </w:rPr>
              <w:t>运营期集装箱装卸扬尘、废气执行</w:t>
            </w:r>
            <w:r>
              <w:rPr>
                <w:rFonts w:hint="default" w:ascii="Times New Roman" w:hAnsi="Times New Roman" w:eastAsia="宋体" w:cs="Times New Roman"/>
                <w:color w:val="auto"/>
                <w:sz w:val="24"/>
                <w:szCs w:val="24"/>
              </w:rPr>
              <w:t>《大气污染物综合排放标准》(GB16297-1996)中表2无组织排放监控浓度限值</w:t>
            </w:r>
            <w:r>
              <w:rPr>
                <w:rFonts w:hint="eastAsia" w:cs="Times New Roman"/>
                <w:color w:val="auto"/>
                <w:sz w:val="24"/>
                <w:szCs w:val="24"/>
                <w:lang w:eastAsia="zh-CN"/>
              </w:rPr>
              <w:t>，</w:t>
            </w:r>
            <w:r>
              <w:rPr>
                <w:rFonts w:hint="eastAsia" w:cs="宋体"/>
                <w:bCs/>
                <w:color w:val="auto"/>
                <w:kern w:val="0"/>
                <w:sz w:val="24"/>
              </w:rPr>
              <w:t>详见表3</w:t>
            </w:r>
            <w:r>
              <w:rPr>
                <w:rFonts w:cs="宋体"/>
                <w:bCs/>
                <w:color w:val="auto"/>
                <w:kern w:val="0"/>
                <w:sz w:val="24"/>
              </w:rPr>
              <w:t>-</w:t>
            </w:r>
            <w:r>
              <w:rPr>
                <w:rFonts w:hint="eastAsia" w:cs="宋体"/>
                <w:bCs/>
                <w:color w:val="auto"/>
                <w:kern w:val="0"/>
                <w:sz w:val="24"/>
                <w:lang w:val="en-US" w:eastAsia="zh-CN"/>
              </w:rPr>
              <w:t>9</w:t>
            </w:r>
            <w:r>
              <w:rPr>
                <w:rFonts w:hint="eastAsia" w:cs="宋体"/>
                <w:bCs/>
                <w:color w:val="auto"/>
                <w:kern w:val="0"/>
                <w:sz w:val="24"/>
              </w:rPr>
              <w:t>。</w:t>
            </w:r>
          </w:p>
          <w:p w14:paraId="09AEEBF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cs="宋体"/>
                <w:b/>
                <w:bCs/>
                <w:color w:val="auto"/>
                <w:kern w:val="0"/>
                <w:sz w:val="24"/>
                <w:szCs w:val="24"/>
                <w:lang w:val="en-US" w:eastAsia="zh-CN"/>
              </w:rPr>
            </w:pPr>
            <w:r>
              <w:rPr>
                <w:rFonts w:cs="宋体"/>
                <w:b/>
                <w:bCs/>
                <w:color w:val="auto"/>
                <w:kern w:val="0"/>
                <w:sz w:val="24"/>
                <w:szCs w:val="24"/>
              </w:rPr>
              <w:t>表</w:t>
            </w:r>
            <w:r>
              <w:rPr>
                <w:rFonts w:hint="eastAsia" w:cs="宋体"/>
                <w:b/>
                <w:bCs/>
                <w:color w:val="auto"/>
                <w:kern w:val="0"/>
                <w:sz w:val="24"/>
                <w:szCs w:val="24"/>
              </w:rPr>
              <w:t>3</w:t>
            </w:r>
            <w:r>
              <w:rPr>
                <w:rFonts w:cs="宋体"/>
                <w:b/>
                <w:bCs/>
                <w:color w:val="auto"/>
                <w:kern w:val="0"/>
                <w:sz w:val="24"/>
                <w:szCs w:val="24"/>
              </w:rPr>
              <w:t>-</w:t>
            </w:r>
            <w:r>
              <w:rPr>
                <w:rFonts w:hint="eastAsia" w:cs="宋体"/>
                <w:b/>
                <w:bCs/>
                <w:color w:val="auto"/>
                <w:kern w:val="0"/>
                <w:sz w:val="24"/>
                <w:szCs w:val="24"/>
                <w:lang w:val="en-US" w:eastAsia="zh-CN"/>
              </w:rPr>
              <w:t>8</w:t>
            </w:r>
            <w:r>
              <w:rPr>
                <w:rFonts w:cs="宋体"/>
                <w:b/>
                <w:bCs/>
                <w:color w:val="auto"/>
                <w:kern w:val="0"/>
                <w:sz w:val="24"/>
                <w:szCs w:val="24"/>
              </w:rPr>
              <w:t xml:space="preserve">  </w:t>
            </w:r>
            <w:r>
              <w:rPr>
                <w:rFonts w:hint="eastAsia" w:cs="宋体"/>
                <w:b/>
                <w:bCs/>
                <w:color w:val="auto"/>
                <w:kern w:val="0"/>
                <w:sz w:val="24"/>
                <w:szCs w:val="24"/>
                <w:lang w:val="en-US" w:eastAsia="zh-CN"/>
              </w:rPr>
              <w:t>铁路内燃机车及其发动机排气污染物第一阶段排放限值</w:t>
            </w:r>
          </w:p>
          <w:tbl>
            <w:tblPr>
              <w:tblStyle w:val="4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30"/>
              <w:gridCol w:w="1819"/>
              <w:gridCol w:w="2705"/>
              <w:gridCol w:w="2266"/>
            </w:tblGrid>
            <w:tr w14:paraId="3F220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vMerge w:val="restart"/>
                  <w:tcBorders>
                    <w:top w:val="single" w:color="000000" w:sz="4" w:space="0"/>
                    <w:left w:val="single" w:color="000000" w:sz="4" w:space="0"/>
                    <w:right w:val="single" w:color="000000" w:sz="4" w:space="0"/>
                  </w:tcBorders>
                  <w:vAlign w:val="center"/>
                </w:tcPr>
                <w:p w14:paraId="7453F7AD">
                  <w:pPr>
                    <w:adjustRightInd w:val="0"/>
                    <w:snapToGrid w:val="0"/>
                    <w:jc w:val="center"/>
                    <w:rPr>
                      <w:rFonts w:cs="宋体"/>
                      <w:b/>
                      <w:bCs w:val="0"/>
                      <w:color w:val="auto"/>
                      <w:kern w:val="0"/>
                      <w:szCs w:val="21"/>
                    </w:rPr>
                  </w:pPr>
                  <w:r>
                    <w:rPr>
                      <w:rFonts w:hint="eastAsia" w:cs="宋体"/>
                      <w:b/>
                      <w:bCs w:val="0"/>
                      <w:color w:val="auto"/>
                      <w:kern w:val="0"/>
                      <w:szCs w:val="21"/>
                    </w:rPr>
                    <w:t>污染物</w:t>
                  </w:r>
                </w:p>
              </w:tc>
              <w:tc>
                <w:tcPr>
                  <w:tcW w:w="4031" w:type="pct"/>
                  <w:gridSpan w:val="3"/>
                  <w:tcBorders>
                    <w:top w:val="single" w:color="000000" w:sz="4" w:space="0"/>
                    <w:left w:val="single" w:color="000000" w:sz="4" w:space="0"/>
                    <w:bottom w:val="single" w:color="000000" w:sz="4" w:space="0"/>
                    <w:right w:val="single" w:color="000000" w:sz="4" w:space="0"/>
                  </w:tcBorders>
                  <w:vAlign w:val="center"/>
                </w:tcPr>
                <w:p w14:paraId="4FB74038">
                  <w:pPr>
                    <w:adjustRightInd w:val="0"/>
                    <w:snapToGrid w:val="0"/>
                    <w:jc w:val="center"/>
                    <w:rPr>
                      <w:rFonts w:cs="宋体"/>
                      <w:b/>
                      <w:bCs w:val="0"/>
                      <w:color w:val="auto"/>
                      <w:kern w:val="0"/>
                      <w:szCs w:val="21"/>
                    </w:rPr>
                  </w:pPr>
                  <w:r>
                    <w:rPr>
                      <w:rFonts w:cs="宋体"/>
                      <w:b/>
                      <w:bCs w:val="0"/>
                      <w:color w:val="auto"/>
                      <w:kern w:val="0"/>
                      <w:szCs w:val="21"/>
                    </w:rPr>
                    <w:t>无组织排放监控浓度限值</w:t>
                  </w:r>
                </w:p>
              </w:tc>
            </w:tr>
            <w:tr w14:paraId="46059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vMerge w:val="continue"/>
                  <w:tcBorders>
                    <w:left w:val="single" w:color="000000" w:sz="4" w:space="0"/>
                    <w:bottom w:val="single" w:color="000000" w:sz="4" w:space="0"/>
                    <w:right w:val="single" w:color="000000" w:sz="4" w:space="0"/>
                  </w:tcBorders>
                  <w:vAlign w:val="center"/>
                </w:tcPr>
                <w:p w14:paraId="06287BB2">
                  <w:pPr>
                    <w:adjustRightInd w:val="0"/>
                    <w:snapToGrid w:val="0"/>
                    <w:jc w:val="center"/>
                    <w:rPr>
                      <w:rFonts w:cs="宋体"/>
                      <w:b/>
                      <w:bCs w:val="0"/>
                      <w:color w:val="auto"/>
                      <w:kern w:val="0"/>
                      <w:szCs w:val="21"/>
                    </w:rPr>
                  </w:pPr>
                </w:p>
              </w:tc>
              <w:tc>
                <w:tcPr>
                  <w:tcW w:w="1080" w:type="pct"/>
                  <w:tcBorders>
                    <w:top w:val="single" w:color="000000" w:sz="4" w:space="0"/>
                    <w:left w:val="single" w:color="000000" w:sz="4" w:space="0"/>
                    <w:bottom w:val="single" w:color="000000" w:sz="4" w:space="0"/>
                    <w:right w:val="single" w:color="000000" w:sz="4" w:space="0"/>
                  </w:tcBorders>
                  <w:vAlign w:val="center"/>
                </w:tcPr>
                <w:p w14:paraId="50A55420">
                  <w:pPr>
                    <w:adjustRightInd w:val="0"/>
                    <w:snapToGrid w:val="0"/>
                    <w:jc w:val="center"/>
                    <w:rPr>
                      <w:rFonts w:hint="default" w:eastAsia="宋体" w:cs="宋体"/>
                      <w:b/>
                      <w:bCs w:val="0"/>
                      <w:color w:val="auto"/>
                      <w:kern w:val="0"/>
                      <w:szCs w:val="21"/>
                      <w:lang w:val="en-US" w:eastAsia="zh-CN"/>
                    </w:rPr>
                  </w:pPr>
                  <w:r>
                    <w:rPr>
                      <w:rFonts w:hint="eastAsia" w:cs="宋体"/>
                      <w:b/>
                      <w:bCs w:val="0"/>
                      <w:color w:val="auto"/>
                      <w:kern w:val="0"/>
                      <w:szCs w:val="21"/>
                      <w:lang w:val="en-US" w:eastAsia="zh-CN"/>
                    </w:rPr>
                    <w:t>100kW＜P≤560kW</w:t>
                  </w:r>
                </w:p>
              </w:tc>
              <w:tc>
                <w:tcPr>
                  <w:tcW w:w="1606" w:type="pct"/>
                  <w:tcBorders>
                    <w:top w:val="single" w:color="000000" w:sz="4" w:space="0"/>
                    <w:left w:val="single" w:color="000000" w:sz="4" w:space="0"/>
                    <w:bottom w:val="single" w:color="000000" w:sz="4" w:space="0"/>
                    <w:right w:val="single" w:color="000000" w:sz="4" w:space="0"/>
                  </w:tcBorders>
                  <w:vAlign w:val="center"/>
                </w:tcPr>
                <w:p w14:paraId="628E511B">
                  <w:pPr>
                    <w:adjustRightInd w:val="0"/>
                    <w:snapToGrid w:val="0"/>
                    <w:jc w:val="center"/>
                    <w:rPr>
                      <w:rFonts w:hint="default" w:cs="宋体"/>
                      <w:b/>
                      <w:bCs w:val="0"/>
                      <w:color w:val="auto"/>
                      <w:kern w:val="0"/>
                      <w:szCs w:val="21"/>
                      <w:lang w:val="en-US"/>
                    </w:rPr>
                  </w:pPr>
                  <w:r>
                    <w:rPr>
                      <w:rFonts w:hint="eastAsia" w:cs="宋体"/>
                      <w:b/>
                      <w:bCs w:val="0"/>
                      <w:color w:val="auto"/>
                      <w:kern w:val="0"/>
                      <w:szCs w:val="21"/>
                      <w:lang w:val="en-US" w:eastAsia="zh-CN"/>
                    </w:rPr>
                    <w:t>560kW＜P≤2000kW，且单气缸排量小于5L</w:t>
                  </w:r>
                </w:p>
              </w:tc>
              <w:tc>
                <w:tcPr>
                  <w:tcW w:w="1344" w:type="pct"/>
                  <w:tcBorders>
                    <w:top w:val="single" w:color="000000" w:sz="4" w:space="0"/>
                    <w:left w:val="single" w:color="000000" w:sz="4" w:space="0"/>
                    <w:bottom w:val="single" w:color="000000" w:sz="4" w:space="0"/>
                    <w:right w:val="single" w:color="000000" w:sz="4" w:space="0"/>
                  </w:tcBorders>
                  <w:vAlign w:val="center"/>
                </w:tcPr>
                <w:p w14:paraId="4A0D70AC">
                  <w:pPr>
                    <w:adjustRightInd w:val="0"/>
                    <w:snapToGrid w:val="0"/>
                    <w:jc w:val="center"/>
                    <w:rPr>
                      <w:rFonts w:hint="default" w:eastAsia="宋体" w:cs="宋体"/>
                      <w:b/>
                      <w:bCs w:val="0"/>
                      <w:color w:val="auto"/>
                      <w:kern w:val="0"/>
                      <w:szCs w:val="21"/>
                      <w:lang w:val="en-US" w:eastAsia="zh-CN"/>
                    </w:rPr>
                  </w:pPr>
                  <w:r>
                    <w:rPr>
                      <w:rFonts w:hint="eastAsia" w:cs="宋体"/>
                      <w:b/>
                      <w:bCs w:val="0"/>
                      <w:color w:val="auto"/>
                      <w:kern w:val="0"/>
                      <w:szCs w:val="21"/>
                      <w:lang w:val="en-US" w:eastAsia="zh-CN"/>
                    </w:rPr>
                    <w:t>P＞2000kW，或单气缸排量≥5L</w:t>
                  </w:r>
                </w:p>
              </w:tc>
            </w:tr>
            <w:tr w14:paraId="0DA92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tcBorders>
                    <w:left w:val="single" w:color="000000" w:sz="4" w:space="0"/>
                    <w:right w:val="single" w:color="000000" w:sz="4" w:space="0"/>
                  </w:tcBorders>
                  <w:vAlign w:val="center"/>
                </w:tcPr>
                <w:p w14:paraId="0E265A2E">
                  <w:pPr>
                    <w:adjustRightInd w:val="0"/>
                    <w:snapToGrid w:val="0"/>
                    <w:jc w:val="center"/>
                    <w:rPr>
                      <w:rFonts w:cs="宋体"/>
                      <w:bCs/>
                      <w:color w:val="auto"/>
                      <w:kern w:val="0"/>
                      <w:szCs w:val="21"/>
                    </w:rPr>
                  </w:pPr>
                  <w:r>
                    <w:rPr>
                      <w:rFonts w:hint="eastAsia" w:cs="宋体"/>
                      <w:bCs/>
                      <w:color w:val="auto"/>
                      <w:kern w:val="0"/>
                      <w:szCs w:val="21"/>
                    </w:rPr>
                    <w:t>CO</w:t>
                  </w:r>
                </w:p>
              </w:tc>
              <w:tc>
                <w:tcPr>
                  <w:tcW w:w="1080" w:type="pct"/>
                  <w:tcBorders>
                    <w:top w:val="single" w:color="000000" w:sz="4" w:space="0"/>
                    <w:left w:val="single" w:color="000000" w:sz="4" w:space="0"/>
                    <w:right w:val="single" w:color="000000" w:sz="4" w:space="0"/>
                  </w:tcBorders>
                  <w:vAlign w:val="center"/>
                </w:tcPr>
                <w:p w14:paraId="1DAF6AEA">
                  <w:pPr>
                    <w:adjustRightInd w:val="0"/>
                    <w:snapToGrid w:val="0"/>
                    <w:jc w:val="center"/>
                    <w:rPr>
                      <w:rFonts w:hint="default" w:eastAsia="宋体" w:cs="宋体"/>
                      <w:bCs/>
                      <w:color w:val="auto"/>
                      <w:kern w:val="0"/>
                      <w:szCs w:val="21"/>
                      <w:lang w:val="en-US" w:eastAsia="zh-CN"/>
                    </w:rPr>
                  </w:pPr>
                  <w:r>
                    <w:rPr>
                      <w:rFonts w:hint="eastAsia" w:cs="宋体"/>
                      <w:bCs/>
                      <w:color w:val="auto"/>
                      <w:kern w:val="0"/>
                      <w:szCs w:val="21"/>
                      <w:lang w:val="en-US" w:eastAsia="zh-CN"/>
                    </w:rPr>
                    <w:t>3.5</w:t>
                  </w:r>
                </w:p>
              </w:tc>
              <w:tc>
                <w:tcPr>
                  <w:tcW w:w="1606" w:type="pct"/>
                  <w:tcBorders>
                    <w:top w:val="single" w:color="000000" w:sz="4" w:space="0"/>
                    <w:left w:val="single" w:color="000000" w:sz="4" w:space="0"/>
                    <w:bottom w:val="single" w:color="000000" w:sz="4" w:space="0"/>
                    <w:right w:val="single" w:color="000000" w:sz="4" w:space="0"/>
                  </w:tcBorders>
                  <w:vAlign w:val="center"/>
                </w:tcPr>
                <w:p w14:paraId="3912A6BE">
                  <w:pPr>
                    <w:adjustRightInd w:val="0"/>
                    <w:snapToGrid w:val="0"/>
                    <w:jc w:val="center"/>
                    <w:rPr>
                      <w:rFonts w:hint="default" w:eastAsia="宋体" w:cs="宋体"/>
                      <w:bCs/>
                      <w:color w:val="auto"/>
                      <w:kern w:val="0"/>
                      <w:szCs w:val="21"/>
                      <w:lang w:val="en-US" w:eastAsia="zh-CN"/>
                    </w:rPr>
                  </w:pPr>
                  <w:r>
                    <w:rPr>
                      <w:rFonts w:hint="eastAsia" w:cs="宋体"/>
                      <w:bCs/>
                      <w:color w:val="auto"/>
                      <w:kern w:val="0"/>
                      <w:szCs w:val="21"/>
                      <w:lang w:val="en-US" w:eastAsia="zh-CN"/>
                    </w:rPr>
                    <w:t>3.5</w:t>
                  </w:r>
                </w:p>
              </w:tc>
              <w:tc>
                <w:tcPr>
                  <w:tcW w:w="1344" w:type="pct"/>
                  <w:tcBorders>
                    <w:top w:val="single" w:color="000000" w:sz="4" w:space="0"/>
                    <w:left w:val="single" w:color="000000" w:sz="4" w:space="0"/>
                    <w:right w:val="single" w:color="000000" w:sz="4" w:space="0"/>
                  </w:tcBorders>
                  <w:vAlign w:val="center"/>
                </w:tcPr>
                <w:p w14:paraId="148545C7">
                  <w:pPr>
                    <w:adjustRightInd w:val="0"/>
                    <w:snapToGrid w:val="0"/>
                    <w:jc w:val="center"/>
                    <w:rPr>
                      <w:rFonts w:hint="default" w:eastAsia="宋体" w:cs="宋体"/>
                      <w:bCs/>
                      <w:color w:val="auto"/>
                      <w:kern w:val="0"/>
                      <w:szCs w:val="21"/>
                      <w:lang w:val="en-US" w:eastAsia="zh-CN"/>
                    </w:rPr>
                  </w:pPr>
                  <w:r>
                    <w:rPr>
                      <w:rFonts w:hint="eastAsia" w:cs="宋体"/>
                      <w:bCs/>
                      <w:color w:val="auto"/>
                      <w:kern w:val="0"/>
                      <w:szCs w:val="21"/>
                      <w:lang w:val="en-US" w:eastAsia="zh-CN"/>
                    </w:rPr>
                    <w:t>3.0</w:t>
                  </w:r>
                </w:p>
              </w:tc>
            </w:tr>
            <w:tr w14:paraId="27329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tcBorders>
                    <w:left w:val="single" w:color="000000" w:sz="4" w:space="0"/>
                    <w:right w:val="single" w:color="000000" w:sz="4" w:space="0"/>
                  </w:tcBorders>
                  <w:vAlign w:val="center"/>
                </w:tcPr>
                <w:p w14:paraId="5907C77E">
                  <w:pPr>
                    <w:adjustRightInd w:val="0"/>
                    <w:snapToGrid w:val="0"/>
                    <w:jc w:val="center"/>
                    <w:rPr>
                      <w:rFonts w:hint="eastAsia" w:eastAsia="宋体" w:cs="宋体"/>
                      <w:bCs/>
                      <w:color w:val="auto"/>
                      <w:kern w:val="0"/>
                      <w:szCs w:val="21"/>
                      <w:lang w:eastAsia="zh-CN"/>
                    </w:rPr>
                  </w:pPr>
                  <w:r>
                    <w:rPr>
                      <w:rFonts w:hint="eastAsia" w:cs="宋体"/>
                      <w:bCs/>
                      <w:color w:val="auto"/>
                      <w:kern w:val="0"/>
                      <w:szCs w:val="21"/>
                      <w:lang w:eastAsia="zh-CN"/>
                    </w:rPr>
                    <w:t>NOx</w:t>
                  </w:r>
                </w:p>
              </w:tc>
              <w:tc>
                <w:tcPr>
                  <w:tcW w:w="1080" w:type="pct"/>
                  <w:vMerge w:val="restart"/>
                  <w:tcBorders>
                    <w:left w:val="single" w:color="000000" w:sz="4" w:space="0"/>
                    <w:right w:val="single" w:color="000000" w:sz="4" w:space="0"/>
                  </w:tcBorders>
                  <w:vAlign w:val="center"/>
                </w:tcPr>
                <w:p w14:paraId="2F854FEA">
                  <w:pPr>
                    <w:adjustRightInd w:val="0"/>
                    <w:snapToGrid w:val="0"/>
                    <w:jc w:val="center"/>
                    <w:rPr>
                      <w:rFonts w:hint="default" w:cs="宋体"/>
                      <w:bCs/>
                      <w:color w:val="auto"/>
                      <w:kern w:val="0"/>
                      <w:szCs w:val="21"/>
                      <w:lang w:val="en-US"/>
                    </w:rPr>
                  </w:pPr>
                  <w:r>
                    <w:rPr>
                      <w:rFonts w:hint="eastAsia" w:cs="宋体"/>
                      <w:bCs/>
                      <w:color w:val="auto"/>
                      <w:kern w:val="0"/>
                      <w:szCs w:val="21"/>
                      <w:lang w:eastAsia="zh-CN"/>
                    </w:rPr>
                    <w:t>NOx</w:t>
                  </w:r>
                  <w:r>
                    <w:rPr>
                      <w:rFonts w:hint="eastAsia" w:cs="宋体"/>
                      <w:bCs/>
                      <w:color w:val="auto"/>
                      <w:kern w:val="0"/>
                      <w:szCs w:val="21"/>
                      <w:lang w:val="en-US" w:eastAsia="zh-CN"/>
                    </w:rPr>
                    <w:t>+HC≤4.0</w:t>
                  </w:r>
                </w:p>
              </w:tc>
              <w:tc>
                <w:tcPr>
                  <w:tcW w:w="1606" w:type="pct"/>
                  <w:tcBorders>
                    <w:top w:val="single" w:color="000000" w:sz="4" w:space="0"/>
                    <w:left w:val="single" w:color="000000" w:sz="4" w:space="0"/>
                    <w:bottom w:val="single" w:color="000000" w:sz="4" w:space="0"/>
                    <w:right w:val="single" w:color="000000" w:sz="4" w:space="0"/>
                  </w:tcBorders>
                  <w:vAlign w:val="center"/>
                </w:tcPr>
                <w:p w14:paraId="2362F9A1">
                  <w:pPr>
                    <w:adjustRightInd w:val="0"/>
                    <w:snapToGrid w:val="0"/>
                    <w:jc w:val="center"/>
                    <w:rPr>
                      <w:rFonts w:hint="default" w:eastAsia="宋体" w:cs="宋体"/>
                      <w:bCs/>
                      <w:color w:val="auto"/>
                      <w:kern w:val="0"/>
                      <w:szCs w:val="21"/>
                      <w:lang w:val="en-US" w:eastAsia="zh-CN"/>
                    </w:rPr>
                  </w:pPr>
                  <w:r>
                    <w:rPr>
                      <w:rFonts w:hint="eastAsia" w:cs="宋体"/>
                      <w:bCs/>
                      <w:color w:val="auto"/>
                      <w:kern w:val="0"/>
                      <w:szCs w:val="21"/>
                      <w:lang w:val="en-US" w:eastAsia="zh-CN"/>
                    </w:rPr>
                    <w:t>6.0</w:t>
                  </w:r>
                </w:p>
              </w:tc>
              <w:tc>
                <w:tcPr>
                  <w:tcW w:w="1344" w:type="pct"/>
                  <w:tcBorders>
                    <w:left w:val="single" w:color="000000" w:sz="4" w:space="0"/>
                    <w:right w:val="single" w:color="000000" w:sz="4" w:space="0"/>
                  </w:tcBorders>
                  <w:vAlign w:val="center"/>
                </w:tcPr>
                <w:p w14:paraId="75A14E0A">
                  <w:pPr>
                    <w:adjustRightInd w:val="0"/>
                    <w:snapToGrid w:val="0"/>
                    <w:jc w:val="center"/>
                    <w:rPr>
                      <w:rFonts w:hint="default" w:cs="宋体"/>
                      <w:bCs/>
                      <w:color w:val="auto"/>
                      <w:kern w:val="0"/>
                      <w:szCs w:val="21"/>
                      <w:lang w:val="en-US" w:eastAsia="zh-CN"/>
                    </w:rPr>
                  </w:pPr>
                  <w:r>
                    <w:rPr>
                      <w:rFonts w:hint="eastAsia" w:cs="宋体"/>
                      <w:bCs/>
                      <w:color w:val="auto"/>
                      <w:kern w:val="0"/>
                      <w:szCs w:val="21"/>
                      <w:lang w:val="en-US" w:eastAsia="zh-CN"/>
                    </w:rPr>
                    <w:t>7.4</w:t>
                  </w:r>
                </w:p>
              </w:tc>
            </w:tr>
            <w:tr w14:paraId="5E857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tcBorders>
                    <w:left w:val="single" w:color="000000" w:sz="4" w:space="0"/>
                    <w:right w:val="single" w:color="000000" w:sz="4" w:space="0"/>
                  </w:tcBorders>
                  <w:vAlign w:val="center"/>
                </w:tcPr>
                <w:p w14:paraId="4060AF66">
                  <w:pPr>
                    <w:adjustRightInd w:val="0"/>
                    <w:snapToGrid w:val="0"/>
                    <w:jc w:val="center"/>
                    <w:rPr>
                      <w:rFonts w:hint="eastAsia" w:eastAsia="宋体" w:cs="宋体"/>
                      <w:bCs/>
                      <w:color w:val="auto"/>
                      <w:kern w:val="0"/>
                      <w:szCs w:val="21"/>
                      <w:lang w:eastAsia="zh-CN"/>
                    </w:rPr>
                  </w:pPr>
                  <w:r>
                    <w:rPr>
                      <w:rFonts w:hint="eastAsia" w:cs="宋体"/>
                      <w:bCs/>
                      <w:color w:val="auto"/>
                      <w:kern w:val="0"/>
                      <w:szCs w:val="21"/>
                      <w:lang w:eastAsia="zh-CN"/>
                    </w:rPr>
                    <w:t>HC</w:t>
                  </w:r>
                </w:p>
              </w:tc>
              <w:tc>
                <w:tcPr>
                  <w:tcW w:w="1080" w:type="pct"/>
                  <w:vMerge w:val="continue"/>
                  <w:tcBorders>
                    <w:left w:val="single" w:color="000000" w:sz="4" w:space="0"/>
                    <w:right w:val="single" w:color="000000" w:sz="4" w:space="0"/>
                  </w:tcBorders>
                  <w:vAlign w:val="center"/>
                </w:tcPr>
                <w:p w14:paraId="2DAACDF0">
                  <w:pPr>
                    <w:adjustRightInd w:val="0"/>
                    <w:snapToGrid w:val="0"/>
                    <w:jc w:val="center"/>
                    <w:rPr>
                      <w:rFonts w:cs="宋体"/>
                      <w:bCs/>
                      <w:color w:val="auto"/>
                      <w:kern w:val="0"/>
                      <w:szCs w:val="21"/>
                    </w:rPr>
                  </w:pPr>
                </w:p>
              </w:tc>
              <w:tc>
                <w:tcPr>
                  <w:tcW w:w="1606" w:type="pct"/>
                  <w:tcBorders>
                    <w:top w:val="single" w:color="000000" w:sz="4" w:space="0"/>
                    <w:left w:val="single" w:color="000000" w:sz="4" w:space="0"/>
                    <w:bottom w:val="single" w:color="000000" w:sz="4" w:space="0"/>
                    <w:right w:val="single" w:color="000000" w:sz="4" w:space="0"/>
                  </w:tcBorders>
                  <w:vAlign w:val="center"/>
                </w:tcPr>
                <w:p w14:paraId="1E472560">
                  <w:pPr>
                    <w:adjustRightInd w:val="0"/>
                    <w:snapToGrid w:val="0"/>
                    <w:jc w:val="center"/>
                    <w:rPr>
                      <w:rFonts w:hint="default" w:eastAsia="宋体" w:cs="宋体"/>
                      <w:bCs/>
                      <w:color w:val="auto"/>
                      <w:kern w:val="0"/>
                      <w:szCs w:val="21"/>
                      <w:lang w:val="en-US" w:eastAsia="zh-CN"/>
                    </w:rPr>
                  </w:pPr>
                  <w:r>
                    <w:rPr>
                      <w:rFonts w:hint="eastAsia" w:cs="宋体"/>
                      <w:bCs/>
                      <w:color w:val="auto"/>
                      <w:kern w:val="0"/>
                      <w:szCs w:val="21"/>
                      <w:lang w:val="en-US" w:eastAsia="zh-CN"/>
                    </w:rPr>
                    <w:t>0.5</w:t>
                  </w:r>
                </w:p>
              </w:tc>
              <w:tc>
                <w:tcPr>
                  <w:tcW w:w="1344" w:type="pct"/>
                  <w:tcBorders>
                    <w:left w:val="single" w:color="000000" w:sz="4" w:space="0"/>
                    <w:right w:val="single" w:color="000000" w:sz="4" w:space="0"/>
                  </w:tcBorders>
                  <w:vAlign w:val="center"/>
                </w:tcPr>
                <w:p w14:paraId="0FD58466">
                  <w:pPr>
                    <w:adjustRightInd w:val="0"/>
                    <w:snapToGrid w:val="0"/>
                    <w:jc w:val="center"/>
                    <w:rPr>
                      <w:rFonts w:hint="default" w:cs="宋体"/>
                      <w:bCs/>
                      <w:color w:val="auto"/>
                      <w:kern w:val="0"/>
                      <w:szCs w:val="21"/>
                      <w:lang w:val="en-US" w:eastAsia="zh-CN"/>
                    </w:rPr>
                  </w:pPr>
                  <w:r>
                    <w:rPr>
                      <w:rFonts w:hint="eastAsia" w:cs="宋体"/>
                      <w:bCs/>
                      <w:color w:val="auto"/>
                      <w:kern w:val="0"/>
                      <w:szCs w:val="21"/>
                      <w:lang w:val="en-US" w:eastAsia="zh-CN"/>
                    </w:rPr>
                    <w:t>0.4</w:t>
                  </w:r>
                </w:p>
              </w:tc>
            </w:tr>
            <w:tr w14:paraId="50BC0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tcBorders>
                    <w:left w:val="single" w:color="000000" w:sz="4" w:space="0"/>
                    <w:right w:val="single" w:color="000000" w:sz="4" w:space="0"/>
                  </w:tcBorders>
                  <w:vAlign w:val="center"/>
                </w:tcPr>
                <w:p w14:paraId="6A45CC48">
                  <w:pPr>
                    <w:adjustRightInd w:val="0"/>
                    <w:snapToGrid w:val="0"/>
                    <w:jc w:val="center"/>
                    <w:rPr>
                      <w:rFonts w:hint="default" w:cs="宋体"/>
                      <w:bCs/>
                      <w:color w:val="auto"/>
                      <w:kern w:val="0"/>
                      <w:szCs w:val="21"/>
                      <w:lang w:val="en-US" w:eastAsia="zh-CN"/>
                    </w:rPr>
                  </w:pPr>
                  <w:r>
                    <w:rPr>
                      <w:rFonts w:hint="eastAsia" w:cs="宋体"/>
                      <w:bCs/>
                      <w:color w:val="auto"/>
                      <w:kern w:val="0"/>
                      <w:szCs w:val="21"/>
                      <w:lang w:val="en-US" w:eastAsia="zh-CN"/>
                    </w:rPr>
                    <w:t>PM</w:t>
                  </w:r>
                </w:p>
              </w:tc>
              <w:tc>
                <w:tcPr>
                  <w:tcW w:w="1080" w:type="pct"/>
                  <w:tcBorders>
                    <w:left w:val="single" w:color="000000" w:sz="4" w:space="0"/>
                    <w:bottom w:val="single" w:color="000000" w:sz="4" w:space="0"/>
                    <w:right w:val="single" w:color="000000" w:sz="4" w:space="0"/>
                  </w:tcBorders>
                  <w:vAlign w:val="center"/>
                </w:tcPr>
                <w:p w14:paraId="6E464B17">
                  <w:pPr>
                    <w:adjustRightInd w:val="0"/>
                    <w:snapToGrid w:val="0"/>
                    <w:jc w:val="center"/>
                    <w:rPr>
                      <w:rFonts w:hint="default" w:eastAsia="宋体" w:cs="宋体"/>
                      <w:bCs/>
                      <w:color w:val="auto"/>
                      <w:kern w:val="0"/>
                      <w:szCs w:val="21"/>
                      <w:lang w:val="en-US" w:eastAsia="zh-CN"/>
                    </w:rPr>
                  </w:pPr>
                  <w:r>
                    <w:rPr>
                      <w:rFonts w:hint="eastAsia" w:cs="宋体"/>
                      <w:bCs/>
                      <w:color w:val="auto"/>
                      <w:kern w:val="0"/>
                      <w:szCs w:val="21"/>
                      <w:lang w:val="en-US" w:eastAsia="zh-CN"/>
                    </w:rPr>
                    <w:t>0.2</w:t>
                  </w:r>
                </w:p>
              </w:tc>
              <w:tc>
                <w:tcPr>
                  <w:tcW w:w="1606" w:type="pct"/>
                  <w:tcBorders>
                    <w:top w:val="single" w:color="000000" w:sz="4" w:space="0"/>
                    <w:left w:val="single" w:color="000000" w:sz="4" w:space="0"/>
                    <w:bottom w:val="single" w:color="000000" w:sz="4" w:space="0"/>
                    <w:right w:val="single" w:color="000000" w:sz="4" w:space="0"/>
                  </w:tcBorders>
                  <w:vAlign w:val="center"/>
                </w:tcPr>
                <w:p w14:paraId="5262AF9F">
                  <w:pPr>
                    <w:adjustRightInd w:val="0"/>
                    <w:snapToGrid w:val="0"/>
                    <w:jc w:val="center"/>
                    <w:rPr>
                      <w:rFonts w:hint="default" w:cs="宋体"/>
                      <w:bCs/>
                      <w:color w:val="auto"/>
                      <w:kern w:val="0"/>
                      <w:szCs w:val="21"/>
                      <w:lang w:val="en-US" w:eastAsia="zh-CN"/>
                    </w:rPr>
                  </w:pPr>
                  <w:r>
                    <w:rPr>
                      <w:rFonts w:hint="eastAsia" w:cs="宋体"/>
                      <w:bCs/>
                      <w:color w:val="auto"/>
                      <w:kern w:val="0"/>
                      <w:szCs w:val="21"/>
                      <w:lang w:val="en-US" w:eastAsia="zh-CN"/>
                    </w:rPr>
                    <w:t>0.2</w:t>
                  </w:r>
                </w:p>
              </w:tc>
              <w:tc>
                <w:tcPr>
                  <w:tcW w:w="1344" w:type="pct"/>
                  <w:tcBorders>
                    <w:left w:val="single" w:color="000000" w:sz="4" w:space="0"/>
                    <w:bottom w:val="single" w:color="000000" w:sz="4" w:space="0"/>
                    <w:right w:val="single" w:color="000000" w:sz="4" w:space="0"/>
                  </w:tcBorders>
                  <w:vAlign w:val="center"/>
                </w:tcPr>
                <w:p w14:paraId="30364580">
                  <w:pPr>
                    <w:adjustRightInd w:val="0"/>
                    <w:snapToGrid w:val="0"/>
                    <w:jc w:val="center"/>
                    <w:rPr>
                      <w:rFonts w:hint="default" w:cs="宋体"/>
                      <w:bCs/>
                      <w:color w:val="auto"/>
                      <w:kern w:val="0"/>
                      <w:szCs w:val="21"/>
                      <w:lang w:val="en-US" w:eastAsia="zh-CN"/>
                    </w:rPr>
                  </w:pPr>
                  <w:r>
                    <w:rPr>
                      <w:rFonts w:hint="eastAsia" w:cs="宋体"/>
                      <w:bCs/>
                      <w:color w:val="auto"/>
                      <w:kern w:val="0"/>
                      <w:szCs w:val="21"/>
                      <w:lang w:val="en-US" w:eastAsia="zh-CN"/>
                    </w:rPr>
                    <w:t>0.2</w:t>
                  </w:r>
                </w:p>
              </w:tc>
            </w:tr>
          </w:tbl>
          <w:p w14:paraId="24B67D5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cs="宋体"/>
                <w:b/>
                <w:bCs/>
                <w:color w:val="auto"/>
                <w:kern w:val="0"/>
                <w:sz w:val="24"/>
                <w:szCs w:val="24"/>
              </w:rPr>
            </w:pPr>
          </w:p>
          <w:p w14:paraId="39305F86">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cs="宋体"/>
                <w:b/>
                <w:bCs/>
                <w:color w:val="auto"/>
                <w:kern w:val="0"/>
                <w:sz w:val="24"/>
                <w:szCs w:val="24"/>
              </w:rPr>
            </w:pPr>
            <w:r>
              <w:rPr>
                <w:rFonts w:cs="宋体"/>
                <w:b/>
                <w:bCs/>
                <w:color w:val="auto"/>
                <w:kern w:val="0"/>
                <w:sz w:val="24"/>
                <w:szCs w:val="24"/>
              </w:rPr>
              <w:t>表</w:t>
            </w:r>
            <w:r>
              <w:rPr>
                <w:rFonts w:hint="eastAsia" w:cs="宋体"/>
                <w:b/>
                <w:bCs/>
                <w:color w:val="auto"/>
                <w:kern w:val="0"/>
                <w:sz w:val="24"/>
                <w:szCs w:val="24"/>
              </w:rPr>
              <w:t>3</w:t>
            </w:r>
            <w:r>
              <w:rPr>
                <w:rFonts w:cs="宋体"/>
                <w:b/>
                <w:bCs/>
                <w:color w:val="auto"/>
                <w:kern w:val="0"/>
                <w:sz w:val="24"/>
                <w:szCs w:val="24"/>
              </w:rPr>
              <w:t>-</w:t>
            </w:r>
            <w:r>
              <w:rPr>
                <w:rFonts w:hint="eastAsia" w:cs="宋体"/>
                <w:b/>
                <w:bCs/>
                <w:color w:val="auto"/>
                <w:kern w:val="0"/>
                <w:sz w:val="24"/>
                <w:szCs w:val="24"/>
                <w:lang w:val="en-US" w:eastAsia="zh-CN"/>
              </w:rPr>
              <w:t>9</w:t>
            </w:r>
            <w:r>
              <w:rPr>
                <w:rFonts w:cs="宋体"/>
                <w:b/>
                <w:bCs/>
                <w:color w:val="auto"/>
                <w:kern w:val="0"/>
                <w:sz w:val="24"/>
                <w:szCs w:val="24"/>
              </w:rPr>
              <w:t xml:space="preserve">  </w:t>
            </w:r>
            <w:r>
              <w:rPr>
                <w:rFonts w:hint="eastAsia" w:cs="宋体"/>
                <w:b/>
                <w:bCs/>
                <w:color w:val="auto"/>
                <w:kern w:val="0"/>
                <w:sz w:val="24"/>
                <w:szCs w:val="24"/>
              </w:rPr>
              <w:t>《大气污染物综合排放标准》（摘录）</w:t>
            </w:r>
          </w:p>
          <w:tbl>
            <w:tblPr>
              <w:tblStyle w:val="4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30"/>
              <w:gridCol w:w="3664"/>
              <w:gridCol w:w="3126"/>
            </w:tblGrid>
            <w:tr w14:paraId="6204F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vMerge w:val="restart"/>
                  <w:tcBorders>
                    <w:top w:val="single" w:color="000000" w:sz="4" w:space="0"/>
                    <w:left w:val="single" w:color="000000" w:sz="4" w:space="0"/>
                    <w:right w:val="single" w:color="000000" w:sz="4" w:space="0"/>
                  </w:tcBorders>
                  <w:vAlign w:val="center"/>
                </w:tcPr>
                <w:p w14:paraId="0AB055AB">
                  <w:pPr>
                    <w:adjustRightInd w:val="0"/>
                    <w:snapToGrid w:val="0"/>
                    <w:jc w:val="center"/>
                    <w:rPr>
                      <w:rFonts w:cs="宋体"/>
                      <w:b/>
                      <w:bCs w:val="0"/>
                      <w:color w:val="auto"/>
                      <w:kern w:val="0"/>
                      <w:szCs w:val="21"/>
                    </w:rPr>
                  </w:pPr>
                  <w:r>
                    <w:rPr>
                      <w:rFonts w:hint="eastAsia" w:cs="宋体"/>
                      <w:b/>
                      <w:bCs w:val="0"/>
                      <w:color w:val="auto"/>
                      <w:kern w:val="0"/>
                      <w:szCs w:val="21"/>
                    </w:rPr>
                    <w:t>污染物</w:t>
                  </w:r>
                </w:p>
              </w:tc>
              <w:tc>
                <w:tcPr>
                  <w:tcW w:w="4031" w:type="pct"/>
                  <w:gridSpan w:val="2"/>
                  <w:tcBorders>
                    <w:top w:val="single" w:color="000000" w:sz="4" w:space="0"/>
                    <w:left w:val="single" w:color="000000" w:sz="4" w:space="0"/>
                    <w:bottom w:val="single" w:color="000000" w:sz="4" w:space="0"/>
                    <w:right w:val="single" w:color="000000" w:sz="4" w:space="0"/>
                  </w:tcBorders>
                  <w:vAlign w:val="center"/>
                </w:tcPr>
                <w:p w14:paraId="5ADDEE3E">
                  <w:pPr>
                    <w:adjustRightInd w:val="0"/>
                    <w:snapToGrid w:val="0"/>
                    <w:jc w:val="center"/>
                    <w:rPr>
                      <w:rFonts w:cs="宋体"/>
                      <w:b/>
                      <w:bCs w:val="0"/>
                      <w:color w:val="auto"/>
                      <w:kern w:val="0"/>
                      <w:szCs w:val="21"/>
                    </w:rPr>
                  </w:pPr>
                  <w:r>
                    <w:rPr>
                      <w:rFonts w:cs="宋体"/>
                      <w:b/>
                      <w:bCs w:val="0"/>
                      <w:color w:val="auto"/>
                      <w:kern w:val="0"/>
                      <w:szCs w:val="21"/>
                    </w:rPr>
                    <w:t>无组织排放监控浓度限值</w:t>
                  </w:r>
                </w:p>
              </w:tc>
            </w:tr>
            <w:tr w14:paraId="388C0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vMerge w:val="continue"/>
                  <w:tcBorders>
                    <w:left w:val="single" w:color="000000" w:sz="4" w:space="0"/>
                    <w:bottom w:val="single" w:color="000000" w:sz="4" w:space="0"/>
                    <w:right w:val="single" w:color="000000" w:sz="4" w:space="0"/>
                  </w:tcBorders>
                  <w:vAlign w:val="center"/>
                </w:tcPr>
                <w:p w14:paraId="05B33498">
                  <w:pPr>
                    <w:adjustRightInd w:val="0"/>
                    <w:snapToGrid w:val="0"/>
                    <w:jc w:val="center"/>
                    <w:rPr>
                      <w:rFonts w:cs="宋体"/>
                      <w:b/>
                      <w:bCs w:val="0"/>
                      <w:color w:val="auto"/>
                      <w:kern w:val="0"/>
                      <w:szCs w:val="21"/>
                    </w:rPr>
                  </w:pPr>
                </w:p>
              </w:tc>
              <w:tc>
                <w:tcPr>
                  <w:tcW w:w="2175" w:type="pct"/>
                  <w:tcBorders>
                    <w:top w:val="single" w:color="000000" w:sz="4" w:space="0"/>
                    <w:left w:val="single" w:color="000000" w:sz="4" w:space="0"/>
                    <w:bottom w:val="single" w:color="000000" w:sz="4" w:space="0"/>
                    <w:right w:val="single" w:color="000000" w:sz="4" w:space="0"/>
                  </w:tcBorders>
                  <w:vAlign w:val="center"/>
                </w:tcPr>
                <w:p w14:paraId="6785DB60">
                  <w:pPr>
                    <w:adjustRightInd w:val="0"/>
                    <w:snapToGrid w:val="0"/>
                    <w:jc w:val="center"/>
                    <w:rPr>
                      <w:rFonts w:cs="宋体"/>
                      <w:b/>
                      <w:bCs w:val="0"/>
                      <w:color w:val="auto"/>
                      <w:kern w:val="0"/>
                      <w:szCs w:val="21"/>
                    </w:rPr>
                  </w:pPr>
                  <w:r>
                    <w:rPr>
                      <w:rFonts w:hint="eastAsia" w:cs="宋体"/>
                      <w:b/>
                      <w:bCs w:val="0"/>
                      <w:color w:val="auto"/>
                      <w:kern w:val="0"/>
                      <w:szCs w:val="21"/>
                    </w:rPr>
                    <w:t>监控点</w:t>
                  </w:r>
                </w:p>
              </w:tc>
              <w:tc>
                <w:tcPr>
                  <w:tcW w:w="1855" w:type="pct"/>
                  <w:tcBorders>
                    <w:top w:val="single" w:color="000000" w:sz="4" w:space="0"/>
                    <w:left w:val="single" w:color="000000" w:sz="4" w:space="0"/>
                    <w:bottom w:val="single" w:color="000000" w:sz="4" w:space="0"/>
                    <w:right w:val="single" w:color="000000" w:sz="4" w:space="0"/>
                  </w:tcBorders>
                  <w:vAlign w:val="center"/>
                </w:tcPr>
                <w:p w14:paraId="14692627">
                  <w:pPr>
                    <w:adjustRightInd w:val="0"/>
                    <w:snapToGrid w:val="0"/>
                    <w:jc w:val="center"/>
                    <w:rPr>
                      <w:rFonts w:cs="宋体"/>
                      <w:b/>
                      <w:bCs w:val="0"/>
                      <w:color w:val="auto"/>
                      <w:kern w:val="0"/>
                      <w:szCs w:val="21"/>
                    </w:rPr>
                  </w:pPr>
                  <w:r>
                    <w:rPr>
                      <w:rFonts w:hint="eastAsia" w:cs="宋体"/>
                      <w:b/>
                      <w:bCs w:val="0"/>
                      <w:color w:val="auto"/>
                      <w:kern w:val="0"/>
                      <w:szCs w:val="21"/>
                    </w:rPr>
                    <w:t>浓度（</w:t>
                  </w:r>
                  <w:r>
                    <w:rPr>
                      <w:rFonts w:cs="宋体"/>
                      <w:b/>
                      <w:bCs w:val="0"/>
                      <w:color w:val="auto"/>
                      <w:kern w:val="0"/>
                      <w:szCs w:val="21"/>
                    </w:rPr>
                    <w:t>mg/m</w:t>
                  </w:r>
                  <w:r>
                    <w:rPr>
                      <w:rFonts w:cs="宋体"/>
                      <w:b/>
                      <w:bCs w:val="0"/>
                      <w:color w:val="auto"/>
                      <w:kern w:val="0"/>
                      <w:szCs w:val="21"/>
                      <w:vertAlign w:val="superscript"/>
                    </w:rPr>
                    <w:t>3</w:t>
                  </w:r>
                  <w:r>
                    <w:rPr>
                      <w:rFonts w:hint="eastAsia" w:cs="宋体"/>
                      <w:b/>
                      <w:bCs w:val="0"/>
                      <w:color w:val="auto"/>
                      <w:kern w:val="0"/>
                      <w:szCs w:val="21"/>
                    </w:rPr>
                    <w:t>）</w:t>
                  </w:r>
                </w:p>
              </w:tc>
            </w:tr>
            <w:tr w14:paraId="3D726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tcBorders>
                    <w:left w:val="single" w:color="000000" w:sz="4" w:space="0"/>
                    <w:right w:val="single" w:color="000000" w:sz="4" w:space="0"/>
                  </w:tcBorders>
                  <w:vAlign w:val="center"/>
                </w:tcPr>
                <w:p w14:paraId="1A462B6C">
                  <w:pPr>
                    <w:adjustRightInd w:val="0"/>
                    <w:snapToGrid w:val="0"/>
                    <w:jc w:val="center"/>
                    <w:rPr>
                      <w:rFonts w:cs="宋体"/>
                      <w:bCs/>
                      <w:color w:val="auto"/>
                      <w:kern w:val="0"/>
                      <w:szCs w:val="21"/>
                    </w:rPr>
                  </w:pPr>
                  <w:r>
                    <w:rPr>
                      <w:rFonts w:hint="eastAsia" w:cs="宋体"/>
                      <w:bCs/>
                      <w:color w:val="auto"/>
                      <w:kern w:val="0"/>
                      <w:szCs w:val="21"/>
                    </w:rPr>
                    <w:t>颗粒物</w:t>
                  </w:r>
                </w:p>
              </w:tc>
              <w:tc>
                <w:tcPr>
                  <w:tcW w:w="2175" w:type="pct"/>
                  <w:vMerge w:val="restart"/>
                  <w:tcBorders>
                    <w:top w:val="single" w:color="000000" w:sz="4" w:space="0"/>
                    <w:left w:val="single" w:color="000000" w:sz="4" w:space="0"/>
                    <w:right w:val="single" w:color="000000" w:sz="4" w:space="0"/>
                  </w:tcBorders>
                  <w:vAlign w:val="center"/>
                </w:tcPr>
                <w:p w14:paraId="64ED80AE">
                  <w:pPr>
                    <w:adjustRightInd w:val="0"/>
                    <w:snapToGrid w:val="0"/>
                    <w:jc w:val="center"/>
                    <w:rPr>
                      <w:rFonts w:cs="宋体"/>
                      <w:bCs/>
                      <w:color w:val="auto"/>
                      <w:kern w:val="0"/>
                      <w:szCs w:val="21"/>
                    </w:rPr>
                  </w:pPr>
                  <w:r>
                    <w:rPr>
                      <w:rFonts w:cs="宋体"/>
                      <w:bCs/>
                      <w:color w:val="auto"/>
                      <w:kern w:val="0"/>
                      <w:szCs w:val="21"/>
                    </w:rPr>
                    <w:t>周界外浓度最高点</w:t>
                  </w:r>
                </w:p>
              </w:tc>
              <w:tc>
                <w:tcPr>
                  <w:tcW w:w="1855" w:type="pct"/>
                  <w:tcBorders>
                    <w:top w:val="single" w:color="000000" w:sz="4" w:space="0"/>
                    <w:left w:val="single" w:color="000000" w:sz="4" w:space="0"/>
                    <w:bottom w:val="single" w:color="000000" w:sz="4" w:space="0"/>
                    <w:right w:val="single" w:color="000000" w:sz="4" w:space="0"/>
                  </w:tcBorders>
                  <w:vAlign w:val="center"/>
                </w:tcPr>
                <w:p w14:paraId="0977403D">
                  <w:pPr>
                    <w:adjustRightInd w:val="0"/>
                    <w:snapToGrid w:val="0"/>
                    <w:jc w:val="center"/>
                    <w:rPr>
                      <w:rFonts w:cs="宋体"/>
                      <w:bCs/>
                      <w:color w:val="auto"/>
                      <w:kern w:val="0"/>
                      <w:szCs w:val="21"/>
                    </w:rPr>
                  </w:pPr>
                  <w:r>
                    <w:rPr>
                      <w:rFonts w:hint="eastAsia" w:cs="宋体"/>
                      <w:bCs/>
                      <w:color w:val="auto"/>
                      <w:kern w:val="0"/>
                      <w:szCs w:val="21"/>
                    </w:rPr>
                    <w:t>1</w:t>
                  </w:r>
                  <w:r>
                    <w:rPr>
                      <w:rFonts w:cs="宋体"/>
                      <w:bCs/>
                      <w:color w:val="auto"/>
                      <w:kern w:val="0"/>
                      <w:szCs w:val="21"/>
                    </w:rPr>
                    <w:t>.0</w:t>
                  </w:r>
                </w:p>
              </w:tc>
            </w:tr>
            <w:tr w14:paraId="7F3F8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tcBorders>
                    <w:left w:val="single" w:color="000000" w:sz="4" w:space="0"/>
                    <w:right w:val="single" w:color="000000" w:sz="4" w:space="0"/>
                  </w:tcBorders>
                  <w:vAlign w:val="center"/>
                </w:tcPr>
                <w:p w14:paraId="20E0B7D5">
                  <w:pPr>
                    <w:adjustRightInd w:val="0"/>
                    <w:snapToGrid w:val="0"/>
                    <w:jc w:val="center"/>
                    <w:rPr>
                      <w:rFonts w:hint="eastAsia" w:eastAsia="宋体" w:cs="宋体"/>
                      <w:bCs/>
                      <w:color w:val="auto"/>
                      <w:kern w:val="0"/>
                      <w:szCs w:val="21"/>
                      <w:lang w:eastAsia="zh-CN"/>
                    </w:rPr>
                  </w:pPr>
                  <w:r>
                    <w:rPr>
                      <w:rFonts w:hint="eastAsia" w:cs="宋体"/>
                      <w:bCs/>
                      <w:color w:val="auto"/>
                      <w:kern w:val="0"/>
                      <w:szCs w:val="21"/>
                      <w:lang w:eastAsia="zh-CN"/>
                    </w:rPr>
                    <w:t>非甲烷总烃</w:t>
                  </w:r>
                </w:p>
              </w:tc>
              <w:tc>
                <w:tcPr>
                  <w:tcW w:w="2175" w:type="pct"/>
                  <w:vMerge w:val="continue"/>
                  <w:tcBorders>
                    <w:left w:val="single" w:color="000000" w:sz="4" w:space="0"/>
                    <w:right w:val="single" w:color="000000" w:sz="4" w:space="0"/>
                  </w:tcBorders>
                  <w:vAlign w:val="center"/>
                </w:tcPr>
                <w:p w14:paraId="74E1913B">
                  <w:pPr>
                    <w:adjustRightInd w:val="0"/>
                    <w:snapToGrid w:val="0"/>
                    <w:jc w:val="center"/>
                    <w:rPr>
                      <w:rFonts w:cs="宋体"/>
                      <w:bCs/>
                      <w:color w:val="auto"/>
                      <w:kern w:val="0"/>
                      <w:szCs w:val="21"/>
                    </w:rPr>
                  </w:pPr>
                </w:p>
              </w:tc>
              <w:tc>
                <w:tcPr>
                  <w:tcW w:w="1855" w:type="pct"/>
                  <w:tcBorders>
                    <w:top w:val="single" w:color="000000" w:sz="4" w:space="0"/>
                    <w:left w:val="single" w:color="000000" w:sz="4" w:space="0"/>
                    <w:bottom w:val="single" w:color="000000" w:sz="4" w:space="0"/>
                    <w:right w:val="single" w:color="000000" w:sz="4" w:space="0"/>
                  </w:tcBorders>
                  <w:vAlign w:val="center"/>
                </w:tcPr>
                <w:p w14:paraId="2E29DE3D">
                  <w:pPr>
                    <w:adjustRightInd w:val="0"/>
                    <w:snapToGrid w:val="0"/>
                    <w:jc w:val="center"/>
                    <w:rPr>
                      <w:rFonts w:hint="default" w:eastAsia="宋体" w:cs="宋体"/>
                      <w:bCs/>
                      <w:color w:val="auto"/>
                      <w:kern w:val="0"/>
                      <w:szCs w:val="21"/>
                      <w:lang w:val="en-US" w:eastAsia="zh-CN"/>
                    </w:rPr>
                  </w:pPr>
                  <w:r>
                    <w:rPr>
                      <w:rFonts w:hint="eastAsia" w:cs="宋体"/>
                      <w:bCs/>
                      <w:color w:val="auto"/>
                      <w:kern w:val="0"/>
                      <w:szCs w:val="21"/>
                      <w:lang w:val="en-US" w:eastAsia="zh-CN"/>
                    </w:rPr>
                    <w:t>4.0</w:t>
                  </w:r>
                </w:p>
              </w:tc>
            </w:tr>
            <w:tr w14:paraId="7DB01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68" w:type="pct"/>
                  <w:tcBorders>
                    <w:left w:val="single" w:color="000000" w:sz="4" w:space="0"/>
                    <w:right w:val="single" w:color="000000" w:sz="4" w:space="0"/>
                  </w:tcBorders>
                  <w:vAlign w:val="center"/>
                </w:tcPr>
                <w:p w14:paraId="7B50B242">
                  <w:pPr>
                    <w:adjustRightInd w:val="0"/>
                    <w:snapToGrid w:val="0"/>
                    <w:jc w:val="center"/>
                    <w:rPr>
                      <w:rFonts w:hint="eastAsia" w:eastAsia="宋体" w:cs="宋体"/>
                      <w:bCs/>
                      <w:color w:val="auto"/>
                      <w:kern w:val="0"/>
                      <w:szCs w:val="21"/>
                      <w:lang w:eastAsia="zh-CN"/>
                    </w:rPr>
                  </w:pPr>
                  <w:r>
                    <w:rPr>
                      <w:rFonts w:hint="eastAsia" w:cs="宋体"/>
                      <w:bCs/>
                      <w:color w:val="auto"/>
                      <w:kern w:val="0"/>
                      <w:szCs w:val="21"/>
                      <w:lang w:eastAsia="zh-CN"/>
                    </w:rPr>
                    <w:t>氮氧化物</w:t>
                  </w:r>
                </w:p>
              </w:tc>
              <w:tc>
                <w:tcPr>
                  <w:tcW w:w="2175" w:type="pct"/>
                  <w:vMerge w:val="continue"/>
                  <w:tcBorders>
                    <w:left w:val="single" w:color="000000" w:sz="4" w:space="0"/>
                    <w:bottom w:val="single" w:color="000000" w:sz="4" w:space="0"/>
                    <w:right w:val="single" w:color="000000" w:sz="4" w:space="0"/>
                  </w:tcBorders>
                  <w:vAlign w:val="center"/>
                </w:tcPr>
                <w:p w14:paraId="32968C93">
                  <w:pPr>
                    <w:adjustRightInd w:val="0"/>
                    <w:snapToGrid w:val="0"/>
                    <w:jc w:val="center"/>
                    <w:rPr>
                      <w:rFonts w:cs="宋体"/>
                      <w:bCs/>
                      <w:color w:val="auto"/>
                      <w:kern w:val="0"/>
                      <w:szCs w:val="21"/>
                    </w:rPr>
                  </w:pPr>
                </w:p>
              </w:tc>
              <w:tc>
                <w:tcPr>
                  <w:tcW w:w="1855" w:type="pct"/>
                  <w:tcBorders>
                    <w:top w:val="single" w:color="000000" w:sz="4" w:space="0"/>
                    <w:left w:val="single" w:color="000000" w:sz="4" w:space="0"/>
                    <w:bottom w:val="single" w:color="000000" w:sz="4" w:space="0"/>
                    <w:right w:val="single" w:color="000000" w:sz="4" w:space="0"/>
                  </w:tcBorders>
                  <w:vAlign w:val="center"/>
                </w:tcPr>
                <w:p w14:paraId="495F4D33">
                  <w:pPr>
                    <w:adjustRightInd w:val="0"/>
                    <w:snapToGrid w:val="0"/>
                    <w:jc w:val="center"/>
                    <w:rPr>
                      <w:rFonts w:hint="default" w:eastAsia="宋体" w:cs="宋体"/>
                      <w:bCs/>
                      <w:color w:val="auto"/>
                      <w:kern w:val="0"/>
                      <w:szCs w:val="21"/>
                      <w:lang w:val="en-US" w:eastAsia="zh-CN"/>
                    </w:rPr>
                  </w:pPr>
                  <w:r>
                    <w:rPr>
                      <w:rFonts w:hint="eastAsia" w:cs="宋体"/>
                      <w:bCs/>
                      <w:color w:val="auto"/>
                      <w:kern w:val="0"/>
                      <w:szCs w:val="21"/>
                      <w:lang w:val="en-US" w:eastAsia="zh-CN"/>
                    </w:rPr>
                    <w:t>0.12</w:t>
                  </w:r>
                </w:p>
              </w:tc>
            </w:tr>
          </w:tbl>
          <w:p w14:paraId="556902E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cs="宋体"/>
                <w:color w:val="auto"/>
                <w:kern w:val="0"/>
                <w:sz w:val="24"/>
              </w:rPr>
            </w:pPr>
            <w:r>
              <w:rPr>
                <w:rFonts w:hint="eastAsia" w:cs="宋体"/>
                <w:color w:val="auto"/>
                <w:kern w:val="0"/>
                <w:sz w:val="24"/>
              </w:rPr>
              <w:t>（2）废水</w:t>
            </w:r>
          </w:p>
          <w:p w14:paraId="1D6FFFFD">
            <w:pPr>
              <w:adjustRightInd w:val="0"/>
              <w:snapToGrid w:val="0"/>
              <w:spacing w:line="360" w:lineRule="auto"/>
              <w:ind w:firstLine="480" w:firstLineChars="200"/>
              <w:rPr>
                <w:rFonts w:hint="eastAsia" w:ascii="Times New Roman" w:hAnsi="Times New Roman" w:eastAsia="宋体" w:cs="宋体"/>
                <w:bCs/>
                <w:color w:val="auto"/>
                <w:kern w:val="0"/>
                <w:sz w:val="24"/>
                <w:lang w:val="en-US" w:eastAsia="zh-CN"/>
              </w:rPr>
            </w:pPr>
            <w:r>
              <w:rPr>
                <w:rFonts w:hint="eastAsia" w:ascii="Times New Roman" w:hAnsi="Times New Roman" w:eastAsia="宋体" w:cs="宋体"/>
                <w:bCs/>
                <w:color w:val="auto"/>
                <w:kern w:val="0"/>
                <w:sz w:val="24"/>
                <w:lang w:val="en-US" w:eastAsia="zh-CN"/>
              </w:rPr>
              <w:t>生活污水经三级化粪池处理后定期对化粪池进行清理</w:t>
            </w:r>
            <w:r>
              <w:rPr>
                <w:rFonts w:hint="eastAsia" w:cs="宋体"/>
                <w:bCs/>
                <w:color w:val="auto"/>
                <w:kern w:val="0"/>
                <w:sz w:val="24"/>
                <w:lang w:val="en-US" w:eastAsia="zh-CN"/>
              </w:rPr>
              <w:t>外运施肥</w:t>
            </w:r>
            <w:r>
              <w:rPr>
                <w:rFonts w:hint="eastAsia" w:ascii="Times New Roman" w:hAnsi="Times New Roman" w:eastAsia="宋体" w:cs="宋体"/>
                <w:bCs/>
                <w:color w:val="auto"/>
                <w:kern w:val="0"/>
                <w:sz w:val="24"/>
                <w:lang w:val="en-US" w:eastAsia="zh-CN"/>
              </w:rPr>
              <w:t>，不外排。</w:t>
            </w:r>
          </w:p>
          <w:p w14:paraId="77EDF253">
            <w:pPr>
              <w:adjustRightInd w:val="0"/>
              <w:snapToGrid w:val="0"/>
              <w:spacing w:line="360" w:lineRule="auto"/>
              <w:ind w:firstLine="480" w:firstLineChars="200"/>
              <w:rPr>
                <w:rFonts w:cs="宋体"/>
                <w:color w:val="auto"/>
                <w:kern w:val="0"/>
                <w:sz w:val="24"/>
              </w:rPr>
            </w:pPr>
            <w:r>
              <w:rPr>
                <w:rFonts w:hint="eastAsia" w:cs="宋体"/>
                <w:color w:val="auto"/>
                <w:kern w:val="0"/>
                <w:sz w:val="24"/>
              </w:rPr>
              <w:t>（3）噪声</w:t>
            </w:r>
          </w:p>
          <w:p w14:paraId="10D9AC29">
            <w:pPr>
              <w:adjustRightInd w:val="0"/>
              <w:snapToGrid w:val="0"/>
              <w:spacing w:line="360" w:lineRule="auto"/>
              <w:ind w:firstLine="480" w:firstLineChars="200"/>
              <w:rPr>
                <w:rFonts w:cs="宋体"/>
                <w:bCs/>
                <w:color w:val="auto"/>
                <w:kern w:val="0"/>
                <w:sz w:val="24"/>
              </w:rPr>
            </w:pPr>
            <w:r>
              <w:rPr>
                <w:rFonts w:hint="eastAsia" w:cs="宋体"/>
                <w:bCs/>
                <w:color w:val="auto"/>
                <w:kern w:val="0"/>
                <w:sz w:val="24"/>
              </w:rPr>
              <w:t>项目施工期施工场界噪声排放执行《</w:t>
            </w:r>
            <w:r>
              <w:rPr>
                <w:rFonts w:hint="eastAsia" w:cs="宋体"/>
                <w:bCs/>
                <w:color w:val="auto"/>
                <w:kern w:val="0"/>
                <w:sz w:val="24"/>
                <w:lang w:val="en-US" w:eastAsia="zh-CN"/>
              </w:rPr>
              <w:t>建筑施工噪声排放标</w:t>
            </w:r>
            <w:r>
              <w:rPr>
                <w:rFonts w:hint="eastAsia" w:cs="宋体"/>
                <w:bCs/>
                <w:color w:val="auto"/>
                <w:kern w:val="0"/>
                <w:sz w:val="24"/>
              </w:rPr>
              <w:t>准》（GB12523-</w:t>
            </w:r>
            <w:r>
              <w:rPr>
                <w:rFonts w:hint="eastAsia" w:cs="宋体"/>
                <w:bCs/>
                <w:color w:val="auto"/>
                <w:kern w:val="0"/>
                <w:sz w:val="24"/>
                <w:lang w:val="en-US" w:eastAsia="zh-CN"/>
              </w:rPr>
              <w:t>2025</w:t>
            </w:r>
            <w:r>
              <w:rPr>
                <w:rFonts w:hint="eastAsia" w:cs="宋体"/>
                <w:bCs/>
                <w:color w:val="auto"/>
                <w:kern w:val="0"/>
                <w:sz w:val="24"/>
              </w:rPr>
              <w:t>）中的表1建筑施工场界环境噪声排放限值。</w:t>
            </w:r>
          </w:p>
          <w:p w14:paraId="09D7628E">
            <w:pPr>
              <w:adjustRightInd w:val="0"/>
              <w:snapToGrid w:val="0"/>
              <w:spacing w:line="360" w:lineRule="auto"/>
              <w:ind w:firstLine="480" w:firstLineChars="200"/>
              <w:rPr>
                <w:rFonts w:hint="eastAsia" w:eastAsia="宋体" w:cs="宋体"/>
                <w:bCs/>
                <w:color w:val="auto"/>
                <w:kern w:val="0"/>
                <w:sz w:val="24"/>
                <w:lang w:val="en-US" w:eastAsia="zh-CN"/>
              </w:rPr>
            </w:pPr>
            <w:r>
              <w:rPr>
                <w:rFonts w:hint="eastAsia" w:cs="宋体"/>
                <w:bCs/>
                <w:color w:val="auto"/>
                <w:kern w:val="0"/>
                <w:sz w:val="24"/>
              </w:rPr>
              <w:t>项目运营期铁路外轨道中心线</w:t>
            </w:r>
            <w:r>
              <w:rPr>
                <w:rFonts w:hint="eastAsia" w:cs="宋体"/>
                <w:bCs/>
                <w:color w:val="auto"/>
                <w:kern w:val="0"/>
                <w:sz w:val="24"/>
                <w:lang w:val="en-US" w:eastAsia="zh-CN"/>
              </w:rPr>
              <w:t>30</w:t>
            </w:r>
            <w:r>
              <w:rPr>
                <w:rFonts w:hint="eastAsia" w:cs="宋体"/>
                <w:bCs/>
                <w:color w:val="auto"/>
                <w:kern w:val="0"/>
                <w:sz w:val="24"/>
              </w:rPr>
              <w:t>m执行《铁路边界噪声限值及其测量方法》（GB12525-90）及其修改单中的表</w:t>
            </w:r>
            <w:r>
              <w:rPr>
                <w:rFonts w:hint="eastAsia"/>
                <w:color w:val="auto"/>
                <w:lang w:val="en-US" w:eastAsia="zh-CN"/>
              </w:rPr>
              <w:t>2</w:t>
            </w:r>
            <w:r>
              <w:rPr>
                <w:rFonts w:hint="eastAsia" w:cs="宋体"/>
                <w:bCs/>
                <w:color w:val="auto"/>
                <w:kern w:val="0"/>
                <w:sz w:val="24"/>
                <w:lang w:val="en-US" w:eastAsia="zh-CN"/>
              </w:rPr>
              <w:t>新建</w:t>
            </w:r>
            <w:r>
              <w:rPr>
                <w:rFonts w:hint="eastAsia" w:cs="宋体"/>
                <w:bCs/>
                <w:color w:val="auto"/>
                <w:kern w:val="0"/>
                <w:sz w:val="24"/>
              </w:rPr>
              <w:t>铁路边界铁路噪声限值要求。</w:t>
            </w:r>
            <w:r>
              <w:rPr>
                <w:rFonts w:hint="eastAsia" w:ascii="Times New Roman" w:hAnsi="Times New Roman" w:eastAsia="宋体" w:cs="宋体"/>
                <w:bCs/>
                <w:color w:val="auto"/>
                <w:kern w:val="0"/>
                <w:sz w:val="24"/>
              </w:rPr>
              <w:t>项目</w:t>
            </w:r>
            <w:r>
              <w:rPr>
                <w:rFonts w:hint="eastAsia" w:cs="宋体"/>
                <w:bCs/>
                <w:color w:val="auto"/>
                <w:kern w:val="0"/>
                <w:sz w:val="24"/>
                <w:lang w:val="en-US" w:eastAsia="zh-CN"/>
              </w:rPr>
              <w:t>厂</w:t>
            </w:r>
            <w:r>
              <w:rPr>
                <w:rFonts w:hint="eastAsia" w:ascii="Times New Roman" w:hAnsi="Times New Roman" w:eastAsia="宋体" w:cs="宋体"/>
                <w:bCs/>
                <w:color w:val="auto"/>
                <w:kern w:val="0"/>
                <w:sz w:val="24"/>
              </w:rPr>
              <w:t>界噪声执行《工业企业厂界环境噪声排放标准》（GB12348-2008）</w:t>
            </w:r>
            <w:r>
              <w:rPr>
                <w:rFonts w:hint="eastAsia" w:cs="宋体"/>
                <w:bCs/>
                <w:color w:val="auto"/>
                <w:kern w:val="0"/>
                <w:sz w:val="24"/>
                <w:lang w:val="en-US" w:eastAsia="zh-CN"/>
              </w:rPr>
              <w:t>4</w:t>
            </w:r>
            <w:r>
              <w:rPr>
                <w:rFonts w:hint="eastAsia" w:ascii="Times New Roman" w:hAnsi="Times New Roman" w:eastAsia="宋体" w:cs="宋体"/>
                <w:bCs/>
                <w:color w:val="auto"/>
                <w:kern w:val="0"/>
                <w:sz w:val="24"/>
              </w:rPr>
              <w:t>类标准</w:t>
            </w:r>
            <w:r>
              <w:rPr>
                <w:rFonts w:hint="eastAsia" w:cs="宋体"/>
                <w:bCs/>
                <w:color w:val="auto"/>
                <w:kern w:val="0"/>
                <w:sz w:val="24"/>
                <w:lang w:eastAsia="zh-CN"/>
              </w:rPr>
              <w:t>。</w:t>
            </w:r>
            <w:r>
              <w:rPr>
                <w:rFonts w:hint="eastAsia" w:cs="宋体"/>
                <w:bCs/>
                <w:color w:val="auto"/>
                <w:kern w:val="0"/>
                <w:sz w:val="24"/>
              </w:rPr>
              <w:t>运营期</w:t>
            </w:r>
            <w:r>
              <w:rPr>
                <w:rFonts w:hint="eastAsia" w:cs="宋体"/>
                <w:bCs/>
                <w:color w:val="auto"/>
                <w:kern w:val="0"/>
                <w:sz w:val="24"/>
                <w:lang w:eastAsia="zh-CN"/>
              </w:rPr>
              <w:t>项目区域</w:t>
            </w:r>
            <w:r>
              <w:rPr>
                <w:rFonts w:hint="eastAsia" w:cs="宋体"/>
                <w:bCs/>
                <w:color w:val="auto"/>
                <w:kern w:val="0"/>
                <w:sz w:val="24"/>
              </w:rPr>
              <w:t>环境振动</w:t>
            </w:r>
            <w:r>
              <w:rPr>
                <w:rFonts w:hint="eastAsia" w:cs="宋体"/>
                <w:bCs/>
                <w:color w:val="auto"/>
                <w:kern w:val="0"/>
                <w:sz w:val="24"/>
                <w:lang w:eastAsia="zh-CN"/>
              </w:rPr>
              <w:t>执行</w:t>
            </w:r>
            <w:r>
              <w:rPr>
                <w:rFonts w:hint="eastAsia" w:cs="宋体"/>
                <w:bCs/>
                <w:color w:val="auto"/>
                <w:kern w:val="0"/>
                <w:sz w:val="24"/>
              </w:rPr>
              <w:t>《城市区域环境振动标准》</w:t>
            </w:r>
            <w:r>
              <w:rPr>
                <w:rFonts w:hint="eastAsia" w:cs="宋体"/>
                <w:bCs/>
                <w:color w:val="auto"/>
                <w:kern w:val="0"/>
                <w:sz w:val="24"/>
                <w:lang w:eastAsia="zh-CN"/>
              </w:rPr>
              <w:t>（GB 10070-88）</w:t>
            </w:r>
            <w:r>
              <w:rPr>
                <w:rFonts w:hint="eastAsia" w:cs="宋体"/>
                <w:bCs/>
                <w:color w:val="auto"/>
                <w:kern w:val="0"/>
                <w:sz w:val="24"/>
                <w:lang w:val="en-US" w:eastAsia="zh-CN"/>
              </w:rPr>
              <w:t>中相应标准</w:t>
            </w:r>
            <w:r>
              <w:rPr>
                <w:rFonts w:hint="eastAsia" w:cs="宋体"/>
                <w:bCs/>
                <w:color w:val="auto"/>
                <w:kern w:val="0"/>
                <w:sz w:val="24"/>
                <w:lang w:eastAsia="zh-CN"/>
              </w:rPr>
              <w:t>。</w:t>
            </w:r>
          </w:p>
          <w:p w14:paraId="01B40CB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cs="宋体"/>
                <w:b/>
                <w:bCs/>
                <w:color w:val="auto"/>
                <w:kern w:val="0"/>
                <w:szCs w:val="21"/>
              </w:rPr>
            </w:pPr>
            <w:r>
              <w:rPr>
                <w:rFonts w:cs="宋体"/>
                <w:b/>
                <w:bCs/>
                <w:color w:val="auto"/>
                <w:kern w:val="0"/>
                <w:sz w:val="24"/>
                <w:szCs w:val="24"/>
              </w:rPr>
              <w:t>表3-</w:t>
            </w:r>
            <w:r>
              <w:rPr>
                <w:rFonts w:hint="eastAsia" w:cs="宋体"/>
                <w:b/>
                <w:bCs/>
                <w:color w:val="auto"/>
                <w:kern w:val="0"/>
                <w:sz w:val="24"/>
                <w:szCs w:val="24"/>
                <w:lang w:val="en-US" w:eastAsia="zh-CN"/>
              </w:rPr>
              <w:t>10</w:t>
            </w:r>
            <w:r>
              <w:rPr>
                <w:rFonts w:cs="宋体"/>
                <w:b/>
                <w:bCs/>
                <w:color w:val="auto"/>
                <w:kern w:val="0"/>
                <w:sz w:val="24"/>
                <w:szCs w:val="24"/>
              </w:rPr>
              <w:t xml:space="preserve">  </w:t>
            </w:r>
            <w:r>
              <w:rPr>
                <w:rFonts w:hint="eastAsia" w:cs="宋体"/>
                <w:b/>
                <w:bCs/>
                <w:color w:val="auto"/>
                <w:kern w:val="0"/>
                <w:sz w:val="24"/>
                <w:szCs w:val="24"/>
              </w:rPr>
              <w:t>《</w:t>
            </w:r>
            <w:r>
              <w:rPr>
                <w:rFonts w:hint="eastAsia" w:cs="宋体"/>
                <w:b/>
                <w:bCs/>
                <w:color w:val="auto"/>
                <w:kern w:val="0"/>
                <w:sz w:val="24"/>
                <w:szCs w:val="24"/>
                <w:lang w:val="en-US" w:eastAsia="zh-CN"/>
              </w:rPr>
              <w:t>建筑施工噪声排放标</w:t>
            </w:r>
            <w:r>
              <w:rPr>
                <w:rFonts w:hint="eastAsia" w:cs="宋体"/>
                <w:b/>
                <w:bCs/>
                <w:color w:val="auto"/>
                <w:kern w:val="0"/>
                <w:sz w:val="24"/>
                <w:szCs w:val="24"/>
              </w:rPr>
              <w:t>准》（摘录）</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6349"/>
            </w:tblGrid>
            <w:tr w14:paraId="31C8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0" w:type="pct"/>
                  <w:vAlign w:val="center"/>
                </w:tcPr>
                <w:p w14:paraId="7BF12D96">
                  <w:pPr>
                    <w:adjustRightInd w:val="0"/>
                    <w:snapToGrid w:val="0"/>
                    <w:jc w:val="center"/>
                    <w:rPr>
                      <w:rFonts w:cs="宋体"/>
                      <w:b/>
                      <w:bCs/>
                      <w:color w:val="auto"/>
                      <w:kern w:val="0"/>
                      <w:szCs w:val="21"/>
                    </w:rPr>
                  </w:pPr>
                  <w:r>
                    <w:rPr>
                      <w:rFonts w:hint="eastAsia" w:cs="宋体"/>
                      <w:b/>
                      <w:bCs/>
                      <w:color w:val="auto"/>
                      <w:kern w:val="0"/>
                      <w:szCs w:val="21"/>
                    </w:rPr>
                    <w:t>时段</w:t>
                  </w:r>
                </w:p>
              </w:tc>
              <w:tc>
                <w:tcPr>
                  <w:tcW w:w="3770" w:type="pct"/>
                  <w:vAlign w:val="center"/>
                </w:tcPr>
                <w:p w14:paraId="4CB50B42">
                  <w:pPr>
                    <w:adjustRightInd w:val="0"/>
                    <w:snapToGrid w:val="0"/>
                    <w:jc w:val="center"/>
                    <w:rPr>
                      <w:rFonts w:cs="宋体"/>
                      <w:b/>
                      <w:bCs/>
                      <w:color w:val="auto"/>
                      <w:kern w:val="0"/>
                      <w:szCs w:val="21"/>
                    </w:rPr>
                  </w:pPr>
                  <w:r>
                    <w:rPr>
                      <w:rFonts w:hint="eastAsia" w:cs="宋体"/>
                      <w:b/>
                      <w:bCs/>
                      <w:color w:val="auto"/>
                      <w:kern w:val="0"/>
                      <w:szCs w:val="21"/>
                    </w:rPr>
                    <w:t>噪声限值（</w:t>
                  </w:r>
                  <w:r>
                    <w:rPr>
                      <w:rFonts w:cs="宋体"/>
                      <w:b/>
                      <w:bCs/>
                      <w:color w:val="auto"/>
                      <w:kern w:val="0"/>
                      <w:szCs w:val="21"/>
                    </w:rPr>
                    <w:t>dB</w:t>
                  </w:r>
                  <w:r>
                    <w:rPr>
                      <w:rFonts w:hint="eastAsia" w:cs="宋体"/>
                      <w:b/>
                      <w:bCs/>
                      <w:color w:val="auto"/>
                      <w:kern w:val="0"/>
                      <w:szCs w:val="21"/>
                    </w:rPr>
                    <w:t>(</w:t>
                  </w:r>
                  <w:r>
                    <w:rPr>
                      <w:rFonts w:cs="宋体"/>
                      <w:b/>
                      <w:bCs/>
                      <w:color w:val="auto"/>
                      <w:kern w:val="0"/>
                      <w:szCs w:val="21"/>
                    </w:rPr>
                    <w:t>A)</w:t>
                  </w:r>
                  <w:r>
                    <w:rPr>
                      <w:rFonts w:hint="eastAsia" w:cs="宋体"/>
                      <w:b/>
                      <w:bCs/>
                      <w:color w:val="auto"/>
                      <w:kern w:val="0"/>
                      <w:szCs w:val="21"/>
                    </w:rPr>
                    <w:t>）</w:t>
                  </w:r>
                </w:p>
              </w:tc>
            </w:tr>
            <w:tr w14:paraId="5DB6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0" w:type="pct"/>
                  <w:vAlign w:val="center"/>
                </w:tcPr>
                <w:p w14:paraId="600111DD">
                  <w:pPr>
                    <w:adjustRightInd w:val="0"/>
                    <w:snapToGrid w:val="0"/>
                    <w:jc w:val="center"/>
                    <w:rPr>
                      <w:rFonts w:cs="宋体"/>
                      <w:color w:val="auto"/>
                      <w:kern w:val="0"/>
                      <w:szCs w:val="21"/>
                    </w:rPr>
                  </w:pPr>
                  <w:r>
                    <w:rPr>
                      <w:rFonts w:hint="eastAsia" w:cs="宋体"/>
                      <w:color w:val="auto"/>
                      <w:kern w:val="0"/>
                      <w:szCs w:val="21"/>
                    </w:rPr>
                    <w:t>昼间</w:t>
                  </w:r>
                </w:p>
              </w:tc>
              <w:tc>
                <w:tcPr>
                  <w:tcW w:w="3770" w:type="pct"/>
                  <w:vAlign w:val="center"/>
                </w:tcPr>
                <w:p w14:paraId="68E84EEB">
                  <w:pPr>
                    <w:adjustRightInd w:val="0"/>
                    <w:snapToGrid w:val="0"/>
                    <w:jc w:val="center"/>
                    <w:rPr>
                      <w:rFonts w:cs="宋体"/>
                      <w:color w:val="auto"/>
                      <w:kern w:val="0"/>
                      <w:szCs w:val="21"/>
                    </w:rPr>
                  </w:pPr>
                  <w:r>
                    <w:rPr>
                      <w:rFonts w:hint="eastAsia" w:cs="宋体"/>
                      <w:color w:val="auto"/>
                      <w:kern w:val="0"/>
                      <w:szCs w:val="21"/>
                    </w:rPr>
                    <w:t>7</w:t>
                  </w:r>
                  <w:r>
                    <w:rPr>
                      <w:rFonts w:cs="宋体"/>
                      <w:color w:val="auto"/>
                      <w:kern w:val="0"/>
                      <w:szCs w:val="21"/>
                    </w:rPr>
                    <w:t>0</w:t>
                  </w:r>
                </w:p>
              </w:tc>
            </w:tr>
            <w:tr w14:paraId="20B1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0" w:type="pct"/>
                  <w:vAlign w:val="center"/>
                </w:tcPr>
                <w:p w14:paraId="2D4F4FC4">
                  <w:pPr>
                    <w:adjustRightInd w:val="0"/>
                    <w:snapToGrid w:val="0"/>
                    <w:jc w:val="center"/>
                    <w:rPr>
                      <w:rFonts w:cs="宋体"/>
                      <w:color w:val="auto"/>
                      <w:kern w:val="0"/>
                      <w:szCs w:val="21"/>
                    </w:rPr>
                  </w:pPr>
                  <w:r>
                    <w:rPr>
                      <w:rFonts w:hint="eastAsia" w:cs="宋体"/>
                      <w:color w:val="auto"/>
                      <w:kern w:val="0"/>
                      <w:szCs w:val="21"/>
                    </w:rPr>
                    <w:t>夜间</w:t>
                  </w:r>
                </w:p>
              </w:tc>
              <w:tc>
                <w:tcPr>
                  <w:tcW w:w="3770" w:type="pct"/>
                  <w:vAlign w:val="center"/>
                </w:tcPr>
                <w:p w14:paraId="2EBCB8ED">
                  <w:pPr>
                    <w:adjustRightInd w:val="0"/>
                    <w:snapToGrid w:val="0"/>
                    <w:jc w:val="center"/>
                    <w:rPr>
                      <w:rFonts w:cs="宋体"/>
                      <w:color w:val="auto"/>
                      <w:kern w:val="0"/>
                      <w:szCs w:val="21"/>
                    </w:rPr>
                  </w:pPr>
                  <w:r>
                    <w:rPr>
                      <w:rFonts w:cs="宋体"/>
                      <w:color w:val="auto"/>
                      <w:kern w:val="0"/>
                      <w:szCs w:val="21"/>
                    </w:rPr>
                    <w:t>55</w:t>
                  </w:r>
                </w:p>
              </w:tc>
            </w:tr>
          </w:tbl>
          <w:p w14:paraId="7D505D56">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cs="宋体"/>
                <w:b/>
                <w:bCs/>
                <w:color w:val="auto"/>
                <w:kern w:val="0"/>
                <w:szCs w:val="21"/>
              </w:rPr>
            </w:pPr>
            <w:r>
              <w:rPr>
                <w:rFonts w:cs="宋体"/>
                <w:b/>
                <w:bCs/>
                <w:color w:val="auto"/>
                <w:kern w:val="0"/>
                <w:sz w:val="24"/>
                <w:szCs w:val="24"/>
              </w:rPr>
              <w:t>表</w:t>
            </w:r>
            <w:r>
              <w:rPr>
                <w:rFonts w:hint="eastAsia" w:cs="宋体"/>
                <w:b/>
                <w:bCs/>
                <w:color w:val="auto"/>
                <w:kern w:val="0"/>
                <w:sz w:val="24"/>
                <w:szCs w:val="24"/>
              </w:rPr>
              <w:t>3</w:t>
            </w:r>
            <w:r>
              <w:rPr>
                <w:rFonts w:cs="宋体"/>
                <w:b/>
                <w:bCs/>
                <w:color w:val="auto"/>
                <w:kern w:val="0"/>
                <w:sz w:val="24"/>
                <w:szCs w:val="24"/>
              </w:rPr>
              <w:t>-</w:t>
            </w:r>
            <w:r>
              <w:rPr>
                <w:rFonts w:hint="eastAsia" w:cs="宋体"/>
                <w:b/>
                <w:bCs/>
                <w:color w:val="auto"/>
                <w:kern w:val="0"/>
                <w:sz w:val="24"/>
                <w:szCs w:val="24"/>
                <w:lang w:val="en-US" w:eastAsia="zh-CN"/>
              </w:rPr>
              <w:t>11</w:t>
            </w:r>
            <w:r>
              <w:rPr>
                <w:rFonts w:cs="宋体"/>
                <w:b/>
                <w:bCs/>
                <w:color w:val="auto"/>
                <w:kern w:val="0"/>
                <w:sz w:val="24"/>
                <w:szCs w:val="24"/>
              </w:rPr>
              <w:t xml:space="preserve">  </w:t>
            </w:r>
            <w:r>
              <w:rPr>
                <w:rFonts w:hint="eastAsia" w:cs="宋体"/>
                <w:b/>
                <w:bCs/>
                <w:color w:val="auto"/>
                <w:kern w:val="0"/>
                <w:sz w:val="24"/>
                <w:szCs w:val="24"/>
              </w:rPr>
              <w:t>《铁路边界噪声限值及其测量方法》（摘录）</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4"/>
              <w:gridCol w:w="5256"/>
            </w:tblGrid>
            <w:tr w14:paraId="4CC9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879" w:type="pct"/>
                  <w:vAlign w:val="center"/>
                </w:tcPr>
                <w:p w14:paraId="106D43C6">
                  <w:pPr>
                    <w:adjustRightInd w:val="0"/>
                    <w:snapToGrid w:val="0"/>
                    <w:jc w:val="center"/>
                    <w:rPr>
                      <w:rFonts w:cs="宋体"/>
                      <w:b/>
                      <w:bCs/>
                      <w:color w:val="auto"/>
                      <w:kern w:val="0"/>
                      <w:szCs w:val="21"/>
                    </w:rPr>
                  </w:pPr>
                  <w:r>
                    <w:rPr>
                      <w:rFonts w:hint="eastAsia" w:cs="宋体"/>
                      <w:b/>
                      <w:bCs/>
                      <w:color w:val="auto"/>
                      <w:kern w:val="0"/>
                      <w:szCs w:val="21"/>
                    </w:rPr>
                    <w:t>时段</w:t>
                  </w:r>
                </w:p>
              </w:tc>
              <w:tc>
                <w:tcPr>
                  <w:tcW w:w="3121" w:type="pct"/>
                  <w:vAlign w:val="center"/>
                </w:tcPr>
                <w:p w14:paraId="055BA6DE">
                  <w:pPr>
                    <w:adjustRightInd w:val="0"/>
                    <w:snapToGrid w:val="0"/>
                    <w:jc w:val="center"/>
                    <w:rPr>
                      <w:rFonts w:cs="宋体"/>
                      <w:b/>
                      <w:bCs/>
                      <w:color w:val="auto"/>
                      <w:kern w:val="0"/>
                      <w:szCs w:val="21"/>
                    </w:rPr>
                  </w:pPr>
                  <w:r>
                    <w:rPr>
                      <w:rFonts w:hint="eastAsia" w:cs="宋体"/>
                      <w:b/>
                      <w:bCs/>
                      <w:color w:val="auto"/>
                      <w:kern w:val="0"/>
                      <w:szCs w:val="21"/>
                    </w:rPr>
                    <w:t>噪声限值（</w:t>
                  </w:r>
                  <w:r>
                    <w:rPr>
                      <w:rFonts w:cs="宋体"/>
                      <w:b/>
                      <w:bCs/>
                      <w:color w:val="auto"/>
                      <w:kern w:val="0"/>
                      <w:szCs w:val="21"/>
                    </w:rPr>
                    <w:t>dB</w:t>
                  </w:r>
                  <w:r>
                    <w:rPr>
                      <w:rFonts w:hint="eastAsia" w:cs="宋体"/>
                      <w:b/>
                      <w:bCs/>
                      <w:color w:val="auto"/>
                      <w:kern w:val="0"/>
                      <w:szCs w:val="21"/>
                    </w:rPr>
                    <w:t>(</w:t>
                  </w:r>
                  <w:r>
                    <w:rPr>
                      <w:rFonts w:cs="宋体"/>
                      <w:b/>
                      <w:bCs/>
                      <w:color w:val="auto"/>
                      <w:kern w:val="0"/>
                      <w:szCs w:val="21"/>
                    </w:rPr>
                    <w:t>A)</w:t>
                  </w:r>
                  <w:r>
                    <w:rPr>
                      <w:rFonts w:hint="eastAsia" w:cs="宋体"/>
                      <w:b/>
                      <w:bCs/>
                      <w:color w:val="auto"/>
                      <w:kern w:val="0"/>
                      <w:szCs w:val="21"/>
                    </w:rPr>
                    <w:t>）</w:t>
                  </w:r>
                </w:p>
              </w:tc>
            </w:tr>
            <w:tr w14:paraId="3C54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79" w:type="pct"/>
                  <w:vAlign w:val="center"/>
                </w:tcPr>
                <w:p w14:paraId="04C43015">
                  <w:pPr>
                    <w:adjustRightInd w:val="0"/>
                    <w:snapToGrid w:val="0"/>
                    <w:jc w:val="center"/>
                    <w:rPr>
                      <w:rFonts w:cs="宋体"/>
                      <w:color w:val="auto"/>
                      <w:kern w:val="0"/>
                      <w:szCs w:val="21"/>
                    </w:rPr>
                  </w:pPr>
                  <w:r>
                    <w:rPr>
                      <w:rFonts w:hint="eastAsia" w:cs="宋体"/>
                      <w:color w:val="auto"/>
                      <w:kern w:val="0"/>
                      <w:szCs w:val="21"/>
                    </w:rPr>
                    <w:t>昼间</w:t>
                  </w:r>
                </w:p>
              </w:tc>
              <w:tc>
                <w:tcPr>
                  <w:tcW w:w="3121" w:type="pct"/>
                  <w:vAlign w:val="center"/>
                </w:tcPr>
                <w:p w14:paraId="55BE1C56">
                  <w:pPr>
                    <w:adjustRightInd w:val="0"/>
                    <w:snapToGrid w:val="0"/>
                    <w:jc w:val="center"/>
                    <w:rPr>
                      <w:rFonts w:cs="宋体"/>
                      <w:color w:val="auto"/>
                      <w:kern w:val="0"/>
                      <w:szCs w:val="21"/>
                    </w:rPr>
                  </w:pPr>
                  <w:r>
                    <w:rPr>
                      <w:rFonts w:hint="eastAsia" w:cs="宋体"/>
                      <w:color w:val="auto"/>
                      <w:kern w:val="0"/>
                      <w:szCs w:val="21"/>
                    </w:rPr>
                    <w:t>7</w:t>
                  </w:r>
                  <w:r>
                    <w:rPr>
                      <w:rFonts w:cs="宋体"/>
                      <w:color w:val="auto"/>
                      <w:kern w:val="0"/>
                      <w:szCs w:val="21"/>
                    </w:rPr>
                    <w:t>0</w:t>
                  </w:r>
                </w:p>
              </w:tc>
            </w:tr>
            <w:tr w14:paraId="6E73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79" w:type="pct"/>
                  <w:vAlign w:val="center"/>
                </w:tcPr>
                <w:p w14:paraId="079656C1">
                  <w:pPr>
                    <w:adjustRightInd w:val="0"/>
                    <w:snapToGrid w:val="0"/>
                    <w:jc w:val="center"/>
                    <w:rPr>
                      <w:rFonts w:cs="宋体"/>
                      <w:color w:val="auto"/>
                      <w:kern w:val="0"/>
                      <w:szCs w:val="21"/>
                    </w:rPr>
                  </w:pPr>
                  <w:r>
                    <w:rPr>
                      <w:rFonts w:hint="eastAsia" w:cs="宋体"/>
                      <w:color w:val="auto"/>
                      <w:kern w:val="0"/>
                      <w:szCs w:val="21"/>
                    </w:rPr>
                    <w:t>夜间</w:t>
                  </w:r>
                </w:p>
              </w:tc>
              <w:tc>
                <w:tcPr>
                  <w:tcW w:w="3121" w:type="pct"/>
                  <w:vAlign w:val="center"/>
                </w:tcPr>
                <w:p w14:paraId="09ECCE7F">
                  <w:pPr>
                    <w:adjustRightInd w:val="0"/>
                    <w:snapToGrid w:val="0"/>
                    <w:jc w:val="center"/>
                    <w:rPr>
                      <w:rFonts w:hint="default" w:cs="宋体"/>
                      <w:color w:val="auto"/>
                      <w:kern w:val="0"/>
                      <w:szCs w:val="21"/>
                      <w:lang w:val="en-US"/>
                    </w:rPr>
                  </w:pPr>
                  <w:r>
                    <w:rPr>
                      <w:rFonts w:hint="eastAsia" w:cs="宋体"/>
                      <w:color w:val="auto"/>
                      <w:kern w:val="0"/>
                      <w:szCs w:val="21"/>
                      <w:lang w:val="en-US" w:eastAsia="zh-CN"/>
                    </w:rPr>
                    <w:t>60</w:t>
                  </w:r>
                </w:p>
              </w:tc>
            </w:tr>
          </w:tbl>
          <w:p w14:paraId="270659A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b/>
                <w:bCs/>
                <w:color w:val="auto"/>
                <w:szCs w:val="21"/>
              </w:rPr>
            </w:pPr>
            <w:r>
              <w:rPr>
                <w:b/>
                <w:bCs/>
                <w:color w:val="auto"/>
                <w:sz w:val="24"/>
                <w:szCs w:val="24"/>
              </w:rPr>
              <w:t>表</w:t>
            </w:r>
            <w:r>
              <w:rPr>
                <w:rFonts w:hint="eastAsia"/>
                <w:b/>
                <w:bCs/>
                <w:color w:val="auto"/>
                <w:sz w:val="24"/>
                <w:szCs w:val="24"/>
              </w:rPr>
              <w:t>3</w:t>
            </w:r>
            <w:r>
              <w:rPr>
                <w:b/>
                <w:bCs/>
                <w:color w:val="auto"/>
                <w:sz w:val="24"/>
                <w:szCs w:val="24"/>
              </w:rPr>
              <w:t>-</w:t>
            </w:r>
            <w:r>
              <w:rPr>
                <w:rFonts w:hint="eastAsia"/>
                <w:b/>
                <w:bCs/>
                <w:color w:val="auto"/>
                <w:sz w:val="24"/>
                <w:szCs w:val="24"/>
                <w:lang w:val="en-US" w:eastAsia="zh-CN"/>
              </w:rPr>
              <w:t>12</w:t>
            </w:r>
            <w:r>
              <w:rPr>
                <w:b/>
                <w:bCs/>
                <w:color w:val="auto"/>
                <w:sz w:val="24"/>
                <w:szCs w:val="24"/>
              </w:rPr>
              <w:t>工业企业厂界环境噪声排放标准（摘录）  单位：dB(A)</w:t>
            </w:r>
          </w:p>
          <w:tbl>
            <w:tblPr>
              <w:tblStyle w:val="46"/>
              <w:tblW w:w="4998" w:type="pct"/>
              <w:jc w:val="center"/>
              <w:tblLayout w:type="autofit"/>
              <w:tblCellMar>
                <w:top w:w="0" w:type="dxa"/>
                <w:left w:w="108" w:type="dxa"/>
                <w:bottom w:w="0" w:type="dxa"/>
                <w:right w:w="108" w:type="dxa"/>
              </w:tblCellMar>
            </w:tblPr>
            <w:tblGrid>
              <w:gridCol w:w="1724"/>
              <w:gridCol w:w="2234"/>
              <w:gridCol w:w="2234"/>
              <w:gridCol w:w="2235"/>
            </w:tblGrid>
            <w:tr w14:paraId="413EDABB">
              <w:tblPrEx>
                <w:tblCellMar>
                  <w:top w:w="0" w:type="dxa"/>
                  <w:left w:w="108" w:type="dxa"/>
                  <w:bottom w:w="0" w:type="dxa"/>
                  <w:right w:w="108" w:type="dxa"/>
                </w:tblCellMar>
              </w:tblPrEx>
              <w:trPr>
                <w:trHeight w:val="307" w:hRule="atLeast"/>
                <w:jc w:val="center"/>
              </w:trPr>
              <w:tc>
                <w:tcPr>
                  <w:tcW w:w="1022"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117098BD">
                  <w:pPr>
                    <w:adjustRightInd w:val="0"/>
                    <w:snapToGrid w:val="0"/>
                    <w:jc w:val="center"/>
                    <w:rPr>
                      <w:b/>
                      <w:bCs w:val="0"/>
                      <w:color w:val="auto"/>
                      <w:szCs w:val="21"/>
                    </w:rPr>
                  </w:pPr>
                  <w:r>
                    <w:rPr>
                      <w:b/>
                      <w:bCs w:val="0"/>
                      <w:color w:val="auto"/>
                      <w:szCs w:val="21"/>
                    </w:rPr>
                    <w:t xml:space="preserve">时段       </w:t>
                  </w:r>
                  <w:r>
                    <w:rPr>
                      <w:b/>
                      <w:bCs w:val="0"/>
                      <w:color w:val="auto"/>
                      <w:szCs w:val="21"/>
                    </w:rPr>
                    <w:cr/>
                  </w:r>
                  <w:r>
                    <w:rPr>
                      <w:b/>
                      <w:bCs w:val="0"/>
                      <w:color w:val="auto"/>
                      <w:szCs w:val="21"/>
                    </w:rPr>
                    <w:t xml:space="preserve">  </w:t>
                  </w:r>
                </w:p>
                <w:p w14:paraId="4236F216">
                  <w:pPr>
                    <w:adjustRightInd w:val="0"/>
                    <w:snapToGrid w:val="0"/>
                    <w:jc w:val="center"/>
                    <w:rPr>
                      <w:b/>
                      <w:bCs w:val="0"/>
                      <w:color w:val="auto"/>
                      <w:szCs w:val="21"/>
                    </w:rPr>
                  </w:pPr>
                  <w:r>
                    <w:rPr>
                      <w:b/>
                      <w:bCs w:val="0"/>
                      <w:color w:val="auto"/>
                      <w:szCs w:val="21"/>
                    </w:rPr>
                    <w:t xml:space="preserve">类别    </w:t>
                  </w:r>
                </w:p>
              </w:tc>
              <w:tc>
                <w:tcPr>
                  <w:tcW w:w="1325" w:type="pct"/>
                  <w:tcBorders>
                    <w:top w:val="single" w:color="auto" w:sz="4" w:space="0"/>
                    <w:left w:val="nil"/>
                    <w:bottom w:val="single" w:color="auto" w:sz="4" w:space="0"/>
                    <w:right w:val="single" w:color="auto" w:sz="4" w:space="0"/>
                  </w:tcBorders>
                  <w:noWrap w:val="0"/>
                  <w:vAlign w:val="center"/>
                </w:tcPr>
                <w:p w14:paraId="2ED6BCE4">
                  <w:pPr>
                    <w:adjustRightInd w:val="0"/>
                    <w:snapToGrid w:val="0"/>
                    <w:jc w:val="center"/>
                    <w:rPr>
                      <w:b/>
                      <w:bCs w:val="0"/>
                      <w:color w:val="auto"/>
                      <w:szCs w:val="21"/>
                    </w:rPr>
                  </w:pPr>
                  <w:r>
                    <w:rPr>
                      <w:rFonts w:hint="eastAsia"/>
                      <w:b/>
                      <w:bCs w:val="0"/>
                      <w:color w:val="auto"/>
                      <w:szCs w:val="21"/>
                    </w:rPr>
                    <w:t>昼间</w:t>
                  </w:r>
                </w:p>
              </w:tc>
              <w:tc>
                <w:tcPr>
                  <w:tcW w:w="1325" w:type="pct"/>
                  <w:tcBorders>
                    <w:top w:val="single" w:color="auto" w:sz="4" w:space="0"/>
                    <w:left w:val="nil"/>
                    <w:bottom w:val="single" w:color="auto" w:sz="4" w:space="0"/>
                    <w:right w:val="single" w:color="auto" w:sz="4" w:space="0"/>
                  </w:tcBorders>
                  <w:noWrap w:val="0"/>
                  <w:vAlign w:val="center"/>
                </w:tcPr>
                <w:p w14:paraId="13420945">
                  <w:pPr>
                    <w:adjustRightInd w:val="0"/>
                    <w:snapToGrid w:val="0"/>
                    <w:jc w:val="center"/>
                    <w:rPr>
                      <w:b/>
                      <w:bCs w:val="0"/>
                      <w:color w:val="auto"/>
                      <w:szCs w:val="21"/>
                    </w:rPr>
                  </w:pPr>
                  <w:r>
                    <w:rPr>
                      <w:rFonts w:hint="eastAsia"/>
                      <w:b/>
                      <w:bCs w:val="0"/>
                      <w:color w:val="auto"/>
                      <w:szCs w:val="21"/>
                    </w:rPr>
                    <w:t>夜间</w:t>
                  </w:r>
                </w:p>
              </w:tc>
              <w:tc>
                <w:tcPr>
                  <w:tcW w:w="1325" w:type="pct"/>
                  <w:tcBorders>
                    <w:top w:val="single" w:color="auto" w:sz="4" w:space="0"/>
                    <w:left w:val="nil"/>
                    <w:bottom w:val="single" w:color="auto" w:sz="4" w:space="0"/>
                    <w:right w:val="single" w:color="auto" w:sz="4" w:space="0"/>
                  </w:tcBorders>
                  <w:noWrap w:val="0"/>
                  <w:vAlign w:val="center"/>
                </w:tcPr>
                <w:p w14:paraId="1D81B652">
                  <w:pPr>
                    <w:adjustRightInd w:val="0"/>
                    <w:snapToGrid w:val="0"/>
                    <w:jc w:val="center"/>
                    <w:textAlignment w:val="baseline"/>
                    <w:rPr>
                      <w:rFonts w:hint="eastAsia"/>
                      <w:b/>
                      <w:bCs w:val="0"/>
                      <w:color w:val="auto"/>
                      <w:szCs w:val="21"/>
                    </w:rPr>
                  </w:pPr>
                  <w:r>
                    <w:rPr>
                      <w:rFonts w:hint="eastAsia"/>
                      <w:b/>
                      <w:bCs w:val="0"/>
                      <w:color w:val="auto"/>
                      <w:kern w:val="0"/>
                      <w:szCs w:val="21"/>
                    </w:rPr>
                    <w:t>执行区域</w:t>
                  </w:r>
                </w:p>
              </w:tc>
            </w:tr>
            <w:tr w14:paraId="1C20C613">
              <w:tblPrEx>
                <w:tblCellMar>
                  <w:top w:w="0" w:type="dxa"/>
                  <w:left w:w="108" w:type="dxa"/>
                  <w:bottom w:w="0" w:type="dxa"/>
                  <w:right w:w="108" w:type="dxa"/>
                </w:tblCellMar>
              </w:tblPrEx>
              <w:trPr>
                <w:trHeight w:val="502" w:hRule="atLeast"/>
                <w:jc w:val="center"/>
              </w:trPr>
              <w:tc>
                <w:tcPr>
                  <w:tcW w:w="1022" w:type="pct"/>
                  <w:tcBorders>
                    <w:top w:val="single" w:color="auto" w:sz="4" w:space="0"/>
                    <w:left w:val="single" w:color="auto" w:sz="4" w:space="0"/>
                    <w:bottom w:val="single" w:color="auto" w:sz="4" w:space="0"/>
                    <w:right w:val="single" w:color="auto" w:sz="4" w:space="0"/>
                  </w:tcBorders>
                  <w:noWrap w:val="0"/>
                  <w:vAlign w:val="center"/>
                </w:tcPr>
                <w:p w14:paraId="58EF7EE1">
                  <w:pPr>
                    <w:adjustRightInd w:val="0"/>
                    <w:snapToGrid w:val="0"/>
                    <w:jc w:val="center"/>
                    <w:rPr>
                      <w:color w:val="auto"/>
                      <w:szCs w:val="21"/>
                    </w:rPr>
                  </w:pPr>
                  <w:r>
                    <w:rPr>
                      <w:rFonts w:hint="eastAsia"/>
                      <w:color w:val="auto"/>
                      <w:lang w:val="en-US" w:eastAsia="zh-CN"/>
                    </w:rPr>
                    <w:t>4</w:t>
                  </w:r>
                  <w:r>
                    <w:rPr>
                      <w:color w:val="auto"/>
                    </w:rPr>
                    <w:t>类</w:t>
                  </w:r>
                </w:p>
              </w:tc>
              <w:tc>
                <w:tcPr>
                  <w:tcW w:w="1325" w:type="pct"/>
                  <w:tcBorders>
                    <w:top w:val="single" w:color="auto" w:sz="4" w:space="0"/>
                    <w:left w:val="nil"/>
                    <w:bottom w:val="single" w:color="auto" w:sz="4" w:space="0"/>
                    <w:right w:val="single" w:color="auto" w:sz="4" w:space="0"/>
                  </w:tcBorders>
                  <w:noWrap w:val="0"/>
                  <w:vAlign w:val="center"/>
                </w:tcPr>
                <w:p w14:paraId="2EC85AB5">
                  <w:pPr>
                    <w:adjustRightInd w:val="0"/>
                    <w:snapToGrid w:val="0"/>
                    <w:jc w:val="center"/>
                    <w:rPr>
                      <w:rFonts w:hint="default" w:eastAsia="宋体"/>
                      <w:color w:val="auto"/>
                      <w:szCs w:val="21"/>
                      <w:lang w:val="en-US" w:eastAsia="zh-CN"/>
                    </w:rPr>
                  </w:pPr>
                  <w:r>
                    <w:rPr>
                      <w:rFonts w:hint="eastAsia"/>
                      <w:color w:val="auto"/>
                      <w:lang w:val="en-US" w:eastAsia="zh-CN"/>
                    </w:rPr>
                    <w:t>70</w:t>
                  </w:r>
                </w:p>
              </w:tc>
              <w:tc>
                <w:tcPr>
                  <w:tcW w:w="1325" w:type="pct"/>
                  <w:tcBorders>
                    <w:top w:val="single" w:color="auto" w:sz="4" w:space="0"/>
                    <w:left w:val="nil"/>
                    <w:bottom w:val="single" w:color="auto" w:sz="4" w:space="0"/>
                    <w:right w:val="single" w:color="auto" w:sz="4" w:space="0"/>
                  </w:tcBorders>
                  <w:noWrap w:val="0"/>
                  <w:vAlign w:val="center"/>
                </w:tcPr>
                <w:p w14:paraId="75238358">
                  <w:pPr>
                    <w:adjustRightInd w:val="0"/>
                    <w:snapToGrid w:val="0"/>
                    <w:jc w:val="center"/>
                    <w:rPr>
                      <w:color w:val="auto"/>
                      <w:szCs w:val="21"/>
                    </w:rPr>
                  </w:pPr>
                  <w:r>
                    <w:rPr>
                      <w:color w:val="auto"/>
                    </w:rPr>
                    <w:t>55</w:t>
                  </w:r>
                </w:p>
              </w:tc>
              <w:tc>
                <w:tcPr>
                  <w:tcW w:w="1325" w:type="pct"/>
                  <w:tcBorders>
                    <w:top w:val="single" w:color="auto" w:sz="4" w:space="0"/>
                    <w:left w:val="nil"/>
                    <w:bottom w:val="single" w:color="auto" w:sz="4" w:space="0"/>
                    <w:right w:val="single" w:color="auto" w:sz="4" w:space="0"/>
                  </w:tcBorders>
                  <w:noWrap w:val="0"/>
                  <w:vAlign w:val="center"/>
                </w:tcPr>
                <w:p w14:paraId="4F651A50">
                  <w:pPr>
                    <w:adjustRightInd w:val="0"/>
                    <w:snapToGrid w:val="0"/>
                    <w:jc w:val="center"/>
                    <w:rPr>
                      <w:rFonts w:hint="default" w:eastAsia="宋体"/>
                      <w:color w:val="auto"/>
                      <w:lang w:val="en-US" w:eastAsia="zh-CN"/>
                    </w:rPr>
                  </w:pPr>
                  <w:r>
                    <w:rPr>
                      <w:rFonts w:hint="eastAsia"/>
                      <w:color w:val="auto"/>
                      <w:lang w:val="en-US" w:eastAsia="zh-CN"/>
                    </w:rPr>
                    <w:t>项目厂界</w:t>
                  </w:r>
                </w:p>
              </w:tc>
            </w:tr>
          </w:tbl>
          <w:p w14:paraId="15EF4EC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b/>
                <w:bCs/>
                <w:color w:val="auto"/>
                <w:sz w:val="24"/>
                <w:szCs w:val="24"/>
              </w:rPr>
            </w:pPr>
          </w:p>
          <w:p w14:paraId="5470339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b/>
                <w:bCs/>
                <w:color w:val="auto"/>
                <w:sz w:val="24"/>
                <w:szCs w:val="24"/>
              </w:rPr>
            </w:pPr>
          </w:p>
          <w:p w14:paraId="46F3AB5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b/>
                <w:bCs/>
                <w:color w:val="auto"/>
                <w:sz w:val="24"/>
                <w:szCs w:val="24"/>
              </w:rPr>
            </w:pPr>
          </w:p>
          <w:p w14:paraId="47E5C2C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b/>
                <w:bCs/>
                <w:color w:val="auto"/>
                <w:szCs w:val="21"/>
              </w:rPr>
            </w:pPr>
            <w:r>
              <w:rPr>
                <w:b/>
                <w:bCs/>
                <w:color w:val="auto"/>
                <w:sz w:val="24"/>
                <w:szCs w:val="24"/>
              </w:rPr>
              <w:t>表</w:t>
            </w:r>
            <w:r>
              <w:rPr>
                <w:rFonts w:hint="eastAsia"/>
                <w:b/>
                <w:bCs/>
                <w:color w:val="auto"/>
                <w:sz w:val="24"/>
                <w:szCs w:val="24"/>
              </w:rPr>
              <w:t>3</w:t>
            </w:r>
            <w:r>
              <w:rPr>
                <w:b/>
                <w:bCs/>
                <w:color w:val="auto"/>
                <w:sz w:val="24"/>
                <w:szCs w:val="24"/>
              </w:rPr>
              <w:t>-</w:t>
            </w:r>
            <w:r>
              <w:rPr>
                <w:rFonts w:hint="eastAsia"/>
                <w:b/>
                <w:bCs/>
                <w:color w:val="auto"/>
                <w:sz w:val="24"/>
                <w:szCs w:val="24"/>
                <w:lang w:val="en-US" w:eastAsia="zh-CN"/>
              </w:rPr>
              <w:t xml:space="preserve">13  </w:t>
            </w:r>
            <w:r>
              <w:rPr>
                <w:rFonts w:hint="eastAsia"/>
                <w:b/>
                <w:bCs/>
                <w:color w:val="auto"/>
                <w:sz w:val="24"/>
                <w:szCs w:val="24"/>
              </w:rPr>
              <w:t>城市区域环境振动标准</w:t>
            </w:r>
            <w:r>
              <w:rPr>
                <w:b/>
                <w:bCs/>
                <w:color w:val="auto"/>
                <w:sz w:val="24"/>
                <w:szCs w:val="24"/>
              </w:rPr>
              <w:t>（摘录）  单位：dB(A)</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9"/>
              <w:gridCol w:w="3175"/>
              <w:gridCol w:w="3176"/>
            </w:tblGrid>
            <w:tr w14:paraId="7A81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8" w:type="pct"/>
                  <w:vAlign w:val="center"/>
                </w:tcPr>
                <w:p w14:paraId="2A9DEC8D">
                  <w:pPr>
                    <w:adjustRightInd w:val="0"/>
                    <w:snapToGrid w:val="0"/>
                    <w:jc w:val="center"/>
                    <w:rPr>
                      <w:rFonts w:cs="宋体"/>
                      <w:b/>
                      <w:bCs/>
                      <w:color w:val="auto"/>
                      <w:kern w:val="0"/>
                      <w:szCs w:val="21"/>
                    </w:rPr>
                  </w:pPr>
                  <w:r>
                    <w:rPr>
                      <w:rFonts w:hint="eastAsia" w:cs="宋体"/>
                      <w:b/>
                      <w:bCs/>
                      <w:color w:val="auto"/>
                      <w:kern w:val="0"/>
                      <w:szCs w:val="21"/>
                      <w:lang w:eastAsia="zh-CN"/>
                    </w:rPr>
                    <w:t>适用地带范围</w:t>
                  </w:r>
                </w:p>
              </w:tc>
              <w:tc>
                <w:tcPr>
                  <w:tcW w:w="1885" w:type="pct"/>
                  <w:vAlign w:val="center"/>
                </w:tcPr>
                <w:p w14:paraId="6A5EAACA">
                  <w:pPr>
                    <w:adjustRightInd w:val="0"/>
                    <w:snapToGrid w:val="0"/>
                    <w:jc w:val="center"/>
                    <w:rPr>
                      <w:rFonts w:hint="eastAsia" w:eastAsia="宋体" w:cs="宋体"/>
                      <w:b/>
                      <w:bCs/>
                      <w:color w:val="auto"/>
                      <w:kern w:val="0"/>
                      <w:szCs w:val="21"/>
                      <w:lang w:eastAsia="zh-CN"/>
                    </w:rPr>
                  </w:pPr>
                  <w:r>
                    <w:rPr>
                      <w:rFonts w:hint="eastAsia" w:cs="宋体"/>
                      <w:b/>
                      <w:bCs/>
                      <w:color w:val="auto"/>
                      <w:kern w:val="0"/>
                      <w:szCs w:val="21"/>
                      <w:lang w:eastAsia="zh-CN"/>
                    </w:rPr>
                    <w:t>昼间</w:t>
                  </w:r>
                </w:p>
              </w:tc>
              <w:tc>
                <w:tcPr>
                  <w:tcW w:w="1885" w:type="pct"/>
                  <w:vAlign w:val="center"/>
                </w:tcPr>
                <w:p w14:paraId="5A61971C">
                  <w:pPr>
                    <w:adjustRightInd w:val="0"/>
                    <w:snapToGrid w:val="0"/>
                    <w:jc w:val="center"/>
                    <w:rPr>
                      <w:rFonts w:hint="eastAsia" w:eastAsia="宋体" w:cs="宋体"/>
                      <w:b/>
                      <w:bCs/>
                      <w:color w:val="auto"/>
                      <w:kern w:val="0"/>
                      <w:szCs w:val="21"/>
                      <w:lang w:eastAsia="zh-CN"/>
                    </w:rPr>
                  </w:pPr>
                  <w:r>
                    <w:rPr>
                      <w:rFonts w:hint="eastAsia" w:cs="宋体"/>
                      <w:b/>
                      <w:bCs/>
                      <w:color w:val="auto"/>
                      <w:kern w:val="0"/>
                      <w:szCs w:val="21"/>
                      <w:lang w:eastAsia="zh-CN"/>
                    </w:rPr>
                    <w:t>夜间</w:t>
                  </w:r>
                </w:p>
              </w:tc>
            </w:tr>
            <w:tr w14:paraId="6BEF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059" w:type="dxa"/>
                  <w:vAlign w:val="center"/>
                </w:tcPr>
                <w:p w14:paraId="368C8C6C">
                  <w:pPr>
                    <w:adjustRightInd w:val="0"/>
                    <w:snapToGrid w:val="0"/>
                    <w:jc w:val="center"/>
                    <w:rPr>
                      <w:rFonts w:hint="eastAsia" w:eastAsia="宋体" w:cs="宋体"/>
                      <w:color w:val="auto"/>
                      <w:kern w:val="0"/>
                      <w:szCs w:val="21"/>
                      <w:lang w:eastAsia="zh-CN"/>
                    </w:rPr>
                  </w:pPr>
                  <w:r>
                    <w:rPr>
                      <w:rFonts w:hint="eastAsia" w:ascii="Times New Roman" w:hAnsi="Times New Roman" w:eastAsia="宋体" w:cs="宋体"/>
                      <w:color w:val="auto"/>
                      <w:kern w:val="0"/>
                      <w:szCs w:val="21"/>
                      <w:lang w:eastAsia="zh-CN"/>
                    </w:rPr>
                    <w:t>工业集中区</w:t>
                  </w:r>
                </w:p>
              </w:tc>
              <w:tc>
                <w:tcPr>
                  <w:tcW w:w="3160" w:type="dxa"/>
                  <w:vAlign w:val="center"/>
                </w:tcPr>
                <w:p w14:paraId="37C1E226">
                  <w:pPr>
                    <w:adjustRightInd w:val="0"/>
                    <w:snapToGrid w:val="0"/>
                    <w:jc w:val="center"/>
                    <w:rPr>
                      <w:rFonts w:hint="default"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75</w:t>
                  </w:r>
                </w:p>
              </w:tc>
              <w:tc>
                <w:tcPr>
                  <w:tcW w:w="3161" w:type="dxa"/>
                  <w:vAlign w:val="center"/>
                </w:tcPr>
                <w:p w14:paraId="5E1E2D46">
                  <w:pPr>
                    <w:adjustRightInd w:val="0"/>
                    <w:snapToGrid w:val="0"/>
                    <w:jc w:val="center"/>
                    <w:rPr>
                      <w:rFonts w:hint="default" w:eastAsia="宋体" w:cs="宋体"/>
                      <w:color w:val="auto"/>
                      <w:kern w:val="0"/>
                      <w:szCs w:val="21"/>
                      <w:lang w:val="en-US" w:eastAsia="zh-CN"/>
                    </w:rPr>
                  </w:pPr>
                  <w:r>
                    <w:rPr>
                      <w:rFonts w:hint="eastAsia" w:ascii="Times New Roman" w:hAnsi="Times New Roman" w:eastAsia="宋体" w:cs="宋体"/>
                      <w:color w:val="auto"/>
                      <w:kern w:val="0"/>
                      <w:szCs w:val="21"/>
                      <w:lang w:val="en-US" w:eastAsia="zh-CN"/>
                    </w:rPr>
                    <w:t>72</w:t>
                  </w:r>
                </w:p>
              </w:tc>
            </w:tr>
            <w:tr w14:paraId="68BC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059" w:type="dxa"/>
                  <w:vAlign w:val="center"/>
                </w:tcPr>
                <w:p w14:paraId="33A6A82D">
                  <w:pPr>
                    <w:adjustRightInd w:val="0"/>
                    <w:snapToGrid w:val="0"/>
                    <w:jc w:val="center"/>
                    <w:rPr>
                      <w:rFonts w:hint="eastAsia" w:cs="宋体"/>
                      <w:color w:val="auto"/>
                      <w:kern w:val="0"/>
                      <w:szCs w:val="21"/>
                      <w:lang w:eastAsia="zh-CN"/>
                    </w:rPr>
                  </w:pPr>
                  <w:r>
                    <w:rPr>
                      <w:rFonts w:hint="eastAsia" w:ascii="Times New Roman" w:hAnsi="Times New Roman" w:eastAsia="宋体" w:cs="宋体"/>
                      <w:color w:val="auto"/>
                      <w:kern w:val="0"/>
                      <w:szCs w:val="21"/>
                      <w:lang w:val="en-US" w:eastAsia="zh-CN"/>
                    </w:rPr>
                    <w:t>居民、文教区</w:t>
                  </w:r>
                </w:p>
              </w:tc>
              <w:tc>
                <w:tcPr>
                  <w:tcW w:w="3160" w:type="dxa"/>
                  <w:vAlign w:val="center"/>
                </w:tcPr>
                <w:p w14:paraId="3143D34D">
                  <w:pPr>
                    <w:adjustRightInd w:val="0"/>
                    <w:snapToGrid w:val="0"/>
                    <w:jc w:val="center"/>
                    <w:rPr>
                      <w:rFonts w:hint="eastAsia" w:cs="宋体"/>
                      <w:color w:val="auto"/>
                      <w:kern w:val="0"/>
                      <w:szCs w:val="21"/>
                      <w:lang w:val="en-US" w:eastAsia="zh-CN"/>
                    </w:rPr>
                  </w:pPr>
                  <w:r>
                    <w:rPr>
                      <w:rFonts w:hint="eastAsia" w:ascii="Times New Roman" w:hAnsi="Times New Roman" w:eastAsia="宋体" w:cs="宋体"/>
                      <w:color w:val="auto"/>
                      <w:kern w:val="0"/>
                      <w:szCs w:val="21"/>
                      <w:lang w:val="en-US" w:eastAsia="zh-CN"/>
                    </w:rPr>
                    <w:t>70</w:t>
                  </w:r>
                </w:p>
              </w:tc>
              <w:tc>
                <w:tcPr>
                  <w:tcW w:w="3161" w:type="dxa"/>
                  <w:vAlign w:val="center"/>
                </w:tcPr>
                <w:p w14:paraId="6EA7417F">
                  <w:pPr>
                    <w:adjustRightInd w:val="0"/>
                    <w:snapToGrid w:val="0"/>
                    <w:jc w:val="center"/>
                    <w:rPr>
                      <w:rFonts w:hint="eastAsia" w:cs="宋体"/>
                      <w:color w:val="auto"/>
                      <w:kern w:val="0"/>
                      <w:szCs w:val="21"/>
                      <w:lang w:val="en-US" w:eastAsia="zh-CN"/>
                    </w:rPr>
                  </w:pPr>
                  <w:r>
                    <w:rPr>
                      <w:rFonts w:hint="eastAsia" w:ascii="Times New Roman" w:hAnsi="Times New Roman" w:eastAsia="宋体" w:cs="宋体"/>
                      <w:color w:val="auto"/>
                      <w:kern w:val="0"/>
                      <w:szCs w:val="21"/>
                      <w:lang w:val="en-US" w:eastAsia="zh-CN"/>
                    </w:rPr>
                    <w:t>67</w:t>
                  </w:r>
                </w:p>
              </w:tc>
            </w:tr>
            <w:tr w14:paraId="6118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059" w:type="dxa"/>
                  <w:vAlign w:val="center"/>
                </w:tcPr>
                <w:p w14:paraId="5DC9750F">
                  <w:pPr>
                    <w:adjustRightInd w:val="0"/>
                    <w:snapToGrid w:val="0"/>
                    <w:jc w:val="center"/>
                    <w:rPr>
                      <w:color w:val="auto"/>
                    </w:rPr>
                  </w:pPr>
                  <w:r>
                    <w:rPr>
                      <w:rFonts w:hint="eastAsia" w:ascii="Times New Roman" w:hAnsi="Times New Roman" w:eastAsia="宋体" w:cs="宋体"/>
                      <w:color w:val="auto"/>
                      <w:kern w:val="0"/>
                      <w:szCs w:val="21"/>
                      <w:lang w:val="en-US" w:eastAsia="zh-CN"/>
                    </w:rPr>
                    <w:t>交通干线道路两侧</w:t>
                  </w:r>
                </w:p>
              </w:tc>
              <w:tc>
                <w:tcPr>
                  <w:tcW w:w="3160" w:type="dxa"/>
                  <w:vAlign w:val="center"/>
                </w:tcPr>
                <w:p w14:paraId="7267D989">
                  <w:pPr>
                    <w:adjustRightInd w:val="0"/>
                    <w:snapToGrid w:val="0"/>
                    <w:jc w:val="center"/>
                    <w:rPr>
                      <w:rFonts w:hint="eastAsia" w:cs="宋体"/>
                      <w:color w:val="auto"/>
                      <w:kern w:val="0"/>
                      <w:szCs w:val="21"/>
                      <w:lang w:val="en-US" w:eastAsia="zh-CN"/>
                    </w:rPr>
                  </w:pPr>
                  <w:r>
                    <w:rPr>
                      <w:rFonts w:hint="eastAsia" w:ascii="Times New Roman" w:hAnsi="Times New Roman" w:eastAsia="宋体" w:cs="宋体"/>
                      <w:color w:val="auto"/>
                      <w:kern w:val="0"/>
                      <w:szCs w:val="21"/>
                      <w:lang w:val="en-US" w:eastAsia="zh-CN"/>
                    </w:rPr>
                    <w:t>75</w:t>
                  </w:r>
                </w:p>
              </w:tc>
              <w:tc>
                <w:tcPr>
                  <w:tcW w:w="3161" w:type="dxa"/>
                  <w:vAlign w:val="center"/>
                </w:tcPr>
                <w:p w14:paraId="7C4DD5F6">
                  <w:pPr>
                    <w:adjustRightInd w:val="0"/>
                    <w:snapToGrid w:val="0"/>
                    <w:jc w:val="center"/>
                    <w:rPr>
                      <w:rFonts w:hint="eastAsia" w:cs="宋体"/>
                      <w:color w:val="auto"/>
                      <w:kern w:val="0"/>
                      <w:szCs w:val="21"/>
                      <w:lang w:val="en-US" w:eastAsia="zh-CN"/>
                    </w:rPr>
                  </w:pPr>
                  <w:r>
                    <w:rPr>
                      <w:rFonts w:hint="eastAsia" w:ascii="Times New Roman" w:hAnsi="Times New Roman" w:eastAsia="宋体" w:cs="宋体"/>
                      <w:color w:val="auto"/>
                      <w:kern w:val="0"/>
                      <w:szCs w:val="21"/>
                      <w:lang w:val="en-US" w:eastAsia="zh-CN"/>
                    </w:rPr>
                    <w:t>72</w:t>
                  </w:r>
                </w:p>
              </w:tc>
            </w:tr>
            <w:tr w14:paraId="2837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059" w:type="dxa"/>
                  <w:vAlign w:val="center"/>
                </w:tcPr>
                <w:p w14:paraId="4814D13F">
                  <w:pPr>
                    <w:adjustRightInd w:val="0"/>
                    <w:snapToGrid w:val="0"/>
                    <w:jc w:val="center"/>
                    <w:rPr>
                      <w:color w:val="auto"/>
                    </w:rPr>
                  </w:pPr>
                  <w:r>
                    <w:rPr>
                      <w:rFonts w:hint="eastAsia" w:ascii="Times New Roman" w:hAnsi="Times New Roman" w:eastAsia="宋体" w:cs="宋体"/>
                      <w:color w:val="auto"/>
                      <w:kern w:val="0"/>
                      <w:szCs w:val="21"/>
                      <w:lang w:val="en-US" w:eastAsia="zh-CN"/>
                    </w:rPr>
                    <w:t>铁路干线两侧</w:t>
                  </w:r>
                </w:p>
              </w:tc>
              <w:tc>
                <w:tcPr>
                  <w:tcW w:w="3160" w:type="dxa"/>
                  <w:vAlign w:val="center"/>
                </w:tcPr>
                <w:p w14:paraId="2652C873">
                  <w:pPr>
                    <w:adjustRightInd w:val="0"/>
                    <w:snapToGrid w:val="0"/>
                    <w:jc w:val="center"/>
                    <w:rPr>
                      <w:rFonts w:hint="eastAsia" w:cs="宋体"/>
                      <w:color w:val="auto"/>
                      <w:kern w:val="0"/>
                      <w:szCs w:val="21"/>
                      <w:lang w:val="en-US" w:eastAsia="zh-CN"/>
                    </w:rPr>
                  </w:pPr>
                  <w:r>
                    <w:rPr>
                      <w:rFonts w:hint="eastAsia" w:ascii="Times New Roman" w:hAnsi="Times New Roman" w:eastAsia="宋体" w:cs="宋体"/>
                      <w:color w:val="auto"/>
                      <w:kern w:val="0"/>
                      <w:szCs w:val="21"/>
                      <w:lang w:val="en-US" w:eastAsia="zh-CN"/>
                    </w:rPr>
                    <w:t>80</w:t>
                  </w:r>
                </w:p>
              </w:tc>
              <w:tc>
                <w:tcPr>
                  <w:tcW w:w="3161" w:type="dxa"/>
                  <w:vAlign w:val="center"/>
                </w:tcPr>
                <w:p w14:paraId="33CF79DD">
                  <w:pPr>
                    <w:adjustRightInd w:val="0"/>
                    <w:snapToGrid w:val="0"/>
                    <w:jc w:val="center"/>
                    <w:rPr>
                      <w:rFonts w:hint="eastAsia" w:cs="宋体"/>
                      <w:color w:val="auto"/>
                      <w:kern w:val="0"/>
                      <w:szCs w:val="21"/>
                      <w:lang w:val="en-US" w:eastAsia="zh-CN"/>
                    </w:rPr>
                  </w:pPr>
                  <w:r>
                    <w:rPr>
                      <w:rFonts w:hint="eastAsia" w:ascii="Times New Roman" w:hAnsi="Times New Roman" w:eastAsia="宋体" w:cs="宋体"/>
                      <w:color w:val="auto"/>
                      <w:kern w:val="0"/>
                      <w:szCs w:val="21"/>
                      <w:lang w:val="en-US" w:eastAsia="zh-CN"/>
                    </w:rPr>
                    <w:t>80</w:t>
                  </w:r>
                </w:p>
              </w:tc>
            </w:tr>
          </w:tbl>
          <w:p w14:paraId="54B4AC6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cs="宋体"/>
                <w:color w:val="auto"/>
                <w:kern w:val="0"/>
                <w:sz w:val="24"/>
              </w:rPr>
            </w:pPr>
            <w:r>
              <w:rPr>
                <w:rFonts w:hint="eastAsia" w:cs="宋体"/>
                <w:color w:val="auto"/>
                <w:kern w:val="0"/>
                <w:sz w:val="24"/>
              </w:rPr>
              <w:t>（4）固体废物</w:t>
            </w:r>
          </w:p>
          <w:p w14:paraId="10971C4B">
            <w:pPr>
              <w:adjustRightInd w:val="0"/>
              <w:snapToGrid w:val="0"/>
              <w:spacing w:line="360" w:lineRule="auto"/>
              <w:ind w:firstLine="480" w:firstLineChars="200"/>
              <w:rPr>
                <w:rFonts w:hint="eastAsia" w:cs="宋体"/>
                <w:bCs/>
                <w:color w:val="auto"/>
                <w:kern w:val="0"/>
                <w:sz w:val="24"/>
                <w:lang w:val="en-US" w:eastAsia="zh-CN"/>
              </w:rPr>
            </w:pPr>
            <w:r>
              <w:rPr>
                <w:rFonts w:hint="eastAsia" w:cs="宋体"/>
                <w:bCs/>
                <w:color w:val="auto"/>
                <w:kern w:val="0"/>
                <w:sz w:val="24"/>
                <w:lang w:val="en-US" w:eastAsia="zh-CN"/>
              </w:rPr>
              <w:t>施工期，房屋拆迁执行</w:t>
            </w:r>
            <w:r>
              <w:rPr>
                <w:rFonts w:hint="eastAsia" w:cs="宋体"/>
                <w:bCs/>
                <w:color w:val="auto"/>
                <w:kern w:val="0"/>
                <w:sz w:val="24"/>
              </w:rPr>
              <w:t>《建筑垃圾污染控制技术规范》</w:t>
            </w:r>
            <w:r>
              <w:rPr>
                <w:rFonts w:hint="eastAsia" w:cs="宋体"/>
                <w:bCs/>
                <w:color w:val="auto"/>
                <w:kern w:val="0"/>
                <w:sz w:val="24"/>
                <w:lang w:eastAsia="zh-CN"/>
              </w:rPr>
              <w:t>（</w:t>
            </w:r>
            <w:r>
              <w:rPr>
                <w:rFonts w:hint="eastAsia" w:cs="宋体"/>
                <w:bCs/>
                <w:color w:val="auto"/>
                <w:kern w:val="0"/>
                <w:sz w:val="24"/>
              </w:rPr>
              <w:t>HJ 1462—2026</w:t>
            </w:r>
            <w:r>
              <w:rPr>
                <w:rFonts w:hint="eastAsia" w:cs="宋体"/>
                <w:bCs/>
                <w:color w:val="auto"/>
                <w:kern w:val="0"/>
                <w:sz w:val="24"/>
                <w:lang w:eastAsia="zh-CN"/>
              </w:rPr>
              <w:t>）</w:t>
            </w:r>
            <w:r>
              <w:rPr>
                <w:rFonts w:hint="eastAsia" w:cs="宋体"/>
                <w:bCs/>
                <w:color w:val="auto"/>
                <w:kern w:val="0"/>
                <w:sz w:val="24"/>
                <w:lang w:val="en-US" w:eastAsia="zh-CN"/>
              </w:rPr>
              <w:t>要求。</w:t>
            </w:r>
          </w:p>
          <w:p w14:paraId="3121FCD4">
            <w:pPr>
              <w:adjustRightInd w:val="0"/>
              <w:snapToGrid w:val="0"/>
              <w:spacing w:line="360" w:lineRule="auto"/>
              <w:ind w:firstLine="480" w:firstLineChars="200"/>
              <w:rPr>
                <w:rFonts w:cs="宋体"/>
                <w:color w:val="auto"/>
                <w:kern w:val="0"/>
                <w:sz w:val="24"/>
              </w:rPr>
            </w:pPr>
            <w:r>
              <w:rPr>
                <w:rFonts w:hint="eastAsia" w:cs="宋体"/>
                <w:bCs/>
                <w:color w:val="auto"/>
                <w:kern w:val="0"/>
                <w:sz w:val="24"/>
              </w:rPr>
              <w:t>项目运营期</w:t>
            </w:r>
            <w:r>
              <w:rPr>
                <w:rFonts w:hint="eastAsia" w:cs="宋体"/>
                <w:bCs/>
                <w:color w:val="auto"/>
                <w:kern w:val="0"/>
                <w:sz w:val="24"/>
                <w:lang w:val="en-US" w:eastAsia="zh-CN"/>
              </w:rPr>
              <w:t>无一般工业固体废物和危险废物，固体废物来源于职工产生的生活垃圾。生活垃圾收集后由环卫部门收集运至生活垃圾处理厂统一处理。</w:t>
            </w:r>
          </w:p>
        </w:tc>
      </w:tr>
      <w:tr w14:paraId="117FC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4" w:hRule="atLeast"/>
          <w:jc w:val="center"/>
        </w:trPr>
        <w:tc>
          <w:tcPr>
            <w:tcW w:w="456" w:type="dxa"/>
            <w:vAlign w:val="center"/>
          </w:tcPr>
          <w:p w14:paraId="6E441204">
            <w:pPr>
              <w:adjustRightInd w:val="0"/>
              <w:snapToGrid w:val="0"/>
              <w:jc w:val="center"/>
              <w:rPr>
                <w:rFonts w:cs="宋体"/>
                <w:color w:val="auto"/>
                <w:kern w:val="0"/>
                <w:sz w:val="24"/>
              </w:rPr>
            </w:pPr>
            <w:r>
              <w:rPr>
                <w:rFonts w:hint="eastAsia" w:cs="宋体"/>
                <w:color w:val="auto"/>
                <w:kern w:val="0"/>
                <w:sz w:val="24"/>
              </w:rPr>
              <w:t>其他</w:t>
            </w:r>
          </w:p>
        </w:tc>
        <w:tc>
          <w:tcPr>
            <w:tcW w:w="8606" w:type="dxa"/>
            <w:vAlign w:val="center"/>
          </w:tcPr>
          <w:p w14:paraId="4B485157">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根据《关于做好</w:t>
            </w:r>
            <w:r>
              <w:rPr>
                <w:rFonts w:hint="eastAsia" w:ascii="宋体" w:hAnsi="宋体" w:eastAsia="宋体" w:cs="宋体"/>
                <w:color w:val="auto"/>
                <w:kern w:val="0"/>
                <w:sz w:val="24"/>
              </w:rPr>
              <w:t>“</w:t>
            </w:r>
            <w:r>
              <w:rPr>
                <w:rFonts w:hint="default" w:ascii="Times New Roman" w:hAnsi="Times New Roman" w:eastAsia="宋体" w:cs="Times New Roman"/>
                <w:color w:val="auto"/>
                <w:kern w:val="0"/>
                <w:sz w:val="24"/>
              </w:rPr>
              <w:t>十四五</w:t>
            </w:r>
            <w:r>
              <w:rPr>
                <w:rFonts w:hint="eastAsia" w:ascii="宋体" w:hAnsi="宋体" w:eastAsia="宋体" w:cs="宋体"/>
                <w:color w:val="auto"/>
                <w:kern w:val="0"/>
                <w:sz w:val="24"/>
              </w:rPr>
              <w:t>”</w:t>
            </w:r>
            <w:r>
              <w:rPr>
                <w:rFonts w:hint="default" w:ascii="Times New Roman" w:hAnsi="Times New Roman" w:eastAsia="宋体" w:cs="Times New Roman"/>
                <w:color w:val="auto"/>
                <w:kern w:val="0"/>
                <w:sz w:val="24"/>
              </w:rPr>
              <w:t>主要污染物总量减排工作的通知》（环办综合函〔2021〕323号），</w:t>
            </w:r>
            <w:r>
              <w:rPr>
                <w:rFonts w:hint="eastAsia" w:ascii="宋体" w:hAnsi="宋体" w:eastAsia="宋体" w:cs="宋体"/>
                <w:color w:val="auto"/>
                <w:kern w:val="0"/>
                <w:sz w:val="24"/>
              </w:rPr>
              <w:t>“</w:t>
            </w:r>
            <w:r>
              <w:rPr>
                <w:rFonts w:hint="default" w:ascii="Times New Roman" w:hAnsi="Times New Roman" w:eastAsia="宋体" w:cs="Times New Roman"/>
                <w:color w:val="auto"/>
                <w:kern w:val="0"/>
                <w:sz w:val="24"/>
              </w:rPr>
              <w:t>十四五</w:t>
            </w:r>
            <w:r>
              <w:rPr>
                <w:rFonts w:hint="eastAsia" w:ascii="宋体" w:hAnsi="宋体" w:eastAsia="宋体" w:cs="宋体"/>
                <w:color w:val="auto"/>
                <w:kern w:val="0"/>
                <w:sz w:val="24"/>
              </w:rPr>
              <w:t>”</w:t>
            </w:r>
            <w:r>
              <w:rPr>
                <w:rFonts w:hint="default" w:ascii="Times New Roman" w:hAnsi="Times New Roman" w:eastAsia="宋体" w:cs="Times New Roman"/>
                <w:color w:val="auto"/>
                <w:kern w:val="0"/>
                <w:sz w:val="24"/>
              </w:rPr>
              <w:t>时期，国家明确列入减排的主要污染物为化学需氧量、氨氮、氮氧化物、挥发性有机物四项。</w:t>
            </w:r>
          </w:p>
          <w:p w14:paraId="1013787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①水污染物总量控制建议指标</w:t>
            </w:r>
          </w:p>
          <w:p w14:paraId="74AD35C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项目运营期项目建成﹑投入运营后，由于工作人员较少，货场产生的生活污水经化粪池处理后</w:t>
            </w:r>
            <w:r>
              <w:rPr>
                <w:rFonts w:hint="eastAsia" w:cs="Times New Roman"/>
                <w:color w:val="auto"/>
                <w:sz w:val="24"/>
                <w:lang w:val="en-US" w:eastAsia="zh-CN"/>
              </w:rPr>
              <w:t>用作肥料</w:t>
            </w:r>
            <w:r>
              <w:rPr>
                <w:rFonts w:hint="default" w:ascii="Times New Roman" w:hAnsi="Times New Roman" w:eastAsia="宋体" w:cs="Times New Roman"/>
                <w:color w:val="auto"/>
                <w:sz w:val="24"/>
                <w:lang w:val="en-US" w:eastAsia="zh-CN"/>
              </w:rPr>
              <w:t>，不外排；降尘用水全部挥发，不产生废水。无废水排放，故本环评无水污染物总量指标。</w:t>
            </w:r>
          </w:p>
          <w:p w14:paraId="5700A84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②大气污染物总量控制建议指标</w:t>
            </w:r>
          </w:p>
          <w:p w14:paraId="058EE03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运营期大气污染物主要为场站扬尘、铁路货运车辆燃料废气，排放量较小，不设置大气污染物总量控制指标</w:t>
            </w:r>
            <w:r>
              <w:rPr>
                <w:rFonts w:hint="default" w:ascii="Times New Roman" w:hAnsi="Times New Roman" w:eastAsia="宋体" w:cs="Times New Roman"/>
                <w:color w:val="auto"/>
                <w:sz w:val="24"/>
              </w:rPr>
              <w:t>。</w:t>
            </w:r>
          </w:p>
          <w:p w14:paraId="6C64AAB7">
            <w:pPr>
              <w:adjustRightInd w:val="0"/>
              <w:snapToGrid w:val="0"/>
              <w:spacing w:line="360" w:lineRule="auto"/>
              <w:ind w:firstLine="480" w:firstLineChars="200"/>
              <w:rPr>
                <w:rFonts w:hint="eastAsia" w:cs="宋体"/>
                <w:color w:val="auto"/>
                <w:kern w:val="0"/>
                <w:sz w:val="24"/>
              </w:rPr>
            </w:pPr>
          </w:p>
        </w:tc>
      </w:tr>
    </w:tbl>
    <w:p w14:paraId="7F12CFEC">
      <w:pPr>
        <w:pStyle w:val="41"/>
        <w:adjustRightInd w:val="0"/>
        <w:snapToGrid w:val="0"/>
        <w:spacing w:before="0" w:beforeAutospacing="0" w:after="0" w:afterAutospacing="0" w:line="14" w:lineRule="auto"/>
        <w:jc w:val="center"/>
        <w:rPr>
          <w:rFonts w:ascii="Times New Roman" w:hAnsi="Times New Roman"/>
          <w:snapToGrid w:val="0"/>
          <w:color w:val="auto"/>
          <w:kern w:val="2"/>
          <w:sz w:val="36"/>
          <w:szCs w:val="36"/>
        </w:rPr>
      </w:pPr>
    </w:p>
    <w:p w14:paraId="64BE3BDC">
      <w:pPr>
        <w:widowControl/>
        <w:jc w:val="left"/>
        <w:rPr>
          <w:snapToGrid w:val="0"/>
          <w:color w:val="auto"/>
          <w:sz w:val="36"/>
          <w:szCs w:val="36"/>
        </w:rPr>
      </w:pPr>
      <w:r>
        <w:rPr>
          <w:snapToGrid w:val="0"/>
          <w:color w:val="auto"/>
          <w:sz w:val="36"/>
          <w:szCs w:val="36"/>
        </w:rPr>
        <w:br w:type="page"/>
      </w:r>
    </w:p>
    <w:p w14:paraId="27977504">
      <w:pPr>
        <w:pStyle w:val="41"/>
        <w:adjustRightInd w:val="0"/>
        <w:snapToGrid w:val="0"/>
        <w:spacing w:before="0" w:beforeAutospacing="0" w:after="0" w:afterAutospacing="0" w:line="14" w:lineRule="auto"/>
        <w:jc w:val="center"/>
        <w:rPr>
          <w:rFonts w:ascii="Times New Roman" w:hAnsi="Times New Roman"/>
          <w:snapToGrid w:val="0"/>
          <w:color w:val="auto"/>
          <w:kern w:val="2"/>
          <w:sz w:val="36"/>
          <w:szCs w:val="36"/>
        </w:rPr>
      </w:pPr>
    </w:p>
    <w:p w14:paraId="174ACF17">
      <w:pPr>
        <w:pStyle w:val="41"/>
        <w:jc w:val="center"/>
        <w:outlineLvl w:val="0"/>
        <w:rPr>
          <w:rFonts w:ascii="Times New Roman" w:hAnsi="Times New Roman"/>
          <w:snapToGrid w:val="0"/>
          <w:color w:val="auto"/>
          <w:sz w:val="30"/>
          <w:szCs w:val="30"/>
        </w:rPr>
      </w:pPr>
      <w:bookmarkStart w:id="9" w:name="_Toc141432015"/>
      <w:r>
        <w:rPr>
          <w:rFonts w:hint="eastAsia" w:ascii="Times New Roman" w:hAnsi="Times New Roman"/>
          <w:snapToGrid w:val="0"/>
          <w:color w:val="auto"/>
          <w:sz w:val="30"/>
          <w:szCs w:val="30"/>
        </w:rPr>
        <w:t>四、生态环境影响分析</w:t>
      </w:r>
      <w:bookmarkEnd w:id="9"/>
    </w:p>
    <w:tbl>
      <w:tblPr>
        <w:tblStyle w:val="4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8523"/>
      </w:tblGrid>
      <w:tr w14:paraId="1D964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9" w:hRule="atLeast"/>
          <w:jc w:val="center"/>
        </w:trPr>
        <w:tc>
          <w:tcPr>
            <w:tcW w:w="549" w:type="dxa"/>
            <w:tcMar>
              <w:left w:w="28" w:type="dxa"/>
              <w:right w:w="28" w:type="dxa"/>
            </w:tcMar>
            <w:vAlign w:val="center"/>
          </w:tcPr>
          <w:p w14:paraId="0421DE21">
            <w:pPr>
              <w:pStyle w:val="41"/>
              <w:adjustRightInd w:val="0"/>
              <w:snapToGrid w:val="0"/>
              <w:spacing w:before="0" w:beforeAutospacing="0" w:after="0" w:afterAutospacing="0"/>
              <w:jc w:val="center"/>
              <w:rPr>
                <w:rFonts w:ascii="Times New Roman" w:hAnsi="Times New Roman" w:cs="宋体"/>
                <w:bCs/>
                <w:color w:val="auto"/>
                <w:kern w:val="2"/>
              </w:rPr>
            </w:pPr>
            <w:bookmarkStart w:id="10" w:name="_Hlk49796138"/>
            <w:r>
              <w:rPr>
                <w:rFonts w:hint="eastAsia" w:ascii="Times New Roman" w:hAnsi="Times New Roman" w:cs="宋体"/>
                <w:bCs/>
                <w:color w:val="auto"/>
                <w:spacing w:val="10"/>
                <w:kern w:val="2"/>
              </w:rPr>
              <w:t>施工期生态环境影响分析</w:t>
            </w:r>
            <w:bookmarkEnd w:id="10"/>
          </w:p>
        </w:tc>
        <w:tc>
          <w:tcPr>
            <w:tcW w:w="8523" w:type="dxa"/>
          </w:tcPr>
          <w:p w14:paraId="75A11C0B">
            <w:pPr>
              <w:adjustRightInd w:val="0"/>
              <w:snapToGrid w:val="0"/>
              <w:spacing w:line="360" w:lineRule="auto"/>
              <w:ind w:firstLine="482" w:firstLineChars="200"/>
              <w:rPr>
                <w:rFonts w:cs="宋体"/>
                <w:b/>
                <w:color w:val="auto"/>
                <w:sz w:val="24"/>
              </w:rPr>
            </w:pPr>
            <w:r>
              <w:rPr>
                <w:rFonts w:hint="eastAsia" w:cs="宋体"/>
                <w:b/>
                <w:color w:val="auto"/>
                <w:sz w:val="24"/>
              </w:rPr>
              <w:t>1、生态环境</w:t>
            </w:r>
          </w:p>
          <w:p w14:paraId="435DCC13">
            <w:pPr>
              <w:adjustRightInd w:val="0"/>
              <w:snapToGrid w:val="0"/>
              <w:spacing w:line="360" w:lineRule="auto"/>
              <w:ind w:firstLine="480" w:firstLineChars="200"/>
              <w:rPr>
                <w:rFonts w:cs="宋体"/>
                <w:bCs/>
                <w:color w:val="auto"/>
                <w:sz w:val="24"/>
              </w:rPr>
            </w:pPr>
            <w:r>
              <w:rPr>
                <w:rFonts w:cs="宋体"/>
                <w:bCs/>
                <w:color w:val="auto"/>
                <w:sz w:val="24"/>
              </w:rPr>
              <w:t>（1）对土地利用的影响</w:t>
            </w:r>
            <w:r>
              <w:rPr>
                <w:rFonts w:hint="eastAsia" w:cs="宋体"/>
                <w:bCs/>
                <w:color w:val="auto"/>
                <w:sz w:val="24"/>
              </w:rPr>
              <w:t>分析</w:t>
            </w:r>
          </w:p>
          <w:p w14:paraId="7D35D2E5">
            <w:pPr>
              <w:adjustRightInd w:val="0"/>
              <w:snapToGrid w:val="0"/>
              <w:spacing w:line="360" w:lineRule="auto"/>
              <w:ind w:firstLine="480" w:firstLineChars="200"/>
              <w:rPr>
                <w:rFonts w:cs="宋体"/>
                <w:bCs/>
                <w:color w:val="auto"/>
                <w:sz w:val="24"/>
              </w:rPr>
            </w:pPr>
            <w:r>
              <w:rPr>
                <w:rFonts w:cs="宋体"/>
                <w:bCs/>
                <w:color w:val="auto"/>
                <w:sz w:val="24"/>
              </w:rPr>
              <w:t>项目</w:t>
            </w:r>
            <w:r>
              <w:rPr>
                <w:rFonts w:hint="eastAsia" w:cs="宋体"/>
                <w:bCs/>
                <w:color w:val="auto"/>
                <w:sz w:val="24"/>
                <w:lang w:val="en-US" w:eastAsia="zh-CN"/>
              </w:rPr>
              <w:t>铁路专线和集装箱堆场</w:t>
            </w:r>
            <w:r>
              <w:rPr>
                <w:rFonts w:cs="宋体"/>
                <w:bCs/>
                <w:color w:val="auto"/>
                <w:sz w:val="24"/>
              </w:rPr>
              <w:t>占地为永久占地。项目</w:t>
            </w:r>
            <w:r>
              <w:rPr>
                <w:rFonts w:hint="eastAsia" w:cs="宋体"/>
                <w:bCs/>
                <w:color w:val="auto"/>
                <w:sz w:val="24"/>
                <w:lang w:eastAsia="zh-CN"/>
              </w:rPr>
              <w:t>用地类型为</w:t>
            </w:r>
            <w:r>
              <w:rPr>
                <w:rFonts w:hint="eastAsia"/>
                <w:color w:val="auto"/>
                <w:sz w:val="24"/>
                <w:lang w:val="en-US" w:eastAsia="zh-CN"/>
              </w:rPr>
              <w:t>铁路用地，</w:t>
            </w:r>
            <w:r>
              <w:rPr>
                <w:rFonts w:cs="宋体"/>
                <w:bCs/>
                <w:color w:val="auto"/>
                <w:sz w:val="24"/>
              </w:rPr>
              <w:t>不涉及基本农田，区域内无珍稀保护动植物分布</w:t>
            </w:r>
            <w:r>
              <w:rPr>
                <w:rFonts w:hint="eastAsia" w:cs="宋体"/>
                <w:bCs/>
                <w:color w:val="auto"/>
                <w:sz w:val="24"/>
              </w:rPr>
              <w:t>，</w:t>
            </w:r>
            <w:r>
              <w:rPr>
                <w:rFonts w:cs="宋体"/>
                <w:bCs/>
                <w:color w:val="auto"/>
                <w:sz w:val="24"/>
              </w:rPr>
              <w:t>对区域土地利用结构产生影响较小。</w:t>
            </w:r>
          </w:p>
          <w:p w14:paraId="4319B10D">
            <w:pPr>
              <w:adjustRightInd w:val="0"/>
              <w:snapToGrid w:val="0"/>
              <w:spacing w:line="360" w:lineRule="auto"/>
              <w:ind w:firstLine="480" w:firstLineChars="200"/>
              <w:rPr>
                <w:rFonts w:cs="宋体"/>
                <w:bCs/>
                <w:color w:val="auto"/>
                <w:sz w:val="24"/>
              </w:rPr>
            </w:pPr>
            <w:r>
              <w:rPr>
                <w:rFonts w:cs="宋体"/>
                <w:bCs/>
                <w:color w:val="auto"/>
                <w:sz w:val="24"/>
              </w:rPr>
              <w:t>（2）对陆生动物</w:t>
            </w:r>
            <w:r>
              <w:rPr>
                <w:rFonts w:hint="eastAsia" w:cs="宋体"/>
                <w:bCs/>
                <w:color w:val="auto"/>
                <w:sz w:val="24"/>
              </w:rPr>
              <w:t>的</w:t>
            </w:r>
            <w:r>
              <w:rPr>
                <w:rFonts w:cs="宋体"/>
                <w:bCs/>
                <w:color w:val="auto"/>
                <w:sz w:val="24"/>
              </w:rPr>
              <w:t>影响分析</w:t>
            </w:r>
          </w:p>
          <w:p w14:paraId="20D3E8F1">
            <w:pPr>
              <w:adjustRightInd w:val="0"/>
              <w:snapToGrid w:val="0"/>
              <w:spacing w:line="360" w:lineRule="auto"/>
              <w:ind w:firstLine="480" w:firstLineChars="200"/>
              <w:rPr>
                <w:rFonts w:cs="宋体"/>
                <w:bCs/>
                <w:color w:val="auto"/>
                <w:sz w:val="24"/>
              </w:rPr>
            </w:pPr>
            <w:r>
              <w:rPr>
                <w:rFonts w:cs="宋体"/>
                <w:bCs/>
                <w:color w:val="auto"/>
                <w:sz w:val="24"/>
              </w:rPr>
              <w:t>由于</w:t>
            </w:r>
            <w:r>
              <w:rPr>
                <w:rFonts w:hint="eastAsia" w:cs="宋体"/>
                <w:bCs/>
                <w:color w:val="auto"/>
                <w:sz w:val="24"/>
              </w:rPr>
              <w:t>施工期</w:t>
            </w:r>
            <w:r>
              <w:rPr>
                <w:rFonts w:cs="宋体"/>
                <w:bCs/>
                <w:color w:val="auto"/>
                <w:sz w:val="24"/>
              </w:rPr>
              <w:t>对施工场地生境植被的铲除、生境的破坏，以及施工设备及施工人员产生的噪声、施工扬尘和施工人群活动的增加干扰等，对沿线尤其是施工场区及其周边区域生态环境的影响，破坏动物的栖息觅食生境，干扰动物的正常生活，引起动物惊吓而迁徙等</w:t>
            </w:r>
            <w:r>
              <w:rPr>
                <w:rFonts w:hint="eastAsia" w:cs="宋体"/>
                <w:bCs/>
                <w:color w:val="auto"/>
                <w:sz w:val="24"/>
                <w:lang w:eastAsia="zh-CN"/>
              </w:rPr>
              <w:t>。</w:t>
            </w:r>
            <w:r>
              <w:rPr>
                <w:rFonts w:hint="eastAsia" w:cs="宋体"/>
                <w:color w:val="auto"/>
                <w:kern w:val="0"/>
                <w:sz w:val="24"/>
              </w:rPr>
              <w:t>项目用地范围内没有发现国家重点保护动物分布，亦无珍稀濒危动物分布</w:t>
            </w:r>
            <w:r>
              <w:rPr>
                <w:rFonts w:hint="eastAsia" w:cs="宋体"/>
                <w:color w:val="auto"/>
                <w:kern w:val="0"/>
                <w:sz w:val="24"/>
                <w:lang w:eastAsia="zh-CN"/>
              </w:rPr>
              <w:t>。</w:t>
            </w:r>
            <w:r>
              <w:rPr>
                <w:rFonts w:cs="宋体"/>
                <w:bCs/>
                <w:color w:val="auto"/>
                <w:sz w:val="24"/>
              </w:rPr>
              <w:t>随着施工期的结束，以及施工场地的退场与土地复垦后等，其影响可得</w:t>
            </w:r>
            <w:r>
              <w:rPr>
                <w:rFonts w:hint="eastAsia" w:cs="宋体"/>
                <w:bCs/>
                <w:color w:val="auto"/>
                <w:sz w:val="24"/>
              </w:rPr>
              <w:t>到</w:t>
            </w:r>
            <w:r>
              <w:rPr>
                <w:rFonts w:cs="宋体"/>
                <w:bCs/>
                <w:color w:val="auto"/>
                <w:sz w:val="24"/>
              </w:rPr>
              <w:t>消除或有效缓解。</w:t>
            </w:r>
          </w:p>
          <w:p w14:paraId="50C55F62">
            <w:pPr>
              <w:adjustRightInd w:val="0"/>
              <w:snapToGrid w:val="0"/>
              <w:spacing w:line="360" w:lineRule="auto"/>
              <w:ind w:firstLine="480" w:firstLineChars="200"/>
              <w:rPr>
                <w:rFonts w:cs="宋体"/>
                <w:bCs/>
                <w:color w:val="auto"/>
                <w:sz w:val="24"/>
              </w:rPr>
            </w:pPr>
            <w:r>
              <w:rPr>
                <w:rFonts w:cs="宋体"/>
                <w:bCs/>
                <w:color w:val="auto"/>
                <w:sz w:val="24"/>
              </w:rPr>
              <w:t>（3）对陆生植被</w:t>
            </w:r>
            <w:r>
              <w:rPr>
                <w:rFonts w:hint="eastAsia" w:cs="宋体"/>
                <w:bCs/>
                <w:color w:val="auto"/>
                <w:sz w:val="24"/>
              </w:rPr>
              <w:t>的</w:t>
            </w:r>
            <w:r>
              <w:rPr>
                <w:rFonts w:cs="宋体"/>
                <w:bCs/>
                <w:color w:val="auto"/>
                <w:sz w:val="24"/>
              </w:rPr>
              <w:t>影响分析</w:t>
            </w:r>
          </w:p>
          <w:p w14:paraId="2E977116">
            <w:pPr>
              <w:adjustRightInd w:val="0"/>
              <w:snapToGrid w:val="0"/>
              <w:spacing w:line="360" w:lineRule="auto"/>
              <w:ind w:firstLine="480" w:firstLineChars="200"/>
              <w:rPr>
                <w:rFonts w:cs="宋体"/>
                <w:bCs/>
                <w:color w:val="auto"/>
                <w:sz w:val="24"/>
              </w:rPr>
            </w:pPr>
            <w:r>
              <w:rPr>
                <w:rFonts w:cs="宋体"/>
                <w:bCs/>
                <w:color w:val="auto"/>
                <w:sz w:val="24"/>
              </w:rPr>
              <w:t>项目用地区域内地带性原生植被现存量较少，主要为人工植被和次生植被，项目建设对植被的影响主要表现为土</w:t>
            </w:r>
            <w:r>
              <w:rPr>
                <w:rFonts w:hint="eastAsia" w:cs="宋体"/>
                <w:bCs/>
                <w:color w:val="auto"/>
                <w:sz w:val="24"/>
              </w:rPr>
              <w:t>石</w:t>
            </w:r>
            <w:r>
              <w:rPr>
                <w:rFonts w:cs="宋体"/>
                <w:bCs/>
                <w:color w:val="auto"/>
                <w:sz w:val="24"/>
              </w:rPr>
              <w:t>方开挖和占地造成植被破坏、埋压等。经现场调查，项目所在区域植被覆盖度</w:t>
            </w:r>
            <w:r>
              <w:rPr>
                <w:rFonts w:hint="eastAsia" w:cs="宋体"/>
                <w:bCs/>
                <w:color w:val="auto"/>
                <w:sz w:val="24"/>
              </w:rPr>
              <w:t>一般，</w:t>
            </w:r>
            <w:r>
              <w:rPr>
                <w:rFonts w:cs="宋体"/>
                <w:bCs/>
                <w:color w:val="auto"/>
                <w:sz w:val="24"/>
              </w:rPr>
              <w:t>没有珍稀植物，多为人工种植的</w:t>
            </w:r>
            <w:r>
              <w:rPr>
                <w:rFonts w:hint="eastAsia" w:cs="宋体"/>
                <w:bCs/>
                <w:color w:val="auto"/>
                <w:sz w:val="24"/>
              </w:rPr>
              <w:t>绿化</w:t>
            </w:r>
            <w:r>
              <w:rPr>
                <w:rFonts w:hint="eastAsia" w:cs="宋体"/>
                <w:color w:val="auto"/>
                <w:kern w:val="0"/>
                <w:sz w:val="24"/>
              </w:rPr>
              <w:t>乔木和灌木，如桉树、地毯草、芒箕</w:t>
            </w:r>
            <w:r>
              <w:rPr>
                <w:rFonts w:cs="宋体"/>
                <w:bCs/>
                <w:color w:val="auto"/>
                <w:sz w:val="24"/>
              </w:rPr>
              <w:t>等。项目建成后</w:t>
            </w:r>
            <w:r>
              <w:rPr>
                <w:rFonts w:hint="eastAsia" w:cs="宋体"/>
                <w:bCs/>
                <w:color w:val="auto"/>
                <w:sz w:val="24"/>
              </w:rPr>
              <w:t>轨道两侧边坡</w:t>
            </w:r>
            <w:r>
              <w:rPr>
                <w:rFonts w:cs="宋体"/>
                <w:bCs/>
                <w:color w:val="auto"/>
                <w:sz w:val="24"/>
              </w:rPr>
              <w:t>将种植植被</w:t>
            </w:r>
            <w:r>
              <w:rPr>
                <w:rFonts w:hint="eastAsia" w:cs="宋体"/>
                <w:bCs/>
                <w:color w:val="auto"/>
                <w:sz w:val="24"/>
              </w:rPr>
              <w:t>进行绿化</w:t>
            </w:r>
            <w:r>
              <w:rPr>
                <w:rFonts w:cs="宋体"/>
                <w:bCs/>
                <w:color w:val="auto"/>
                <w:sz w:val="24"/>
              </w:rPr>
              <w:t>，项目建设对当地植被的总体影响不大，施工造成的部分植被破坏不会导致评价区生物多样性改变等不良后果。</w:t>
            </w:r>
          </w:p>
          <w:p w14:paraId="40EC2973">
            <w:pPr>
              <w:adjustRightInd w:val="0"/>
              <w:snapToGrid w:val="0"/>
              <w:spacing w:line="360" w:lineRule="auto"/>
              <w:ind w:firstLine="480" w:firstLineChars="200"/>
              <w:rPr>
                <w:rFonts w:cs="宋体"/>
                <w:bCs/>
                <w:color w:val="auto"/>
                <w:sz w:val="24"/>
              </w:rPr>
            </w:pPr>
            <w:r>
              <w:rPr>
                <w:rFonts w:hint="eastAsia" w:cs="宋体"/>
                <w:bCs/>
                <w:color w:val="auto"/>
                <w:sz w:val="24"/>
              </w:rPr>
              <w:t>（4）水土流失影响分析</w:t>
            </w:r>
          </w:p>
          <w:p w14:paraId="40580C7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宋体"/>
                <w:bCs/>
                <w:color w:val="auto"/>
                <w:sz w:val="24"/>
              </w:rPr>
            </w:pPr>
            <w:r>
              <w:rPr>
                <w:rFonts w:hint="eastAsia" w:cs="宋体"/>
                <w:bCs/>
                <w:color w:val="auto"/>
                <w:sz w:val="24"/>
              </w:rPr>
              <w:t>项目区水土流失的成因主要包括自然因素、人为因素以及项目自身施工建设。其中，自然因素主要包括地形、土壤、气候、植被等，各种自然因素的综合作用成为水土流失客观的物质基础。项目区的水土流失主要是水力侵蚀中的面蚀和沟蚀。</w:t>
            </w:r>
          </w:p>
          <w:p w14:paraId="05E5A07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宋体"/>
                <w:bCs/>
                <w:color w:val="auto"/>
                <w:sz w:val="24"/>
              </w:rPr>
            </w:pPr>
            <w:r>
              <w:rPr>
                <w:rFonts w:hint="eastAsia" w:cs="宋体"/>
                <w:bCs/>
                <w:color w:val="auto"/>
                <w:sz w:val="24"/>
              </w:rPr>
              <w:t>本项目建设水土流失主要发生在表土剥离、场地平整等土石方工程施工过程中，土石方开挖及回填将扰动、破坏原地貌，破坏土壤原有的固结状态，使土质裸露疏松，如遇当地常见的短历时强降雨，在雨滴击溅侵蚀以及地表径流冲刷作用下，必然会发生严重的水土流失，对项目周边环境带来影响，影响项目自身施工。</w:t>
            </w:r>
          </w:p>
          <w:p w14:paraId="7D6796D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宋体"/>
                <w:bCs/>
                <w:color w:val="auto"/>
                <w:sz w:val="24"/>
              </w:rPr>
            </w:pPr>
            <w:r>
              <w:rPr>
                <w:rFonts w:hint="eastAsia" w:cs="宋体"/>
                <w:bCs/>
                <w:color w:val="auto"/>
                <w:sz w:val="24"/>
              </w:rPr>
              <w:t>本项目建设用地位于防城港市港口区，不属于国家级及自治区级水土流失重点预防区和重点治理区，不属于水土流失严重和生态脆弱地区、饮用水源保护区及其他水土保持敏感区的项目。项目建设符合用地性质的规划要求。</w:t>
            </w:r>
          </w:p>
          <w:p w14:paraId="68FB596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s="宋体"/>
                <w:bCs/>
                <w:color w:val="auto"/>
                <w:sz w:val="24"/>
              </w:rPr>
            </w:pPr>
            <w:r>
              <w:rPr>
                <w:rFonts w:hint="eastAsia" w:cs="宋体"/>
                <w:bCs/>
                <w:color w:val="auto"/>
                <w:sz w:val="24"/>
              </w:rPr>
              <w:t>本项目选址、建设方案符合水土保持规范和技术标准的规定，在采取</w:t>
            </w:r>
            <w:r>
              <w:rPr>
                <w:rFonts w:hint="eastAsia" w:ascii="宋体" w:hAnsi="宋体" w:eastAsia="宋体" w:cs="宋体"/>
                <w:color w:val="auto"/>
                <w:kern w:val="0"/>
                <w:sz w:val="24"/>
                <w:szCs w:val="24"/>
                <w:lang w:val="en-US" w:eastAsia="zh-CN" w:bidi="ar"/>
              </w:rPr>
              <w:t>临时排水、沉沙、彩条布覆盖等水土流失防治措施，工程措施、植物措施及临时防护措施的有机结合，合理布局</w:t>
            </w:r>
            <w:r>
              <w:rPr>
                <w:rFonts w:hint="eastAsia" w:cs="宋体"/>
                <w:bCs/>
                <w:color w:val="auto"/>
                <w:sz w:val="24"/>
              </w:rPr>
              <w:t>后，项目建设产生的水土流失可得到有效的控制。</w:t>
            </w:r>
          </w:p>
          <w:p w14:paraId="294B897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cs="宋体"/>
                <w:b/>
                <w:color w:val="auto"/>
                <w:sz w:val="24"/>
              </w:rPr>
            </w:pPr>
            <w:r>
              <w:rPr>
                <w:rFonts w:hint="eastAsia" w:cs="宋体"/>
                <w:b/>
                <w:color w:val="auto"/>
                <w:sz w:val="24"/>
              </w:rPr>
              <w:t>2、景观生态影响分析</w:t>
            </w:r>
          </w:p>
          <w:p w14:paraId="3CFD4732">
            <w:pPr>
              <w:adjustRightInd w:val="0"/>
              <w:snapToGrid w:val="0"/>
              <w:spacing w:line="360" w:lineRule="auto"/>
              <w:ind w:firstLine="480" w:firstLineChars="200"/>
              <w:rPr>
                <w:rFonts w:cs="宋体"/>
                <w:bCs/>
                <w:color w:val="auto"/>
                <w:sz w:val="24"/>
              </w:rPr>
            </w:pPr>
            <w:r>
              <w:rPr>
                <w:rFonts w:hint="eastAsia" w:cs="宋体"/>
                <w:bCs/>
                <w:color w:val="auto"/>
                <w:sz w:val="24"/>
              </w:rPr>
              <w:t>（1）对地貌形态的影响</w:t>
            </w:r>
          </w:p>
          <w:p w14:paraId="2B755A90">
            <w:pPr>
              <w:adjustRightInd w:val="0"/>
              <w:snapToGrid w:val="0"/>
              <w:spacing w:line="360" w:lineRule="auto"/>
              <w:ind w:firstLine="480" w:firstLineChars="200"/>
              <w:rPr>
                <w:rFonts w:cs="宋体"/>
                <w:bCs/>
                <w:color w:val="auto"/>
                <w:sz w:val="24"/>
              </w:rPr>
            </w:pPr>
            <w:r>
              <w:rPr>
                <w:rFonts w:hint="eastAsia" w:cs="宋体"/>
                <w:bCs/>
                <w:color w:val="auto"/>
                <w:sz w:val="24"/>
              </w:rPr>
              <w:t>项目施工过程中，不会改变境内地形地貌的基本态势，不会改变现有的地貌单元构成。项目不会改变现有地表径流汇水区域的基本格局。通过上述分析来看，项目建设不会改变其沿线的地貌类型构成，也不会由此产生新的地貌单元，因此，不会对沿线地貌整体形态产生影响。</w:t>
            </w:r>
          </w:p>
          <w:p w14:paraId="2F8CF1D9">
            <w:pPr>
              <w:adjustRightInd w:val="0"/>
              <w:snapToGrid w:val="0"/>
              <w:spacing w:line="360" w:lineRule="auto"/>
              <w:ind w:firstLine="480" w:firstLineChars="200"/>
              <w:rPr>
                <w:rFonts w:cs="宋体"/>
                <w:bCs/>
                <w:color w:val="auto"/>
                <w:sz w:val="24"/>
              </w:rPr>
            </w:pPr>
            <w:r>
              <w:rPr>
                <w:rFonts w:hint="eastAsia" w:cs="宋体"/>
                <w:bCs/>
                <w:color w:val="auto"/>
                <w:sz w:val="24"/>
              </w:rPr>
              <w:t>（2）土石方作业对景观的影响</w:t>
            </w:r>
          </w:p>
          <w:p w14:paraId="1E85FDCE">
            <w:pPr>
              <w:adjustRightInd w:val="0"/>
              <w:snapToGrid w:val="0"/>
              <w:spacing w:line="360" w:lineRule="auto"/>
              <w:ind w:firstLine="480" w:firstLineChars="200"/>
              <w:rPr>
                <w:rFonts w:hint="eastAsia" w:cs="宋体"/>
                <w:bCs/>
                <w:color w:val="auto"/>
                <w:sz w:val="24"/>
              </w:rPr>
            </w:pPr>
            <w:r>
              <w:rPr>
                <w:rFonts w:hint="eastAsia" w:cs="宋体"/>
                <w:bCs/>
                <w:color w:val="auto"/>
                <w:sz w:val="24"/>
              </w:rPr>
              <w:t>项目土石方作业对景观环境的影响主要为对地表植被的破坏。此外，地表开挖使局部地形、地貌景观破碎化程度加剧，进而使景观性质发生改变，景观异质性明显增强。项目施工过程会产生一定数量的裸露边坡，对视觉景观产生一定的影响，并造成水土流失。</w:t>
            </w:r>
          </w:p>
          <w:p w14:paraId="1007575E">
            <w:pPr>
              <w:adjustRightInd w:val="0"/>
              <w:snapToGrid w:val="0"/>
              <w:spacing w:line="360" w:lineRule="auto"/>
              <w:ind w:firstLine="480" w:firstLineChars="200"/>
              <w:rPr>
                <w:rFonts w:cs="宋体"/>
                <w:bCs/>
                <w:color w:val="auto"/>
                <w:sz w:val="24"/>
              </w:rPr>
            </w:pPr>
            <w:r>
              <w:rPr>
                <w:rFonts w:hint="eastAsia" w:cs="宋体"/>
                <w:bCs/>
                <w:color w:val="auto"/>
                <w:sz w:val="24"/>
              </w:rPr>
              <w:t>（3）临时工程对景观的影响</w:t>
            </w:r>
          </w:p>
          <w:p w14:paraId="44489F08">
            <w:pPr>
              <w:adjustRightInd w:val="0"/>
              <w:snapToGrid w:val="0"/>
              <w:spacing w:line="360" w:lineRule="auto"/>
              <w:ind w:firstLine="480" w:firstLineChars="200"/>
              <w:rPr>
                <w:rFonts w:cs="宋体"/>
                <w:bCs/>
                <w:color w:val="auto"/>
                <w:sz w:val="24"/>
              </w:rPr>
            </w:pPr>
            <w:r>
              <w:rPr>
                <w:rFonts w:hint="eastAsia" w:cs="宋体"/>
                <w:bCs/>
                <w:color w:val="auto"/>
                <w:sz w:val="24"/>
              </w:rPr>
              <w:t>临时工程对景观环境的影响主要表现为施工现场及生活垃圾污染环境，粉尘飞扬污染空气，植物枝叶积尘过多易发生灼伤或机械损伤。</w:t>
            </w:r>
          </w:p>
          <w:p w14:paraId="4698F16D">
            <w:pPr>
              <w:adjustRightInd w:val="0"/>
              <w:snapToGrid w:val="0"/>
              <w:spacing w:line="360" w:lineRule="auto"/>
              <w:ind w:firstLine="480" w:firstLineChars="200"/>
              <w:rPr>
                <w:rFonts w:cs="宋体"/>
                <w:bCs/>
                <w:color w:val="auto"/>
                <w:sz w:val="24"/>
              </w:rPr>
            </w:pPr>
            <w:r>
              <w:rPr>
                <w:rFonts w:hint="eastAsia" w:cs="宋体"/>
                <w:bCs/>
                <w:color w:val="auto"/>
                <w:sz w:val="24"/>
              </w:rPr>
              <w:t>虽然施工期临时工程对景观的影响无法避免，但也是暂时的，随着施工结束后，通过对所占土地的恢复及绿化美化等</w:t>
            </w:r>
            <w:r>
              <w:rPr>
                <w:rFonts w:hint="eastAsia" w:cs="宋体"/>
                <w:bCs/>
                <w:color w:val="auto"/>
                <w:sz w:val="24"/>
                <w:lang w:val="en-US" w:eastAsia="zh-CN"/>
              </w:rPr>
              <w:t>措施，</w:t>
            </w:r>
            <w:r>
              <w:rPr>
                <w:rFonts w:hint="eastAsia" w:cs="宋体"/>
                <w:bCs/>
                <w:color w:val="auto"/>
                <w:sz w:val="24"/>
              </w:rPr>
              <w:t>可以基本消除影响。</w:t>
            </w:r>
          </w:p>
          <w:p w14:paraId="3BC0B210">
            <w:pPr>
              <w:adjustRightInd w:val="0"/>
              <w:snapToGrid w:val="0"/>
              <w:spacing w:line="360" w:lineRule="auto"/>
              <w:ind w:firstLine="480" w:firstLineChars="200"/>
              <w:rPr>
                <w:rFonts w:cs="宋体"/>
                <w:bCs/>
                <w:color w:val="auto"/>
                <w:sz w:val="24"/>
              </w:rPr>
            </w:pPr>
            <w:r>
              <w:rPr>
                <w:rFonts w:hint="eastAsia" w:cs="宋体"/>
                <w:bCs/>
                <w:color w:val="auto"/>
                <w:sz w:val="24"/>
              </w:rPr>
              <w:t>（4）视觉景观的影响分析</w:t>
            </w:r>
          </w:p>
          <w:p w14:paraId="7B3BBAA8">
            <w:pPr>
              <w:adjustRightInd w:val="0"/>
              <w:snapToGrid w:val="0"/>
              <w:spacing w:line="360" w:lineRule="auto"/>
              <w:ind w:firstLine="480" w:firstLineChars="200"/>
              <w:rPr>
                <w:rFonts w:cs="宋体"/>
                <w:bCs/>
                <w:color w:val="auto"/>
                <w:sz w:val="24"/>
              </w:rPr>
            </w:pPr>
            <w:r>
              <w:rPr>
                <w:rFonts w:hint="eastAsia" w:cs="宋体"/>
                <w:bCs/>
                <w:color w:val="auto"/>
                <w:sz w:val="24"/>
              </w:rPr>
              <w:t>项目两侧</w:t>
            </w:r>
            <w:r>
              <w:rPr>
                <w:rFonts w:hint="eastAsia" w:cs="宋体"/>
                <w:bCs/>
                <w:color w:val="auto"/>
                <w:sz w:val="24"/>
                <w:lang w:val="en-US" w:eastAsia="zh-CN"/>
              </w:rPr>
              <w:t>主要分别为常见的乔木和灌木，</w:t>
            </w:r>
            <w:r>
              <w:rPr>
                <w:rFonts w:hint="eastAsia" w:cs="宋体"/>
                <w:bCs/>
                <w:color w:val="auto"/>
                <w:sz w:val="24"/>
              </w:rPr>
              <w:t>没有分布诸如风景名胜区、文物古迹等需要特别关注的敏感景观目标，不存在独特景物等敏感景观影响问题，主要表现在项目建设对沿线景观的整体性及协调性的影响。</w:t>
            </w:r>
          </w:p>
          <w:p w14:paraId="186FD357">
            <w:pPr>
              <w:adjustRightInd w:val="0"/>
              <w:snapToGrid w:val="0"/>
              <w:spacing w:line="360" w:lineRule="auto"/>
              <w:ind w:firstLine="482" w:firstLineChars="200"/>
              <w:rPr>
                <w:rFonts w:cs="宋体"/>
                <w:b/>
                <w:color w:val="auto"/>
                <w:sz w:val="24"/>
              </w:rPr>
            </w:pPr>
            <w:r>
              <w:rPr>
                <w:rFonts w:cs="宋体"/>
                <w:b/>
                <w:color w:val="auto"/>
                <w:sz w:val="24"/>
              </w:rPr>
              <w:t>3</w:t>
            </w:r>
            <w:r>
              <w:rPr>
                <w:rFonts w:hint="eastAsia" w:cs="宋体"/>
                <w:b/>
                <w:color w:val="auto"/>
                <w:sz w:val="24"/>
              </w:rPr>
              <w:t>、环境空气</w:t>
            </w:r>
          </w:p>
          <w:p w14:paraId="5EB0F7E3">
            <w:pPr>
              <w:adjustRightInd w:val="0"/>
              <w:snapToGrid w:val="0"/>
              <w:spacing w:line="360" w:lineRule="auto"/>
              <w:ind w:firstLine="480" w:firstLineChars="200"/>
              <w:rPr>
                <w:rFonts w:cs="宋体"/>
                <w:bCs/>
                <w:color w:val="auto"/>
                <w:sz w:val="24"/>
              </w:rPr>
            </w:pPr>
            <w:r>
              <w:rPr>
                <w:rFonts w:cs="宋体"/>
                <w:bCs/>
                <w:color w:val="auto"/>
                <w:sz w:val="24"/>
              </w:rPr>
              <w:t>项目施工期废气主要为施工过程中产生的扬尘、施工机械和运输车辆排放的尾气等。</w:t>
            </w:r>
          </w:p>
          <w:p w14:paraId="1293A8DA">
            <w:pPr>
              <w:adjustRightInd w:val="0"/>
              <w:snapToGrid w:val="0"/>
              <w:spacing w:line="360" w:lineRule="auto"/>
              <w:ind w:firstLine="480" w:firstLineChars="200"/>
              <w:rPr>
                <w:rFonts w:cs="宋体"/>
                <w:bCs/>
                <w:color w:val="auto"/>
                <w:sz w:val="24"/>
              </w:rPr>
            </w:pPr>
            <w:r>
              <w:rPr>
                <w:rFonts w:cs="宋体"/>
                <w:bCs/>
                <w:color w:val="auto"/>
                <w:sz w:val="24"/>
              </w:rPr>
              <w:t>（1）车辆行驶扬尘</w:t>
            </w:r>
          </w:p>
          <w:p w14:paraId="4C30C844">
            <w:pPr>
              <w:adjustRightInd w:val="0"/>
              <w:snapToGrid w:val="0"/>
              <w:spacing w:line="360" w:lineRule="auto"/>
              <w:ind w:firstLine="480" w:firstLineChars="200"/>
              <w:rPr>
                <w:rFonts w:cs="宋体"/>
                <w:bCs/>
                <w:color w:val="auto"/>
                <w:sz w:val="24"/>
              </w:rPr>
            </w:pPr>
            <w:r>
              <w:rPr>
                <w:rFonts w:cs="宋体"/>
                <w:bCs/>
                <w:color w:val="auto"/>
                <w:sz w:val="24"/>
              </w:rPr>
              <w:t>车辆在行驶过程中产生的扬尘，在完全干燥的情况以及同样的路面条件下，车速越快，扬尘量越大；在同样的车速下，路面越脏，扬尘量越大。在施工期间对车辆行驶的路面实施洒水抑尘，同时降低车辆行驶速度，可有效地控制施工扬尘，可将TSP的污染距离缩小。另外，在运输车辆出入场时清洗车轮，对车厢进行加盖密封，可有效减少扬尘的产生。</w:t>
            </w:r>
          </w:p>
          <w:p w14:paraId="404BBC19">
            <w:pPr>
              <w:adjustRightInd w:val="0"/>
              <w:snapToGrid w:val="0"/>
              <w:spacing w:line="360" w:lineRule="auto"/>
              <w:ind w:firstLine="480" w:firstLineChars="200"/>
              <w:rPr>
                <w:rFonts w:cs="宋体"/>
                <w:bCs/>
                <w:color w:val="auto"/>
                <w:sz w:val="24"/>
              </w:rPr>
            </w:pPr>
            <w:r>
              <w:rPr>
                <w:rFonts w:cs="宋体"/>
                <w:bCs/>
                <w:color w:val="auto"/>
                <w:sz w:val="24"/>
              </w:rPr>
              <w:t>（2）挖掘作业扬尘</w:t>
            </w:r>
          </w:p>
          <w:p w14:paraId="5052F952">
            <w:pPr>
              <w:adjustRightInd w:val="0"/>
              <w:snapToGrid w:val="0"/>
              <w:spacing w:line="360" w:lineRule="auto"/>
              <w:ind w:firstLine="480" w:firstLineChars="200"/>
              <w:rPr>
                <w:rFonts w:cs="宋体"/>
                <w:bCs/>
                <w:color w:val="auto"/>
                <w:sz w:val="24"/>
              </w:rPr>
            </w:pPr>
            <w:r>
              <w:rPr>
                <w:rFonts w:cs="宋体"/>
                <w:bCs/>
                <w:color w:val="auto"/>
                <w:sz w:val="24"/>
              </w:rPr>
              <w:t>地面开挖、填埋、土石方堆放过程为分段进行，施工时间较短，作业带内产生的扬尘（粉尘）为无组织面源排放，根据类似工程的实际现场调查：在大风情况下施工现场下风向1m处扬尘浓度可达3mg/m</w:t>
            </w:r>
            <w:r>
              <w:rPr>
                <w:rFonts w:cs="宋体"/>
                <w:bCs/>
                <w:color w:val="auto"/>
                <w:sz w:val="24"/>
                <w:vertAlign w:val="superscript"/>
              </w:rPr>
              <w:t>3</w:t>
            </w:r>
            <w:r>
              <w:rPr>
                <w:rFonts w:cs="宋体"/>
                <w:bCs/>
                <w:color w:val="auto"/>
                <w:sz w:val="24"/>
              </w:rPr>
              <w:t>以上，25m处为1.53mg/m</w:t>
            </w:r>
            <w:r>
              <w:rPr>
                <w:rFonts w:cs="宋体"/>
                <w:bCs/>
                <w:color w:val="auto"/>
                <w:sz w:val="24"/>
                <w:vertAlign w:val="superscript"/>
              </w:rPr>
              <w:t>3</w:t>
            </w:r>
            <w:r>
              <w:rPr>
                <w:rFonts w:cs="宋体"/>
                <w:bCs/>
                <w:color w:val="auto"/>
                <w:sz w:val="24"/>
              </w:rPr>
              <w:t>，下风向60m范围内TSP浓度超标。由于施工过程为分段进行，施工时间较短，且沿线土壤比较湿润，因此总体而言，施工作业扬尘污染是短时的，且</w:t>
            </w:r>
            <w:r>
              <w:rPr>
                <w:rFonts w:hint="eastAsia" w:cs="宋体"/>
                <w:bCs/>
                <w:color w:val="auto"/>
                <w:sz w:val="24"/>
                <w:lang w:val="en-US" w:eastAsia="zh-CN"/>
              </w:rPr>
              <w:t>对周边环境影响较小</w:t>
            </w:r>
            <w:r>
              <w:rPr>
                <w:rFonts w:cs="宋体"/>
                <w:bCs/>
                <w:color w:val="auto"/>
                <w:sz w:val="24"/>
              </w:rPr>
              <w:t>。</w:t>
            </w:r>
          </w:p>
          <w:p w14:paraId="7FE53D07">
            <w:pPr>
              <w:adjustRightInd w:val="0"/>
              <w:snapToGrid w:val="0"/>
              <w:spacing w:line="360" w:lineRule="auto"/>
              <w:ind w:firstLine="480" w:firstLineChars="200"/>
              <w:rPr>
                <w:rFonts w:cs="宋体"/>
                <w:bCs/>
                <w:color w:val="auto"/>
                <w:sz w:val="24"/>
              </w:rPr>
            </w:pPr>
            <w:r>
              <w:rPr>
                <w:rFonts w:cs="宋体"/>
                <w:bCs/>
                <w:color w:val="auto"/>
                <w:sz w:val="24"/>
              </w:rPr>
              <w:t>（3）施工机械和运输车辆排放的尾气</w:t>
            </w:r>
          </w:p>
          <w:p w14:paraId="7F536514">
            <w:pPr>
              <w:adjustRightInd w:val="0"/>
              <w:snapToGrid w:val="0"/>
              <w:spacing w:line="360" w:lineRule="auto"/>
              <w:ind w:firstLine="480" w:firstLineChars="200"/>
              <w:rPr>
                <w:rFonts w:cs="宋体"/>
                <w:bCs/>
                <w:color w:val="auto"/>
                <w:sz w:val="24"/>
              </w:rPr>
            </w:pPr>
            <w:r>
              <w:rPr>
                <w:rFonts w:cs="宋体"/>
                <w:bCs/>
                <w:color w:val="auto"/>
                <w:sz w:val="24"/>
              </w:rPr>
              <w:t>施工机械和运输车辆在施工阶段会排放尾气，主要污染物为SO</w:t>
            </w:r>
            <w:r>
              <w:rPr>
                <w:rFonts w:cs="宋体"/>
                <w:bCs/>
                <w:color w:val="auto"/>
                <w:sz w:val="24"/>
                <w:vertAlign w:val="subscript"/>
              </w:rPr>
              <w:t>2</w:t>
            </w:r>
            <w:r>
              <w:rPr>
                <w:rFonts w:cs="宋体"/>
                <w:bCs/>
                <w:color w:val="auto"/>
                <w:sz w:val="24"/>
              </w:rPr>
              <w:t>和NOx等。施工机械和汽车尾气主要对作业点周围和运输路线两侧局部范围产生一定影响。但施工机械、车辆数量少且分散，其尾气产生量很小。此外，施工机械和运输汽车是在开阔的环境下作业，尾气难以聚集，并经周边植被净化后，其排放的尾气浓度较低，对环境影响不大。</w:t>
            </w:r>
          </w:p>
          <w:p w14:paraId="11A9F1F4">
            <w:pPr>
              <w:adjustRightInd w:val="0"/>
              <w:snapToGrid w:val="0"/>
              <w:spacing w:line="360" w:lineRule="auto"/>
              <w:ind w:firstLine="480" w:firstLineChars="200"/>
              <w:rPr>
                <w:rFonts w:hint="default" w:eastAsia="宋体" w:cs="宋体"/>
                <w:bCs/>
                <w:color w:val="auto"/>
                <w:sz w:val="24"/>
                <w:lang w:val="en-US" w:eastAsia="zh-CN"/>
              </w:rPr>
            </w:pPr>
            <w:r>
              <w:rPr>
                <w:rFonts w:hint="eastAsia" w:cs="宋体"/>
                <w:bCs/>
                <w:color w:val="auto"/>
                <w:sz w:val="24"/>
                <w:lang w:eastAsia="zh-CN"/>
              </w:rPr>
              <w:t>（</w:t>
            </w:r>
            <w:r>
              <w:rPr>
                <w:rFonts w:hint="eastAsia" w:cs="宋体"/>
                <w:bCs/>
                <w:color w:val="auto"/>
                <w:sz w:val="24"/>
                <w:lang w:val="en-US" w:eastAsia="zh-CN"/>
              </w:rPr>
              <w:t>4</w:t>
            </w:r>
            <w:r>
              <w:rPr>
                <w:rFonts w:hint="eastAsia" w:cs="宋体"/>
                <w:bCs/>
                <w:color w:val="auto"/>
                <w:sz w:val="24"/>
                <w:lang w:eastAsia="zh-CN"/>
              </w:rPr>
              <w:t>）</w:t>
            </w:r>
            <w:r>
              <w:rPr>
                <w:rFonts w:hint="eastAsia" w:cs="宋体"/>
                <w:bCs/>
                <w:color w:val="auto"/>
                <w:sz w:val="24"/>
                <w:lang w:val="en-US" w:eastAsia="zh-CN"/>
              </w:rPr>
              <w:t>房屋拆迁扬尘</w:t>
            </w:r>
          </w:p>
          <w:p w14:paraId="69CDAC87">
            <w:pPr>
              <w:pStyle w:val="1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拆迁房屋为砖混结构、围墙、土房等，</w:t>
            </w:r>
            <w:r>
              <w:rPr>
                <w:rFonts w:hint="eastAsia" w:ascii="Times New Roman" w:hAnsi="Times New Roman" w:cs="Times New Roman"/>
                <w:color w:val="auto"/>
                <w:sz w:val="24"/>
                <w:szCs w:val="24"/>
                <w:u w:val="none"/>
                <w:lang w:val="en-US" w:eastAsia="zh-CN"/>
              </w:rPr>
              <w:t>路基为沥青混凝土结构，</w:t>
            </w:r>
            <w:r>
              <w:rPr>
                <w:rFonts w:hint="default" w:ascii="Times New Roman" w:hAnsi="Times New Roman" w:eastAsia="宋体" w:cs="Times New Roman"/>
                <w:color w:val="auto"/>
                <w:sz w:val="24"/>
                <w:szCs w:val="24"/>
                <w:u w:val="none"/>
              </w:rPr>
              <w:t>在机械拆迁过程中，产生扬尘。颗粒大的粉尘不易飞扬，拆迁颗粒物粒径大于0.1mm的占76%左右</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rPr>
              <w:t>粒径在0.05~0.10mm的占15%左右</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rPr>
              <w:t>粒径在0.03~0.05mm的占5%左右粒径小于0.03mm的占4%左右。在没有风力作用情况下，粒径小于0.015mm的颗粒物能够飞扬，当风速为3~5m/s时，粒径为0.015~0.030mm的颗粒也会被风吹扬。</w:t>
            </w:r>
          </w:p>
          <w:p w14:paraId="74423FF9">
            <w:pPr>
              <w:adjustRightInd w:val="0"/>
              <w:snapToGrid w:val="0"/>
              <w:spacing w:line="360" w:lineRule="auto"/>
              <w:ind w:firstLine="480" w:firstLineChars="200"/>
              <w:rPr>
                <w:rFonts w:hint="eastAsia" w:eastAsia="宋体" w:cs="宋体"/>
                <w:bCs/>
                <w:color w:val="auto"/>
                <w:sz w:val="24"/>
                <w:lang w:eastAsia="zh-CN"/>
              </w:rPr>
            </w:pPr>
            <w:r>
              <w:rPr>
                <w:rFonts w:hint="default" w:ascii="Times New Roman" w:hAnsi="Times New Roman" w:eastAsia="宋体" w:cs="Times New Roman"/>
                <w:color w:val="auto"/>
                <w:sz w:val="24"/>
                <w:szCs w:val="24"/>
                <w:u w:val="none"/>
              </w:rPr>
              <w:t>根据类似工程现场测定，拆迁施工时在距源强1m处、20m处、50m处的扬尘浓度分别为11.03mg/m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、2.89mg/m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、1.15mg/m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rPr>
              <w:t>。拆迁过程中产生的扬尘浓度较大，应采取</w:t>
            </w:r>
            <w:r>
              <w:rPr>
                <w:rStyle w:val="55"/>
                <w:rFonts w:hint="default" w:ascii="Times New Roman" w:hAnsi="Times New Roman" w:eastAsia="宋体" w:cs="Times New Roman"/>
                <w:color w:val="auto"/>
                <w:sz w:val="24"/>
                <w:szCs w:val="20"/>
                <w:u w:val="none"/>
              </w:rPr>
              <w:t>围挡</w:t>
            </w:r>
            <w:r>
              <w:rPr>
                <w:rFonts w:hint="default" w:ascii="Times New Roman" w:hAnsi="Times New Roman" w:eastAsia="宋体" w:cs="Times New Roman"/>
                <w:color w:val="auto"/>
                <w:sz w:val="24"/>
                <w:szCs w:val="24"/>
                <w:u w:val="none"/>
              </w:rPr>
              <w:t>，洒水喷雾，尤其是紧邻非拆迁居民区的位置增加围挡的高度，并尽量避免在大风天气施工，减少扬尘对周围空气环境及居民区等敏感点的影响。</w:t>
            </w:r>
            <w:r>
              <w:rPr>
                <w:rFonts w:hint="eastAsia" w:ascii="Times New Roman" w:hAnsi="Times New Roman" w:eastAsia="宋体" w:cs="Times New Roman"/>
                <w:color w:val="auto"/>
                <w:sz w:val="24"/>
                <w:szCs w:val="24"/>
                <w:u w:val="none"/>
                <w:lang w:val="en-US" w:eastAsia="zh-CN"/>
              </w:rPr>
              <w:t>项目施工结束后房屋拆迁扬尘结束排放，对周边空气环境及居民等敏感点影响不大</w:t>
            </w:r>
            <w:r>
              <w:rPr>
                <w:rFonts w:hint="eastAsia" w:cs="宋体"/>
                <w:bCs/>
                <w:color w:val="auto"/>
                <w:sz w:val="24"/>
                <w:lang w:eastAsia="zh-CN"/>
              </w:rPr>
              <w:t>。</w:t>
            </w:r>
          </w:p>
          <w:p w14:paraId="44456512">
            <w:pPr>
              <w:adjustRightInd w:val="0"/>
              <w:snapToGrid w:val="0"/>
              <w:spacing w:line="360" w:lineRule="auto"/>
              <w:ind w:firstLine="482" w:firstLineChars="200"/>
              <w:rPr>
                <w:rFonts w:cs="宋体"/>
                <w:b/>
                <w:color w:val="auto"/>
                <w:sz w:val="24"/>
              </w:rPr>
            </w:pPr>
            <w:r>
              <w:rPr>
                <w:rFonts w:cs="宋体"/>
                <w:b/>
                <w:color w:val="auto"/>
                <w:sz w:val="24"/>
              </w:rPr>
              <w:t>4</w:t>
            </w:r>
            <w:r>
              <w:rPr>
                <w:rFonts w:hint="eastAsia" w:cs="宋体"/>
                <w:b/>
                <w:color w:val="auto"/>
                <w:sz w:val="24"/>
              </w:rPr>
              <w:t>、水环境</w:t>
            </w:r>
          </w:p>
          <w:p w14:paraId="3C0B2119">
            <w:pPr>
              <w:adjustRightInd w:val="0"/>
              <w:snapToGrid w:val="0"/>
              <w:spacing w:line="360" w:lineRule="auto"/>
              <w:ind w:firstLine="480" w:firstLineChars="200"/>
              <w:rPr>
                <w:rFonts w:cs="宋体"/>
                <w:bCs/>
                <w:color w:val="auto"/>
                <w:sz w:val="24"/>
              </w:rPr>
            </w:pPr>
            <w:r>
              <w:rPr>
                <w:rFonts w:hint="eastAsia" w:cs="宋体"/>
                <w:bCs/>
                <w:color w:val="auto"/>
                <w:sz w:val="24"/>
              </w:rPr>
              <w:t>施工期废水主要为施工废水和施工人员产生的生活污水。</w:t>
            </w:r>
          </w:p>
          <w:p w14:paraId="2705F308">
            <w:pPr>
              <w:adjustRightInd w:val="0"/>
              <w:snapToGrid w:val="0"/>
              <w:spacing w:line="360" w:lineRule="auto"/>
              <w:ind w:firstLine="480" w:firstLineChars="200"/>
              <w:rPr>
                <w:rFonts w:cs="宋体"/>
                <w:bCs/>
                <w:color w:val="auto"/>
                <w:sz w:val="24"/>
              </w:rPr>
            </w:pPr>
            <w:r>
              <w:rPr>
                <w:rFonts w:hint="eastAsia" w:cs="宋体"/>
                <w:bCs/>
                <w:color w:val="auto"/>
                <w:sz w:val="24"/>
              </w:rPr>
              <w:t>（1）生活污水</w:t>
            </w:r>
          </w:p>
          <w:p w14:paraId="6592E1AA">
            <w:pPr>
              <w:adjustRightInd w:val="0"/>
              <w:snapToGrid w:val="0"/>
              <w:spacing w:line="360" w:lineRule="auto"/>
              <w:ind w:firstLine="480" w:firstLineChars="200"/>
              <w:rPr>
                <w:rFonts w:cs="宋体"/>
                <w:bCs/>
                <w:color w:val="auto"/>
                <w:sz w:val="24"/>
              </w:rPr>
            </w:pPr>
            <w:r>
              <w:rPr>
                <w:rFonts w:hint="eastAsia" w:cs="宋体"/>
                <w:bCs/>
                <w:color w:val="auto"/>
                <w:sz w:val="24"/>
              </w:rPr>
              <w:t>项目施工人数约为</w:t>
            </w:r>
            <w:r>
              <w:rPr>
                <w:rFonts w:cs="宋体"/>
                <w:bCs/>
                <w:color w:val="auto"/>
                <w:sz w:val="24"/>
              </w:rPr>
              <w:t>50</w:t>
            </w:r>
            <w:r>
              <w:rPr>
                <w:rFonts w:hint="eastAsia" w:cs="宋体"/>
                <w:bCs/>
                <w:color w:val="auto"/>
                <w:sz w:val="24"/>
              </w:rPr>
              <w:t>人，生活用水量按50L/人·d计，施工期为</w:t>
            </w:r>
            <w:r>
              <w:rPr>
                <w:rFonts w:hint="eastAsia" w:cs="宋体"/>
                <w:bCs/>
                <w:color w:val="auto"/>
                <w:sz w:val="24"/>
                <w:lang w:val="en-US" w:eastAsia="zh-CN"/>
              </w:rPr>
              <w:t>12</w:t>
            </w:r>
            <w:r>
              <w:rPr>
                <w:rFonts w:hint="eastAsia" w:cs="宋体"/>
                <w:bCs/>
                <w:color w:val="auto"/>
                <w:sz w:val="24"/>
              </w:rPr>
              <w:t>个月（每个月按</w:t>
            </w:r>
            <w:r>
              <w:rPr>
                <w:rFonts w:cs="宋体"/>
                <w:bCs/>
                <w:color w:val="auto"/>
                <w:sz w:val="24"/>
              </w:rPr>
              <w:t>30</w:t>
            </w:r>
            <w:r>
              <w:rPr>
                <w:rFonts w:hint="eastAsia" w:cs="宋体"/>
                <w:bCs/>
                <w:color w:val="auto"/>
                <w:sz w:val="24"/>
              </w:rPr>
              <w:t>天计），则施工期生活用水量为</w:t>
            </w:r>
            <w:r>
              <w:rPr>
                <w:rFonts w:hint="eastAsia" w:cs="宋体"/>
                <w:bCs/>
                <w:color w:val="auto"/>
                <w:sz w:val="24"/>
                <w:lang w:val="en-US" w:eastAsia="zh-CN"/>
              </w:rPr>
              <w:t>900</w:t>
            </w:r>
            <w:r>
              <w:rPr>
                <w:rFonts w:hint="eastAsia" w:cs="宋体"/>
                <w:bCs/>
                <w:color w:val="auto"/>
                <w:sz w:val="24"/>
              </w:rPr>
              <w:t>m</w:t>
            </w:r>
            <w:r>
              <w:rPr>
                <w:rFonts w:hint="eastAsia" w:cs="宋体"/>
                <w:bCs/>
                <w:color w:val="auto"/>
                <w:sz w:val="24"/>
                <w:vertAlign w:val="superscript"/>
              </w:rPr>
              <w:t>3</w:t>
            </w:r>
            <w:r>
              <w:rPr>
                <w:rFonts w:hint="eastAsia" w:cs="宋体"/>
                <w:bCs/>
                <w:color w:val="auto"/>
                <w:sz w:val="24"/>
              </w:rPr>
              <w:t>，生活污水产生量按用水量的80%计，则施工人员生活污水产生量为</w:t>
            </w:r>
            <w:r>
              <w:rPr>
                <w:rFonts w:hint="eastAsia" w:cs="宋体"/>
                <w:bCs/>
                <w:color w:val="auto"/>
                <w:sz w:val="24"/>
                <w:lang w:val="en-US" w:eastAsia="zh-CN"/>
              </w:rPr>
              <w:t>720</w:t>
            </w:r>
            <w:r>
              <w:rPr>
                <w:rFonts w:hint="eastAsia" w:cs="宋体"/>
                <w:bCs/>
                <w:color w:val="auto"/>
                <w:sz w:val="24"/>
              </w:rPr>
              <w:t>m</w:t>
            </w:r>
            <w:r>
              <w:rPr>
                <w:rFonts w:hint="eastAsia" w:cs="宋体"/>
                <w:bCs/>
                <w:color w:val="auto"/>
                <w:sz w:val="24"/>
                <w:vertAlign w:val="superscript"/>
              </w:rPr>
              <w:t>3</w:t>
            </w:r>
            <w:r>
              <w:rPr>
                <w:rFonts w:hint="eastAsia" w:cs="宋体"/>
                <w:bCs/>
                <w:color w:val="auto"/>
                <w:sz w:val="24"/>
              </w:rPr>
              <w:t>，生活污水主要污染物为COD、BOD</w:t>
            </w:r>
            <w:r>
              <w:rPr>
                <w:rFonts w:hint="eastAsia" w:cs="宋体"/>
                <w:bCs/>
                <w:color w:val="auto"/>
                <w:sz w:val="24"/>
                <w:vertAlign w:val="subscript"/>
              </w:rPr>
              <w:t>5</w:t>
            </w:r>
            <w:r>
              <w:rPr>
                <w:rFonts w:hint="eastAsia" w:cs="宋体"/>
                <w:bCs/>
                <w:color w:val="auto"/>
                <w:sz w:val="24"/>
              </w:rPr>
              <w:t>、SS、NH</w:t>
            </w:r>
            <w:r>
              <w:rPr>
                <w:rFonts w:hint="eastAsia" w:cs="宋体"/>
                <w:bCs/>
                <w:color w:val="auto"/>
                <w:sz w:val="24"/>
                <w:vertAlign w:val="subscript"/>
              </w:rPr>
              <w:t>3</w:t>
            </w:r>
            <w:r>
              <w:rPr>
                <w:rFonts w:hint="eastAsia" w:cs="宋体"/>
                <w:bCs/>
                <w:color w:val="auto"/>
                <w:sz w:val="24"/>
              </w:rPr>
              <w:t>-N等，项目施工期不设置生活营地，线路施工人员均租住周边村镇民房。所产生的生活污水就近利用当地设施处理，对周边水环境影响不大。</w:t>
            </w:r>
          </w:p>
          <w:p w14:paraId="4ECC196E">
            <w:pPr>
              <w:adjustRightInd w:val="0"/>
              <w:snapToGrid w:val="0"/>
              <w:spacing w:line="360" w:lineRule="auto"/>
              <w:ind w:firstLine="480" w:firstLineChars="200"/>
              <w:rPr>
                <w:rFonts w:cs="宋体"/>
                <w:bCs/>
                <w:color w:val="auto"/>
                <w:sz w:val="24"/>
              </w:rPr>
            </w:pPr>
            <w:r>
              <w:rPr>
                <w:rFonts w:hint="eastAsia" w:cs="宋体"/>
                <w:bCs/>
                <w:color w:val="auto"/>
                <w:sz w:val="24"/>
              </w:rPr>
              <w:t>（2）施工废水</w:t>
            </w:r>
          </w:p>
          <w:p w14:paraId="6D1C3736">
            <w:pPr>
              <w:adjustRightInd w:val="0"/>
              <w:snapToGrid w:val="0"/>
              <w:spacing w:line="360" w:lineRule="auto"/>
              <w:ind w:firstLine="480" w:firstLineChars="200"/>
              <w:rPr>
                <w:rFonts w:cs="宋体"/>
                <w:bCs/>
                <w:color w:val="auto"/>
                <w:sz w:val="24"/>
              </w:rPr>
            </w:pPr>
            <w:r>
              <w:rPr>
                <w:rFonts w:hint="eastAsia" w:cs="宋体"/>
                <w:bCs/>
                <w:color w:val="auto"/>
                <w:sz w:val="24"/>
              </w:rPr>
              <w:t>项目施工过程中，会产生施工废水。施工过程中的施工废水主要来源于冲洗设备和运输车辆产生的施工废水、遇雨季时的地表径流冲刷施工场地的废水，施工废水中的主要污染物为SS和COD。施工废水经沉淀后回用于洒水降尘，不外排，对区域地表水环境影响较小。</w:t>
            </w:r>
          </w:p>
          <w:p w14:paraId="5BC02E3A">
            <w:pPr>
              <w:adjustRightInd w:val="0"/>
              <w:snapToGrid w:val="0"/>
              <w:spacing w:line="360" w:lineRule="auto"/>
              <w:ind w:firstLine="482" w:firstLineChars="200"/>
              <w:rPr>
                <w:rFonts w:cs="宋体"/>
                <w:b/>
                <w:color w:val="auto"/>
                <w:sz w:val="24"/>
              </w:rPr>
            </w:pPr>
            <w:r>
              <w:rPr>
                <w:rFonts w:hint="eastAsia" w:cs="宋体"/>
                <w:b/>
                <w:color w:val="auto"/>
                <w:sz w:val="24"/>
                <w:lang w:val="en-US" w:eastAsia="zh-CN"/>
              </w:rPr>
              <w:t>5</w:t>
            </w:r>
            <w:r>
              <w:rPr>
                <w:rFonts w:hint="eastAsia" w:cs="宋体"/>
                <w:b/>
                <w:color w:val="auto"/>
                <w:sz w:val="24"/>
              </w:rPr>
              <w:t>、声环境</w:t>
            </w:r>
          </w:p>
          <w:p w14:paraId="5F723C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bookmarkStart w:id="11" w:name="_Hlk144227137"/>
            <w:r>
              <w:rPr>
                <w:rFonts w:hint="eastAsia" w:ascii="宋体" w:hAnsi="宋体" w:eastAsia="宋体" w:cs="宋体"/>
                <w:color w:val="auto"/>
                <w:kern w:val="0"/>
                <w:sz w:val="24"/>
                <w:szCs w:val="24"/>
                <w:lang w:val="en-US" w:eastAsia="zh-CN" w:bidi="ar"/>
              </w:rPr>
              <w:t>施工设备噪声源主要为装载机、挖掘机、推土机、夯土机等施工机械设备；运输噪声源为运输车辆。</w:t>
            </w:r>
          </w:p>
          <w:p w14:paraId="6700248E">
            <w:pPr>
              <w:widowControl/>
              <w:spacing w:line="360" w:lineRule="auto"/>
              <w:ind w:firstLine="480" w:firstLineChars="200"/>
              <w:rPr>
                <w:rFonts w:ascii="Times New Roman" w:hAnsi="Times New Roman" w:eastAsia="宋体" w:cs="Times New Roman"/>
                <w:color w:val="auto"/>
                <w:kern w:val="0"/>
                <w:sz w:val="24"/>
                <w:szCs w:val="24"/>
                <w:lang w:bidi="ar"/>
              </w:rPr>
            </w:pPr>
            <w:r>
              <w:rPr>
                <w:rFonts w:hint="eastAsia" w:ascii="Times New Roman" w:hAnsi="Times New Roman" w:eastAsia="宋体" w:cs="Times New Roman"/>
                <w:color w:val="auto"/>
                <w:kern w:val="0"/>
                <w:sz w:val="24"/>
                <w:szCs w:val="24"/>
                <w:lang w:bidi="ar"/>
              </w:rPr>
              <w:t>施工期噪声源主要为动力式施工机械产生的噪声，各类施工机械噪声源强详见表</w:t>
            </w:r>
            <w:r>
              <w:rPr>
                <w:rFonts w:hint="eastAsia" w:ascii="Times New Roman" w:hAnsi="Times New Roman" w:eastAsia="宋体" w:cs="Times New Roman"/>
                <w:color w:val="auto"/>
                <w:kern w:val="0"/>
                <w:sz w:val="24"/>
                <w:szCs w:val="24"/>
                <w:lang w:val="en-US" w:eastAsia="zh-CN" w:bidi="ar"/>
              </w:rPr>
              <w:t>4-1</w:t>
            </w:r>
            <w:r>
              <w:rPr>
                <w:rFonts w:hint="eastAsia" w:ascii="Times New Roman" w:hAnsi="Times New Roman" w:eastAsia="宋体" w:cs="Times New Roman"/>
                <w:color w:val="auto"/>
                <w:kern w:val="0"/>
                <w:sz w:val="24"/>
                <w:szCs w:val="24"/>
                <w:lang w:bidi="ar"/>
              </w:rPr>
              <w:t>。</w:t>
            </w:r>
          </w:p>
          <w:p w14:paraId="7393A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Times New Roman"/>
                <w:color w:val="auto"/>
                <w:sz w:val="24"/>
                <w:szCs w:val="24"/>
              </w:rPr>
            </w:pPr>
            <w:r>
              <w:rPr>
                <w:rFonts w:ascii="Times New Roman" w:hAnsi="Times New Roman" w:eastAsia="宋体" w:cs="Times New Roman"/>
                <w:b/>
                <w:bCs/>
                <w:color w:val="auto"/>
                <w:kern w:val="0"/>
                <w:sz w:val="24"/>
                <w:szCs w:val="24"/>
                <w:lang w:bidi="ar"/>
              </w:rPr>
              <w:t>表</w:t>
            </w:r>
            <w:r>
              <w:rPr>
                <w:rFonts w:hint="eastAsia" w:ascii="Times New Roman" w:hAnsi="Times New Roman" w:eastAsia="宋体" w:cs="Times New Roman"/>
                <w:b/>
                <w:bCs/>
                <w:color w:val="auto"/>
                <w:kern w:val="0"/>
                <w:sz w:val="24"/>
                <w:szCs w:val="24"/>
                <w:lang w:val="en-US" w:eastAsia="zh-CN" w:bidi="ar"/>
              </w:rPr>
              <w:t>4-1</w:t>
            </w:r>
            <w:r>
              <w:rPr>
                <w:rFonts w:ascii="Times New Roman" w:hAnsi="Times New Roman" w:eastAsia="宋体" w:cs="Times New Roman"/>
                <w:b/>
                <w:bCs/>
                <w:color w:val="auto"/>
                <w:kern w:val="0"/>
                <w:sz w:val="24"/>
                <w:szCs w:val="24"/>
                <w:lang w:bidi="ar"/>
              </w:rPr>
              <w:t xml:space="preserve">  施工机械</w:t>
            </w:r>
            <w:r>
              <w:rPr>
                <w:rFonts w:hint="eastAsia" w:ascii="Times New Roman" w:hAnsi="Times New Roman" w:eastAsia="宋体" w:cs="Times New Roman"/>
                <w:b/>
                <w:bCs/>
                <w:color w:val="auto"/>
                <w:kern w:val="0"/>
                <w:sz w:val="24"/>
                <w:szCs w:val="24"/>
                <w:lang w:bidi="ar"/>
              </w:rPr>
              <w:t>及车辆</w:t>
            </w:r>
            <w:r>
              <w:rPr>
                <w:rFonts w:ascii="Times New Roman" w:hAnsi="Times New Roman" w:eastAsia="宋体" w:cs="Times New Roman"/>
                <w:b/>
                <w:bCs/>
                <w:color w:val="auto"/>
                <w:kern w:val="0"/>
                <w:sz w:val="24"/>
                <w:szCs w:val="24"/>
                <w:lang w:bidi="ar"/>
              </w:rPr>
              <w:t>噪声</w:t>
            </w:r>
            <w:r>
              <w:rPr>
                <w:rFonts w:hint="eastAsia" w:ascii="Times New Roman" w:hAnsi="Times New Roman" w:eastAsia="宋体" w:cs="Times New Roman"/>
                <w:b/>
                <w:bCs/>
                <w:color w:val="auto"/>
                <w:kern w:val="0"/>
                <w:sz w:val="24"/>
                <w:szCs w:val="24"/>
                <w:lang w:bidi="ar"/>
              </w:rPr>
              <w:t xml:space="preserve">源强 </w:t>
            </w:r>
            <w:r>
              <w:rPr>
                <w:rFonts w:ascii="Times New Roman" w:hAnsi="Times New Roman" w:eastAsia="宋体" w:cs="Times New Roman"/>
                <w:b/>
                <w:bCs/>
                <w:color w:val="auto"/>
                <w:kern w:val="0"/>
                <w:sz w:val="24"/>
                <w:szCs w:val="24"/>
                <w:lang w:bidi="ar"/>
              </w:rPr>
              <w:t xml:space="preserve"> </w:t>
            </w:r>
            <w:r>
              <w:rPr>
                <w:rFonts w:hint="eastAsia" w:ascii="Times New Roman" w:hAnsi="Times New Roman" w:eastAsia="宋体" w:cs="Times New Roman"/>
                <w:b/>
                <w:bCs/>
                <w:color w:val="auto"/>
                <w:kern w:val="0"/>
                <w:sz w:val="24"/>
                <w:szCs w:val="24"/>
                <w:lang w:bidi="ar"/>
              </w:rPr>
              <w:t>单位：</w:t>
            </w:r>
            <w:r>
              <w:rPr>
                <w:rFonts w:ascii="Times New Roman" w:hAnsi="Times New Roman" w:eastAsia="宋体" w:cs="Times New Roman"/>
                <w:b/>
                <w:bCs/>
                <w:color w:val="auto"/>
                <w:kern w:val="0"/>
                <w:sz w:val="24"/>
                <w:szCs w:val="24"/>
                <w:lang w:bidi="ar"/>
              </w:rPr>
              <w:t>dB(A)</w:t>
            </w:r>
          </w:p>
          <w:tbl>
            <w:tblPr>
              <w:tblStyle w:val="47"/>
              <w:tblW w:w="4998" w:type="pct"/>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2753"/>
              <w:gridCol w:w="2177"/>
              <w:gridCol w:w="2178"/>
            </w:tblGrid>
            <w:tr w14:paraId="0289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761B4CB9">
                  <w:pPr>
                    <w:widowControl/>
                    <w:jc w:val="center"/>
                    <w:rPr>
                      <w:rFonts w:ascii="Times New Roman" w:hAnsi="Times New Roman" w:eastAsia="宋体" w:cs="Times New Roman"/>
                      <w:b/>
                      <w:bCs/>
                      <w:color w:val="auto"/>
                      <w:szCs w:val="21"/>
                    </w:rPr>
                  </w:pPr>
                  <w:r>
                    <w:rPr>
                      <w:rFonts w:ascii="Times New Roman" w:hAnsi="Times New Roman" w:eastAsia="宋体" w:cs="Times New Roman"/>
                      <w:b/>
                      <w:bCs/>
                      <w:color w:val="auto"/>
                      <w:kern w:val="0"/>
                      <w:szCs w:val="21"/>
                      <w:lang w:bidi="ar"/>
                    </w:rPr>
                    <w:t>序号</w:t>
                  </w:r>
                </w:p>
              </w:tc>
              <w:tc>
                <w:tcPr>
                  <w:tcW w:w="1659" w:type="pct"/>
                  <w:vAlign w:val="center"/>
                </w:tcPr>
                <w:p w14:paraId="3479CCC4">
                  <w:pPr>
                    <w:widowControl/>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kern w:val="0"/>
                      <w:szCs w:val="21"/>
                      <w:lang w:bidi="ar"/>
                    </w:rPr>
                    <w:t>施工设备名称</w:t>
                  </w:r>
                </w:p>
              </w:tc>
              <w:tc>
                <w:tcPr>
                  <w:tcW w:w="1312" w:type="pct"/>
                  <w:vAlign w:val="center"/>
                </w:tcPr>
                <w:p w14:paraId="5E5CD4E4">
                  <w:pPr>
                    <w:widowControl/>
                    <w:jc w:val="center"/>
                    <w:rPr>
                      <w:rFonts w:ascii="Times New Roman" w:hAnsi="Times New Roman" w:eastAsia="宋体" w:cs="Times New Roman"/>
                      <w:b/>
                      <w:bCs/>
                      <w:color w:val="auto"/>
                      <w:kern w:val="0"/>
                      <w:szCs w:val="21"/>
                      <w:lang w:bidi="ar"/>
                    </w:rPr>
                  </w:pPr>
                  <w:bookmarkStart w:id="12" w:name="_Hlk142491051"/>
                  <w:r>
                    <w:rPr>
                      <w:rFonts w:hint="eastAsia" w:ascii="Times New Roman" w:hAnsi="Times New Roman" w:eastAsia="宋体" w:cs="Times New Roman"/>
                      <w:b/>
                      <w:bCs/>
                      <w:color w:val="auto"/>
                      <w:kern w:val="0"/>
                      <w:szCs w:val="21"/>
                      <w:lang w:bidi="ar"/>
                    </w:rPr>
                    <w:t>距声源5</w:t>
                  </w:r>
                  <w:r>
                    <w:rPr>
                      <w:rFonts w:ascii="Times New Roman" w:hAnsi="Times New Roman" w:eastAsia="宋体" w:cs="Times New Roman"/>
                      <w:b/>
                      <w:bCs/>
                      <w:color w:val="auto"/>
                      <w:kern w:val="0"/>
                      <w:szCs w:val="21"/>
                      <w:lang w:bidi="ar"/>
                    </w:rPr>
                    <w:t>m</w:t>
                  </w:r>
                  <w:bookmarkEnd w:id="12"/>
                </w:p>
              </w:tc>
              <w:tc>
                <w:tcPr>
                  <w:tcW w:w="1312" w:type="pct"/>
                  <w:vAlign w:val="center"/>
                </w:tcPr>
                <w:p w14:paraId="142F6C65">
                  <w:pPr>
                    <w:widowControl/>
                    <w:jc w:val="center"/>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距离声源1</w:t>
                  </w:r>
                  <w:r>
                    <w:rPr>
                      <w:rFonts w:ascii="Times New Roman" w:hAnsi="Times New Roman" w:eastAsia="宋体" w:cs="Times New Roman"/>
                      <w:b/>
                      <w:bCs/>
                      <w:color w:val="auto"/>
                      <w:kern w:val="0"/>
                      <w:szCs w:val="21"/>
                      <w:lang w:bidi="ar"/>
                    </w:rPr>
                    <w:t>0m</w:t>
                  </w:r>
                </w:p>
              </w:tc>
            </w:tr>
            <w:tr w14:paraId="7549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61FC2C6F">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1659" w:type="pct"/>
                  <w:vAlign w:val="center"/>
                </w:tcPr>
                <w:p w14:paraId="5343C4D8">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液压挖掘机</w:t>
                  </w:r>
                </w:p>
              </w:tc>
              <w:tc>
                <w:tcPr>
                  <w:tcW w:w="1312" w:type="pct"/>
                  <w:vAlign w:val="center"/>
                </w:tcPr>
                <w:p w14:paraId="395B4B35">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w:t>
                  </w:r>
                </w:p>
              </w:tc>
              <w:tc>
                <w:tcPr>
                  <w:tcW w:w="1312" w:type="pct"/>
                  <w:vAlign w:val="center"/>
                </w:tcPr>
                <w:p w14:paraId="09C28289">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6</w:t>
                  </w:r>
                </w:p>
              </w:tc>
            </w:tr>
            <w:tr w14:paraId="2452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67D17A83">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1659" w:type="pct"/>
                  <w:vAlign w:val="center"/>
                </w:tcPr>
                <w:p w14:paraId="50CC924F">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电动挖掘机</w:t>
                  </w:r>
                </w:p>
              </w:tc>
              <w:tc>
                <w:tcPr>
                  <w:tcW w:w="1312" w:type="pct"/>
                  <w:vAlign w:val="center"/>
                </w:tcPr>
                <w:p w14:paraId="44F9A769">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86</w:t>
                  </w:r>
                </w:p>
              </w:tc>
              <w:tc>
                <w:tcPr>
                  <w:tcW w:w="1312" w:type="pct"/>
                  <w:vAlign w:val="center"/>
                </w:tcPr>
                <w:p w14:paraId="1F6E91F4">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3</w:t>
                  </w:r>
                </w:p>
              </w:tc>
            </w:tr>
            <w:tr w14:paraId="25EE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253BE1C4">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3</w:t>
                  </w:r>
                </w:p>
              </w:tc>
              <w:tc>
                <w:tcPr>
                  <w:tcW w:w="1659" w:type="pct"/>
                  <w:vAlign w:val="center"/>
                </w:tcPr>
                <w:p w14:paraId="3A278C90">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推土机</w:t>
                  </w:r>
                </w:p>
              </w:tc>
              <w:tc>
                <w:tcPr>
                  <w:tcW w:w="1312" w:type="pct"/>
                  <w:vAlign w:val="center"/>
                </w:tcPr>
                <w:p w14:paraId="0A4C1994">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88</w:t>
                  </w:r>
                </w:p>
              </w:tc>
              <w:tc>
                <w:tcPr>
                  <w:tcW w:w="1312" w:type="pct"/>
                  <w:vAlign w:val="center"/>
                </w:tcPr>
                <w:p w14:paraId="79EAE4B7">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5</w:t>
                  </w:r>
                </w:p>
              </w:tc>
            </w:tr>
            <w:tr w14:paraId="759F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1E3D0D7A">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1659" w:type="pct"/>
                  <w:vAlign w:val="center"/>
                </w:tcPr>
                <w:p w14:paraId="1CCD200F">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轮式装载机</w:t>
                  </w:r>
                </w:p>
              </w:tc>
              <w:tc>
                <w:tcPr>
                  <w:tcW w:w="1312" w:type="pct"/>
                  <w:vAlign w:val="center"/>
                </w:tcPr>
                <w:p w14:paraId="512E2443">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95</w:t>
                  </w:r>
                </w:p>
              </w:tc>
              <w:tc>
                <w:tcPr>
                  <w:tcW w:w="1312" w:type="pct"/>
                  <w:vAlign w:val="center"/>
                </w:tcPr>
                <w:p w14:paraId="21EECDF3">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w:t>
                  </w:r>
                  <w:r>
                    <w:rPr>
                      <w:rFonts w:ascii="Times New Roman" w:hAnsi="Times New Roman" w:eastAsia="宋体" w:cs="Times New Roman"/>
                      <w:color w:val="auto"/>
                      <w:szCs w:val="21"/>
                    </w:rPr>
                    <w:t>1</w:t>
                  </w:r>
                </w:p>
              </w:tc>
            </w:tr>
            <w:tr w14:paraId="0F15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4FDB67E1">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5</w:t>
                  </w:r>
                </w:p>
              </w:tc>
              <w:tc>
                <w:tcPr>
                  <w:tcW w:w="1659" w:type="pct"/>
                  <w:vAlign w:val="center"/>
                </w:tcPr>
                <w:p w14:paraId="6BE91660">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重型运输车</w:t>
                  </w:r>
                </w:p>
              </w:tc>
              <w:tc>
                <w:tcPr>
                  <w:tcW w:w="1312" w:type="pct"/>
                  <w:vAlign w:val="center"/>
                </w:tcPr>
                <w:p w14:paraId="252C568B">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w:t>
                  </w:r>
                </w:p>
              </w:tc>
              <w:tc>
                <w:tcPr>
                  <w:tcW w:w="1312" w:type="pct"/>
                  <w:vAlign w:val="center"/>
                </w:tcPr>
                <w:p w14:paraId="11E8C6EB">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6</w:t>
                  </w:r>
                </w:p>
              </w:tc>
            </w:tr>
            <w:tr w14:paraId="49AC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66DB42FF">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6</w:t>
                  </w:r>
                </w:p>
              </w:tc>
              <w:tc>
                <w:tcPr>
                  <w:tcW w:w="1659" w:type="pct"/>
                  <w:vAlign w:val="center"/>
                </w:tcPr>
                <w:p w14:paraId="46A569C3">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静力压桩机</w:t>
                  </w:r>
                </w:p>
              </w:tc>
              <w:tc>
                <w:tcPr>
                  <w:tcW w:w="1312" w:type="pct"/>
                  <w:vAlign w:val="center"/>
                </w:tcPr>
                <w:p w14:paraId="298856FE">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75</w:t>
                  </w:r>
                </w:p>
              </w:tc>
              <w:tc>
                <w:tcPr>
                  <w:tcW w:w="1312" w:type="pct"/>
                  <w:vAlign w:val="center"/>
                </w:tcPr>
                <w:p w14:paraId="4C339AEF">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ascii="Times New Roman" w:hAnsi="Times New Roman" w:eastAsia="宋体" w:cs="Times New Roman"/>
                      <w:color w:val="auto"/>
                      <w:szCs w:val="21"/>
                    </w:rPr>
                    <w:t>3</w:t>
                  </w:r>
                </w:p>
              </w:tc>
            </w:tr>
            <w:tr w14:paraId="6468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03C05E38">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7</w:t>
                  </w:r>
                </w:p>
              </w:tc>
              <w:tc>
                <w:tcPr>
                  <w:tcW w:w="1659" w:type="pct"/>
                  <w:vAlign w:val="center"/>
                </w:tcPr>
                <w:p w14:paraId="4237013F">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空压机</w:t>
                  </w:r>
                </w:p>
              </w:tc>
              <w:tc>
                <w:tcPr>
                  <w:tcW w:w="1312" w:type="pct"/>
                  <w:vAlign w:val="center"/>
                </w:tcPr>
                <w:p w14:paraId="741A1708">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92</w:t>
                  </w:r>
                </w:p>
              </w:tc>
              <w:tc>
                <w:tcPr>
                  <w:tcW w:w="1312" w:type="pct"/>
                  <w:vAlign w:val="center"/>
                </w:tcPr>
                <w:p w14:paraId="0F4A7688">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8</w:t>
                  </w:r>
                </w:p>
              </w:tc>
            </w:tr>
            <w:tr w14:paraId="3A81E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24151BE5">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8</w:t>
                  </w:r>
                </w:p>
              </w:tc>
              <w:tc>
                <w:tcPr>
                  <w:tcW w:w="1659" w:type="pct"/>
                  <w:vAlign w:val="center"/>
                </w:tcPr>
                <w:p w14:paraId="08AB3755">
                  <w:pPr>
                    <w:widowControl/>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风锤、镐头机</w:t>
                  </w:r>
                </w:p>
              </w:tc>
              <w:tc>
                <w:tcPr>
                  <w:tcW w:w="1312" w:type="pct"/>
                  <w:vAlign w:val="center"/>
                </w:tcPr>
                <w:p w14:paraId="6F673E77">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92</w:t>
                  </w:r>
                </w:p>
              </w:tc>
              <w:tc>
                <w:tcPr>
                  <w:tcW w:w="1312" w:type="pct"/>
                  <w:vAlign w:val="center"/>
                </w:tcPr>
                <w:p w14:paraId="4E50F786">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7</w:t>
                  </w:r>
                </w:p>
              </w:tc>
            </w:tr>
            <w:tr w14:paraId="2A67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50E1D3FF">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9</w:t>
                  </w:r>
                </w:p>
              </w:tc>
              <w:tc>
                <w:tcPr>
                  <w:tcW w:w="1659" w:type="pct"/>
                  <w:vAlign w:val="center"/>
                </w:tcPr>
                <w:p w14:paraId="3CCE0767">
                  <w:pPr>
                    <w:widowControl/>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移动式吊车</w:t>
                  </w:r>
                </w:p>
              </w:tc>
              <w:tc>
                <w:tcPr>
                  <w:tcW w:w="1312" w:type="pct"/>
                  <w:vAlign w:val="center"/>
                </w:tcPr>
                <w:p w14:paraId="371C942F">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w:t>
                  </w:r>
                  <w:r>
                    <w:rPr>
                      <w:rFonts w:ascii="Times New Roman" w:hAnsi="Times New Roman" w:eastAsia="宋体" w:cs="Times New Roman"/>
                      <w:color w:val="auto"/>
                      <w:szCs w:val="21"/>
                    </w:rPr>
                    <w:t>6</w:t>
                  </w:r>
                </w:p>
              </w:tc>
              <w:tc>
                <w:tcPr>
                  <w:tcW w:w="1312" w:type="pct"/>
                  <w:vAlign w:val="center"/>
                </w:tcPr>
                <w:p w14:paraId="601CF239">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8</w:t>
                  </w:r>
                </w:p>
              </w:tc>
            </w:tr>
            <w:tr w14:paraId="22CA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5" w:type="pct"/>
                  <w:vAlign w:val="center"/>
                </w:tcPr>
                <w:p w14:paraId="6C5F7A3C">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10</w:t>
                  </w:r>
                </w:p>
              </w:tc>
              <w:tc>
                <w:tcPr>
                  <w:tcW w:w="1659" w:type="pct"/>
                  <w:vAlign w:val="center"/>
                </w:tcPr>
                <w:p w14:paraId="1B43B90A">
                  <w:pPr>
                    <w:widowControl/>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各类压路机</w:t>
                  </w:r>
                </w:p>
              </w:tc>
              <w:tc>
                <w:tcPr>
                  <w:tcW w:w="1312" w:type="pct"/>
                  <w:vAlign w:val="center"/>
                </w:tcPr>
                <w:p w14:paraId="765B25D1">
                  <w:pPr>
                    <w:widowControl/>
                    <w:jc w:val="center"/>
                    <w:rPr>
                      <w:rFonts w:ascii="Times New Roman" w:hAnsi="Times New Roman" w:eastAsia="宋体" w:cs="Times New Roman"/>
                      <w:color w:val="auto"/>
                      <w:szCs w:val="21"/>
                    </w:rPr>
                  </w:pPr>
                  <w:r>
                    <w:rPr>
                      <w:rFonts w:ascii="Times New Roman" w:hAnsi="Times New Roman" w:eastAsia="宋体" w:cs="Times New Roman"/>
                      <w:color w:val="auto"/>
                      <w:szCs w:val="21"/>
                    </w:rPr>
                    <w:t>90</w:t>
                  </w:r>
                </w:p>
              </w:tc>
              <w:tc>
                <w:tcPr>
                  <w:tcW w:w="1312" w:type="pct"/>
                  <w:vAlign w:val="center"/>
                </w:tcPr>
                <w:p w14:paraId="5A2F193C">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r>
                    <w:rPr>
                      <w:rFonts w:ascii="Times New Roman" w:hAnsi="Times New Roman" w:eastAsia="宋体" w:cs="Times New Roman"/>
                      <w:color w:val="auto"/>
                      <w:szCs w:val="21"/>
                    </w:rPr>
                    <w:t>6</w:t>
                  </w:r>
                </w:p>
              </w:tc>
            </w:tr>
          </w:tbl>
          <w:p w14:paraId="7330C89B">
            <w:pPr>
              <w:keepNext w:val="0"/>
              <w:keepLines w:val="0"/>
              <w:pageBreakBefore w:val="0"/>
              <w:widowControl/>
              <w:kinsoku/>
              <w:wordWrap/>
              <w:overflowPunct/>
              <w:topLinePunct w:val="0"/>
              <w:autoSpaceDE/>
              <w:autoSpaceDN/>
              <w:bidi w:val="0"/>
              <w:adjustRightInd/>
              <w:snapToGrid/>
              <w:spacing w:before="157" w:beforeLines="50" w:line="360" w:lineRule="auto"/>
              <w:jc w:val="center"/>
              <w:textAlignment w:val="auto"/>
              <w:rPr>
                <w:rFonts w:ascii="Times New Roman" w:hAnsi="Times New Roman" w:eastAsia="宋体" w:cs="Times New Roman"/>
                <w:b/>
                <w:bCs/>
                <w:color w:val="auto"/>
                <w:kern w:val="0"/>
                <w:sz w:val="24"/>
                <w:szCs w:val="24"/>
                <w:lang w:bidi="ar"/>
              </w:rPr>
            </w:pPr>
            <w:r>
              <w:rPr>
                <w:rFonts w:hint="eastAsia" w:ascii="Times New Roman" w:hAnsi="Times New Roman" w:eastAsia="宋体" w:cs="Times New Roman"/>
                <w:b/>
                <w:bCs/>
                <w:color w:val="auto"/>
                <w:kern w:val="0"/>
                <w:sz w:val="24"/>
                <w:szCs w:val="24"/>
                <w:lang w:bidi="ar"/>
              </w:rPr>
              <w:t>表4</w:t>
            </w:r>
            <w:r>
              <w:rPr>
                <w:rFonts w:hint="eastAsia" w:ascii="Times New Roman" w:hAnsi="Times New Roman" w:eastAsia="宋体" w:cs="Times New Roman"/>
                <w:b/>
                <w:bCs/>
                <w:color w:val="auto"/>
                <w:kern w:val="0"/>
                <w:sz w:val="24"/>
                <w:szCs w:val="24"/>
                <w:lang w:val="en-US" w:eastAsia="zh-CN" w:bidi="ar"/>
              </w:rPr>
              <w:t>-2</w:t>
            </w:r>
            <w:r>
              <w:rPr>
                <w:rFonts w:hint="eastAsia" w:ascii="Times New Roman" w:hAnsi="Times New Roman" w:eastAsia="宋体" w:cs="Times New Roman"/>
                <w:b/>
                <w:bCs/>
                <w:color w:val="auto"/>
                <w:kern w:val="0"/>
                <w:sz w:val="24"/>
                <w:szCs w:val="24"/>
                <w:lang w:bidi="ar"/>
              </w:rPr>
              <w:t xml:space="preserve">单台施工机械或车辆噪声随距离衰减 </w:t>
            </w:r>
            <w:r>
              <w:rPr>
                <w:rFonts w:ascii="Times New Roman" w:hAnsi="Times New Roman" w:eastAsia="宋体" w:cs="Times New Roman"/>
                <w:b/>
                <w:bCs/>
                <w:color w:val="auto"/>
                <w:kern w:val="0"/>
                <w:sz w:val="24"/>
                <w:szCs w:val="24"/>
                <w:lang w:bidi="ar"/>
              </w:rPr>
              <w:t xml:space="preserve">   单位：dB</w:t>
            </w:r>
            <w:r>
              <w:rPr>
                <w:rFonts w:hint="eastAsia" w:ascii="Times New Roman" w:hAnsi="Times New Roman" w:eastAsia="宋体" w:cs="Times New Roman"/>
                <w:b/>
                <w:bCs/>
                <w:color w:val="auto"/>
                <w:kern w:val="0"/>
                <w:sz w:val="24"/>
                <w:szCs w:val="24"/>
                <w:lang w:bidi="ar"/>
              </w:rPr>
              <w:t>(</w:t>
            </w:r>
            <w:r>
              <w:rPr>
                <w:rFonts w:ascii="Times New Roman" w:hAnsi="Times New Roman" w:eastAsia="宋体" w:cs="Times New Roman"/>
                <w:b/>
                <w:bCs/>
                <w:color w:val="auto"/>
                <w:kern w:val="0"/>
                <w:sz w:val="24"/>
                <w:szCs w:val="24"/>
                <w:lang w:bidi="ar"/>
              </w:rPr>
              <w:t>A)</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562"/>
              <w:gridCol w:w="626"/>
              <w:gridCol w:w="626"/>
              <w:gridCol w:w="626"/>
              <w:gridCol w:w="626"/>
              <w:gridCol w:w="626"/>
              <w:gridCol w:w="737"/>
              <w:gridCol w:w="737"/>
              <w:gridCol w:w="730"/>
              <w:gridCol w:w="728"/>
            </w:tblGrid>
            <w:tr w14:paraId="417B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2F45B1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序号</w:t>
                  </w:r>
                </w:p>
              </w:tc>
              <w:tc>
                <w:tcPr>
                  <w:tcW w:w="942" w:type="pct"/>
                  <w:vAlign w:val="center"/>
                </w:tcPr>
                <w:p w14:paraId="7BD831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设备</w:t>
                  </w:r>
                </w:p>
              </w:tc>
              <w:tc>
                <w:tcPr>
                  <w:tcW w:w="377" w:type="pct"/>
                  <w:vAlign w:val="center"/>
                </w:tcPr>
                <w:p w14:paraId="3832B3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1</w:t>
                  </w:r>
                  <w:r>
                    <w:rPr>
                      <w:rFonts w:ascii="Times New Roman" w:hAnsi="Times New Roman" w:eastAsia="宋体" w:cs="Times New Roman"/>
                      <w:b/>
                      <w:bCs/>
                      <w:color w:val="auto"/>
                      <w:kern w:val="0"/>
                      <w:szCs w:val="21"/>
                      <w:lang w:bidi="ar"/>
                    </w:rPr>
                    <w:t>0m</w:t>
                  </w:r>
                </w:p>
              </w:tc>
              <w:tc>
                <w:tcPr>
                  <w:tcW w:w="377" w:type="pct"/>
                  <w:vAlign w:val="center"/>
                </w:tcPr>
                <w:p w14:paraId="0617E97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2</w:t>
                  </w:r>
                  <w:r>
                    <w:rPr>
                      <w:rFonts w:ascii="Times New Roman" w:hAnsi="Times New Roman" w:eastAsia="宋体" w:cs="Times New Roman"/>
                      <w:b/>
                      <w:bCs/>
                      <w:color w:val="auto"/>
                      <w:kern w:val="0"/>
                      <w:szCs w:val="21"/>
                      <w:lang w:bidi="ar"/>
                    </w:rPr>
                    <w:t>0m</w:t>
                  </w:r>
                </w:p>
              </w:tc>
              <w:tc>
                <w:tcPr>
                  <w:tcW w:w="377" w:type="pct"/>
                  <w:vAlign w:val="center"/>
                </w:tcPr>
                <w:p w14:paraId="2C2FEB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3</w:t>
                  </w:r>
                  <w:r>
                    <w:rPr>
                      <w:rFonts w:ascii="Times New Roman" w:hAnsi="Times New Roman" w:eastAsia="宋体" w:cs="Times New Roman"/>
                      <w:b/>
                      <w:bCs/>
                      <w:color w:val="auto"/>
                      <w:kern w:val="0"/>
                      <w:szCs w:val="21"/>
                      <w:lang w:bidi="ar"/>
                    </w:rPr>
                    <w:t>0m</w:t>
                  </w:r>
                </w:p>
              </w:tc>
              <w:tc>
                <w:tcPr>
                  <w:tcW w:w="377" w:type="pct"/>
                  <w:vAlign w:val="center"/>
                </w:tcPr>
                <w:p w14:paraId="21973D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6</w:t>
                  </w:r>
                  <w:r>
                    <w:rPr>
                      <w:rFonts w:ascii="Times New Roman" w:hAnsi="Times New Roman" w:eastAsia="宋体" w:cs="Times New Roman"/>
                      <w:b/>
                      <w:bCs/>
                      <w:color w:val="auto"/>
                      <w:kern w:val="0"/>
                      <w:szCs w:val="21"/>
                      <w:lang w:bidi="ar"/>
                    </w:rPr>
                    <w:t>0m</w:t>
                  </w:r>
                </w:p>
              </w:tc>
              <w:tc>
                <w:tcPr>
                  <w:tcW w:w="377" w:type="pct"/>
                  <w:vAlign w:val="center"/>
                </w:tcPr>
                <w:p w14:paraId="401A77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ascii="Times New Roman" w:hAnsi="Times New Roman" w:eastAsia="宋体" w:cs="Times New Roman"/>
                      <w:b/>
                      <w:bCs/>
                      <w:color w:val="auto"/>
                      <w:kern w:val="0"/>
                      <w:szCs w:val="21"/>
                      <w:lang w:bidi="ar"/>
                    </w:rPr>
                    <w:t>80m</w:t>
                  </w:r>
                </w:p>
              </w:tc>
              <w:tc>
                <w:tcPr>
                  <w:tcW w:w="444" w:type="pct"/>
                  <w:vAlign w:val="center"/>
                </w:tcPr>
                <w:p w14:paraId="568B255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1</w:t>
                  </w:r>
                  <w:r>
                    <w:rPr>
                      <w:rFonts w:ascii="Times New Roman" w:hAnsi="Times New Roman" w:eastAsia="宋体" w:cs="Times New Roman"/>
                      <w:b/>
                      <w:bCs/>
                      <w:color w:val="auto"/>
                      <w:kern w:val="0"/>
                      <w:szCs w:val="21"/>
                      <w:lang w:bidi="ar"/>
                    </w:rPr>
                    <w:t>00m</w:t>
                  </w:r>
                </w:p>
              </w:tc>
              <w:tc>
                <w:tcPr>
                  <w:tcW w:w="444" w:type="pct"/>
                  <w:vAlign w:val="center"/>
                </w:tcPr>
                <w:p w14:paraId="50E902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2</w:t>
                  </w:r>
                  <w:r>
                    <w:rPr>
                      <w:rFonts w:ascii="Times New Roman" w:hAnsi="Times New Roman" w:eastAsia="宋体" w:cs="Times New Roman"/>
                      <w:b/>
                      <w:bCs/>
                      <w:color w:val="auto"/>
                      <w:kern w:val="0"/>
                      <w:szCs w:val="21"/>
                      <w:lang w:bidi="ar"/>
                    </w:rPr>
                    <w:t>00m</w:t>
                  </w:r>
                </w:p>
              </w:tc>
              <w:tc>
                <w:tcPr>
                  <w:tcW w:w="440" w:type="pct"/>
                  <w:vAlign w:val="center"/>
                </w:tcPr>
                <w:p w14:paraId="0695F2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3</w:t>
                  </w:r>
                  <w:r>
                    <w:rPr>
                      <w:rFonts w:ascii="Times New Roman" w:hAnsi="Times New Roman" w:eastAsia="宋体" w:cs="Times New Roman"/>
                      <w:b/>
                      <w:bCs/>
                      <w:color w:val="auto"/>
                      <w:kern w:val="0"/>
                      <w:szCs w:val="21"/>
                      <w:lang w:bidi="ar"/>
                    </w:rPr>
                    <w:t>00m</w:t>
                  </w:r>
                </w:p>
              </w:tc>
              <w:tc>
                <w:tcPr>
                  <w:tcW w:w="439" w:type="pct"/>
                  <w:vAlign w:val="center"/>
                </w:tcPr>
                <w:p w14:paraId="72DE9D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kern w:val="0"/>
                      <w:szCs w:val="21"/>
                      <w:lang w:bidi="ar"/>
                    </w:rPr>
                  </w:pPr>
                  <w:r>
                    <w:rPr>
                      <w:rFonts w:hint="eastAsia" w:ascii="Times New Roman" w:hAnsi="Times New Roman" w:eastAsia="宋体" w:cs="Times New Roman"/>
                      <w:b/>
                      <w:bCs/>
                      <w:color w:val="auto"/>
                      <w:kern w:val="0"/>
                      <w:szCs w:val="21"/>
                      <w:lang w:bidi="ar"/>
                    </w:rPr>
                    <w:t>3</w:t>
                  </w:r>
                  <w:r>
                    <w:rPr>
                      <w:rFonts w:ascii="Times New Roman" w:hAnsi="Times New Roman" w:eastAsia="宋体" w:cs="Times New Roman"/>
                      <w:b/>
                      <w:bCs/>
                      <w:color w:val="auto"/>
                      <w:kern w:val="0"/>
                      <w:szCs w:val="21"/>
                      <w:lang w:bidi="ar"/>
                    </w:rPr>
                    <w:t>50m</w:t>
                  </w:r>
                </w:p>
              </w:tc>
            </w:tr>
            <w:tr w14:paraId="6780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27404B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w:t>
                  </w:r>
                </w:p>
              </w:tc>
              <w:tc>
                <w:tcPr>
                  <w:tcW w:w="942" w:type="pct"/>
                  <w:vAlign w:val="center"/>
                </w:tcPr>
                <w:p w14:paraId="712E677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液压挖掘机</w:t>
                  </w:r>
                </w:p>
              </w:tc>
              <w:tc>
                <w:tcPr>
                  <w:tcW w:w="377" w:type="pct"/>
                  <w:vAlign w:val="center"/>
                </w:tcPr>
                <w:p w14:paraId="0A286A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6</w:t>
                  </w:r>
                </w:p>
              </w:tc>
              <w:tc>
                <w:tcPr>
                  <w:tcW w:w="377" w:type="pct"/>
                  <w:vAlign w:val="center"/>
                </w:tcPr>
                <w:p w14:paraId="4CDB23B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0</w:t>
                  </w:r>
                </w:p>
              </w:tc>
              <w:tc>
                <w:tcPr>
                  <w:tcW w:w="377" w:type="pct"/>
                  <w:vAlign w:val="center"/>
                </w:tcPr>
                <w:p w14:paraId="0CA136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6.5</w:t>
                  </w:r>
                </w:p>
              </w:tc>
              <w:tc>
                <w:tcPr>
                  <w:tcW w:w="377" w:type="pct"/>
                  <w:vAlign w:val="center"/>
                </w:tcPr>
                <w:p w14:paraId="24823A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0</w:t>
                  </w:r>
                </w:p>
              </w:tc>
              <w:tc>
                <w:tcPr>
                  <w:tcW w:w="377" w:type="pct"/>
                  <w:vAlign w:val="center"/>
                </w:tcPr>
                <w:p w14:paraId="3606A07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6.9</w:t>
                  </w:r>
                </w:p>
              </w:tc>
              <w:tc>
                <w:tcPr>
                  <w:tcW w:w="444" w:type="pct"/>
                  <w:vAlign w:val="center"/>
                </w:tcPr>
                <w:p w14:paraId="1ADC93A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4.5</w:t>
                  </w:r>
                </w:p>
              </w:tc>
              <w:tc>
                <w:tcPr>
                  <w:tcW w:w="444" w:type="pct"/>
                  <w:vAlign w:val="center"/>
                </w:tcPr>
                <w:p w14:paraId="4D226F7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7</w:t>
                  </w:r>
                </w:p>
              </w:tc>
              <w:tc>
                <w:tcPr>
                  <w:tcW w:w="440" w:type="pct"/>
                  <w:vAlign w:val="center"/>
                </w:tcPr>
                <w:p w14:paraId="4F5607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2.6</w:t>
                  </w:r>
                </w:p>
              </w:tc>
              <w:tc>
                <w:tcPr>
                  <w:tcW w:w="439" w:type="pct"/>
                  <w:vAlign w:val="center"/>
                </w:tcPr>
                <w:p w14:paraId="0E322AD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0.9</w:t>
                  </w:r>
                </w:p>
              </w:tc>
            </w:tr>
            <w:tr w14:paraId="1A59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3017B7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2</w:t>
                  </w:r>
                </w:p>
              </w:tc>
              <w:tc>
                <w:tcPr>
                  <w:tcW w:w="942" w:type="pct"/>
                  <w:vAlign w:val="center"/>
                </w:tcPr>
                <w:p w14:paraId="5AF4276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电动挖掘机</w:t>
                  </w:r>
                </w:p>
              </w:tc>
              <w:tc>
                <w:tcPr>
                  <w:tcW w:w="377" w:type="pct"/>
                  <w:vAlign w:val="center"/>
                </w:tcPr>
                <w:p w14:paraId="5E9FB3C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3</w:t>
                  </w:r>
                </w:p>
              </w:tc>
              <w:tc>
                <w:tcPr>
                  <w:tcW w:w="377" w:type="pct"/>
                  <w:vAlign w:val="center"/>
                </w:tcPr>
                <w:p w14:paraId="33278C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7</w:t>
                  </w:r>
                </w:p>
              </w:tc>
              <w:tc>
                <w:tcPr>
                  <w:tcW w:w="377" w:type="pct"/>
                  <w:vAlign w:val="center"/>
                </w:tcPr>
                <w:p w14:paraId="226DC7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3.5</w:t>
                  </w:r>
                </w:p>
              </w:tc>
              <w:tc>
                <w:tcPr>
                  <w:tcW w:w="377" w:type="pct"/>
                  <w:vAlign w:val="center"/>
                </w:tcPr>
                <w:p w14:paraId="26AC8A4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7</w:t>
                  </w:r>
                </w:p>
              </w:tc>
              <w:tc>
                <w:tcPr>
                  <w:tcW w:w="377" w:type="pct"/>
                  <w:vAlign w:val="center"/>
                </w:tcPr>
                <w:p w14:paraId="5AE831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3.9</w:t>
                  </w:r>
                </w:p>
              </w:tc>
              <w:tc>
                <w:tcPr>
                  <w:tcW w:w="444" w:type="pct"/>
                  <w:vAlign w:val="center"/>
                </w:tcPr>
                <w:p w14:paraId="1C6FF5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1.5</w:t>
                  </w:r>
                </w:p>
              </w:tc>
              <w:tc>
                <w:tcPr>
                  <w:tcW w:w="444" w:type="pct"/>
                  <w:vAlign w:val="center"/>
                </w:tcPr>
                <w:p w14:paraId="324B29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4</w:t>
                  </w:r>
                </w:p>
              </w:tc>
              <w:tc>
                <w:tcPr>
                  <w:tcW w:w="440" w:type="pct"/>
                  <w:vAlign w:val="center"/>
                </w:tcPr>
                <w:p w14:paraId="6E3F27C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w:t>
                  </w:r>
                  <w:r>
                    <w:rPr>
                      <w:rFonts w:ascii="Times New Roman" w:hAnsi="Times New Roman" w:eastAsia="宋体" w:cs="Times New Roman"/>
                      <w:color w:val="auto"/>
                      <w:kern w:val="0"/>
                      <w:szCs w:val="21"/>
                      <w:lang w:bidi="ar"/>
                    </w:rPr>
                    <w:t>9.6</w:t>
                  </w:r>
                </w:p>
              </w:tc>
              <w:tc>
                <w:tcPr>
                  <w:tcW w:w="439" w:type="pct"/>
                  <w:vAlign w:val="center"/>
                </w:tcPr>
                <w:p w14:paraId="104E7A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w:t>
                  </w:r>
                  <w:r>
                    <w:rPr>
                      <w:rFonts w:ascii="Times New Roman" w:hAnsi="Times New Roman" w:eastAsia="宋体" w:cs="Times New Roman"/>
                      <w:color w:val="auto"/>
                      <w:kern w:val="0"/>
                      <w:szCs w:val="21"/>
                      <w:lang w:bidi="ar"/>
                    </w:rPr>
                    <w:t>7.9</w:t>
                  </w:r>
                </w:p>
              </w:tc>
            </w:tr>
            <w:tr w14:paraId="2A21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3C023E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3</w:t>
                  </w:r>
                </w:p>
              </w:tc>
              <w:tc>
                <w:tcPr>
                  <w:tcW w:w="942" w:type="pct"/>
                  <w:vAlign w:val="center"/>
                </w:tcPr>
                <w:p w14:paraId="5E74B9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推土机</w:t>
                  </w:r>
                </w:p>
              </w:tc>
              <w:tc>
                <w:tcPr>
                  <w:tcW w:w="377" w:type="pct"/>
                  <w:vAlign w:val="center"/>
                </w:tcPr>
                <w:p w14:paraId="0FE3C73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5</w:t>
                  </w:r>
                </w:p>
              </w:tc>
              <w:tc>
                <w:tcPr>
                  <w:tcW w:w="377" w:type="pct"/>
                  <w:vAlign w:val="center"/>
                </w:tcPr>
                <w:p w14:paraId="6E3B1FC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9</w:t>
                  </w:r>
                </w:p>
              </w:tc>
              <w:tc>
                <w:tcPr>
                  <w:tcW w:w="377" w:type="pct"/>
                  <w:vAlign w:val="center"/>
                </w:tcPr>
                <w:p w14:paraId="60FC8A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5.5</w:t>
                  </w:r>
                </w:p>
              </w:tc>
              <w:tc>
                <w:tcPr>
                  <w:tcW w:w="377" w:type="pct"/>
                  <w:vAlign w:val="center"/>
                </w:tcPr>
                <w:p w14:paraId="2A3B73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9</w:t>
                  </w:r>
                </w:p>
              </w:tc>
              <w:tc>
                <w:tcPr>
                  <w:tcW w:w="377" w:type="pct"/>
                  <w:vAlign w:val="center"/>
                </w:tcPr>
                <w:p w14:paraId="675886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5.9</w:t>
                  </w:r>
                </w:p>
              </w:tc>
              <w:tc>
                <w:tcPr>
                  <w:tcW w:w="444" w:type="pct"/>
                  <w:vAlign w:val="center"/>
                </w:tcPr>
                <w:p w14:paraId="47E06CE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3.5</w:t>
                  </w:r>
                </w:p>
              </w:tc>
              <w:tc>
                <w:tcPr>
                  <w:tcW w:w="444" w:type="pct"/>
                  <w:vAlign w:val="center"/>
                </w:tcPr>
                <w:p w14:paraId="10C1CC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3.5</w:t>
                  </w:r>
                </w:p>
              </w:tc>
              <w:tc>
                <w:tcPr>
                  <w:tcW w:w="440" w:type="pct"/>
                  <w:vAlign w:val="center"/>
                </w:tcPr>
                <w:p w14:paraId="52D4D1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1.6</w:t>
                  </w:r>
                </w:p>
              </w:tc>
              <w:tc>
                <w:tcPr>
                  <w:tcW w:w="439" w:type="pct"/>
                  <w:vAlign w:val="center"/>
                </w:tcPr>
                <w:p w14:paraId="752572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w:t>
                  </w:r>
                  <w:r>
                    <w:rPr>
                      <w:rFonts w:ascii="Times New Roman" w:hAnsi="Times New Roman" w:eastAsia="宋体" w:cs="Times New Roman"/>
                      <w:color w:val="auto"/>
                      <w:kern w:val="0"/>
                      <w:szCs w:val="21"/>
                      <w:lang w:bidi="ar"/>
                    </w:rPr>
                    <w:t>9.9</w:t>
                  </w:r>
                </w:p>
              </w:tc>
            </w:tr>
            <w:tr w14:paraId="6629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37BC2B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w:t>
                  </w:r>
                </w:p>
              </w:tc>
              <w:tc>
                <w:tcPr>
                  <w:tcW w:w="942" w:type="pct"/>
                  <w:vAlign w:val="center"/>
                </w:tcPr>
                <w:p w14:paraId="32022DB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轮式装载机</w:t>
                  </w:r>
                </w:p>
              </w:tc>
              <w:tc>
                <w:tcPr>
                  <w:tcW w:w="377" w:type="pct"/>
                  <w:vAlign w:val="center"/>
                </w:tcPr>
                <w:p w14:paraId="347C84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9</w:t>
                  </w:r>
                  <w:r>
                    <w:rPr>
                      <w:rFonts w:ascii="Times New Roman" w:hAnsi="Times New Roman" w:eastAsia="宋体" w:cs="Times New Roman"/>
                      <w:color w:val="auto"/>
                      <w:kern w:val="0"/>
                      <w:szCs w:val="21"/>
                      <w:lang w:bidi="ar"/>
                    </w:rPr>
                    <w:t>1</w:t>
                  </w:r>
                </w:p>
              </w:tc>
              <w:tc>
                <w:tcPr>
                  <w:tcW w:w="377" w:type="pct"/>
                  <w:vAlign w:val="center"/>
                </w:tcPr>
                <w:p w14:paraId="4ABA9EC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5</w:t>
                  </w:r>
                </w:p>
              </w:tc>
              <w:tc>
                <w:tcPr>
                  <w:tcW w:w="377" w:type="pct"/>
                  <w:vAlign w:val="center"/>
                </w:tcPr>
                <w:p w14:paraId="0F2BD1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1.5</w:t>
                  </w:r>
                </w:p>
              </w:tc>
              <w:tc>
                <w:tcPr>
                  <w:tcW w:w="377" w:type="pct"/>
                  <w:vAlign w:val="center"/>
                </w:tcPr>
                <w:p w14:paraId="6DD4358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5</w:t>
                  </w:r>
                </w:p>
              </w:tc>
              <w:tc>
                <w:tcPr>
                  <w:tcW w:w="377" w:type="pct"/>
                  <w:vAlign w:val="center"/>
                </w:tcPr>
                <w:p w14:paraId="58F111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1.9</w:t>
                  </w:r>
                </w:p>
              </w:tc>
              <w:tc>
                <w:tcPr>
                  <w:tcW w:w="444" w:type="pct"/>
                  <w:vAlign w:val="center"/>
                </w:tcPr>
                <w:p w14:paraId="24A0CEA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9.5</w:t>
                  </w:r>
                </w:p>
              </w:tc>
              <w:tc>
                <w:tcPr>
                  <w:tcW w:w="444" w:type="pct"/>
                  <w:vAlign w:val="center"/>
                </w:tcPr>
                <w:p w14:paraId="5C21DA1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2</w:t>
                  </w:r>
                </w:p>
              </w:tc>
              <w:tc>
                <w:tcPr>
                  <w:tcW w:w="440" w:type="pct"/>
                  <w:vAlign w:val="center"/>
                </w:tcPr>
                <w:p w14:paraId="6CFFEC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7.6</w:t>
                  </w:r>
                </w:p>
              </w:tc>
              <w:tc>
                <w:tcPr>
                  <w:tcW w:w="439" w:type="pct"/>
                  <w:vAlign w:val="center"/>
                </w:tcPr>
                <w:p w14:paraId="50BBAD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w:t>
                  </w:r>
                  <w:r>
                    <w:rPr>
                      <w:rFonts w:ascii="Times New Roman" w:hAnsi="Times New Roman" w:eastAsia="宋体" w:cs="Times New Roman"/>
                      <w:color w:val="auto"/>
                      <w:kern w:val="0"/>
                      <w:szCs w:val="21"/>
                      <w:lang w:bidi="ar"/>
                    </w:rPr>
                    <w:t>9.9</w:t>
                  </w:r>
                </w:p>
              </w:tc>
            </w:tr>
            <w:tr w14:paraId="028B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4876B1B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p>
              </w:tc>
              <w:tc>
                <w:tcPr>
                  <w:tcW w:w="942" w:type="pct"/>
                  <w:vAlign w:val="center"/>
                </w:tcPr>
                <w:p w14:paraId="124C76C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重型运输车</w:t>
                  </w:r>
                </w:p>
              </w:tc>
              <w:tc>
                <w:tcPr>
                  <w:tcW w:w="377" w:type="pct"/>
                  <w:vAlign w:val="center"/>
                </w:tcPr>
                <w:p w14:paraId="04E7E59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6</w:t>
                  </w:r>
                </w:p>
              </w:tc>
              <w:tc>
                <w:tcPr>
                  <w:tcW w:w="377" w:type="pct"/>
                  <w:vAlign w:val="center"/>
                </w:tcPr>
                <w:p w14:paraId="1E71B9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0</w:t>
                  </w:r>
                </w:p>
              </w:tc>
              <w:tc>
                <w:tcPr>
                  <w:tcW w:w="377" w:type="pct"/>
                  <w:vAlign w:val="center"/>
                </w:tcPr>
                <w:p w14:paraId="4C9B168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6.5</w:t>
                  </w:r>
                </w:p>
              </w:tc>
              <w:tc>
                <w:tcPr>
                  <w:tcW w:w="377" w:type="pct"/>
                  <w:vAlign w:val="center"/>
                </w:tcPr>
                <w:p w14:paraId="4CBB01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0</w:t>
                  </w:r>
                </w:p>
              </w:tc>
              <w:tc>
                <w:tcPr>
                  <w:tcW w:w="377" w:type="pct"/>
                  <w:vAlign w:val="center"/>
                </w:tcPr>
                <w:p w14:paraId="23FE43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6.9</w:t>
                  </w:r>
                </w:p>
              </w:tc>
              <w:tc>
                <w:tcPr>
                  <w:tcW w:w="444" w:type="pct"/>
                  <w:vAlign w:val="center"/>
                </w:tcPr>
                <w:p w14:paraId="4113E4F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4.5</w:t>
                  </w:r>
                </w:p>
              </w:tc>
              <w:tc>
                <w:tcPr>
                  <w:tcW w:w="444" w:type="pct"/>
                  <w:vAlign w:val="center"/>
                </w:tcPr>
                <w:p w14:paraId="436558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7</w:t>
                  </w:r>
                </w:p>
              </w:tc>
              <w:tc>
                <w:tcPr>
                  <w:tcW w:w="440" w:type="pct"/>
                  <w:vAlign w:val="center"/>
                </w:tcPr>
                <w:p w14:paraId="7E438E5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2.6</w:t>
                  </w:r>
                </w:p>
              </w:tc>
              <w:tc>
                <w:tcPr>
                  <w:tcW w:w="439" w:type="pct"/>
                  <w:vAlign w:val="center"/>
                </w:tcPr>
                <w:p w14:paraId="39098F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0.9</w:t>
                  </w:r>
                </w:p>
              </w:tc>
            </w:tr>
            <w:tr w14:paraId="63B8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3B682A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p>
              </w:tc>
              <w:tc>
                <w:tcPr>
                  <w:tcW w:w="942" w:type="pct"/>
                  <w:vAlign w:val="center"/>
                </w:tcPr>
                <w:p w14:paraId="5EB424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静力压桩机</w:t>
                  </w:r>
                </w:p>
              </w:tc>
              <w:tc>
                <w:tcPr>
                  <w:tcW w:w="377" w:type="pct"/>
                  <w:vAlign w:val="center"/>
                </w:tcPr>
                <w:p w14:paraId="430239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3</w:t>
                  </w:r>
                </w:p>
              </w:tc>
              <w:tc>
                <w:tcPr>
                  <w:tcW w:w="377" w:type="pct"/>
                  <w:vAlign w:val="center"/>
                </w:tcPr>
                <w:p w14:paraId="7005F18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7</w:t>
                  </w:r>
                </w:p>
              </w:tc>
              <w:tc>
                <w:tcPr>
                  <w:tcW w:w="377" w:type="pct"/>
                  <w:vAlign w:val="center"/>
                </w:tcPr>
                <w:p w14:paraId="568557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3.5</w:t>
                  </w:r>
                </w:p>
              </w:tc>
              <w:tc>
                <w:tcPr>
                  <w:tcW w:w="377" w:type="pct"/>
                  <w:vAlign w:val="center"/>
                </w:tcPr>
                <w:p w14:paraId="4F2F1C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7</w:t>
                  </w:r>
                </w:p>
              </w:tc>
              <w:tc>
                <w:tcPr>
                  <w:tcW w:w="377" w:type="pct"/>
                  <w:vAlign w:val="center"/>
                </w:tcPr>
                <w:p w14:paraId="04148F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3.9</w:t>
                  </w:r>
                </w:p>
              </w:tc>
              <w:tc>
                <w:tcPr>
                  <w:tcW w:w="444" w:type="pct"/>
                  <w:vAlign w:val="center"/>
                </w:tcPr>
                <w:p w14:paraId="36FCF6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1.5</w:t>
                  </w:r>
                </w:p>
              </w:tc>
              <w:tc>
                <w:tcPr>
                  <w:tcW w:w="444" w:type="pct"/>
                  <w:vAlign w:val="center"/>
                </w:tcPr>
                <w:p w14:paraId="6F5E270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w:t>
                  </w:r>
                  <w:r>
                    <w:rPr>
                      <w:rFonts w:ascii="Times New Roman" w:hAnsi="Times New Roman" w:eastAsia="宋体" w:cs="Times New Roman"/>
                      <w:color w:val="auto"/>
                      <w:kern w:val="0"/>
                      <w:szCs w:val="21"/>
                      <w:lang w:bidi="ar"/>
                    </w:rPr>
                    <w:t>4</w:t>
                  </w:r>
                </w:p>
              </w:tc>
              <w:tc>
                <w:tcPr>
                  <w:tcW w:w="440" w:type="pct"/>
                  <w:vAlign w:val="center"/>
                </w:tcPr>
                <w:p w14:paraId="3A85BF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3</w:t>
                  </w:r>
                  <w:r>
                    <w:rPr>
                      <w:rFonts w:ascii="Times New Roman" w:hAnsi="Times New Roman" w:eastAsia="宋体" w:cs="Times New Roman"/>
                      <w:color w:val="auto"/>
                      <w:kern w:val="0"/>
                      <w:szCs w:val="21"/>
                      <w:lang w:bidi="ar"/>
                    </w:rPr>
                    <w:t>9.6</w:t>
                  </w:r>
                </w:p>
              </w:tc>
              <w:tc>
                <w:tcPr>
                  <w:tcW w:w="439" w:type="pct"/>
                  <w:vAlign w:val="center"/>
                </w:tcPr>
                <w:p w14:paraId="4E1361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3</w:t>
                  </w:r>
                  <w:r>
                    <w:rPr>
                      <w:rFonts w:ascii="Times New Roman" w:hAnsi="Times New Roman" w:eastAsia="宋体" w:cs="Times New Roman"/>
                      <w:color w:val="auto"/>
                      <w:kern w:val="0"/>
                      <w:szCs w:val="21"/>
                      <w:lang w:bidi="ar"/>
                    </w:rPr>
                    <w:t>7.9</w:t>
                  </w:r>
                </w:p>
              </w:tc>
            </w:tr>
            <w:tr w14:paraId="1CC8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0BC54E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p>
              </w:tc>
              <w:tc>
                <w:tcPr>
                  <w:tcW w:w="942" w:type="pct"/>
                  <w:vAlign w:val="center"/>
                </w:tcPr>
                <w:p w14:paraId="64E6AD6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空压机</w:t>
                  </w:r>
                </w:p>
              </w:tc>
              <w:tc>
                <w:tcPr>
                  <w:tcW w:w="377" w:type="pct"/>
                  <w:vAlign w:val="center"/>
                </w:tcPr>
                <w:p w14:paraId="08CB6C5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8</w:t>
                  </w:r>
                </w:p>
              </w:tc>
              <w:tc>
                <w:tcPr>
                  <w:tcW w:w="377" w:type="pct"/>
                  <w:vAlign w:val="center"/>
                </w:tcPr>
                <w:p w14:paraId="59EDBB3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2</w:t>
                  </w:r>
                </w:p>
              </w:tc>
              <w:tc>
                <w:tcPr>
                  <w:tcW w:w="377" w:type="pct"/>
                  <w:vAlign w:val="center"/>
                </w:tcPr>
                <w:p w14:paraId="4F60ADE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8.5</w:t>
                  </w:r>
                </w:p>
              </w:tc>
              <w:tc>
                <w:tcPr>
                  <w:tcW w:w="377" w:type="pct"/>
                  <w:vAlign w:val="center"/>
                </w:tcPr>
                <w:p w14:paraId="4A7318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2</w:t>
                  </w:r>
                </w:p>
              </w:tc>
              <w:tc>
                <w:tcPr>
                  <w:tcW w:w="377" w:type="pct"/>
                  <w:vAlign w:val="center"/>
                </w:tcPr>
                <w:p w14:paraId="515D369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8.9</w:t>
                  </w:r>
                </w:p>
              </w:tc>
              <w:tc>
                <w:tcPr>
                  <w:tcW w:w="444" w:type="pct"/>
                  <w:vAlign w:val="center"/>
                </w:tcPr>
                <w:p w14:paraId="4D74FB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6.5</w:t>
                  </w:r>
                </w:p>
              </w:tc>
              <w:tc>
                <w:tcPr>
                  <w:tcW w:w="444" w:type="pct"/>
                  <w:vAlign w:val="center"/>
                </w:tcPr>
                <w:p w14:paraId="2D1F05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6</w:t>
                  </w:r>
                </w:p>
              </w:tc>
              <w:tc>
                <w:tcPr>
                  <w:tcW w:w="440" w:type="pct"/>
                  <w:vAlign w:val="center"/>
                </w:tcPr>
                <w:p w14:paraId="78A1E0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4.6</w:t>
                  </w:r>
                </w:p>
              </w:tc>
              <w:tc>
                <w:tcPr>
                  <w:tcW w:w="439" w:type="pct"/>
                  <w:vAlign w:val="center"/>
                </w:tcPr>
                <w:p w14:paraId="165E88D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2.9</w:t>
                  </w:r>
                </w:p>
              </w:tc>
            </w:tr>
            <w:tr w14:paraId="41E2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50A87D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p>
              </w:tc>
              <w:tc>
                <w:tcPr>
                  <w:tcW w:w="942" w:type="pct"/>
                  <w:vAlign w:val="center"/>
                </w:tcPr>
                <w:p w14:paraId="735D078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风锤、镐头机</w:t>
                  </w:r>
                </w:p>
              </w:tc>
              <w:tc>
                <w:tcPr>
                  <w:tcW w:w="377" w:type="pct"/>
                  <w:vAlign w:val="center"/>
                </w:tcPr>
                <w:p w14:paraId="21238D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7</w:t>
                  </w:r>
                </w:p>
              </w:tc>
              <w:tc>
                <w:tcPr>
                  <w:tcW w:w="377" w:type="pct"/>
                  <w:vAlign w:val="center"/>
                </w:tcPr>
                <w:p w14:paraId="2D46B1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1</w:t>
                  </w:r>
                </w:p>
              </w:tc>
              <w:tc>
                <w:tcPr>
                  <w:tcW w:w="377" w:type="pct"/>
                  <w:vAlign w:val="center"/>
                </w:tcPr>
                <w:p w14:paraId="192155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7.5</w:t>
                  </w:r>
                </w:p>
              </w:tc>
              <w:tc>
                <w:tcPr>
                  <w:tcW w:w="377" w:type="pct"/>
                  <w:vAlign w:val="center"/>
                </w:tcPr>
                <w:p w14:paraId="50B5013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1</w:t>
                  </w:r>
                </w:p>
              </w:tc>
              <w:tc>
                <w:tcPr>
                  <w:tcW w:w="377" w:type="pct"/>
                  <w:vAlign w:val="center"/>
                </w:tcPr>
                <w:p w14:paraId="1EBE52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7.9</w:t>
                  </w:r>
                </w:p>
              </w:tc>
              <w:tc>
                <w:tcPr>
                  <w:tcW w:w="444" w:type="pct"/>
                  <w:vAlign w:val="center"/>
                </w:tcPr>
                <w:p w14:paraId="7D2F6A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5.5</w:t>
                  </w:r>
                </w:p>
              </w:tc>
              <w:tc>
                <w:tcPr>
                  <w:tcW w:w="444" w:type="pct"/>
                  <w:vAlign w:val="center"/>
                </w:tcPr>
                <w:p w14:paraId="49E7AA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8</w:t>
                  </w:r>
                </w:p>
              </w:tc>
              <w:tc>
                <w:tcPr>
                  <w:tcW w:w="440" w:type="pct"/>
                  <w:vAlign w:val="center"/>
                </w:tcPr>
                <w:p w14:paraId="7E8185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3.6</w:t>
                  </w:r>
                </w:p>
              </w:tc>
              <w:tc>
                <w:tcPr>
                  <w:tcW w:w="439" w:type="pct"/>
                  <w:vAlign w:val="center"/>
                </w:tcPr>
                <w:p w14:paraId="770F3CB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1.9</w:t>
                  </w:r>
                </w:p>
              </w:tc>
            </w:tr>
            <w:tr w14:paraId="46A5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6E0DC6A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9</w:t>
                  </w:r>
                </w:p>
              </w:tc>
              <w:tc>
                <w:tcPr>
                  <w:tcW w:w="942" w:type="pct"/>
                  <w:vAlign w:val="center"/>
                </w:tcPr>
                <w:p w14:paraId="60920E1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移动式吊车</w:t>
                  </w:r>
                </w:p>
              </w:tc>
              <w:tc>
                <w:tcPr>
                  <w:tcW w:w="377" w:type="pct"/>
                  <w:vAlign w:val="center"/>
                </w:tcPr>
                <w:p w14:paraId="42C18D1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8</w:t>
                  </w:r>
                </w:p>
              </w:tc>
              <w:tc>
                <w:tcPr>
                  <w:tcW w:w="377" w:type="pct"/>
                  <w:vAlign w:val="center"/>
                </w:tcPr>
                <w:p w14:paraId="2769FD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2</w:t>
                  </w:r>
                </w:p>
              </w:tc>
              <w:tc>
                <w:tcPr>
                  <w:tcW w:w="377" w:type="pct"/>
                  <w:vAlign w:val="center"/>
                </w:tcPr>
                <w:p w14:paraId="71629A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8.5</w:t>
                  </w:r>
                </w:p>
              </w:tc>
              <w:tc>
                <w:tcPr>
                  <w:tcW w:w="377" w:type="pct"/>
                  <w:vAlign w:val="center"/>
                </w:tcPr>
                <w:p w14:paraId="6F7EC3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2</w:t>
                  </w:r>
                </w:p>
              </w:tc>
              <w:tc>
                <w:tcPr>
                  <w:tcW w:w="377" w:type="pct"/>
                  <w:vAlign w:val="center"/>
                </w:tcPr>
                <w:p w14:paraId="2B3CE56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8.9</w:t>
                  </w:r>
                </w:p>
              </w:tc>
              <w:tc>
                <w:tcPr>
                  <w:tcW w:w="444" w:type="pct"/>
                  <w:vAlign w:val="center"/>
                </w:tcPr>
                <w:p w14:paraId="6D7258D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6.5</w:t>
                  </w:r>
                </w:p>
              </w:tc>
              <w:tc>
                <w:tcPr>
                  <w:tcW w:w="444" w:type="pct"/>
                  <w:vAlign w:val="center"/>
                </w:tcPr>
                <w:p w14:paraId="55E5DF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9</w:t>
                  </w:r>
                </w:p>
              </w:tc>
              <w:tc>
                <w:tcPr>
                  <w:tcW w:w="440" w:type="pct"/>
                  <w:vAlign w:val="center"/>
                </w:tcPr>
                <w:p w14:paraId="7F1F2FA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4.6</w:t>
                  </w:r>
                </w:p>
              </w:tc>
              <w:tc>
                <w:tcPr>
                  <w:tcW w:w="439" w:type="pct"/>
                  <w:vAlign w:val="center"/>
                </w:tcPr>
                <w:p w14:paraId="287FE1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2.9</w:t>
                  </w:r>
                </w:p>
              </w:tc>
            </w:tr>
            <w:tr w14:paraId="0609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6" w:type="pct"/>
                  <w:vAlign w:val="center"/>
                </w:tcPr>
                <w:p w14:paraId="53BFCEA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w:t>
                  </w:r>
                  <w:r>
                    <w:rPr>
                      <w:rFonts w:ascii="Times New Roman" w:hAnsi="Times New Roman" w:eastAsia="宋体" w:cs="Times New Roman"/>
                      <w:color w:val="auto"/>
                      <w:kern w:val="0"/>
                      <w:szCs w:val="21"/>
                      <w:lang w:bidi="ar"/>
                    </w:rPr>
                    <w:t>0</w:t>
                  </w:r>
                </w:p>
              </w:tc>
              <w:tc>
                <w:tcPr>
                  <w:tcW w:w="942" w:type="pct"/>
                  <w:vAlign w:val="center"/>
                </w:tcPr>
                <w:p w14:paraId="5985AE8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olor w:val="auto"/>
                      <w:szCs w:val="21"/>
                    </w:rPr>
                    <w:t>各类压路机</w:t>
                  </w:r>
                </w:p>
              </w:tc>
              <w:tc>
                <w:tcPr>
                  <w:tcW w:w="377" w:type="pct"/>
                  <w:vAlign w:val="center"/>
                </w:tcPr>
                <w:p w14:paraId="57E4F9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6</w:t>
                  </w:r>
                </w:p>
              </w:tc>
              <w:tc>
                <w:tcPr>
                  <w:tcW w:w="377" w:type="pct"/>
                  <w:vAlign w:val="center"/>
                </w:tcPr>
                <w:p w14:paraId="589621F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8</w:t>
                  </w:r>
                  <w:r>
                    <w:rPr>
                      <w:rFonts w:ascii="Times New Roman" w:hAnsi="Times New Roman" w:eastAsia="宋体" w:cs="Times New Roman"/>
                      <w:color w:val="auto"/>
                      <w:kern w:val="0"/>
                      <w:szCs w:val="21"/>
                      <w:lang w:bidi="ar"/>
                    </w:rPr>
                    <w:t>0</w:t>
                  </w:r>
                </w:p>
              </w:tc>
              <w:tc>
                <w:tcPr>
                  <w:tcW w:w="377" w:type="pct"/>
                  <w:vAlign w:val="center"/>
                </w:tcPr>
                <w:p w14:paraId="662F4E0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6.5</w:t>
                  </w:r>
                </w:p>
              </w:tc>
              <w:tc>
                <w:tcPr>
                  <w:tcW w:w="377" w:type="pct"/>
                  <w:vAlign w:val="center"/>
                </w:tcPr>
                <w:p w14:paraId="1D3277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0</w:t>
                  </w:r>
                </w:p>
              </w:tc>
              <w:tc>
                <w:tcPr>
                  <w:tcW w:w="377" w:type="pct"/>
                  <w:vAlign w:val="center"/>
                </w:tcPr>
                <w:p w14:paraId="35FA12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6.9</w:t>
                  </w:r>
                </w:p>
              </w:tc>
              <w:tc>
                <w:tcPr>
                  <w:tcW w:w="444" w:type="pct"/>
                  <w:vAlign w:val="center"/>
                </w:tcPr>
                <w:p w14:paraId="3C778B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w:t>
                  </w:r>
                  <w:r>
                    <w:rPr>
                      <w:rFonts w:ascii="Times New Roman" w:hAnsi="Times New Roman" w:eastAsia="宋体" w:cs="Times New Roman"/>
                      <w:color w:val="auto"/>
                      <w:kern w:val="0"/>
                      <w:szCs w:val="21"/>
                      <w:lang w:bidi="ar"/>
                    </w:rPr>
                    <w:t>4.5</w:t>
                  </w:r>
                </w:p>
              </w:tc>
              <w:tc>
                <w:tcPr>
                  <w:tcW w:w="444" w:type="pct"/>
                  <w:vAlign w:val="center"/>
                </w:tcPr>
                <w:p w14:paraId="4AF04F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w:t>
                  </w:r>
                  <w:r>
                    <w:rPr>
                      <w:rFonts w:ascii="Times New Roman" w:hAnsi="Times New Roman" w:eastAsia="宋体" w:cs="Times New Roman"/>
                      <w:color w:val="auto"/>
                      <w:kern w:val="0"/>
                      <w:szCs w:val="21"/>
                      <w:lang w:bidi="ar"/>
                    </w:rPr>
                    <w:t>7</w:t>
                  </w:r>
                </w:p>
              </w:tc>
              <w:tc>
                <w:tcPr>
                  <w:tcW w:w="440" w:type="pct"/>
                  <w:vAlign w:val="center"/>
                </w:tcPr>
                <w:p w14:paraId="0E8E7F4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w:t>
                  </w:r>
                  <w:r>
                    <w:rPr>
                      <w:rFonts w:ascii="Times New Roman" w:hAnsi="Times New Roman" w:eastAsia="宋体" w:cs="Times New Roman"/>
                      <w:color w:val="auto"/>
                      <w:kern w:val="0"/>
                      <w:szCs w:val="21"/>
                      <w:lang w:bidi="ar"/>
                    </w:rPr>
                    <w:t>2.6</w:t>
                  </w:r>
                </w:p>
              </w:tc>
              <w:tc>
                <w:tcPr>
                  <w:tcW w:w="439" w:type="pct"/>
                  <w:vAlign w:val="center"/>
                </w:tcPr>
                <w:p w14:paraId="78BE9A3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4</w:t>
                  </w:r>
                  <w:r>
                    <w:rPr>
                      <w:rFonts w:ascii="Times New Roman" w:hAnsi="Times New Roman" w:eastAsia="宋体" w:cs="Times New Roman"/>
                      <w:color w:val="auto"/>
                      <w:kern w:val="0"/>
                      <w:szCs w:val="21"/>
                      <w:lang w:bidi="ar"/>
                    </w:rPr>
                    <w:t>0.9</w:t>
                  </w:r>
                </w:p>
              </w:tc>
            </w:tr>
          </w:tbl>
          <w:p w14:paraId="7EACC406">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cs="Times New Roman"/>
                <w:color w:val="auto"/>
                <w:kern w:val="0"/>
                <w:sz w:val="24"/>
                <w:szCs w:val="24"/>
                <w:lang w:bidi="ar"/>
              </w:rPr>
            </w:pPr>
            <w:r>
              <w:rPr>
                <w:rFonts w:hint="eastAsia" w:ascii="Times New Roman" w:hAnsi="Times New Roman" w:eastAsia="宋体" w:cs="Times New Roman"/>
                <w:color w:val="auto"/>
                <w:kern w:val="0"/>
                <w:sz w:val="24"/>
                <w:szCs w:val="24"/>
                <w:lang w:bidi="ar"/>
              </w:rPr>
              <w:t>由表</w:t>
            </w:r>
            <w:r>
              <w:rPr>
                <w:rFonts w:hint="eastAsia" w:ascii="Times New Roman" w:hAnsi="Times New Roman" w:eastAsia="宋体" w:cs="Times New Roman"/>
                <w:color w:val="auto"/>
                <w:kern w:val="0"/>
                <w:sz w:val="24"/>
                <w:szCs w:val="24"/>
                <w:lang w:val="en-US" w:eastAsia="zh-CN" w:bidi="ar"/>
              </w:rPr>
              <w:t>4-2</w:t>
            </w:r>
            <w:r>
              <w:rPr>
                <w:rFonts w:hint="eastAsia" w:ascii="Times New Roman" w:hAnsi="Times New Roman" w:eastAsia="宋体" w:cs="Times New Roman"/>
                <w:color w:val="auto"/>
                <w:kern w:val="0"/>
                <w:sz w:val="24"/>
                <w:szCs w:val="24"/>
                <w:lang w:bidi="ar"/>
              </w:rPr>
              <w:t>可知，各施工机械单独连续作业时，昼间除轮式装载机外，其余机械距声源80m外噪声均可满足施工场界昼间70dB(A)标准要求，轮式装载机距声源100m外满足场界昼间限值要求；夜间施工机械在350m以外均可满足夜间55dB</w:t>
            </w:r>
            <w:r>
              <w:rPr>
                <w:rFonts w:ascii="Times New Roman" w:hAnsi="Times New Roman" w:eastAsia="宋体" w:cs="Times New Roman"/>
                <w:color w:val="auto"/>
                <w:kern w:val="0"/>
                <w:sz w:val="24"/>
                <w:szCs w:val="24"/>
                <w:lang w:bidi="ar"/>
              </w:rPr>
              <w:t>(</w:t>
            </w:r>
            <w:r>
              <w:rPr>
                <w:rFonts w:hint="eastAsia" w:ascii="Times New Roman" w:hAnsi="Times New Roman" w:eastAsia="宋体" w:cs="Times New Roman"/>
                <w:color w:val="auto"/>
                <w:kern w:val="0"/>
                <w:sz w:val="24"/>
                <w:szCs w:val="24"/>
                <w:lang w:bidi="ar"/>
              </w:rPr>
              <w:t>A</w:t>
            </w:r>
            <w:r>
              <w:rPr>
                <w:rFonts w:ascii="Times New Roman" w:hAnsi="Times New Roman" w:eastAsia="宋体" w:cs="Times New Roman"/>
                <w:color w:val="auto"/>
                <w:kern w:val="0"/>
                <w:sz w:val="24"/>
                <w:szCs w:val="24"/>
                <w:lang w:bidi="ar"/>
              </w:rPr>
              <w:t>)</w:t>
            </w:r>
            <w:r>
              <w:rPr>
                <w:rFonts w:hint="eastAsia" w:ascii="Times New Roman" w:hAnsi="Times New Roman" w:eastAsia="宋体" w:cs="Times New Roman"/>
                <w:color w:val="auto"/>
                <w:kern w:val="0"/>
                <w:sz w:val="24"/>
                <w:szCs w:val="24"/>
                <w:lang w:bidi="ar"/>
              </w:rPr>
              <w:t>标准要求。</w:t>
            </w:r>
          </w:p>
          <w:p w14:paraId="174FCC27">
            <w:pPr>
              <w:widowControl/>
              <w:spacing w:line="360" w:lineRule="auto"/>
              <w:ind w:firstLine="480" w:firstLineChars="200"/>
              <w:rPr>
                <w:rFonts w:ascii="Times New Roman" w:hAnsi="Times New Roman" w:eastAsia="宋体" w:cs="Times New Roman"/>
                <w:color w:val="auto"/>
                <w:kern w:val="0"/>
                <w:sz w:val="24"/>
                <w:szCs w:val="24"/>
                <w:lang w:bidi="ar"/>
              </w:rPr>
            </w:pPr>
            <w:r>
              <w:rPr>
                <w:rFonts w:hint="eastAsia" w:ascii="Times New Roman" w:hAnsi="Times New Roman" w:eastAsia="宋体" w:cs="Times New Roman"/>
                <w:color w:val="auto"/>
                <w:kern w:val="0"/>
                <w:sz w:val="24"/>
                <w:szCs w:val="24"/>
                <w:lang w:bidi="ar"/>
              </w:rPr>
              <w:t>因此，建设单位、施工单位必须对施工噪声产生的危害性引起足够的重视，并采取相关减振降噪措施，施工期间尽量不要安排夜间作业，最大限度地降低施工噪声对环境保护目标的影响。施工噪声影响是暂时的，为整个施工周期，会随着项目竣工，施工噪声的影响将不再存在。</w:t>
            </w:r>
          </w:p>
          <w:bookmarkEnd w:id="11"/>
          <w:p w14:paraId="4BC796EA">
            <w:pPr>
              <w:widowControl/>
              <w:spacing w:line="360" w:lineRule="auto"/>
              <w:ind w:firstLine="480" w:firstLineChars="200"/>
              <w:rPr>
                <w:rFonts w:ascii="Times New Roman" w:hAnsi="Times New Roman" w:eastAsia="宋体" w:cs="Times New Roman"/>
                <w:color w:val="auto"/>
                <w:kern w:val="0"/>
                <w:sz w:val="24"/>
                <w:szCs w:val="24"/>
                <w:lang w:bidi="ar"/>
              </w:rPr>
            </w:pPr>
            <w:r>
              <w:rPr>
                <w:rFonts w:hint="eastAsia" w:ascii="Times New Roman" w:hAnsi="Times New Roman" w:eastAsia="宋体" w:cs="Times New Roman"/>
                <w:color w:val="auto"/>
                <w:kern w:val="0"/>
                <w:sz w:val="24"/>
                <w:szCs w:val="24"/>
                <w:lang w:bidi="ar"/>
              </w:rPr>
              <w:t>项目在施工材料、土方的运输过程中，运输物料等载重车噪声级在80~90dB(A)，项目施工期运输车辆保持低速匀速行驶，可使噪声值衰减10dB(A)，则施工期运输车辆的噪声排放值在70~80dB(A)。在运输时应该减速慢行，合理分配运输量和运输时间。因此，在做好控制措施的情况下，项目运输车辆经过沿线村庄时，对沿线声环境影响较小</w:t>
            </w:r>
            <w:r>
              <w:rPr>
                <w:rFonts w:ascii="Times New Roman" w:hAnsi="Times New Roman" w:eastAsia="宋体" w:cs="Times New Roman"/>
                <w:color w:val="auto"/>
                <w:kern w:val="0"/>
                <w:sz w:val="24"/>
                <w:szCs w:val="24"/>
                <w:lang w:bidi="ar"/>
              </w:rPr>
              <w:t>。</w:t>
            </w:r>
          </w:p>
          <w:p w14:paraId="7821C0EB">
            <w:pPr>
              <w:adjustRightInd w:val="0"/>
              <w:snapToGrid w:val="0"/>
              <w:spacing w:line="360" w:lineRule="auto"/>
              <w:ind w:firstLine="482" w:firstLineChars="200"/>
              <w:rPr>
                <w:rFonts w:cs="宋体"/>
                <w:b/>
                <w:color w:val="auto"/>
                <w:sz w:val="24"/>
              </w:rPr>
            </w:pPr>
            <w:r>
              <w:rPr>
                <w:rFonts w:hint="eastAsia" w:cs="宋体"/>
                <w:b/>
                <w:color w:val="auto"/>
                <w:sz w:val="24"/>
                <w:lang w:val="en-US" w:eastAsia="zh-CN"/>
              </w:rPr>
              <w:t>6</w:t>
            </w:r>
            <w:r>
              <w:rPr>
                <w:rFonts w:hint="eastAsia" w:cs="宋体"/>
                <w:b/>
                <w:color w:val="auto"/>
                <w:sz w:val="24"/>
              </w:rPr>
              <w:t>、固体废物</w:t>
            </w:r>
          </w:p>
          <w:p w14:paraId="3C368E2B">
            <w:pPr>
              <w:adjustRightInd w:val="0"/>
              <w:snapToGrid w:val="0"/>
              <w:spacing w:line="360" w:lineRule="auto"/>
              <w:ind w:firstLine="480" w:firstLineChars="200"/>
              <w:rPr>
                <w:rFonts w:cs="宋体"/>
                <w:bCs/>
                <w:color w:val="auto"/>
                <w:sz w:val="24"/>
              </w:rPr>
            </w:pPr>
            <w:r>
              <w:rPr>
                <w:rFonts w:hint="eastAsia" w:cs="宋体"/>
                <w:bCs/>
                <w:color w:val="auto"/>
                <w:sz w:val="24"/>
              </w:rPr>
              <w:t>（1）废弃土石方</w:t>
            </w:r>
          </w:p>
          <w:p w14:paraId="591BD7A7">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3"/>
                <w:sz w:val="24"/>
                <w:szCs w:val="24"/>
                <w:lang w:val="en-US" w:eastAsia="zh-CN"/>
              </w:rPr>
            </w:pPr>
            <w:r>
              <w:rPr>
                <w:rFonts w:hint="eastAsia" w:cs="宋体"/>
                <w:bCs/>
                <w:color w:val="auto"/>
                <w:sz w:val="24"/>
                <w:lang w:val="en-US" w:eastAsia="zh-CN"/>
              </w:rPr>
              <w:t>本项目总挖方量18.25万m³（含表土1.94万m³）；总填方量18.25万m³（含表土1.94万m³），无废弃土石方</w:t>
            </w:r>
            <w:r>
              <w:rPr>
                <w:rFonts w:hint="eastAsia" w:cs="Times New Roman"/>
                <w:color w:val="auto"/>
                <w:spacing w:val="-3"/>
                <w:sz w:val="24"/>
                <w:szCs w:val="24"/>
                <w:lang w:val="en-US" w:eastAsia="zh-CN"/>
              </w:rPr>
              <w:t>。</w:t>
            </w:r>
          </w:p>
          <w:p w14:paraId="410FDEDF">
            <w:pPr>
              <w:adjustRightInd w:val="0"/>
              <w:snapToGrid w:val="0"/>
              <w:spacing w:line="360" w:lineRule="auto"/>
              <w:ind w:firstLine="480" w:firstLineChars="200"/>
              <w:rPr>
                <w:rFonts w:cs="宋体"/>
                <w:bCs/>
                <w:color w:val="auto"/>
                <w:sz w:val="24"/>
              </w:rPr>
            </w:pPr>
            <w:r>
              <w:rPr>
                <w:rFonts w:hint="eastAsia" w:cs="宋体"/>
                <w:bCs/>
                <w:color w:val="auto"/>
                <w:sz w:val="24"/>
              </w:rPr>
              <w:t>（2）建筑垃圾</w:t>
            </w:r>
          </w:p>
          <w:p w14:paraId="496DE6C3">
            <w:pPr>
              <w:adjustRightInd w:val="0"/>
              <w:snapToGrid w:val="0"/>
              <w:spacing w:line="360" w:lineRule="auto"/>
              <w:ind w:firstLine="480" w:firstLineChars="200"/>
              <w:rPr>
                <w:rFonts w:cs="宋体"/>
                <w:bCs/>
                <w:color w:val="auto"/>
                <w:sz w:val="24"/>
              </w:rPr>
            </w:pPr>
            <w:r>
              <w:rPr>
                <w:rFonts w:hint="eastAsia" w:cs="宋体"/>
                <w:bCs/>
                <w:color w:val="auto"/>
                <w:sz w:val="24"/>
              </w:rPr>
              <w:t>项目施工过程会产生砖块、混凝土碎块、废护栏、废钢筋、各类建材包装箱袋和设备安装包装物等建筑垃圾</w:t>
            </w:r>
            <w:r>
              <w:rPr>
                <w:rFonts w:hint="eastAsia" w:cs="宋体"/>
                <w:bCs/>
                <w:color w:val="auto"/>
                <w:sz w:val="24"/>
                <w:lang w:val="en-US" w:eastAsia="zh-CN"/>
              </w:rPr>
              <w:t>约30t</w:t>
            </w:r>
            <w:r>
              <w:rPr>
                <w:rFonts w:hint="eastAsia" w:cs="宋体"/>
                <w:bCs/>
                <w:color w:val="auto"/>
                <w:sz w:val="24"/>
              </w:rPr>
              <w:t>。建筑垃圾中可回收利用的部分统一回收后外卖给废品收购站综合利用，不可回收利用的，集中收集后运至市政部门指定地点消纳处理，采取上述措施后，建筑垃圾对周围环境影响很小。</w:t>
            </w:r>
          </w:p>
          <w:p w14:paraId="4FC41FB5">
            <w:pPr>
              <w:adjustRightInd w:val="0"/>
              <w:snapToGrid w:val="0"/>
              <w:spacing w:line="360" w:lineRule="auto"/>
              <w:ind w:firstLine="480" w:firstLineChars="200"/>
              <w:rPr>
                <w:rFonts w:cs="宋体"/>
                <w:bCs/>
                <w:color w:val="auto"/>
                <w:sz w:val="24"/>
              </w:rPr>
            </w:pPr>
            <w:r>
              <w:rPr>
                <w:rFonts w:hint="eastAsia" w:cs="宋体"/>
                <w:bCs/>
                <w:color w:val="auto"/>
                <w:sz w:val="24"/>
              </w:rPr>
              <w:t>（3）生活垃圾</w:t>
            </w:r>
          </w:p>
          <w:p w14:paraId="32BD518A">
            <w:pPr>
              <w:adjustRightInd w:val="0"/>
              <w:snapToGrid w:val="0"/>
              <w:spacing w:line="360" w:lineRule="auto"/>
              <w:ind w:firstLine="480" w:firstLineChars="200"/>
              <w:rPr>
                <w:rFonts w:cs="宋体"/>
                <w:bCs/>
                <w:color w:val="auto"/>
                <w:sz w:val="24"/>
              </w:rPr>
            </w:pPr>
            <w:r>
              <w:rPr>
                <w:rFonts w:hint="eastAsia" w:cs="宋体"/>
                <w:bCs/>
                <w:color w:val="auto"/>
                <w:sz w:val="24"/>
              </w:rPr>
              <w:t>项目施工期为</w:t>
            </w:r>
            <w:r>
              <w:rPr>
                <w:rFonts w:hint="eastAsia" w:cs="宋体"/>
                <w:bCs/>
                <w:color w:val="auto"/>
                <w:sz w:val="24"/>
                <w:lang w:val="en-US" w:eastAsia="zh-CN"/>
              </w:rPr>
              <w:t>12</w:t>
            </w:r>
            <w:r>
              <w:rPr>
                <w:rFonts w:hint="eastAsia" w:cs="宋体"/>
                <w:bCs/>
                <w:color w:val="auto"/>
                <w:sz w:val="24"/>
              </w:rPr>
              <w:t>个月（每个月按</w:t>
            </w:r>
            <w:r>
              <w:rPr>
                <w:rFonts w:cs="宋体"/>
                <w:bCs/>
                <w:color w:val="auto"/>
                <w:sz w:val="24"/>
              </w:rPr>
              <w:t>30</w:t>
            </w:r>
            <w:r>
              <w:rPr>
                <w:rFonts w:hint="eastAsia" w:cs="宋体"/>
                <w:bCs/>
                <w:color w:val="auto"/>
                <w:sz w:val="24"/>
              </w:rPr>
              <w:t>天计），施工期施工人数约为</w:t>
            </w:r>
            <w:r>
              <w:rPr>
                <w:rFonts w:cs="宋体"/>
                <w:bCs/>
                <w:color w:val="auto"/>
                <w:sz w:val="24"/>
              </w:rPr>
              <w:t>50</w:t>
            </w:r>
            <w:r>
              <w:rPr>
                <w:rFonts w:hint="eastAsia" w:cs="宋体"/>
                <w:bCs/>
                <w:color w:val="auto"/>
                <w:sz w:val="24"/>
              </w:rPr>
              <w:t>人，施工人员生活垃圾产生量每人每天按0.5kg计，则生活垃圾产生量为</w:t>
            </w:r>
            <w:r>
              <w:rPr>
                <w:rFonts w:cs="宋体"/>
                <w:bCs/>
                <w:color w:val="auto"/>
                <w:sz w:val="24"/>
              </w:rPr>
              <w:t>25</w:t>
            </w:r>
            <w:r>
              <w:rPr>
                <w:rFonts w:hint="eastAsia" w:cs="宋体"/>
                <w:bCs/>
                <w:color w:val="auto"/>
                <w:sz w:val="24"/>
              </w:rPr>
              <w:t>kg/d，</w:t>
            </w:r>
            <w:r>
              <w:rPr>
                <w:rFonts w:hint="eastAsia" w:cs="宋体"/>
                <w:bCs/>
                <w:color w:val="auto"/>
                <w:sz w:val="24"/>
                <w:lang w:val="en-US" w:eastAsia="zh-CN"/>
              </w:rPr>
              <w:t>9</w:t>
            </w:r>
            <w:r>
              <w:rPr>
                <w:rFonts w:hint="eastAsia" w:cs="宋体"/>
                <w:bCs/>
                <w:color w:val="auto"/>
                <w:sz w:val="24"/>
              </w:rPr>
              <w:t>t/施工期，施工人员的生活垃圾经收集后由环卫部门清运处理，对周围环境影响很小。</w:t>
            </w:r>
          </w:p>
        </w:tc>
      </w:tr>
    </w:tbl>
    <w:p w14:paraId="330C7F2A">
      <w:pPr>
        <w:pStyle w:val="41"/>
        <w:adjustRightInd w:val="0"/>
        <w:snapToGrid w:val="0"/>
        <w:spacing w:before="0" w:beforeAutospacing="0" w:after="0" w:afterAutospacing="0"/>
        <w:jc w:val="center"/>
        <w:rPr>
          <w:rFonts w:hint="eastAsia" w:ascii="Times New Roman" w:hAnsi="Times New Roman" w:cs="宋体"/>
          <w:bCs/>
          <w:color w:val="auto"/>
          <w:spacing w:val="10"/>
          <w:kern w:val="2"/>
        </w:rPr>
        <w:sectPr>
          <w:pgSz w:w="11906" w:h="16838"/>
          <w:pgMar w:top="1440" w:right="1800" w:bottom="1440" w:left="1800" w:header="851" w:footer="1077" w:gutter="0"/>
          <w:cols w:space="720" w:num="1"/>
          <w:docGrid w:linePitch="312" w:charSpace="0"/>
        </w:sectPr>
      </w:pPr>
    </w:p>
    <w:tbl>
      <w:tblPr>
        <w:tblStyle w:val="46"/>
        <w:tblW w:w="91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78"/>
      </w:tblGrid>
      <w:tr w14:paraId="2249C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2" w:hRule="atLeast"/>
          <w:jc w:val="center"/>
        </w:trPr>
        <w:tc>
          <w:tcPr>
            <w:tcW w:w="456" w:type="dxa"/>
            <w:tcMar>
              <w:left w:w="28" w:type="dxa"/>
              <w:right w:w="28" w:type="dxa"/>
            </w:tcMar>
            <w:vAlign w:val="center"/>
          </w:tcPr>
          <w:p w14:paraId="730D1B81">
            <w:pPr>
              <w:pStyle w:val="41"/>
              <w:adjustRightInd w:val="0"/>
              <w:snapToGrid w:val="0"/>
              <w:spacing w:before="0" w:beforeAutospacing="0" w:after="0" w:afterAutospacing="0"/>
              <w:jc w:val="center"/>
              <w:rPr>
                <w:rFonts w:ascii="Times New Roman" w:hAnsi="Times New Roman" w:cs="宋体"/>
                <w:bCs/>
                <w:color w:val="auto"/>
                <w:kern w:val="2"/>
              </w:rPr>
            </w:pPr>
            <w:r>
              <w:rPr>
                <w:rFonts w:hint="eastAsia" w:ascii="Times New Roman" w:hAnsi="Times New Roman" w:cs="宋体"/>
                <w:bCs/>
                <w:color w:val="auto"/>
                <w:spacing w:val="10"/>
                <w:kern w:val="2"/>
              </w:rPr>
              <w:t>运营期生态环境影响分析</w:t>
            </w:r>
          </w:p>
        </w:tc>
        <w:tc>
          <w:tcPr>
            <w:tcW w:w="8678" w:type="dxa"/>
          </w:tcPr>
          <w:p w14:paraId="08CB2D9D">
            <w:pPr>
              <w:adjustRightInd w:val="0"/>
              <w:snapToGrid w:val="0"/>
              <w:spacing w:line="360" w:lineRule="auto"/>
              <w:ind w:firstLine="482" w:firstLineChars="200"/>
              <w:rPr>
                <w:rFonts w:cs="宋体"/>
                <w:b/>
                <w:color w:val="auto"/>
                <w:sz w:val="24"/>
              </w:rPr>
            </w:pPr>
            <w:r>
              <w:rPr>
                <w:rFonts w:hint="eastAsia" w:cs="宋体"/>
                <w:b/>
                <w:color w:val="auto"/>
                <w:sz w:val="24"/>
              </w:rPr>
              <w:t>1、生态环境影响分析</w:t>
            </w:r>
          </w:p>
          <w:p w14:paraId="2918DED9">
            <w:pPr>
              <w:adjustRightInd w:val="0"/>
              <w:snapToGrid w:val="0"/>
              <w:spacing w:line="360" w:lineRule="auto"/>
              <w:ind w:firstLine="480" w:firstLineChars="200"/>
              <w:rPr>
                <w:rFonts w:cs="宋体"/>
                <w:bCs/>
                <w:color w:val="auto"/>
                <w:sz w:val="24"/>
              </w:rPr>
            </w:pPr>
            <w:r>
              <w:rPr>
                <w:rFonts w:hint="eastAsia" w:cs="宋体"/>
                <w:bCs/>
                <w:color w:val="auto"/>
                <w:sz w:val="24"/>
              </w:rPr>
              <w:t>（1）水土流失影响分析</w:t>
            </w:r>
          </w:p>
          <w:p w14:paraId="4B30BE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szCs w:val="24"/>
              </w:rPr>
              <w:t>本项目选址、建设方案符合水土保持规范和技术标准的规定，在采取水土保持措施后，可以满足项目水土流失防治目标要求。通过水土保持措施的实施，项目建设产生的水土流失可得到有效的控制，本项目水土流失防治指标值均达到一级防治标准。</w:t>
            </w:r>
          </w:p>
          <w:p w14:paraId="3924EB7C">
            <w:pPr>
              <w:adjustRightInd w:val="0"/>
              <w:snapToGrid w:val="0"/>
              <w:spacing w:line="360" w:lineRule="auto"/>
              <w:ind w:firstLine="480" w:firstLineChars="200"/>
              <w:rPr>
                <w:rFonts w:cs="宋体"/>
                <w:bCs/>
                <w:color w:val="auto"/>
                <w:sz w:val="24"/>
              </w:rPr>
            </w:pPr>
            <w:r>
              <w:rPr>
                <w:rFonts w:hint="eastAsia" w:cs="宋体"/>
                <w:bCs/>
                <w:color w:val="auto"/>
                <w:sz w:val="24"/>
              </w:rPr>
              <w:t>（2）对动植物的影响分析</w:t>
            </w:r>
          </w:p>
          <w:p w14:paraId="4787E1AD">
            <w:pPr>
              <w:adjustRightInd w:val="0"/>
              <w:snapToGrid w:val="0"/>
              <w:spacing w:line="360" w:lineRule="auto"/>
              <w:ind w:firstLine="480" w:firstLineChars="200"/>
              <w:rPr>
                <w:rFonts w:cs="宋体"/>
                <w:bCs/>
                <w:color w:val="auto"/>
                <w:sz w:val="24"/>
              </w:rPr>
            </w:pPr>
            <w:r>
              <w:rPr>
                <w:rFonts w:hint="eastAsia" w:cs="宋体"/>
                <w:bCs/>
                <w:color w:val="auto"/>
                <w:sz w:val="24"/>
              </w:rPr>
              <w:t>①对植被的影响</w:t>
            </w:r>
          </w:p>
          <w:p w14:paraId="4FBA04EF">
            <w:pPr>
              <w:adjustRightInd w:val="0"/>
              <w:snapToGrid w:val="0"/>
              <w:spacing w:line="360" w:lineRule="auto"/>
              <w:ind w:firstLine="480" w:firstLineChars="200"/>
              <w:rPr>
                <w:rFonts w:cs="宋体"/>
                <w:bCs/>
                <w:color w:val="auto"/>
                <w:sz w:val="24"/>
              </w:rPr>
            </w:pPr>
            <w:r>
              <w:rPr>
                <w:rFonts w:hint="eastAsia" w:cs="宋体"/>
                <w:bCs/>
                <w:color w:val="auto"/>
                <w:sz w:val="24"/>
              </w:rPr>
              <w:t>项目用地不涉及自然保护区、森林公园和风景名胜区，也不涉及国家及县级重点公益林地。项目对生态的影响主要是各设施占地及生产设备、人员活动等对周围植被造成的不同程度的影响；此外，运输过程中过程产生的粉尘会对附近的植物产生一定的影响。粉尘降落在植物叶面上，吸收水分成深灰色的一层薄壳，堵塞气孔，影响呼吸作用和水分蒸发，降低叶面的光合作用，减弱植物机体代谢能力。且项目范围内的植物群落组成简单，该过程产生的粉尘对植被生长发育影响较小，不会造成区域植被生长减退。</w:t>
            </w:r>
          </w:p>
          <w:p w14:paraId="429B3A71">
            <w:pPr>
              <w:adjustRightInd w:val="0"/>
              <w:snapToGrid w:val="0"/>
              <w:spacing w:line="360" w:lineRule="auto"/>
              <w:ind w:firstLine="480" w:firstLineChars="200"/>
              <w:rPr>
                <w:rFonts w:hint="eastAsia" w:ascii="Times New Roman" w:hAnsi="Times New Roman" w:eastAsia="宋体" w:cs="宋体"/>
                <w:bCs/>
                <w:color w:val="auto"/>
                <w:sz w:val="24"/>
              </w:rPr>
            </w:pPr>
            <w:r>
              <w:rPr>
                <w:rFonts w:hint="eastAsia" w:cs="宋体"/>
                <w:bCs/>
                <w:color w:val="auto"/>
                <w:sz w:val="24"/>
              </w:rPr>
              <w:t>②对野生</w:t>
            </w:r>
            <w:r>
              <w:rPr>
                <w:rFonts w:hint="eastAsia" w:ascii="Times New Roman" w:hAnsi="Times New Roman" w:eastAsia="宋体" w:cs="宋体"/>
                <w:bCs/>
                <w:color w:val="auto"/>
                <w:sz w:val="24"/>
              </w:rPr>
              <w:t>动物的影响</w:t>
            </w:r>
          </w:p>
          <w:p w14:paraId="17D5FE4F">
            <w:pPr>
              <w:adjustRightInd w:val="0"/>
              <w:snapToGrid w:val="0"/>
              <w:spacing w:line="360" w:lineRule="auto"/>
              <w:ind w:firstLine="480" w:firstLineChars="200"/>
              <w:rPr>
                <w:rFonts w:hint="eastAsia" w:ascii="Times New Roman" w:hAnsi="Times New Roman" w:eastAsia="宋体" w:cs="宋体"/>
                <w:bCs/>
                <w:color w:val="auto"/>
                <w:sz w:val="24"/>
              </w:rPr>
            </w:pPr>
            <w:r>
              <w:rPr>
                <w:rFonts w:hint="eastAsia" w:ascii="Times New Roman" w:hAnsi="Times New Roman" w:eastAsia="宋体" w:cs="宋体"/>
                <w:bCs/>
                <w:color w:val="auto"/>
                <w:sz w:val="24"/>
              </w:rPr>
              <w:t>项目运营期对野生动物的影响主要来自生境丧失、噪声方面。</w:t>
            </w:r>
          </w:p>
          <w:p w14:paraId="73D5A629">
            <w:pPr>
              <w:widowControl/>
              <w:adjustRightInd w:val="0"/>
              <w:snapToGrid w:val="0"/>
              <w:spacing w:line="360" w:lineRule="auto"/>
              <w:ind w:firstLine="480" w:firstLineChars="200"/>
              <w:jc w:val="left"/>
              <w:rPr>
                <w:rFonts w:hint="eastAsia" w:ascii="Times New Roman" w:hAnsi="Times New Roman" w:eastAsia="宋体" w:cs="宋体"/>
                <w:bCs/>
                <w:color w:val="auto"/>
                <w:kern w:val="2"/>
                <w:sz w:val="24"/>
                <w:szCs w:val="24"/>
                <w:lang w:val="en-US" w:eastAsia="zh-CN" w:bidi="ar"/>
              </w:rPr>
            </w:pPr>
            <w:r>
              <w:rPr>
                <w:rFonts w:hint="eastAsia" w:ascii="Times New Roman" w:hAnsi="Times New Roman" w:eastAsia="宋体" w:cs="宋体"/>
                <w:bCs/>
                <w:color w:val="auto"/>
                <w:kern w:val="2"/>
                <w:sz w:val="24"/>
                <w:szCs w:val="24"/>
                <w:lang w:val="en-US" w:eastAsia="zh-CN" w:bidi="ar"/>
              </w:rPr>
              <w:t>项目运营期对野生动物的影响主要表现为对栖息地环境的影响和动物活动的阻隔。项目建成以后，铁路列车通过时产生的噪声、振动、粉尘对铁路沿线的动物栖息环境产生着长期的影响。该地区人类活动频繁，现状已有铁路在运行，本项目为货运专线，线路较短，运行时速较低，</w:t>
            </w:r>
            <w:r>
              <w:rPr>
                <w:rFonts w:hint="eastAsia" w:ascii="Times New Roman" w:hAnsi="Times New Roman" w:eastAsia="宋体" w:cs="宋体"/>
                <w:bCs/>
                <w:color w:val="auto"/>
                <w:sz w:val="24"/>
                <w:lang w:bidi="ar"/>
              </w:rPr>
              <w:t>野生动物均为常见物种，对人类干扰已有相当强的适应，项目建设运行不会对当地野生动物产生明显影响。</w:t>
            </w:r>
          </w:p>
          <w:p w14:paraId="0766FD58">
            <w:pPr>
              <w:adjustRightInd w:val="0"/>
              <w:snapToGrid w:val="0"/>
              <w:spacing w:line="360" w:lineRule="auto"/>
              <w:ind w:firstLine="480" w:firstLineChars="200"/>
              <w:rPr>
                <w:rFonts w:cs="宋体"/>
                <w:bCs/>
                <w:color w:val="auto"/>
                <w:sz w:val="24"/>
              </w:rPr>
            </w:pPr>
            <w:r>
              <w:rPr>
                <w:rFonts w:hint="eastAsia" w:cs="宋体"/>
                <w:bCs/>
                <w:color w:val="auto"/>
                <w:sz w:val="24"/>
              </w:rPr>
              <w:t>（3）对自然景观影响分析</w:t>
            </w:r>
          </w:p>
          <w:p w14:paraId="6C4403F2">
            <w:pPr>
              <w:keepNext w:val="0"/>
              <w:keepLines w:val="0"/>
              <w:widowControl/>
              <w:suppressLineNumbers w:val="0"/>
              <w:spacing w:line="360" w:lineRule="auto"/>
              <w:ind w:firstLine="480" w:firstLineChars="200"/>
              <w:jc w:val="left"/>
              <w:rPr>
                <w:color w:val="auto"/>
              </w:rPr>
            </w:pPr>
            <w:r>
              <w:rPr>
                <w:rFonts w:hint="eastAsia" w:ascii="宋体" w:hAnsi="宋体" w:cs="宋体"/>
                <w:color w:val="auto"/>
                <w:kern w:val="0"/>
                <w:sz w:val="24"/>
                <w:szCs w:val="24"/>
                <w:lang w:val="en-US" w:eastAsia="zh-CN" w:bidi="ar"/>
              </w:rPr>
              <w:t>项目区域现状已有铁路运行线，</w:t>
            </w:r>
            <w:r>
              <w:rPr>
                <w:rFonts w:hint="eastAsia" w:ascii="宋体" w:hAnsi="宋体" w:eastAsia="宋体" w:cs="宋体"/>
                <w:color w:val="auto"/>
                <w:kern w:val="0"/>
                <w:sz w:val="24"/>
                <w:szCs w:val="24"/>
                <w:lang w:val="en-US" w:eastAsia="zh-CN" w:bidi="ar"/>
              </w:rPr>
              <w:t>项目建成后对</w:t>
            </w:r>
            <w:r>
              <w:rPr>
                <w:rFonts w:hint="eastAsia" w:ascii="宋体" w:hAnsi="宋体" w:cs="宋体"/>
                <w:color w:val="auto"/>
                <w:kern w:val="0"/>
                <w:sz w:val="24"/>
                <w:szCs w:val="24"/>
                <w:lang w:val="en-US" w:eastAsia="zh-CN" w:bidi="ar"/>
              </w:rPr>
              <w:t>现</w:t>
            </w:r>
            <w:r>
              <w:rPr>
                <w:rFonts w:hint="eastAsia" w:ascii="宋体" w:hAnsi="宋体" w:eastAsia="宋体" w:cs="宋体"/>
                <w:color w:val="auto"/>
                <w:kern w:val="0"/>
                <w:sz w:val="24"/>
                <w:szCs w:val="24"/>
                <w:lang w:val="en-US" w:eastAsia="zh-CN" w:bidi="ar"/>
              </w:rPr>
              <w:t>有的自然景观</w:t>
            </w:r>
            <w:r>
              <w:rPr>
                <w:rFonts w:hint="eastAsia" w:ascii="宋体" w:hAnsi="宋体" w:cs="宋体"/>
                <w:color w:val="auto"/>
                <w:kern w:val="0"/>
                <w:sz w:val="24"/>
                <w:szCs w:val="24"/>
                <w:lang w:val="en-US" w:eastAsia="zh-CN" w:bidi="ar"/>
              </w:rPr>
              <w:t>影响较小</w:t>
            </w:r>
            <w:r>
              <w:rPr>
                <w:rFonts w:hint="eastAsia" w:ascii="宋体" w:hAnsi="宋体" w:eastAsia="宋体" w:cs="宋体"/>
                <w:color w:val="auto"/>
                <w:kern w:val="0"/>
                <w:sz w:val="24"/>
                <w:szCs w:val="24"/>
                <w:lang w:val="en-US" w:eastAsia="zh-CN" w:bidi="ar"/>
              </w:rPr>
              <w:t>。项目区域铁路景观已成为区域的主要生态景观之一，项目区域景观的敏感性较低，阈值较高，路基工程对其切割影响不太显著。随着生态环境恢复，路基护坡工程、绿化工程全部完成后，施工期破坏的景观条件将得到恢复，从景观生态的尺度来看，该项目的建设对于当地景观环境影响较小。</w:t>
            </w:r>
          </w:p>
          <w:p w14:paraId="0C471172">
            <w:pPr>
              <w:adjustRightInd w:val="0"/>
              <w:snapToGrid w:val="0"/>
              <w:spacing w:line="360" w:lineRule="auto"/>
              <w:ind w:firstLine="480" w:firstLineChars="200"/>
              <w:rPr>
                <w:rFonts w:cs="宋体"/>
                <w:bCs/>
                <w:color w:val="auto"/>
                <w:sz w:val="24"/>
              </w:rPr>
            </w:pPr>
            <w:r>
              <w:rPr>
                <w:rFonts w:hint="eastAsia" w:cs="宋体"/>
                <w:bCs/>
                <w:color w:val="auto"/>
                <w:sz w:val="24"/>
              </w:rPr>
              <w:t>（4）污染物排放对生态影响分析</w:t>
            </w:r>
          </w:p>
          <w:p w14:paraId="3288C8AB">
            <w:pPr>
              <w:adjustRightInd w:val="0"/>
              <w:snapToGrid w:val="0"/>
              <w:spacing w:line="360" w:lineRule="auto"/>
              <w:ind w:firstLine="480" w:firstLineChars="200"/>
              <w:rPr>
                <w:rFonts w:cs="宋体"/>
                <w:bCs/>
                <w:color w:val="auto"/>
                <w:sz w:val="24"/>
              </w:rPr>
            </w:pPr>
            <w:r>
              <w:rPr>
                <w:rFonts w:hint="eastAsia" w:cs="宋体"/>
                <w:bCs/>
                <w:color w:val="auto"/>
                <w:sz w:val="24"/>
                <w:lang w:val="en-US" w:eastAsia="zh-CN"/>
              </w:rPr>
              <w:t>项目运营</w:t>
            </w:r>
            <w:r>
              <w:rPr>
                <w:rFonts w:hint="eastAsia" w:cs="宋体"/>
                <w:bCs/>
                <w:color w:val="auto"/>
                <w:sz w:val="24"/>
              </w:rPr>
              <w:t>运输过程产生的</w:t>
            </w:r>
            <w:r>
              <w:rPr>
                <w:rFonts w:hint="eastAsia" w:cs="宋体"/>
                <w:bCs/>
                <w:color w:val="auto"/>
                <w:sz w:val="24"/>
                <w:lang w:val="en-US" w:eastAsia="zh-CN"/>
              </w:rPr>
              <w:t>扬</w:t>
            </w:r>
            <w:r>
              <w:rPr>
                <w:rFonts w:hint="eastAsia" w:cs="宋体"/>
                <w:bCs/>
                <w:color w:val="auto"/>
                <w:sz w:val="24"/>
              </w:rPr>
              <w:t>尘和</w:t>
            </w:r>
            <w:r>
              <w:rPr>
                <w:rFonts w:hint="eastAsia" w:cs="宋体"/>
                <w:bCs/>
                <w:color w:val="auto"/>
                <w:sz w:val="24"/>
                <w:lang w:val="en-US" w:eastAsia="zh-CN"/>
              </w:rPr>
              <w:t>火车内燃机废气</w:t>
            </w:r>
            <w:r>
              <w:rPr>
                <w:rFonts w:hint="eastAsia" w:cs="宋体"/>
                <w:bCs/>
                <w:color w:val="auto"/>
                <w:sz w:val="24"/>
              </w:rPr>
              <w:t>、汽车尾气会对沿线生态系统造成一定的影响。项目</w:t>
            </w:r>
            <w:r>
              <w:rPr>
                <w:rFonts w:hint="eastAsia" w:cs="宋体"/>
                <w:bCs/>
                <w:color w:val="auto"/>
                <w:sz w:val="24"/>
                <w:lang w:val="en-US" w:eastAsia="zh-CN"/>
              </w:rPr>
              <w:t>区域较开阔</w:t>
            </w:r>
            <w:r>
              <w:rPr>
                <w:rFonts w:hint="eastAsia" w:cs="宋体"/>
                <w:bCs/>
                <w:color w:val="auto"/>
                <w:sz w:val="24"/>
              </w:rPr>
              <w:t>，空气扩散条件较</w:t>
            </w:r>
            <w:r>
              <w:rPr>
                <w:rFonts w:hint="eastAsia" w:cs="宋体"/>
                <w:bCs/>
                <w:color w:val="auto"/>
                <w:sz w:val="24"/>
                <w:lang w:eastAsia="zh-CN"/>
              </w:rPr>
              <w:t>好</w:t>
            </w:r>
            <w:r>
              <w:rPr>
                <w:rFonts w:hint="eastAsia" w:cs="宋体"/>
                <w:bCs/>
                <w:color w:val="auto"/>
                <w:sz w:val="24"/>
              </w:rPr>
              <w:t>，因此</w:t>
            </w:r>
            <w:r>
              <w:rPr>
                <w:rFonts w:hint="eastAsia" w:cs="宋体"/>
                <w:bCs/>
                <w:color w:val="auto"/>
                <w:sz w:val="24"/>
                <w:lang w:val="en-US" w:eastAsia="zh-CN"/>
              </w:rPr>
              <w:t>运输扬尘、内燃机废气</w:t>
            </w:r>
            <w:r>
              <w:rPr>
                <w:rFonts w:hint="eastAsia" w:cs="宋体"/>
                <w:bCs/>
                <w:color w:val="auto"/>
                <w:sz w:val="24"/>
              </w:rPr>
              <w:t>、汽车尾气对沿线植物的有影响</w:t>
            </w:r>
            <w:r>
              <w:rPr>
                <w:rFonts w:hint="eastAsia" w:cs="宋体"/>
                <w:bCs/>
                <w:color w:val="auto"/>
                <w:sz w:val="24"/>
                <w:lang w:val="en-US" w:eastAsia="zh-CN"/>
              </w:rPr>
              <w:t>不大</w:t>
            </w:r>
            <w:r>
              <w:rPr>
                <w:rFonts w:hint="eastAsia" w:cs="宋体"/>
                <w:bCs/>
                <w:color w:val="auto"/>
                <w:sz w:val="24"/>
              </w:rPr>
              <w:t>。</w:t>
            </w:r>
          </w:p>
          <w:p w14:paraId="0E7D234E">
            <w:pPr>
              <w:adjustRightInd w:val="0"/>
              <w:snapToGrid w:val="0"/>
              <w:spacing w:line="360" w:lineRule="auto"/>
              <w:ind w:firstLine="480" w:firstLineChars="200"/>
              <w:rPr>
                <w:rFonts w:cs="宋体"/>
                <w:bCs/>
                <w:color w:val="auto"/>
                <w:sz w:val="24"/>
              </w:rPr>
            </w:pPr>
            <w:r>
              <w:rPr>
                <w:rFonts w:hint="eastAsia" w:cs="宋体"/>
                <w:bCs/>
                <w:color w:val="auto"/>
                <w:sz w:val="24"/>
              </w:rPr>
              <w:t>项目无生产废水产生，生活污水经化粪池处理后</w:t>
            </w:r>
            <w:r>
              <w:rPr>
                <w:rFonts w:hint="eastAsia" w:cs="宋体"/>
                <w:bCs/>
                <w:color w:val="auto"/>
                <w:sz w:val="24"/>
                <w:lang w:val="en-US" w:eastAsia="zh-CN"/>
              </w:rPr>
              <w:t>定期抽运</w:t>
            </w:r>
            <w:r>
              <w:rPr>
                <w:rFonts w:hint="eastAsia" w:cs="宋体"/>
                <w:bCs/>
                <w:color w:val="auto"/>
                <w:sz w:val="24"/>
              </w:rPr>
              <w:t>用于施肥。因此，项目废水不会对水生生态造成太大影响。</w:t>
            </w:r>
          </w:p>
          <w:p w14:paraId="3FFA6ECB">
            <w:pPr>
              <w:adjustRightInd w:val="0"/>
              <w:snapToGrid w:val="0"/>
              <w:spacing w:line="360" w:lineRule="auto"/>
              <w:ind w:firstLine="480" w:firstLineChars="200"/>
              <w:rPr>
                <w:rFonts w:cs="宋体"/>
                <w:bCs/>
                <w:color w:val="auto"/>
                <w:sz w:val="24"/>
              </w:rPr>
            </w:pPr>
            <w:r>
              <w:rPr>
                <w:rFonts w:hint="eastAsia" w:cs="宋体"/>
                <w:bCs/>
                <w:color w:val="auto"/>
                <w:sz w:val="24"/>
              </w:rPr>
              <w:t>上所述，项目</w:t>
            </w:r>
            <w:r>
              <w:rPr>
                <w:rFonts w:hint="eastAsia" w:cs="宋体"/>
                <w:bCs/>
                <w:color w:val="auto"/>
                <w:sz w:val="24"/>
                <w:lang w:val="en-US" w:eastAsia="zh-CN"/>
              </w:rPr>
              <w:t>运营</w:t>
            </w:r>
            <w:r>
              <w:rPr>
                <w:rFonts w:hint="eastAsia" w:cs="宋体"/>
                <w:bCs/>
                <w:color w:val="auto"/>
                <w:sz w:val="24"/>
              </w:rPr>
              <w:t>对区域生态环境产生的影响较小，不会对区域生物多样性产生明显影响。</w:t>
            </w:r>
          </w:p>
          <w:p w14:paraId="3CB59518">
            <w:pPr>
              <w:adjustRightInd w:val="0"/>
              <w:snapToGrid w:val="0"/>
              <w:spacing w:line="360" w:lineRule="auto"/>
              <w:ind w:firstLine="482" w:firstLineChars="200"/>
              <w:rPr>
                <w:rFonts w:cs="宋体"/>
                <w:b/>
                <w:color w:val="auto"/>
                <w:sz w:val="24"/>
              </w:rPr>
            </w:pPr>
            <w:r>
              <w:rPr>
                <w:rFonts w:hint="eastAsia" w:cs="宋体"/>
                <w:b/>
                <w:color w:val="auto"/>
                <w:sz w:val="24"/>
              </w:rPr>
              <w:t>2、大气环境影响分析</w:t>
            </w:r>
          </w:p>
          <w:p w14:paraId="22F44B9B">
            <w:pPr>
              <w:pStyle w:val="349"/>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lang w:val="en-US" w:eastAsia="zh-CN" w:bidi="ar-SA"/>
              </w:rPr>
              <w:t>本项目废气主要为</w:t>
            </w:r>
            <w:r>
              <w:rPr>
                <w:rFonts w:hint="eastAsia" w:ascii="Times New Roman" w:hAnsi="Times New Roman" w:cs="宋体"/>
                <w:bCs/>
                <w:color w:val="auto"/>
                <w:kern w:val="2"/>
                <w:sz w:val="24"/>
                <w:szCs w:val="24"/>
                <w:lang w:val="en-US" w:eastAsia="zh-CN" w:bidi="ar-SA"/>
              </w:rPr>
              <w:t>内燃牵引机废气、汽车尾气</w:t>
            </w:r>
            <w:r>
              <w:rPr>
                <w:rFonts w:hint="eastAsia" w:ascii="Times New Roman" w:hAnsi="Times New Roman" w:eastAsia="宋体" w:cs="宋体"/>
                <w:bCs/>
                <w:color w:val="auto"/>
                <w:kern w:val="2"/>
                <w:sz w:val="24"/>
                <w:szCs w:val="24"/>
                <w:lang w:val="en-US" w:eastAsia="zh-CN" w:bidi="ar-SA"/>
              </w:rPr>
              <w:t>、</w:t>
            </w:r>
            <w:r>
              <w:rPr>
                <w:rFonts w:hint="eastAsia" w:ascii="Times New Roman" w:hAnsi="Times New Roman" w:cs="宋体"/>
                <w:bCs/>
                <w:color w:val="auto"/>
                <w:kern w:val="2"/>
                <w:sz w:val="24"/>
                <w:szCs w:val="24"/>
                <w:lang w:val="en-US" w:eastAsia="zh-CN" w:bidi="ar-SA"/>
              </w:rPr>
              <w:t>装卸设备废气</w:t>
            </w:r>
            <w:r>
              <w:rPr>
                <w:rFonts w:hint="eastAsia" w:ascii="Times New Roman" w:hAnsi="Times New Roman" w:eastAsia="宋体" w:cs="宋体"/>
                <w:bCs/>
                <w:color w:val="auto"/>
                <w:kern w:val="2"/>
                <w:sz w:val="24"/>
                <w:szCs w:val="24"/>
                <w:lang w:val="en-US" w:eastAsia="zh-CN" w:bidi="ar-SA"/>
              </w:rPr>
              <w:t>以及道路运输扬尘。</w:t>
            </w:r>
          </w:p>
          <w:p w14:paraId="4F4C9EF2">
            <w:pPr>
              <w:pStyle w:val="34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宋体"/>
                <w:bCs/>
                <w:color w:val="auto"/>
                <w:kern w:val="2"/>
                <w:sz w:val="24"/>
                <w:szCs w:val="24"/>
                <w:lang w:val="en-US" w:eastAsia="zh-CN" w:bidi="ar-SA"/>
              </w:rPr>
            </w:pPr>
            <w:r>
              <w:rPr>
                <w:rFonts w:hint="eastAsia" w:ascii="Times New Roman" w:hAnsi="Times New Roman" w:cs="宋体"/>
                <w:bCs/>
                <w:color w:val="auto"/>
                <w:kern w:val="2"/>
                <w:sz w:val="24"/>
                <w:szCs w:val="24"/>
                <w:lang w:val="en-US" w:eastAsia="zh-CN" w:bidi="ar-SA"/>
              </w:rPr>
              <w:t>（1）内燃机牵引废气</w:t>
            </w:r>
          </w:p>
          <w:p w14:paraId="43E45B4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本项目装卸线调车牵引为内燃机，燃料为柴油</w:t>
            </w:r>
            <w:r>
              <w:rPr>
                <w:rFonts w:hint="eastAsia" w:cs="Times New Roman"/>
                <w:color w:val="auto"/>
                <w:kern w:val="0"/>
                <w:sz w:val="24"/>
                <w:szCs w:val="24"/>
                <w:lang w:val="en-US" w:eastAsia="zh-CN" w:bidi="ar"/>
              </w:rPr>
              <w:t>，功率为1880kW</w:t>
            </w:r>
            <w:r>
              <w:rPr>
                <w:rFonts w:hint="default" w:ascii="Times New Roman" w:hAnsi="Times New Roman" w:eastAsia="宋体" w:cs="Times New Roman"/>
                <w:color w:val="auto"/>
                <w:kern w:val="0"/>
                <w:sz w:val="24"/>
                <w:szCs w:val="24"/>
                <w:lang w:val="en-US" w:eastAsia="zh-CN" w:bidi="ar"/>
              </w:rPr>
              <w:t>。主要污染物为颗粒物、CO、NOx、HC，</w:t>
            </w:r>
            <w:r>
              <w:rPr>
                <w:rFonts w:hint="eastAsia" w:cs="Times New Roman"/>
                <w:color w:val="auto"/>
                <w:kern w:val="0"/>
                <w:sz w:val="24"/>
                <w:szCs w:val="24"/>
                <w:lang w:val="en-US" w:eastAsia="zh-CN" w:bidi="ar"/>
              </w:rPr>
              <w:t>初期设计车流量为4.98次/日，</w:t>
            </w:r>
            <w:r>
              <w:rPr>
                <w:rFonts w:hint="eastAsia" w:cs="宋体"/>
                <w:color w:val="auto"/>
                <w:kern w:val="0"/>
                <w:sz w:val="24"/>
              </w:rPr>
              <w:t>近期</w:t>
            </w:r>
            <w:r>
              <w:rPr>
                <w:rFonts w:hint="default" w:ascii="Times New Roman" w:hAnsi="Times New Roman" w:eastAsia="宋体" w:cs="Times New Roman"/>
                <w:color w:val="auto"/>
                <w:kern w:val="0"/>
                <w:sz w:val="24"/>
                <w:szCs w:val="24"/>
                <w:lang w:val="en-US" w:eastAsia="zh-CN" w:bidi="ar"/>
              </w:rPr>
              <w:t>设计车流量为</w:t>
            </w:r>
            <w:r>
              <w:rPr>
                <w:rFonts w:hint="eastAsia" w:cs="宋体"/>
                <w:color w:val="auto"/>
                <w:kern w:val="0"/>
                <w:sz w:val="24"/>
                <w:lang w:val="en-US" w:eastAsia="zh-CN"/>
              </w:rPr>
              <w:t>2.87</w:t>
            </w:r>
            <w:r>
              <w:rPr>
                <w:rFonts w:hint="eastAsia" w:cs="宋体"/>
                <w:color w:val="auto"/>
                <w:kern w:val="0"/>
                <w:sz w:val="24"/>
              </w:rPr>
              <w:t>次/日，</w:t>
            </w:r>
            <w:r>
              <w:rPr>
                <w:rFonts w:hint="default" w:ascii="Times New Roman" w:hAnsi="Times New Roman" w:eastAsia="宋体" w:cs="Times New Roman"/>
                <w:color w:val="auto"/>
                <w:kern w:val="0"/>
                <w:sz w:val="24"/>
                <w:szCs w:val="24"/>
                <w:lang w:val="en-US" w:eastAsia="zh-CN" w:bidi="ar"/>
              </w:rPr>
              <w:t>远期设计车流量为</w:t>
            </w:r>
            <w:r>
              <w:rPr>
                <w:rFonts w:hint="eastAsia" w:cs="Times New Roman"/>
                <w:color w:val="auto"/>
                <w:kern w:val="0"/>
                <w:sz w:val="24"/>
                <w:szCs w:val="24"/>
                <w:lang w:val="en-US" w:eastAsia="zh-CN" w:bidi="ar"/>
              </w:rPr>
              <w:t>4.78</w:t>
            </w:r>
            <w:r>
              <w:rPr>
                <w:rFonts w:hint="default" w:ascii="Times New Roman" w:hAnsi="Times New Roman" w:eastAsia="宋体" w:cs="Times New Roman"/>
                <w:color w:val="auto"/>
                <w:kern w:val="0"/>
                <w:sz w:val="24"/>
                <w:szCs w:val="24"/>
                <w:lang w:val="en-US" w:eastAsia="zh-CN" w:bidi="ar"/>
              </w:rPr>
              <w:t>次/日，牵引质量为4000</w:t>
            </w:r>
            <w:r>
              <w:rPr>
                <w:rFonts w:hint="eastAsia" w:cs="Times New Roman"/>
                <w:color w:val="auto"/>
                <w:kern w:val="0"/>
                <w:sz w:val="24"/>
                <w:szCs w:val="24"/>
                <w:lang w:val="en-US" w:eastAsia="zh-CN" w:bidi="ar"/>
              </w:rPr>
              <w:t>t</w:t>
            </w:r>
            <w:r>
              <w:rPr>
                <w:rFonts w:hint="default" w:ascii="Times New Roman" w:hAnsi="Times New Roman" w:eastAsia="宋体" w:cs="Times New Roman"/>
                <w:color w:val="auto"/>
                <w:kern w:val="0"/>
                <w:sz w:val="24"/>
                <w:szCs w:val="24"/>
                <w:lang w:val="en-US" w:eastAsia="zh-CN" w:bidi="ar"/>
              </w:rPr>
              <w:t>，全年运行365d，采用中华人民共和国铁道行业标准《铁路内燃机车及其发动机排气污染物排放限值及测量方法（中国第一阶段）》(</w:t>
            </w:r>
            <w:r>
              <w:rPr>
                <w:rFonts w:hint="eastAsia" w:cs="Times New Roman"/>
                <w:color w:val="auto"/>
                <w:kern w:val="0"/>
                <w:sz w:val="24"/>
                <w:szCs w:val="24"/>
                <w:lang w:val="en-US" w:eastAsia="zh-CN" w:bidi="ar"/>
              </w:rPr>
              <w:t>GB45841-2025</w:t>
            </w:r>
            <w:r>
              <w:rPr>
                <w:rFonts w:hint="default" w:ascii="Times New Roman" w:hAnsi="Times New Roman" w:eastAsia="宋体" w:cs="Times New Roman"/>
                <w:color w:val="auto"/>
                <w:kern w:val="0"/>
                <w:sz w:val="24"/>
                <w:szCs w:val="24"/>
                <w:lang w:val="en-US" w:eastAsia="zh-CN" w:bidi="ar"/>
              </w:rPr>
              <w:t>)中柴油机污染物排放限值核算污染源强，颗粒物、CO、NOx、HC的源强见下表</w:t>
            </w:r>
            <w:r>
              <w:rPr>
                <w:rFonts w:hint="eastAsia" w:cs="Times New Roman"/>
                <w:color w:val="auto"/>
                <w:kern w:val="0"/>
                <w:sz w:val="24"/>
                <w:szCs w:val="24"/>
                <w:lang w:val="en-US" w:eastAsia="zh-CN" w:bidi="ar"/>
              </w:rPr>
              <w:t>4-3；</w:t>
            </w:r>
            <w:r>
              <w:rPr>
                <w:rFonts w:hint="default" w:ascii="Times New Roman" w:hAnsi="Times New Roman" w:eastAsia="宋体" w:cs="Times New Roman"/>
                <w:color w:val="auto"/>
                <w:kern w:val="0"/>
                <w:sz w:val="24"/>
                <w:szCs w:val="24"/>
                <w:lang w:val="en-US" w:eastAsia="zh-CN" w:bidi="ar"/>
              </w:rPr>
              <w:t>根据设计</w:t>
            </w:r>
            <w:r>
              <w:rPr>
                <w:rFonts w:hint="eastAsia" w:cs="Times New Roman"/>
                <w:color w:val="auto"/>
                <w:kern w:val="0"/>
                <w:sz w:val="24"/>
                <w:szCs w:val="24"/>
                <w:lang w:val="en-US" w:eastAsia="zh-CN" w:bidi="ar"/>
              </w:rPr>
              <w:t>本项目</w:t>
            </w:r>
            <w:r>
              <w:rPr>
                <w:rFonts w:hint="default" w:ascii="Times New Roman" w:hAnsi="Times New Roman" w:eastAsia="宋体" w:cs="Times New Roman"/>
                <w:color w:val="auto"/>
                <w:kern w:val="0"/>
                <w:sz w:val="24"/>
                <w:szCs w:val="24"/>
                <w:lang w:val="en-US" w:eastAsia="zh-CN" w:bidi="ar"/>
              </w:rPr>
              <w:t>调车行驶速度为</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0km/h，预测计算速度可按设计最高速度的90%确定，因此，本次影响预测速度为</w:t>
            </w:r>
            <w:r>
              <w:rPr>
                <w:rFonts w:hint="eastAsia" w:cs="Times New Roman"/>
                <w:color w:val="auto"/>
                <w:kern w:val="0"/>
                <w:sz w:val="24"/>
                <w:szCs w:val="24"/>
                <w:lang w:val="en-US" w:eastAsia="zh-CN" w:bidi="ar"/>
              </w:rPr>
              <w:t>27</w:t>
            </w:r>
            <w:r>
              <w:rPr>
                <w:rFonts w:hint="default" w:ascii="Times New Roman" w:hAnsi="Times New Roman" w:eastAsia="宋体" w:cs="Times New Roman"/>
                <w:color w:val="auto"/>
                <w:kern w:val="0"/>
                <w:sz w:val="24"/>
                <w:szCs w:val="24"/>
                <w:lang w:val="en-US" w:eastAsia="zh-CN" w:bidi="ar"/>
              </w:rPr>
              <w:t>km/h，本项目</w:t>
            </w:r>
            <w:r>
              <w:rPr>
                <w:rFonts w:hint="eastAsia" w:cs="Times New Roman"/>
                <w:color w:val="auto"/>
                <w:kern w:val="0"/>
                <w:sz w:val="24"/>
                <w:szCs w:val="24"/>
                <w:lang w:val="en-US" w:eastAsia="zh-CN" w:bidi="ar"/>
              </w:rPr>
              <w:t>装卸有效长度为770</w:t>
            </w:r>
            <w:r>
              <w:rPr>
                <w:rFonts w:hint="default" w:ascii="Times New Roman" w:hAnsi="Times New Roman" w:eastAsia="宋体" w:cs="Times New Roman"/>
                <w:color w:val="auto"/>
                <w:kern w:val="0"/>
                <w:sz w:val="24"/>
                <w:szCs w:val="24"/>
                <w:lang w:val="en-US" w:eastAsia="zh-CN" w:bidi="ar"/>
              </w:rPr>
              <w:t>m，项目每趟列车实际运行时间为</w:t>
            </w:r>
            <w:r>
              <w:rPr>
                <w:rFonts w:hint="eastAsia" w:cs="Times New Roman"/>
                <w:color w:val="auto"/>
                <w:kern w:val="0"/>
                <w:sz w:val="24"/>
                <w:szCs w:val="24"/>
                <w:lang w:val="en-US" w:eastAsia="zh-CN" w:bidi="ar"/>
              </w:rPr>
              <w:t>S（770m）÷V（27km/h）=T（1.71</w:t>
            </w:r>
            <w:r>
              <w:rPr>
                <w:rFonts w:hint="default" w:ascii="Times New Roman" w:hAnsi="Times New Roman" w:eastAsia="宋体" w:cs="Times New Roman"/>
                <w:color w:val="auto"/>
                <w:kern w:val="0"/>
                <w:sz w:val="24"/>
                <w:szCs w:val="24"/>
                <w:lang w:val="en-US" w:eastAsia="zh-CN" w:bidi="ar"/>
              </w:rPr>
              <w:t>min</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，全年运行天数按365d计，初期设计车流量为</w:t>
            </w:r>
            <w:r>
              <w:rPr>
                <w:rFonts w:hint="eastAsia" w:cs="Times New Roman"/>
                <w:color w:val="auto"/>
                <w:kern w:val="0"/>
                <w:sz w:val="24"/>
                <w:szCs w:val="24"/>
                <w:lang w:val="en-US" w:eastAsia="zh-CN" w:bidi="ar"/>
              </w:rPr>
              <w:t>4.98</w:t>
            </w:r>
            <w:r>
              <w:rPr>
                <w:rFonts w:hint="default" w:ascii="Times New Roman" w:hAnsi="Times New Roman" w:eastAsia="宋体" w:cs="Times New Roman"/>
                <w:color w:val="auto"/>
                <w:kern w:val="0"/>
                <w:sz w:val="24"/>
                <w:szCs w:val="24"/>
                <w:lang w:val="en-US" w:eastAsia="zh-CN" w:bidi="ar"/>
              </w:rPr>
              <w:t>次/日（按</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次/日计算），</w:t>
            </w:r>
            <w:r>
              <w:rPr>
                <w:rFonts w:hint="eastAsia" w:cs="Times New Roman"/>
                <w:color w:val="auto"/>
                <w:kern w:val="0"/>
                <w:sz w:val="24"/>
                <w:szCs w:val="24"/>
                <w:lang w:val="en-US" w:eastAsia="zh-CN" w:bidi="ar"/>
              </w:rPr>
              <w:t>近期</w:t>
            </w:r>
            <w:r>
              <w:rPr>
                <w:rFonts w:hint="default" w:ascii="Times New Roman" w:hAnsi="Times New Roman" w:eastAsia="宋体" w:cs="Times New Roman"/>
                <w:color w:val="auto"/>
                <w:kern w:val="0"/>
                <w:sz w:val="24"/>
                <w:szCs w:val="24"/>
                <w:lang w:val="en-US" w:eastAsia="zh-CN" w:bidi="ar"/>
              </w:rPr>
              <w:t>设计车流量为</w:t>
            </w:r>
            <w:r>
              <w:rPr>
                <w:rFonts w:hint="eastAsia" w:cs="宋体"/>
                <w:color w:val="auto"/>
                <w:kern w:val="0"/>
                <w:sz w:val="24"/>
                <w:lang w:val="en-US" w:eastAsia="zh-CN"/>
              </w:rPr>
              <w:t>2.87</w:t>
            </w:r>
            <w:r>
              <w:rPr>
                <w:rFonts w:hint="eastAsia" w:cs="宋体"/>
                <w:color w:val="auto"/>
                <w:kern w:val="0"/>
                <w:sz w:val="24"/>
              </w:rPr>
              <w:t>次/日</w:t>
            </w:r>
            <w:r>
              <w:rPr>
                <w:rFonts w:hint="eastAsia" w:cs="Times New Roman"/>
                <w:color w:val="auto"/>
                <w:kern w:val="0"/>
                <w:sz w:val="24"/>
                <w:szCs w:val="24"/>
                <w:lang w:val="en-US" w:eastAsia="zh-CN" w:bidi="ar"/>
              </w:rPr>
              <w:t>（按3次</w:t>
            </w:r>
            <w:r>
              <w:rPr>
                <w:rFonts w:hint="default" w:ascii="Times New Roman" w:hAnsi="Times New Roman" w:eastAsia="宋体" w:cs="Times New Roman"/>
                <w:color w:val="auto"/>
                <w:kern w:val="0"/>
                <w:sz w:val="24"/>
                <w:szCs w:val="24"/>
                <w:lang w:val="en-US" w:eastAsia="zh-CN" w:bidi="ar"/>
              </w:rPr>
              <w:t>/日</w:t>
            </w:r>
            <w:r>
              <w:rPr>
                <w:rFonts w:hint="eastAsia" w:cs="Times New Roman"/>
                <w:color w:val="auto"/>
                <w:kern w:val="0"/>
                <w:sz w:val="24"/>
                <w:szCs w:val="24"/>
                <w:lang w:val="en-US" w:eastAsia="zh-CN" w:bidi="ar"/>
              </w:rPr>
              <w:t>计算）</w:t>
            </w:r>
            <w:r>
              <w:rPr>
                <w:rFonts w:hint="eastAsia" w:cs="宋体"/>
                <w:color w:val="auto"/>
                <w:kern w:val="0"/>
                <w:sz w:val="24"/>
                <w:lang w:eastAsia="zh-CN"/>
              </w:rPr>
              <w:t>，</w:t>
            </w:r>
            <w:r>
              <w:rPr>
                <w:rFonts w:hint="default" w:ascii="Times New Roman" w:hAnsi="Times New Roman" w:eastAsia="宋体" w:cs="Times New Roman"/>
                <w:color w:val="auto"/>
                <w:kern w:val="0"/>
                <w:sz w:val="24"/>
                <w:szCs w:val="24"/>
                <w:lang w:val="en-US" w:eastAsia="zh-CN" w:bidi="ar"/>
              </w:rPr>
              <w:t>远期设计车流量为</w:t>
            </w:r>
            <w:r>
              <w:rPr>
                <w:rFonts w:hint="eastAsia" w:cs="Times New Roman"/>
                <w:color w:val="auto"/>
                <w:kern w:val="0"/>
                <w:sz w:val="24"/>
                <w:szCs w:val="24"/>
                <w:lang w:val="en-US" w:eastAsia="zh-CN" w:bidi="ar"/>
              </w:rPr>
              <w:t>4.78次</w:t>
            </w:r>
            <w:r>
              <w:rPr>
                <w:rFonts w:hint="default" w:ascii="Times New Roman" w:hAnsi="Times New Roman" w:eastAsia="宋体" w:cs="Times New Roman"/>
                <w:color w:val="auto"/>
                <w:kern w:val="0"/>
                <w:sz w:val="24"/>
                <w:szCs w:val="24"/>
                <w:lang w:val="en-US" w:eastAsia="zh-CN" w:bidi="ar"/>
              </w:rPr>
              <w:t>/日</w:t>
            </w:r>
            <w:r>
              <w:rPr>
                <w:rFonts w:hint="eastAsia" w:cs="Times New Roman"/>
                <w:color w:val="auto"/>
                <w:kern w:val="0"/>
                <w:sz w:val="24"/>
                <w:szCs w:val="24"/>
                <w:lang w:val="en-US" w:eastAsia="zh-CN" w:bidi="ar"/>
              </w:rPr>
              <w:t>（按5次</w:t>
            </w:r>
            <w:r>
              <w:rPr>
                <w:rFonts w:hint="default" w:ascii="Times New Roman" w:hAnsi="Times New Roman" w:eastAsia="宋体" w:cs="Times New Roman"/>
                <w:color w:val="auto"/>
                <w:kern w:val="0"/>
                <w:sz w:val="24"/>
                <w:szCs w:val="24"/>
                <w:lang w:val="en-US" w:eastAsia="zh-CN" w:bidi="ar"/>
              </w:rPr>
              <w:t>/日</w:t>
            </w:r>
            <w:r>
              <w:rPr>
                <w:rFonts w:hint="eastAsia" w:cs="Times New Roman"/>
                <w:color w:val="auto"/>
                <w:kern w:val="0"/>
                <w:sz w:val="24"/>
                <w:szCs w:val="24"/>
                <w:lang w:val="en-US" w:eastAsia="zh-CN" w:bidi="ar"/>
              </w:rPr>
              <w:t>计算）</w:t>
            </w:r>
            <w:r>
              <w:rPr>
                <w:rFonts w:hint="default" w:ascii="Times New Roman" w:hAnsi="Times New Roman" w:eastAsia="宋体" w:cs="Times New Roman"/>
                <w:color w:val="auto"/>
                <w:kern w:val="0"/>
                <w:sz w:val="24"/>
                <w:szCs w:val="24"/>
                <w:lang w:val="en-US" w:eastAsia="zh-CN" w:bidi="ar"/>
              </w:rPr>
              <w:t>，则内燃机运行污染物排放情况见下表：</w:t>
            </w:r>
          </w:p>
          <w:p w14:paraId="6641CF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表</w:t>
            </w:r>
            <w:r>
              <w:rPr>
                <w:rFonts w:hint="eastAsia" w:cs="Times New Roman"/>
                <w:b/>
                <w:bCs/>
                <w:color w:val="auto"/>
                <w:kern w:val="0"/>
                <w:sz w:val="24"/>
                <w:szCs w:val="24"/>
                <w:lang w:val="en-US" w:eastAsia="zh-CN" w:bidi="ar"/>
              </w:rPr>
              <w:t>4-3</w:t>
            </w:r>
            <w:r>
              <w:rPr>
                <w:rFonts w:hint="default" w:ascii="Times New Roman" w:hAnsi="Times New Roman" w:eastAsia="宋体" w:cs="Times New Roman"/>
                <w:b/>
                <w:bCs/>
                <w:color w:val="auto"/>
                <w:kern w:val="0"/>
                <w:sz w:val="24"/>
                <w:szCs w:val="24"/>
                <w:lang w:val="en-US" w:eastAsia="zh-CN" w:bidi="ar"/>
              </w:rPr>
              <w:t>内燃牵引机污染物排放系数表</w:t>
            </w:r>
          </w:p>
          <w:tbl>
            <w:tblPr>
              <w:tblStyle w:val="47"/>
              <w:tblW w:w="4998" w:type="pct"/>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1690"/>
              <w:gridCol w:w="1690"/>
              <w:gridCol w:w="1690"/>
              <w:gridCol w:w="1690"/>
            </w:tblGrid>
            <w:tr w14:paraId="4D6B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vAlign w:val="center"/>
                </w:tcPr>
                <w:p w14:paraId="7A5170D7">
                  <w:p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b/>
                      <w:bCs/>
                      <w:color w:val="auto"/>
                      <w:sz w:val="21"/>
                      <w:szCs w:val="21"/>
                      <w:vertAlign w:val="baseline"/>
                      <w:lang w:eastAsia="zh-CN"/>
                    </w:rPr>
                    <w:t>项目</w:t>
                  </w:r>
                </w:p>
              </w:tc>
              <w:tc>
                <w:tcPr>
                  <w:tcW w:w="1000" w:type="pct"/>
                  <w:vAlign w:val="center"/>
                </w:tcPr>
                <w:p w14:paraId="7CC4E552">
                  <w:pPr>
                    <w:jc w:val="center"/>
                    <w:rPr>
                      <w:rFonts w:hint="default" w:ascii="Times New Roman" w:hAnsi="Times New Roman" w:cs="Times New Roman" w:eastAsiaTheme="minorEastAsia"/>
                      <w:b/>
                      <w:bCs/>
                      <w:color w:val="auto"/>
                      <w:sz w:val="21"/>
                      <w:szCs w:val="21"/>
                      <w:vertAlign w:val="baseline"/>
                      <w:lang w:eastAsia="zh-CN"/>
                    </w:rPr>
                  </w:pPr>
                  <w:r>
                    <w:rPr>
                      <w:rFonts w:hint="default" w:ascii="Times New Roman" w:hAnsi="Times New Roman" w:cs="Times New Roman"/>
                      <w:b/>
                      <w:bCs/>
                      <w:color w:val="auto"/>
                      <w:sz w:val="21"/>
                      <w:szCs w:val="21"/>
                      <w:vertAlign w:val="baseline"/>
                      <w:lang w:eastAsia="zh-CN"/>
                    </w:rPr>
                    <w:t>颗粒物</w:t>
                  </w:r>
                </w:p>
              </w:tc>
              <w:tc>
                <w:tcPr>
                  <w:tcW w:w="1000" w:type="pct"/>
                  <w:vAlign w:val="center"/>
                </w:tcPr>
                <w:p w14:paraId="3AC9BC0F">
                  <w:pPr>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CO</w:t>
                  </w:r>
                </w:p>
              </w:tc>
              <w:tc>
                <w:tcPr>
                  <w:tcW w:w="1000" w:type="pct"/>
                  <w:vAlign w:val="center"/>
                </w:tcPr>
                <w:p w14:paraId="5FF55CE4">
                  <w:pPr>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NO</w:t>
                  </w:r>
                  <w:r>
                    <w:rPr>
                      <w:rFonts w:hint="default" w:ascii="Times New Roman" w:hAnsi="Times New Roman" w:cs="Times New Roman"/>
                      <w:b/>
                      <w:bCs/>
                      <w:color w:val="auto"/>
                      <w:sz w:val="21"/>
                      <w:szCs w:val="21"/>
                      <w:vertAlign w:val="subscript"/>
                      <w:lang w:val="en-US" w:eastAsia="zh-CN"/>
                    </w:rPr>
                    <w:t>X</w:t>
                  </w:r>
                </w:p>
              </w:tc>
              <w:tc>
                <w:tcPr>
                  <w:tcW w:w="1000" w:type="pct"/>
                  <w:vAlign w:val="center"/>
                </w:tcPr>
                <w:p w14:paraId="0ADC8507">
                  <w:pPr>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HC</w:t>
                  </w:r>
                </w:p>
              </w:tc>
            </w:tr>
            <w:tr w14:paraId="4B70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vAlign w:val="center"/>
                </w:tcPr>
                <w:p w14:paraId="0E632E33">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机车排放限值g/kw·h</w:t>
                  </w:r>
                </w:p>
              </w:tc>
              <w:tc>
                <w:tcPr>
                  <w:tcW w:w="1000" w:type="pct"/>
                  <w:vAlign w:val="center"/>
                </w:tcPr>
                <w:p w14:paraId="500EB18A">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0.2</w:t>
                  </w:r>
                </w:p>
              </w:tc>
              <w:tc>
                <w:tcPr>
                  <w:tcW w:w="1000" w:type="pct"/>
                  <w:vAlign w:val="center"/>
                </w:tcPr>
                <w:p w14:paraId="0DC8C4C3">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w:t>
                  </w:r>
                </w:p>
              </w:tc>
              <w:tc>
                <w:tcPr>
                  <w:tcW w:w="1000" w:type="pct"/>
                  <w:vAlign w:val="center"/>
                </w:tcPr>
                <w:p w14:paraId="7D7EDBB4">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w:t>
                  </w:r>
                </w:p>
              </w:tc>
              <w:tc>
                <w:tcPr>
                  <w:tcW w:w="1000" w:type="pct"/>
                  <w:vAlign w:val="center"/>
                </w:tcPr>
                <w:p w14:paraId="4CE79F31">
                  <w:pPr>
                    <w:jc w:val="center"/>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w:t>
                  </w:r>
                </w:p>
              </w:tc>
            </w:tr>
          </w:tbl>
          <w:p w14:paraId="1ACB7501">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kern w:val="0"/>
                <w:sz w:val="24"/>
                <w:szCs w:val="24"/>
                <w:lang w:val="en-US" w:eastAsia="zh-CN" w:bidi="ar"/>
              </w:rPr>
            </w:pPr>
          </w:p>
          <w:p w14:paraId="6D411921">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kern w:val="0"/>
                <w:sz w:val="24"/>
                <w:szCs w:val="24"/>
                <w:lang w:val="en-US" w:eastAsia="zh-CN" w:bidi="ar"/>
              </w:rPr>
            </w:pPr>
          </w:p>
          <w:p w14:paraId="451B2A39">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kern w:val="0"/>
                <w:sz w:val="24"/>
                <w:szCs w:val="24"/>
                <w:lang w:val="en-US" w:eastAsia="zh-CN" w:bidi="ar"/>
              </w:rPr>
            </w:pPr>
          </w:p>
          <w:p w14:paraId="28F2CC8C">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表</w:t>
            </w:r>
            <w:r>
              <w:rPr>
                <w:rFonts w:hint="eastAsia" w:cs="Times New Roman"/>
                <w:b/>
                <w:bCs/>
                <w:color w:val="auto"/>
                <w:kern w:val="0"/>
                <w:sz w:val="24"/>
                <w:szCs w:val="24"/>
                <w:lang w:val="en-US" w:eastAsia="zh-CN" w:bidi="ar"/>
              </w:rPr>
              <w:t>4-4</w:t>
            </w:r>
            <w:r>
              <w:rPr>
                <w:rFonts w:hint="default" w:ascii="Times New Roman" w:hAnsi="Times New Roman" w:eastAsia="宋体" w:cs="Times New Roman"/>
                <w:b/>
                <w:bCs/>
                <w:color w:val="auto"/>
                <w:kern w:val="0"/>
                <w:sz w:val="24"/>
                <w:szCs w:val="24"/>
                <w:lang w:val="en-US" w:eastAsia="zh-CN" w:bidi="ar"/>
              </w:rPr>
              <w:t>内燃牵引机污染物</w:t>
            </w:r>
            <w:r>
              <w:rPr>
                <w:rFonts w:hint="default" w:ascii="Times New Roman" w:hAnsi="Times New Roman" w:cs="Times New Roman"/>
                <w:b/>
                <w:bCs/>
                <w:color w:val="auto"/>
                <w:sz w:val="24"/>
                <w:szCs w:val="32"/>
                <w:u w:val="none"/>
              </w:rPr>
              <w:t>产排情况一览表</w:t>
            </w:r>
          </w:p>
          <w:tbl>
            <w:tblPr>
              <w:tblStyle w:val="46"/>
              <w:tblW w:w="4997" w:type="pct"/>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2"/>
              <w:gridCol w:w="691"/>
              <w:gridCol w:w="730"/>
              <w:gridCol w:w="1220"/>
              <w:gridCol w:w="1274"/>
              <w:gridCol w:w="965"/>
              <w:gridCol w:w="1203"/>
              <w:gridCol w:w="1372"/>
            </w:tblGrid>
            <w:tr w14:paraId="0C4D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restart"/>
                  <w:noWrap w:val="0"/>
                  <w:tcMar>
                    <w:top w:w="15" w:type="dxa"/>
                    <w:left w:w="15" w:type="dxa"/>
                    <w:right w:w="15" w:type="dxa"/>
                  </w:tcMar>
                  <w:vAlign w:val="center"/>
                </w:tcPr>
                <w:p w14:paraId="74941952">
                  <w:pPr>
                    <w:widowControl/>
                    <w:adjustRightInd w:val="0"/>
                    <w:snapToGrid w:val="0"/>
                    <w:jc w:val="center"/>
                    <w:textAlignment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kern w:val="0"/>
                      <w:sz w:val="21"/>
                      <w:szCs w:val="21"/>
                      <w:u w:val="none"/>
                      <w:lang w:bidi="ar"/>
                    </w:rPr>
                    <w:t>污染源</w:t>
                  </w:r>
                </w:p>
              </w:tc>
              <w:tc>
                <w:tcPr>
                  <w:tcW w:w="409" w:type="pct"/>
                  <w:vMerge w:val="restart"/>
                  <w:noWrap w:val="0"/>
                  <w:tcMar>
                    <w:top w:w="15" w:type="dxa"/>
                    <w:left w:w="15" w:type="dxa"/>
                    <w:right w:w="15" w:type="dxa"/>
                  </w:tcMar>
                  <w:vAlign w:val="center"/>
                </w:tcPr>
                <w:p w14:paraId="0E58E8F8">
                  <w:pPr>
                    <w:widowControl/>
                    <w:adjustRightInd w:val="0"/>
                    <w:snapToGrid w:val="0"/>
                    <w:jc w:val="center"/>
                    <w:textAlignment w:val="center"/>
                    <w:rPr>
                      <w:rFonts w:hint="default" w:ascii="Times New Roman" w:hAnsi="Times New Roman" w:eastAsia="宋体" w:cs="Times New Roman"/>
                      <w:b/>
                      <w:bCs/>
                      <w:color w:val="auto"/>
                      <w:kern w:val="0"/>
                      <w:sz w:val="21"/>
                      <w:szCs w:val="21"/>
                      <w:u w:val="none"/>
                      <w:lang w:bidi="ar"/>
                    </w:rPr>
                  </w:pPr>
                  <w:r>
                    <w:rPr>
                      <w:rFonts w:hint="default" w:ascii="Times New Roman" w:hAnsi="Times New Roman" w:eastAsia="宋体" w:cs="Times New Roman"/>
                      <w:b/>
                      <w:bCs/>
                      <w:color w:val="auto"/>
                      <w:kern w:val="0"/>
                      <w:sz w:val="21"/>
                      <w:szCs w:val="21"/>
                      <w:u w:val="none"/>
                      <w:lang w:bidi="ar"/>
                    </w:rPr>
                    <w:t>排放</w:t>
                  </w:r>
                </w:p>
                <w:p w14:paraId="55795C32">
                  <w:pPr>
                    <w:widowControl/>
                    <w:adjustRightInd w:val="0"/>
                    <w:snapToGrid w:val="0"/>
                    <w:jc w:val="center"/>
                    <w:textAlignment w:val="center"/>
                    <w:rPr>
                      <w:rFonts w:hint="default" w:ascii="Times New Roman" w:hAnsi="Times New Roman" w:eastAsia="宋体" w:cs="Times New Roman"/>
                      <w:b/>
                      <w:bCs/>
                      <w:color w:val="auto"/>
                      <w:kern w:val="0"/>
                      <w:sz w:val="21"/>
                      <w:szCs w:val="21"/>
                      <w:u w:val="none"/>
                      <w:lang w:bidi="ar"/>
                    </w:rPr>
                  </w:pPr>
                  <w:r>
                    <w:rPr>
                      <w:rFonts w:hint="default" w:ascii="Times New Roman" w:hAnsi="Times New Roman" w:eastAsia="宋体" w:cs="Times New Roman"/>
                      <w:b/>
                      <w:bCs/>
                      <w:color w:val="auto"/>
                      <w:kern w:val="0"/>
                      <w:sz w:val="21"/>
                      <w:szCs w:val="21"/>
                      <w:u w:val="none"/>
                      <w:lang w:bidi="ar"/>
                    </w:rPr>
                    <w:t>方式</w:t>
                  </w:r>
                </w:p>
              </w:tc>
              <w:tc>
                <w:tcPr>
                  <w:tcW w:w="432" w:type="pct"/>
                  <w:vMerge w:val="restart"/>
                  <w:noWrap w:val="0"/>
                  <w:tcMar>
                    <w:top w:w="15" w:type="dxa"/>
                    <w:left w:w="15" w:type="dxa"/>
                    <w:right w:w="15" w:type="dxa"/>
                  </w:tcMar>
                  <w:vAlign w:val="center"/>
                </w:tcPr>
                <w:p w14:paraId="7FD35889">
                  <w:pPr>
                    <w:widowControl/>
                    <w:adjustRightInd w:val="0"/>
                    <w:snapToGrid w:val="0"/>
                    <w:jc w:val="center"/>
                    <w:textAlignment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污染物</w:t>
                  </w:r>
                </w:p>
              </w:tc>
              <w:tc>
                <w:tcPr>
                  <w:tcW w:w="1476" w:type="pct"/>
                  <w:gridSpan w:val="2"/>
                  <w:noWrap w:val="0"/>
                  <w:tcMar>
                    <w:top w:w="15" w:type="dxa"/>
                    <w:left w:w="15" w:type="dxa"/>
                    <w:right w:w="15" w:type="dxa"/>
                  </w:tcMar>
                  <w:vAlign w:val="center"/>
                </w:tcPr>
                <w:p w14:paraId="574AEB94">
                  <w:pPr>
                    <w:widowControl/>
                    <w:adjustRightInd w:val="0"/>
                    <w:snapToGrid w:val="0"/>
                    <w:jc w:val="center"/>
                    <w:textAlignment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kern w:val="0"/>
                      <w:sz w:val="21"/>
                      <w:szCs w:val="21"/>
                      <w:u w:val="none"/>
                      <w:lang w:bidi="ar"/>
                    </w:rPr>
                    <w:t>产生情况</w:t>
                  </w:r>
                </w:p>
              </w:tc>
              <w:tc>
                <w:tcPr>
                  <w:tcW w:w="571" w:type="pct"/>
                  <w:vMerge w:val="restart"/>
                  <w:noWrap w:val="0"/>
                  <w:tcMar>
                    <w:top w:w="15" w:type="dxa"/>
                    <w:left w:w="15" w:type="dxa"/>
                    <w:right w:w="15" w:type="dxa"/>
                  </w:tcMar>
                  <w:vAlign w:val="center"/>
                </w:tcPr>
                <w:p w14:paraId="0D7FF147">
                  <w:pPr>
                    <w:widowControl/>
                    <w:adjustRightInd w:val="0"/>
                    <w:snapToGrid w:val="0"/>
                    <w:jc w:val="center"/>
                    <w:textAlignment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处理措施</w:t>
                  </w:r>
                </w:p>
              </w:tc>
              <w:tc>
                <w:tcPr>
                  <w:tcW w:w="1523" w:type="pct"/>
                  <w:gridSpan w:val="2"/>
                  <w:noWrap w:val="0"/>
                  <w:tcMar>
                    <w:top w:w="15" w:type="dxa"/>
                    <w:left w:w="15" w:type="dxa"/>
                    <w:right w:w="15" w:type="dxa"/>
                  </w:tcMar>
                  <w:vAlign w:val="center"/>
                </w:tcPr>
                <w:p w14:paraId="51B7ED37">
                  <w:pPr>
                    <w:widowControl/>
                    <w:adjustRightInd w:val="0"/>
                    <w:snapToGrid w:val="0"/>
                    <w:jc w:val="center"/>
                    <w:textAlignment w:val="center"/>
                    <w:rPr>
                      <w:rFonts w:hint="default" w:ascii="Times New Roman" w:hAnsi="Times New Roman" w:eastAsia="宋体" w:cs="Times New Roman"/>
                      <w:b/>
                      <w:bCs/>
                      <w:color w:val="auto"/>
                      <w:kern w:val="0"/>
                      <w:sz w:val="21"/>
                      <w:szCs w:val="21"/>
                      <w:u w:val="none"/>
                      <w:lang w:bidi="ar"/>
                    </w:rPr>
                  </w:pPr>
                  <w:r>
                    <w:rPr>
                      <w:rFonts w:hint="default" w:ascii="Times New Roman" w:hAnsi="Times New Roman" w:eastAsia="宋体" w:cs="Times New Roman"/>
                      <w:b/>
                      <w:bCs/>
                      <w:color w:val="auto"/>
                      <w:kern w:val="0"/>
                      <w:sz w:val="21"/>
                      <w:szCs w:val="21"/>
                      <w:u w:val="none"/>
                      <w:lang w:bidi="ar"/>
                    </w:rPr>
                    <w:t>排放情况</w:t>
                  </w:r>
                </w:p>
              </w:tc>
            </w:tr>
            <w:tr w14:paraId="135B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5B660ECD">
                  <w:pPr>
                    <w:widowControl/>
                    <w:adjustRightInd w:val="0"/>
                    <w:snapToGrid w:val="0"/>
                    <w:jc w:val="center"/>
                    <w:rPr>
                      <w:rFonts w:hint="default" w:ascii="Times New Roman" w:hAnsi="Times New Roman" w:eastAsia="宋体" w:cs="Times New Roman"/>
                      <w:b/>
                      <w:bCs/>
                      <w:color w:val="auto"/>
                      <w:sz w:val="21"/>
                      <w:szCs w:val="21"/>
                      <w:u w:val="none"/>
                    </w:rPr>
                  </w:pPr>
                </w:p>
              </w:tc>
              <w:tc>
                <w:tcPr>
                  <w:tcW w:w="409" w:type="pct"/>
                  <w:vMerge w:val="continue"/>
                  <w:noWrap w:val="0"/>
                  <w:tcMar>
                    <w:top w:w="15" w:type="dxa"/>
                    <w:left w:w="15" w:type="dxa"/>
                    <w:right w:w="15" w:type="dxa"/>
                  </w:tcMar>
                  <w:vAlign w:val="center"/>
                </w:tcPr>
                <w:p w14:paraId="383FFCA7">
                  <w:pPr>
                    <w:widowControl/>
                    <w:adjustRightInd w:val="0"/>
                    <w:snapToGrid w:val="0"/>
                    <w:jc w:val="center"/>
                    <w:textAlignment w:val="center"/>
                    <w:rPr>
                      <w:rFonts w:hint="default" w:ascii="Times New Roman" w:hAnsi="Times New Roman" w:eastAsia="宋体" w:cs="Times New Roman"/>
                      <w:b/>
                      <w:bCs/>
                      <w:color w:val="auto"/>
                      <w:sz w:val="21"/>
                      <w:szCs w:val="21"/>
                      <w:u w:val="none"/>
                    </w:rPr>
                  </w:pPr>
                </w:p>
              </w:tc>
              <w:tc>
                <w:tcPr>
                  <w:tcW w:w="432" w:type="pct"/>
                  <w:vMerge w:val="continue"/>
                  <w:noWrap w:val="0"/>
                  <w:tcMar>
                    <w:top w:w="15" w:type="dxa"/>
                    <w:left w:w="15" w:type="dxa"/>
                    <w:right w:w="15" w:type="dxa"/>
                  </w:tcMar>
                  <w:vAlign w:val="center"/>
                </w:tcPr>
                <w:p w14:paraId="58B5B6D9">
                  <w:pPr>
                    <w:widowControl/>
                    <w:adjustRightInd w:val="0"/>
                    <w:snapToGrid w:val="0"/>
                    <w:jc w:val="center"/>
                    <w:textAlignment w:val="center"/>
                    <w:rPr>
                      <w:rFonts w:hint="default" w:ascii="Times New Roman" w:hAnsi="Times New Roman" w:eastAsia="宋体" w:cs="Times New Roman"/>
                      <w:b/>
                      <w:bCs/>
                      <w:color w:val="auto"/>
                      <w:sz w:val="21"/>
                      <w:szCs w:val="21"/>
                      <w:u w:val="none"/>
                    </w:rPr>
                  </w:pPr>
                </w:p>
              </w:tc>
              <w:tc>
                <w:tcPr>
                  <w:tcW w:w="722" w:type="pct"/>
                  <w:noWrap w:val="0"/>
                  <w:tcMar>
                    <w:top w:w="15" w:type="dxa"/>
                    <w:left w:w="15" w:type="dxa"/>
                    <w:right w:w="15" w:type="dxa"/>
                  </w:tcMar>
                  <w:vAlign w:val="center"/>
                </w:tcPr>
                <w:p w14:paraId="373B5D26">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u w:val="none"/>
                      <w:lang w:val="en-US" w:eastAsia="zh-CN" w:bidi="ar"/>
                    </w:rPr>
                  </w:pPr>
                  <w:r>
                    <w:rPr>
                      <w:rFonts w:hint="default" w:ascii="Times New Roman" w:hAnsi="Times New Roman" w:eastAsia="宋体" w:cs="Times New Roman"/>
                      <w:b/>
                      <w:bCs/>
                      <w:color w:val="auto"/>
                      <w:kern w:val="0"/>
                      <w:sz w:val="21"/>
                      <w:szCs w:val="21"/>
                      <w:u w:val="none"/>
                      <w:lang w:bidi="ar"/>
                    </w:rPr>
                    <w:t>速率（kg/h）</w:t>
                  </w:r>
                </w:p>
              </w:tc>
              <w:tc>
                <w:tcPr>
                  <w:tcW w:w="753" w:type="pct"/>
                  <w:noWrap w:val="0"/>
                  <w:tcMar>
                    <w:top w:w="15" w:type="dxa"/>
                    <w:left w:w="15" w:type="dxa"/>
                    <w:right w:w="15" w:type="dxa"/>
                  </w:tcMar>
                  <w:vAlign w:val="center"/>
                </w:tcPr>
                <w:p w14:paraId="2613B8CB">
                  <w:pPr>
                    <w:widowControl/>
                    <w:jc w:val="center"/>
                    <w:textAlignment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kern w:val="0"/>
                      <w:sz w:val="21"/>
                      <w:szCs w:val="21"/>
                      <w:u w:val="none"/>
                      <w:lang w:bidi="ar"/>
                    </w:rPr>
                    <w:t>产生量（t/a）</w:t>
                  </w:r>
                </w:p>
              </w:tc>
              <w:tc>
                <w:tcPr>
                  <w:tcW w:w="571" w:type="pct"/>
                  <w:vMerge w:val="continue"/>
                  <w:noWrap w:val="0"/>
                  <w:tcMar>
                    <w:top w:w="15" w:type="dxa"/>
                    <w:left w:w="15" w:type="dxa"/>
                    <w:right w:w="15" w:type="dxa"/>
                  </w:tcMar>
                  <w:vAlign w:val="center"/>
                </w:tcPr>
                <w:p w14:paraId="336A4B0B">
                  <w:pPr>
                    <w:widowControl/>
                    <w:adjustRightInd w:val="0"/>
                    <w:snapToGrid w:val="0"/>
                    <w:jc w:val="center"/>
                    <w:textAlignment w:val="center"/>
                    <w:rPr>
                      <w:rFonts w:hint="default" w:ascii="Times New Roman" w:hAnsi="Times New Roman" w:eastAsia="宋体" w:cs="Times New Roman"/>
                      <w:b/>
                      <w:bCs/>
                      <w:color w:val="auto"/>
                      <w:sz w:val="21"/>
                      <w:szCs w:val="21"/>
                      <w:u w:val="none"/>
                    </w:rPr>
                  </w:pPr>
                </w:p>
              </w:tc>
              <w:tc>
                <w:tcPr>
                  <w:tcW w:w="712" w:type="pct"/>
                  <w:noWrap w:val="0"/>
                  <w:tcMar>
                    <w:top w:w="15" w:type="dxa"/>
                    <w:left w:w="15" w:type="dxa"/>
                    <w:right w:w="15" w:type="dxa"/>
                  </w:tcMar>
                  <w:vAlign w:val="center"/>
                </w:tcPr>
                <w:p w14:paraId="3AC5456D">
                  <w:pPr>
                    <w:widowControl/>
                    <w:jc w:val="center"/>
                    <w:textAlignment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kern w:val="0"/>
                      <w:sz w:val="21"/>
                      <w:szCs w:val="21"/>
                      <w:u w:val="none"/>
                      <w:lang w:bidi="ar"/>
                    </w:rPr>
                    <w:t>速率（kg/h）</w:t>
                  </w:r>
                </w:p>
              </w:tc>
              <w:tc>
                <w:tcPr>
                  <w:tcW w:w="811" w:type="pct"/>
                  <w:noWrap w:val="0"/>
                  <w:tcMar>
                    <w:top w:w="15" w:type="dxa"/>
                    <w:left w:w="15" w:type="dxa"/>
                    <w:right w:w="15" w:type="dxa"/>
                  </w:tcMar>
                  <w:vAlign w:val="center"/>
                </w:tcPr>
                <w:p w14:paraId="2DC21CEE">
                  <w:pPr>
                    <w:widowControl/>
                    <w:adjustRightInd w:val="0"/>
                    <w:snapToGrid w:val="0"/>
                    <w:jc w:val="center"/>
                    <w:textAlignment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kern w:val="0"/>
                      <w:sz w:val="21"/>
                      <w:szCs w:val="21"/>
                      <w:u w:val="none"/>
                      <w:lang w:bidi="ar"/>
                    </w:rPr>
                    <w:t>排放量（t/a）</w:t>
                  </w:r>
                </w:p>
              </w:tc>
            </w:tr>
            <w:tr w14:paraId="5E0F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restart"/>
                  <w:noWrap w:val="0"/>
                  <w:tcMar>
                    <w:top w:w="15" w:type="dxa"/>
                    <w:left w:w="15" w:type="dxa"/>
                    <w:right w:w="15" w:type="dxa"/>
                  </w:tcMar>
                  <w:vAlign w:val="center"/>
                </w:tcPr>
                <w:p w14:paraId="22DACF33">
                  <w:pPr>
                    <w:widowControl/>
                    <w:adjustRightInd w:val="0"/>
                    <w:snapToGrid w:val="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pacing w:val="-2"/>
                      <w:sz w:val="21"/>
                      <w:szCs w:val="21"/>
                      <w:lang w:eastAsia="zh-CN"/>
                    </w:rPr>
                    <w:t>内燃牵引机</w:t>
                  </w:r>
                </w:p>
              </w:tc>
              <w:tc>
                <w:tcPr>
                  <w:tcW w:w="409" w:type="pct"/>
                  <w:vMerge w:val="restart"/>
                  <w:noWrap w:val="0"/>
                  <w:tcMar>
                    <w:top w:w="15" w:type="dxa"/>
                    <w:left w:w="15" w:type="dxa"/>
                    <w:right w:w="15" w:type="dxa"/>
                  </w:tcMar>
                  <w:vAlign w:val="center"/>
                </w:tcPr>
                <w:p w14:paraId="4FB6B8C1">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r>
                    <w:rPr>
                      <w:rFonts w:hint="default" w:ascii="Times New Roman" w:hAnsi="Times New Roman" w:eastAsia="宋体" w:cs="Times New Roman"/>
                      <w:color w:val="auto"/>
                      <w:kern w:val="0"/>
                      <w:sz w:val="21"/>
                      <w:szCs w:val="21"/>
                      <w:u w:val="none"/>
                      <w:lang w:eastAsia="zh-CN" w:bidi="ar"/>
                    </w:rPr>
                    <w:t>无组织</w:t>
                  </w:r>
                </w:p>
              </w:tc>
              <w:tc>
                <w:tcPr>
                  <w:tcW w:w="4002" w:type="pct"/>
                  <w:gridSpan w:val="6"/>
                  <w:noWrap w:val="0"/>
                  <w:tcMar>
                    <w:top w:w="15" w:type="dxa"/>
                    <w:left w:w="15" w:type="dxa"/>
                    <w:right w:w="15" w:type="dxa"/>
                  </w:tcMar>
                  <w:vAlign w:val="center"/>
                </w:tcPr>
                <w:p w14:paraId="7586F4C0">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初期5次/日（年运行52.01h）</w:t>
                  </w:r>
                </w:p>
              </w:tc>
            </w:tr>
            <w:tr w14:paraId="1097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745E83A7">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25032097">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noWrap w:val="0"/>
                  <w:tcMar>
                    <w:top w:w="15" w:type="dxa"/>
                    <w:left w:w="15" w:type="dxa"/>
                    <w:right w:w="15" w:type="dxa"/>
                  </w:tcMar>
                  <w:vAlign w:val="center"/>
                </w:tcPr>
                <w:p w14:paraId="07E8D406">
                  <w:pPr>
                    <w:pStyle w:val="352"/>
                    <w:spacing w:line="240" w:lineRule="auto"/>
                    <w:ind w:firstLine="0" w:firstLineChars="0"/>
                    <w:jc w:val="center"/>
                    <w:rPr>
                      <w:rFonts w:hint="eastAsia"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eastAsia="zh-CN"/>
                    </w:rPr>
                    <w:t>颗粒物</w:t>
                  </w:r>
                </w:p>
              </w:tc>
              <w:tc>
                <w:tcPr>
                  <w:tcW w:w="722" w:type="pct"/>
                  <w:noWrap w:val="0"/>
                  <w:tcMar>
                    <w:top w:w="15" w:type="dxa"/>
                    <w:left w:w="15" w:type="dxa"/>
                    <w:right w:w="15" w:type="dxa"/>
                  </w:tcMar>
                  <w:vAlign w:val="center"/>
                </w:tcPr>
                <w:p w14:paraId="27F07939">
                  <w:pPr>
                    <w:keepNext w:val="0"/>
                    <w:keepLines w:val="0"/>
                    <w:widowControl/>
                    <w:suppressLineNumbers w:val="0"/>
                    <w:jc w:val="center"/>
                    <w:textAlignment w:val="center"/>
                    <w:rPr>
                      <w:rFonts w:hint="default"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0.376</w:t>
                  </w:r>
                </w:p>
              </w:tc>
              <w:tc>
                <w:tcPr>
                  <w:tcW w:w="1373" w:type="dxa"/>
                  <w:noWrap w:val="0"/>
                  <w:tcMar>
                    <w:top w:w="15" w:type="dxa"/>
                    <w:left w:w="15" w:type="dxa"/>
                    <w:right w:w="15" w:type="dxa"/>
                  </w:tcMar>
                  <w:vAlign w:val="center"/>
                </w:tcPr>
                <w:p w14:paraId="5C2401AA">
                  <w:pPr>
                    <w:keepNext w:val="0"/>
                    <w:keepLines w:val="0"/>
                    <w:widowControl/>
                    <w:suppressLineNumbers w:val="0"/>
                    <w:jc w:val="center"/>
                    <w:textAlignment w:val="center"/>
                    <w:rPr>
                      <w:rFonts w:hint="default"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w:t>
                  </w:r>
                </w:p>
              </w:tc>
              <w:tc>
                <w:tcPr>
                  <w:tcW w:w="571" w:type="pct"/>
                  <w:vMerge w:val="restart"/>
                  <w:noWrap w:val="0"/>
                  <w:tcMar>
                    <w:top w:w="15" w:type="dxa"/>
                    <w:left w:w="15" w:type="dxa"/>
                    <w:right w:w="15" w:type="dxa"/>
                  </w:tcMar>
                  <w:vAlign w:val="center"/>
                </w:tcPr>
                <w:p w14:paraId="5FA51D7B">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default"/>
                      <w:color w:val="auto"/>
                      <w:lang w:val="en-US" w:eastAsia="zh-CN"/>
                    </w:rPr>
                    <w:t>自由扩散</w:t>
                  </w:r>
                </w:p>
              </w:tc>
              <w:tc>
                <w:tcPr>
                  <w:tcW w:w="1297" w:type="dxa"/>
                  <w:noWrap w:val="0"/>
                  <w:tcMar>
                    <w:top w:w="15" w:type="dxa"/>
                    <w:left w:w="15" w:type="dxa"/>
                    <w:right w:w="15" w:type="dxa"/>
                  </w:tcMar>
                  <w:vAlign w:val="center"/>
                </w:tcPr>
                <w:p w14:paraId="6E94A4A0">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0.376</w:t>
                  </w:r>
                </w:p>
              </w:tc>
              <w:tc>
                <w:tcPr>
                  <w:tcW w:w="1479" w:type="dxa"/>
                  <w:noWrap w:val="0"/>
                  <w:tcMar>
                    <w:top w:w="15" w:type="dxa"/>
                    <w:left w:w="15" w:type="dxa"/>
                    <w:right w:w="15" w:type="dxa"/>
                  </w:tcMar>
                  <w:vAlign w:val="center"/>
                </w:tcPr>
                <w:p w14:paraId="4ADD1C40">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w:t>
                  </w:r>
                </w:p>
              </w:tc>
            </w:tr>
            <w:tr w14:paraId="69EB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56B56260">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7CEAF63E">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noWrap w:val="0"/>
                  <w:tcMar>
                    <w:top w:w="15" w:type="dxa"/>
                    <w:left w:w="15" w:type="dxa"/>
                    <w:right w:w="15" w:type="dxa"/>
                  </w:tcMar>
                  <w:vAlign w:val="center"/>
                </w:tcPr>
                <w:p w14:paraId="6D61428E">
                  <w:pPr>
                    <w:pStyle w:val="352"/>
                    <w:spacing w:line="240" w:lineRule="auto"/>
                    <w:ind w:firstLine="0" w:firstLineChars="0"/>
                    <w:jc w:val="center"/>
                    <w:rPr>
                      <w:rFonts w:hint="eastAsia"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CO</w:t>
                  </w:r>
                </w:p>
              </w:tc>
              <w:tc>
                <w:tcPr>
                  <w:tcW w:w="722" w:type="pct"/>
                  <w:noWrap w:val="0"/>
                  <w:tcMar>
                    <w:top w:w="15" w:type="dxa"/>
                    <w:left w:w="15" w:type="dxa"/>
                    <w:right w:w="15" w:type="dxa"/>
                  </w:tcMar>
                  <w:vAlign w:val="center"/>
                </w:tcPr>
                <w:p w14:paraId="52C6B345">
                  <w:pPr>
                    <w:keepNext w:val="0"/>
                    <w:keepLines w:val="0"/>
                    <w:widowControl/>
                    <w:suppressLineNumbers w:val="0"/>
                    <w:jc w:val="center"/>
                    <w:textAlignment w:val="center"/>
                    <w:rPr>
                      <w:rFonts w:hint="default"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6.58</w:t>
                  </w:r>
                </w:p>
              </w:tc>
              <w:tc>
                <w:tcPr>
                  <w:tcW w:w="1373" w:type="dxa"/>
                  <w:noWrap w:val="0"/>
                  <w:tcMar>
                    <w:top w:w="15" w:type="dxa"/>
                    <w:left w:w="15" w:type="dxa"/>
                    <w:right w:w="15" w:type="dxa"/>
                  </w:tcMar>
                  <w:vAlign w:val="center"/>
                </w:tcPr>
                <w:p w14:paraId="6CBCE9D6">
                  <w:pPr>
                    <w:keepNext w:val="0"/>
                    <w:keepLines w:val="0"/>
                    <w:widowControl/>
                    <w:suppressLineNumbers w:val="0"/>
                    <w:jc w:val="center"/>
                    <w:textAlignment w:val="center"/>
                    <w:rPr>
                      <w:rFonts w:hint="default"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0.34</w:t>
                  </w:r>
                </w:p>
              </w:tc>
              <w:tc>
                <w:tcPr>
                  <w:tcW w:w="571" w:type="pct"/>
                  <w:vMerge w:val="continue"/>
                  <w:noWrap w:val="0"/>
                  <w:tcMar>
                    <w:top w:w="15" w:type="dxa"/>
                    <w:left w:w="15" w:type="dxa"/>
                    <w:right w:w="15" w:type="dxa"/>
                  </w:tcMar>
                  <w:vAlign w:val="center"/>
                </w:tcPr>
                <w:p w14:paraId="652CC81C">
                  <w:pPr>
                    <w:keepNext w:val="0"/>
                    <w:keepLines w:val="0"/>
                    <w:widowControl/>
                    <w:suppressLineNumbers w:val="0"/>
                    <w:jc w:val="center"/>
                    <w:textAlignment w:val="center"/>
                    <w:rPr>
                      <w:rFonts w:hint="eastAsia" w:cs="Times New Roman"/>
                      <w:color w:val="auto"/>
                      <w:kern w:val="0"/>
                      <w:sz w:val="21"/>
                      <w:szCs w:val="21"/>
                      <w:u w:val="none"/>
                      <w:lang w:val="en-US" w:eastAsia="zh-CN" w:bidi="ar"/>
                    </w:rPr>
                  </w:pPr>
                </w:p>
              </w:tc>
              <w:tc>
                <w:tcPr>
                  <w:tcW w:w="1297" w:type="dxa"/>
                  <w:noWrap w:val="0"/>
                  <w:tcMar>
                    <w:top w:w="15" w:type="dxa"/>
                    <w:left w:w="15" w:type="dxa"/>
                    <w:right w:w="15" w:type="dxa"/>
                  </w:tcMar>
                  <w:vAlign w:val="center"/>
                </w:tcPr>
                <w:p w14:paraId="07A20977">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6.58</w:t>
                  </w:r>
                </w:p>
              </w:tc>
              <w:tc>
                <w:tcPr>
                  <w:tcW w:w="1479" w:type="dxa"/>
                  <w:noWrap w:val="0"/>
                  <w:tcMar>
                    <w:top w:w="15" w:type="dxa"/>
                    <w:left w:w="15" w:type="dxa"/>
                    <w:right w:w="15" w:type="dxa"/>
                  </w:tcMar>
                  <w:vAlign w:val="center"/>
                </w:tcPr>
                <w:p w14:paraId="649758C3">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0.34</w:t>
                  </w:r>
                </w:p>
              </w:tc>
            </w:tr>
            <w:tr w14:paraId="5771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64C281D1">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28CD1FDA">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noWrap w:val="0"/>
                  <w:tcMar>
                    <w:top w:w="15" w:type="dxa"/>
                    <w:left w:w="15" w:type="dxa"/>
                    <w:right w:w="15" w:type="dxa"/>
                  </w:tcMar>
                  <w:vAlign w:val="center"/>
                </w:tcPr>
                <w:p w14:paraId="1DA3B20F">
                  <w:pPr>
                    <w:pStyle w:val="352"/>
                    <w:spacing w:line="240" w:lineRule="auto"/>
                    <w:ind w:firstLine="0" w:firstLineChars="0"/>
                    <w:jc w:val="center"/>
                    <w:rPr>
                      <w:rFonts w:hint="eastAsia"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NO</w:t>
                  </w:r>
                  <w:r>
                    <w:rPr>
                      <w:rFonts w:hint="default" w:ascii="Times New Roman" w:hAnsi="Times New Roman" w:cs="Times New Roman"/>
                      <w:color w:val="auto"/>
                      <w:sz w:val="21"/>
                      <w:szCs w:val="21"/>
                      <w:vertAlign w:val="subscript"/>
                      <w:lang w:val="en-US" w:eastAsia="zh-CN"/>
                    </w:rPr>
                    <w:t>X</w:t>
                  </w:r>
                </w:p>
              </w:tc>
              <w:tc>
                <w:tcPr>
                  <w:tcW w:w="722" w:type="pct"/>
                  <w:noWrap w:val="0"/>
                  <w:tcMar>
                    <w:top w:w="15" w:type="dxa"/>
                    <w:left w:w="15" w:type="dxa"/>
                    <w:right w:w="15" w:type="dxa"/>
                  </w:tcMar>
                  <w:vAlign w:val="center"/>
                </w:tcPr>
                <w:p w14:paraId="60EB121F">
                  <w:pPr>
                    <w:keepNext w:val="0"/>
                    <w:keepLines w:val="0"/>
                    <w:widowControl/>
                    <w:suppressLineNumbers w:val="0"/>
                    <w:jc w:val="center"/>
                    <w:textAlignment w:val="center"/>
                    <w:rPr>
                      <w:rFonts w:hint="default"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11.2</w:t>
                  </w:r>
                </w:p>
              </w:tc>
              <w:tc>
                <w:tcPr>
                  <w:tcW w:w="1373" w:type="dxa"/>
                  <w:noWrap w:val="0"/>
                  <w:tcMar>
                    <w:top w:w="15" w:type="dxa"/>
                    <w:left w:w="15" w:type="dxa"/>
                    <w:right w:w="15" w:type="dxa"/>
                  </w:tcMar>
                  <w:vAlign w:val="center"/>
                </w:tcPr>
                <w:p w14:paraId="0D8D18E1">
                  <w:pPr>
                    <w:keepNext w:val="0"/>
                    <w:keepLines w:val="0"/>
                    <w:widowControl/>
                    <w:suppressLineNumbers w:val="0"/>
                    <w:jc w:val="center"/>
                    <w:textAlignment w:val="center"/>
                    <w:rPr>
                      <w:rFonts w:hint="default"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0.58</w:t>
                  </w:r>
                </w:p>
              </w:tc>
              <w:tc>
                <w:tcPr>
                  <w:tcW w:w="571" w:type="pct"/>
                  <w:vMerge w:val="continue"/>
                  <w:noWrap w:val="0"/>
                  <w:tcMar>
                    <w:top w:w="15" w:type="dxa"/>
                    <w:left w:w="15" w:type="dxa"/>
                    <w:right w:w="15" w:type="dxa"/>
                  </w:tcMar>
                  <w:vAlign w:val="center"/>
                </w:tcPr>
                <w:p w14:paraId="64CF33D0">
                  <w:pPr>
                    <w:keepNext w:val="0"/>
                    <w:keepLines w:val="0"/>
                    <w:widowControl/>
                    <w:suppressLineNumbers w:val="0"/>
                    <w:jc w:val="center"/>
                    <w:textAlignment w:val="center"/>
                    <w:rPr>
                      <w:rFonts w:hint="eastAsia" w:cs="Times New Roman"/>
                      <w:color w:val="auto"/>
                      <w:kern w:val="0"/>
                      <w:sz w:val="21"/>
                      <w:szCs w:val="21"/>
                      <w:u w:val="none"/>
                      <w:lang w:val="en-US" w:eastAsia="zh-CN" w:bidi="ar"/>
                    </w:rPr>
                  </w:pPr>
                </w:p>
              </w:tc>
              <w:tc>
                <w:tcPr>
                  <w:tcW w:w="1297" w:type="dxa"/>
                  <w:noWrap w:val="0"/>
                  <w:tcMar>
                    <w:top w:w="15" w:type="dxa"/>
                    <w:left w:w="15" w:type="dxa"/>
                    <w:right w:w="15" w:type="dxa"/>
                  </w:tcMar>
                  <w:vAlign w:val="center"/>
                </w:tcPr>
                <w:p w14:paraId="4D05BBEB">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11.2</w:t>
                  </w:r>
                </w:p>
              </w:tc>
              <w:tc>
                <w:tcPr>
                  <w:tcW w:w="1479" w:type="dxa"/>
                  <w:noWrap w:val="0"/>
                  <w:tcMar>
                    <w:top w:w="15" w:type="dxa"/>
                    <w:left w:w="15" w:type="dxa"/>
                    <w:right w:w="15" w:type="dxa"/>
                  </w:tcMar>
                  <w:vAlign w:val="center"/>
                </w:tcPr>
                <w:p w14:paraId="54931E63">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0.58</w:t>
                  </w:r>
                </w:p>
              </w:tc>
            </w:tr>
            <w:tr w14:paraId="2AD9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18CEBCC9">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1C0AC36C">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noWrap w:val="0"/>
                  <w:tcMar>
                    <w:top w:w="15" w:type="dxa"/>
                    <w:left w:w="15" w:type="dxa"/>
                    <w:right w:w="15" w:type="dxa"/>
                  </w:tcMar>
                  <w:vAlign w:val="center"/>
                </w:tcPr>
                <w:p w14:paraId="5EC24EFD">
                  <w:pPr>
                    <w:pStyle w:val="352"/>
                    <w:spacing w:line="240" w:lineRule="auto"/>
                    <w:ind w:firstLine="0" w:firstLineChars="0"/>
                    <w:jc w:val="center"/>
                    <w:rPr>
                      <w:rFonts w:hint="eastAsia"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HC</w:t>
                  </w:r>
                </w:p>
              </w:tc>
              <w:tc>
                <w:tcPr>
                  <w:tcW w:w="722" w:type="pct"/>
                  <w:noWrap w:val="0"/>
                  <w:tcMar>
                    <w:top w:w="15" w:type="dxa"/>
                    <w:left w:w="15" w:type="dxa"/>
                    <w:right w:w="15" w:type="dxa"/>
                  </w:tcMar>
                  <w:vAlign w:val="center"/>
                </w:tcPr>
                <w:p w14:paraId="13915C21">
                  <w:pPr>
                    <w:keepNext w:val="0"/>
                    <w:keepLines w:val="0"/>
                    <w:widowControl/>
                    <w:suppressLineNumbers w:val="0"/>
                    <w:jc w:val="center"/>
                    <w:textAlignment w:val="center"/>
                    <w:rPr>
                      <w:rFonts w:hint="default"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0.94</w:t>
                  </w:r>
                </w:p>
              </w:tc>
              <w:tc>
                <w:tcPr>
                  <w:tcW w:w="1373" w:type="dxa"/>
                  <w:noWrap w:val="0"/>
                  <w:tcMar>
                    <w:top w:w="15" w:type="dxa"/>
                    <w:left w:w="15" w:type="dxa"/>
                    <w:right w:w="15" w:type="dxa"/>
                  </w:tcMar>
                  <w:vAlign w:val="center"/>
                </w:tcPr>
                <w:p w14:paraId="540110F9">
                  <w:pPr>
                    <w:keepNext w:val="0"/>
                    <w:keepLines w:val="0"/>
                    <w:widowControl/>
                    <w:suppressLineNumbers w:val="0"/>
                    <w:jc w:val="center"/>
                    <w:textAlignment w:val="center"/>
                    <w:rPr>
                      <w:rFonts w:hint="default"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0.049</w:t>
                  </w:r>
                </w:p>
              </w:tc>
              <w:tc>
                <w:tcPr>
                  <w:tcW w:w="571" w:type="pct"/>
                  <w:vMerge w:val="continue"/>
                  <w:noWrap w:val="0"/>
                  <w:tcMar>
                    <w:top w:w="15" w:type="dxa"/>
                    <w:left w:w="15" w:type="dxa"/>
                    <w:right w:w="15" w:type="dxa"/>
                  </w:tcMar>
                  <w:vAlign w:val="center"/>
                </w:tcPr>
                <w:p w14:paraId="0DBEE0FA">
                  <w:pPr>
                    <w:keepNext w:val="0"/>
                    <w:keepLines w:val="0"/>
                    <w:widowControl/>
                    <w:suppressLineNumbers w:val="0"/>
                    <w:jc w:val="center"/>
                    <w:textAlignment w:val="center"/>
                    <w:rPr>
                      <w:rFonts w:hint="eastAsia" w:cs="Times New Roman"/>
                      <w:color w:val="auto"/>
                      <w:kern w:val="0"/>
                      <w:sz w:val="21"/>
                      <w:szCs w:val="21"/>
                      <w:u w:val="none"/>
                      <w:lang w:val="en-US" w:eastAsia="zh-CN" w:bidi="ar"/>
                    </w:rPr>
                  </w:pPr>
                </w:p>
              </w:tc>
              <w:tc>
                <w:tcPr>
                  <w:tcW w:w="1297" w:type="dxa"/>
                  <w:noWrap w:val="0"/>
                  <w:tcMar>
                    <w:top w:w="15" w:type="dxa"/>
                    <w:left w:w="15" w:type="dxa"/>
                    <w:right w:w="15" w:type="dxa"/>
                  </w:tcMar>
                  <w:vAlign w:val="center"/>
                </w:tcPr>
                <w:p w14:paraId="44EECFE1">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0.94</w:t>
                  </w:r>
                </w:p>
              </w:tc>
              <w:tc>
                <w:tcPr>
                  <w:tcW w:w="1479" w:type="dxa"/>
                  <w:noWrap w:val="0"/>
                  <w:tcMar>
                    <w:top w:w="15" w:type="dxa"/>
                    <w:left w:w="15" w:type="dxa"/>
                    <w:right w:w="15" w:type="dxa"/>
                  </w:tcMar>
                  <w:vAlign w:val="center"/>
                </w:tcPr>
                <w:p w14:paraId="7465D283">
                  <w:pPr>
                    <w:keepNext w:val="0"/>
                    <w:keepLines w:val="0"/>
                    <w:widowControl/>
                    <w:suppressLineNumbers w:val="0"/>
                    <w:jc w:val="center"/>
                    <w:textAlignment w:val="center"/>
                    <w:rPr>
                      <w:rFonts w:hint="eastAsia"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0.049</w:t>
                  </w:r>
                </w:p>
              </w:tc>
            </w:tr>
            <w:tr w14:paraId="6FD7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041B1254">
                  <w:pPr>
                    <w:widowControl/>
                    <w:adjustRightInd w:val="0"/>
                    <w:snapToGrid w:val="0"/>
                    <w:jc w:val="center"/>
                    <w:rPr>
                      <w:rFonts w:hint="default" w:ascii="Times New Roman" w:hAnsi="Times New Roman" w:eastAsia="宋体" w:cs="Times New Roman"/>
                      <w:color w:val="auto"/>
                      <w:sz w:val="21"/>
                      <w:szCs w:val="21"/>
                      <w:u w:val="none"/>
                      <w:lang w:val="en-US" w:eastAsia="zh-CN"/>
                    </w:rPr>
                  </w:pPr>
                </w:p>
              </w:tc>
              <w:tc>
                <w:tcPr>
                  <w:tcW w:w="409" w:type="pct"/>
                  <w:vMerge w:val="continue"/>
                  <w:noWrap w:val="0"/>
                  <w:tcMar>
                    <w:top w:w="15" w:type="dxa"/>
                    <w:left w:w="15" w:type="dxa"/>
                    <w:right w:w="15" w:type="dxa"/>
                  </w:tcMar>
                  <w:vAlign w:val="center"/>
                </w:tcPr>
                <w:p w14:paraId="2302F149">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002" w:type="pct"/>
                  <w:gridSpan w:val="6"/>
                  <w:noWrap w:val="0"/>
                  <w:tcMar>
                    <w:top w:w="15" w:type="dxa"/>
                    <w:left w:w="15" w:type="dxa"/>
                    <w:right w:w="15" w:type="dxa"/>
                  </w:tcMar>
                  <w:vAlign w:val="center"/>
                </w:tcPr>
                <w:p w14:paraId="0F70731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近期</w:t>
                  </w:r>
                  <w:r>
                    <w:rPr>
                      <w:rFonts w:hint="eastAsia" w:cs="Times New Roman"/>
                      <w:color w:val="auto"/>
                      <w:kern w:val="0"/>
                      <w:sz w:val="21"/>
                      <w:szCs w:val="21"/>
                      <w:lang w:val="en-US" w:eastAsia="zh-CN" w:bidi="ar"/>
                    </w:rPr>
                    <w:t>3次</w:t>
                  </w:r>
                  <w:r>
                    <w:rPr>
                      <w:rFonts w:hint="default" w:ascii="Times New Roman" w:hAnsi="Times New Roman" w:eastAsia="宋体" w:cs="Times New Roman"/>
                      <w:color w:val="auto"/>
                      <w:kern w:val="0"/>
                      <w:sz w:val="21"/>
                      <w:szCs w:val="21"/>
                      <w:lang w:val="en-US" w:eastAsia="zh-CN" w:bidi="ar"/>
                    </w:rPr>
                    <w:t>/日</w:t>
                  </w:r>
                  <w:r>
                    <w:rPr>
                      <w:rFonts w:hint="eastAsia" w:cs="Times New Roman"/>
                      <w:color w:val="auto"/>
                      <w:kern w:val="0"/>
                      <w:sz w:val="21"/>
                      <w:szCs w:val="21"/>
                      <w:u w:val="none"/>
                      <w:lang w:val="en-US" w:eastAsia="zh-CN" w:bidi="ar"/>
                    </w:rPr>
                    <w:t>（年运行31.2h）</w:t>
                  </w:r>
                </w:p>
              </w:tc>
            </w:tr>
            <w:tr w14:paraId="1A98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20C99ED2">
                  <w:pPr>
                    <w:widowControl/>
                    <w:adjustRightInd w:val="0"/>
                    <w:snapToGrid w:val="0"/>
                    <w:jc w:val="center"/>
                    <w:rPr>
                      <w:rFonts w:hint="default" w:ascii="Times New Roman" w:hAnsi="Times New Roman" w:eastAsia="宋体" w:cs="Times New Roman"/>
                      <w:color w:val="auto"/>
                      <w:sz w:val="21"/>
                      <w:szCs w:val="21"/>
                      <w:u w:val="none"/>
                      <w:lang w:val="en-US" w:eastAsia="zh-CN"/>
                    </w:rPr>
                  </w:pPr>
                </w:p>
              </w:tc>
              <w:tc>
                <w:tcPr>
                  <w:tcW w:w="409" w:type="pct"/>
                  <w:vMerge w:val="continue"/>
                  <w:noWrap w:val="0"/>
                  <w:tcMar>
                    <w:top w:w="15" w:type="dxa"/>
                    <w:left w:w="15" w:type="dxa"/>
                    <w:right w:w="15" w:type="dxa"/>
                  </w:tcMar>
                  <w:vAlign w:val="center"/>
                </w:tcPr>
                <w:p w14:paraId="49C6BAA3">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shd w:val="clear" w:color="auto" w:fill="auto"/>
                  <w:noWrap w:val="0"/>
                  <w:tcMar>
                    <w:top w:w="15" w:type="dxa"/>
                    <w:left w:w="15" w:type="dxa"/>
                    <w:right w:w="15" w:type="dxa"/>
                  </w:tcMar>
                  <w:vAlign w:val="center"/>
                </w:tcPr>
                <w:p w14:paraId="35F02543">
                  <w:pPr>
                    <w:pStyle w:val="352"/>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eastAsia="zh-CN"/>
                    </w:rPr>
                    <w:t>颗粒物</w:t>
                  </w:r>
                </w:p>
              </w:tc>
              <w:tc>
                <w:tcPr>
                  <w:tcW w:w="1315" w:type="dxa"/>
                  <w:shd w:val="clear" w:color="auto" w:fill="auto"/>
                  <w:noWrap w:val="0"/>
                  <w:tcMar>
                    <w:top w:w="15" w:type="dxa"/>
                    <w:left w:w="15" w:type="dxa"/>
                    <w:right w:w="15" w:type="dxa"/>
                  </w:tcMar>
                  <w:vAlign w:val="center"/>
                </w:tcPr>
                <w:p w14:paraId="13BCDEB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0.376</w:t>
                  </w:r>
                </w:p>
              </w:tc>
              <w:tc>
                <w:tcPr>
                  <w:tcW w:w="753" w:type="pct"/>
                  <w:shd w:val="clear" w:color="auto" w:fill="auto"/>
                  <w:noWrap w:val="0"/>
                  <w:tcMar>
                    <w:top w:w="15" w:type="dxa"/>
                    <w:left w:w="15" w:type="dxa"/>
                    <w:right w:w="15" w:type="dxa"/>
                  </w:tcMar>
                  <w:vAlign w:val="center"/>
                </w:tcPr>
                <w:p w14:paraId="6DC0BC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0.012</w:t>
                  </w:r>
                </w:p>
              </w:tc>
              <w:tc>
                <w:tcPr>
                  <w:tcW w:w="571" w:type="pct"/>
                  <w:vMerge w:val="restart"/>
                  <w:shd w:val="clear" w:color="auto" w:fill="auto"/>
                  <w:noWrap w:val="0"/>
                  <w:tcMar>
                    <w:top w:w="15" w:type="dxa"/>
                    <w:left w:w="15" w:type="dxa"/>
                    <w:right w:w="15" w:type="dxa"/>
                  </w:tcMar>
                  <w:vAlign w:val="center"/>
                </w:tcPr>
                <w:p w14:paraId="4377603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自由扩散</w:t>
                  </w:r>
                </w:p>
              </w:tc>
              <w:tc>
                <w:tcPr>
                  <w:tcW w:w="1297" w:type="dxa"/>
                  <w:shd w:val="clear" w:color="auto" w:fill="auto"/>
                  <w:noWrap w:val="0"/>
                  <w:tcMar>
                    <w:top w:w="15" w:type="dxa"/>
                    <w:left w:w="15" w:type="dxa"/>
                    <w:right w:w="15" w:type="dxa"/>
                  </w:tcMar>
                  <w:vAlign w:val="center"/>
                </w:tcPr>
                <w:p w14:paraId="6ED8C3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0.376</w:t>
                  </w:r>
                </w:p>
              </w:tc>
              <w:tc>
                <w:tcPr>
                  <w:tcW w:w="1479" w:type="dxa"/>
                  <w:shd w:val="clear" w:color="auto" w:fill="auto"/>
                  <w:noWrap w:val="0"/>
                  <w:tcMar>
                    <w:top w:w="15" w:type="dxa"/>
                    <w:left w:w="15" w:type="dxa"/>
                    <w:right w:w="15" w:type="dxa"/>
                  </w:tcMar>
                  <w:vAlign w:val="center"/>
                </w:tcPr>
                <w:p w14:paraId="425C7A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0.012</w:t>
                  </w:r>
                </w:p>
              </w:tc>
            </w:tr>
            <w:tr w14:paraId="7D32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59EA1A8C">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4D525574">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shd w:val="clear" w:color="auto" w:fill="auto"/>
                  <w:noWrap w:val="0"/>
                  <w:tcMar>
                    <w:top w:w="15" w:type="dxa"/>
                    <w:left w:w="15" w:type="dxa"/>
                    <w:right w:w="15" w:type="dxa"/>
                  </w:tcMar>
                  <w:vAlign w:val="center"/>
                </w:tcPr>
                <w:p w14:paraId="4239E7A2">
                  <w:pPr>
                    <w:pStyle w:val="352"/>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CO</w:t>
                  </w:r>
                </w:p>
              </w:tc>
              <w:tc>
                <w:tcPr>
                  <w:tcW w:w="1315" w:type="dxa"/>
                  <w:shd w:val="clear" w:color="auto" w:fill="auto"/>
                  <w:noWrap w:val="0"/>
                  <w:tcMar>
                    <w:top w:w="15" w:type="dxa"/>
                    <w:left w:w="15" w:type="dxa"/>
                    <w:right w:w="15" w:type="dxa"/>
                  </w:tcMar>
                  <w:vAlign w:val="center"/>
                </w:tcPr>
                <w:p w14:paraId="60012C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6.58</w:t>
                  </w:r>
                </w:p>
              </w:tc>
              <w:tc>
                <w:tcPr>
                  <w:tcW w:w="753" w:type="pct"/>
                  <w:shd w:val="clear" w:color="auto" w:fill="auto"/>
                  <w:noWrap w:val="0"/>
                  <w:tcMar>
                    <w:top w:w="15" w:type="dxa"/>
                    <w:left w:w="15" w:type="dxa"/>
                    <w:right w:w="15" w:type="dxa"/>
                  </w:tcMar>
                  <w:vAlign w:val="center"/>
                </w:tcPr>
                <w:p w14:paraId="07FFFD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0.21</w:t>
                  </w:r>
                </w:p>
              </w:tc>
              <w:tc>
                <w:tcPr>
                  <w:tcW w:w="571" w:type="pct"/>
                  <w:vMerge w:val="continue"/>
                  <w:shd w:val="clear" w:color="auto" w:fill="auto"/>
                  <w:noWrap w:val="0"/>
                  <w:tcMar>
                    <w:top w:w="15" w:type="dxa"/>
                    <w:left w:w="15" w:type="dxa"/>
                    <w:right w:w="15" w:type="dxa"/>
                  </w:tcMar>
                  <w:vAlign w:val="center"/>
                </w:tcPr>
                <w:p w14:paraId="40C84F5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p>
              </w:tc>
              <w:tc>
                <w:tcPr>
                  <w:tcW w:w="1297" w:type="dxa"/>
                  <w:shd w:val="clear" w:color="auto" w:fill="auto"/>
                  <w:noWrap w:val="0"/>
                  <w:tcMar>
                    <w:top w:w="15" w:type="dxa"/>
                    <w:left w:w="15" w:type="dxa"/>
                    <w:right w:w="15" w:type="dxa"/>
                  </w:tcMar>
                  <w:vAlign w:val="center"/>
                </w:tcPr>
                <w:p w14:paraId="5C5DD4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6.58</w:t>
                  </w:r>
                </w:p>
              </w:tc>
              <w:tc>
                <w:tcPr>
                  <w:tcW w:w="1479" w:type="dxa"/>
                  <w:shd w:val="clear" w:color="auto" w:fill="auto"/>
                  <w:noWrap w:val="0"/>
                  <w:tcMar>
                    <w:top w:w="15" w:type="dxa"/>
                    <w:left w:w="15" w:type="dxa"/>
                    <w:right w:w="15" w:type="dxa"/>
                  </w:tcMar>
                  <w:vAlign w:val="center"/>
                </w:tcPr>
                <w:p w14:paraId="4C8717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0.21</w:t>
                  </w:r>
                </w:p>
              </w:tc>
            </w:tr>
            <w:tr w14:paraId="5308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04AE6F1C">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3C07DD5B">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shd w:val="clear" w:color="auto" w:fill="auto"/>
                  <w:noWrap w:val="0"/>
                  <w:tcMar>
                    <w:top w:w="15" w:type="dxa"/>
                    <w:left w:w="15" w:type="dxa"/>
                    <w:right w:w="15" w:type="dxa"/>
                  </w:tcMar>
                  <w:vAlign w:val="center"/>
                </w:tcPr>
                <w:p w14:paraId="024D3DC0">
                  <w:pPr>
                    <w:pStyle w:val="352"/>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NO</w:t>
                  </w:r>
                  <w:r>
                    <w:rPr>
                      <w:rFonts w:hint="default" w:ascii="Times New Roman" w:hAnsi="Times New Roman" w:cs="Times New Roman"/>
                      <w:color w:val="auto"/>
                      <w:sz w:val="21"/>
                      <w:szCs w:val="21"/>
                      <w:vertAlign w:val="subscript"/>
                      <w:lang w:val="en-US" w:eastAsia="zh-CN"/>
                    </w:rPr>
                    <w:t>X</w:t>
                  </w:r>
                </w:p>
              </w:tc>
              <w:tc>
                <w:tcPr>
                  <w:tcW w:w="1315" w:type="dxa"/>
                  <w:shd w:val="clear" w:color="auto" w:fill="auto"/>
                  <w:noWrap w:val="0"/>
                  <w:tcMar>
                    <w:top w:w="15" w:type="dxa"/>
                    <w:left w:w="15" w:type="dxa"/>
                    <w:right w:w="15" w:type="dxa"/>
                  </w:tcMar>
                  <w:vAlign w:val="center"/>
                </w:tcPr>
                <w:p w14:paraId="0BFD7B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11.2</w:t>
                  </w:r>
                </w:p>
              </w:tc>
              <w:tc>
                <w:tcPr>
                  <w:tcW w:w="753" w:type="pct"/>
                  <w:shd w:val="clear" w:color="auto" w:fill="auto"/>
                  <w:noWrap w:val="0"/>
                  <w:tcMar>
                    <w:top w:w="15" w:type="dxa"/>
                    <w:left w:w="15" w:type="dxa"/>
                    <w:right w:w="15" w:type="dxa"/>
                  </w:tcMar>
                  <w:vAlign w:val="center"/>
                </w:tcPr>
                <w:p w14:paraId="7148E7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0.35</w:t>
                  </w:r>
                </w:p>
              </w:tc>
              <w:tc>
                <w:tcPr>
                  <w:tcW w:w="571" w:type="pct"/>
                  <w:vMerge w:val="continue"/>
                  <w:shd w:val="clear" w:color="auto" w:fill="auto"/>
                  <w:noWrap w:val="0"/>
                  <w:tcMar>
                    <w:top w:w="15" w:type="dxa"/>
                    <w:left w:w="15" w:type="dxa"/>
                    <w:right w:w="15" w:type="dxa"/>
                  </w:tcMar>
                  <w:vAlign w:val="center"/>
                </w:tcPr>
                <w:p w14:paraId="2BFC9C6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p>
              </w:tc>
              <w:tc>
                <w:tcPr>
                  <w:tcW w:w="1297" w:type="dxa"/>
                  <w:shd w:val="clear" w:color="auto" w:fill="auto"/>
                  <w:noWrap w:val="0"/>
                  <w:tcMar>
                    <w:top w:w="15" w:type="dxa"/>
                    <w:left w:w="15" w:type="dxa"/>
                    <w:right w:w="15" w:type="dxa"/>
                  </w:tcMar>
                  <w:vAlign w:val="center"/>
                </w:tcPr>
                <w:p w14:paraId="685D43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11.2</w:t>
                  </w:r>
                </w:p>
              </w:tc>
              <w:tc>
                <w:tcPr>
                  <w:tcW w:w="1479" w:type="dxa"/>
                  <w:shd w:val="clear" w:color="auto" w:fill="auto"/>
                  <w:noWrap w:val="0"/>
                  <w:tcMar>
                    <w:top w:w="15" w:type="dxa"/>
                    <w:left w:w="15" w:type="dxa"/>
                    <w:right w:w="15" w:type="dxa"/>
                  </w:tcMar>
                  <w:vAlign w:val="center"/>
                </w:tcPr>
                <w:p w14:paraId="06FEB9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0.35</w:t>
                  </w:r>
                </w:p>
              </w:tc>
            </w:tr>
            <w:tr w14:paraId="18E2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50BBEBD9">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4AC96755">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shd w:val="clear" w:color="auto" w:fill="auto"/>
                  <w:noWrap w:val="0"/>
                  <w:tcMar>
                    <w:top w:w="15" w:type="dxa"/>
                    <w:left w:w="15" w:type="dxa"/>
                    <w:right w:w="15" w:type="dxa"/>
                  </w:tcMar>
                  <w:vAlign w:val="center"/>
                </w:tcPr>
                <w:p w14:paraId="3AE4317B">
                  <w:pPr>
                    <w:pStyle w:val="352"/>
                    <w:spacing w:line="240" w:lineRule="auto"/>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HC</w:t>
                  </w:r>
                </w:p>
              </w:tc>
              <w:tc>
                <w:tcPr>
                  <w:tcW w:w="1315" w:type="dxa"/>
                  <w:shd w:val="clear" w:color="auto" w:fill="auto"/>
                  <w:noWrap w:val="0"/>
                  <w:tcMar>
                    <w:top w:w="15" w:type="dxa"/>
                    <w:left w:w="15" w:type="dxa"/>
                    <w:right w:w="15" w:type="dxa"/>
                  </w:tcMar>
                  <w:vAlign w:val="center"/>
                </w:tcPr>
                <w:p w14:paraId="19E3DA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0.94</w:t>
                  </w:r>
                </w:p>
              </w:tc>
              <w:tc>
                <w:tcPr>
                  <w:tcW w:w="753" w:type="pct"/>
                  <w:shd w:val="clear" w:color="auto" w:fill="auto"/>
                  <w:noWrap w:val="0"/>
                  <w:tcMar>
                    <w:top w:w="15" w:type="dxa"/>
                    <w:left w:w="15" w:type="dxa"/>
                    <w:right w:w="15" w:type="dxa"/>
                  </w:tcMar>
                  <w:vAlign w:val="center"/>
                </w:tcPr>
                <w:p w14:paraId="3B4FDB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w:t>
                  </w:r>
                </w:p>
              </w:tc>
              <w:tc>
                <w:tcPr>
                  <w:tcW w:w="571" w:type="pct"/>
                  <w:vMerge w:val="continue"/>
                  <w:shd w:val="clear" w:color="auto" w:fill="auto"/>
                  <w:noWrap w:val="0"/>
                  <w:tcMar>
                    <w:top w:w="15" w:type="dxa"/>
                    <w:left w:w="15" w:type="dxa"/>
                    <w:right w:w="15" w:type="dxa"/>
                  </w:tcMar>
                  <w:vAlign w:val="center"/>
                </w:tcPr>
                <w:p w14:paraId="7005D18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p>
              </w:tc>
              <w:tc>
                <w:tcPr>
                  <w:tcW w:w="1297" w:type="dxa"/>
                  <w:shd w:val="clear" w:color="auto" w:fill="auto"/>
                  <w:noWrap w:val="0"/>
                  <w:tcMar>
                    <w:top w:w="15" w:type="dxa"/>
                    <w:left w:w="15" w:type="dxa"/>
                    <w:right w:w="15" w:type="dxa"/>
                  </w:tcMar>
                  <w:vAlign w:val="center"/>
                </w:tcPr>
                <w:p w14:paraId="30AB1F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0.94</w:t>
                  </w:r>
                </w:p>
              </w:tc>
              <w:tc>
                <w:tcPr>
                  <w:tcW w:w="1479" w:type="dxa"/>
                  <w:shd w:val="clear" w:color="auto" w:fill="auto"/>
                  <w:noWrap w:val="0"/>
                  <w:tcMar>
                    <w:top w:w="15" w:type="dxa"/>
                    <w:left w:w="15" w:type="dxa"/>
                    <w:right w:w="15" w:type="dxa"/>
                  </w:tcMar>
                  <w:vAlign w:val="center"/>
                </w:tcPr>
                <w:p w14:paraId="7BD195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w:t>
                  </w:r>
                </w:p>
              </w:tc>
            </w:tr>
            <w:tr w14:paraId="70D8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0C92E86C">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03A5348C">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002" w:type="pct"/>
                  <w:gridSpan w:val="6"/>
                  <w:shd w:val="clear" w:color="auto" w:fill="auto"/>
                  <w:noWrap w:val="0"/>
                  <w:tcMar>
                    <w:top w:w="15" w:type="dxa"/>
                    <w:left w:w="15" w:type="dxa"/>
                    <w:right w:w="15" w:type="dxa"/>
                  </w:tcMar>
                  <w:vAlign w:val="center"/>
                </w:tcPr>
                <w:p w14:paraId="1E333F1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远期</w:t>
                  </w:r>
                  <w:r>
                    <w:rPr>
                      <w:rFonts w:hint="eastAsia" w:cs="Times New Roman"/>
                      <w:color w:val="auto"/>
                      <w:kern w:val="0"/>
                      <w:sz w:val="21"/>
                      <w:szCs w:val="21"/>
                      <w:lang w:val="en-US" w:eastAsia="zh-CN" w:bidi="ar"/>
                    </w:rPr>
                    <w:t>5次</w:t>
                  </w:r>
                  <w:r>
                    <w:rPr>
                      <w:rFonts w:hint="default" w:ascii="Times New Roman" w:hAnsi="Times New Roman" w:eastAsia="宋体" w:cs="Times New Roman"/>
                      <w:color w:val="auto"/>
                      <w:kern w:val="0"/>
                      <w:sz w:val="21"/>
                      <w:szCs w:val="21"/>
                      <w:lang w:val="en-US" w:eastAsia="zh-CN" w:bidi="ar"/>
                    </w:rPr>
                    <w:t>/日</w:t>
                  </w:r>
                  <w:r>
                    <w:rPr>
                      <w:rFonts w:hint="eastAsia" w:cs="Times New Roman"/>
                      <w:color w:val="auto"/>
                      <w:kern w:val="0"/>
                      <w:sz w:val="21"/>
                      <w:szCs w:val="21"/>
                      <w:u w:val="none"/>
                      <w:lang w:val="en-US" w:eastAsia="zh-CN" w:bidi="ar"/>
                    </w:rPr>
                    <w:t>（年运行52.01h）</w:t>
                  </w:r>
                </w:p>
              </w:tc>
            </w:tr>
            <w:tr w14:paraId="3B8D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3FEF5DBA">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2E19C33F">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shd w:val="clear" w:color="auto" w:fill="auto"/>
                  <w:noWrap w:val="0"/>
                  <w:tcMar>
                    <w:top w:w="15" w:type="dxa"/>
                    <w:left w:w="15" w:type="dxa"/>
                    <w:right w:w="15" w:type="dxa"/>
                  </w:tcMar>
                  <w:vAlign w:val="center"/>
                </w:tcPr>
                <w:p w14:paraId="04BB99ED">
                  <w:pPr>
                    <w:pStyle w:val="352"/>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eastAsia="zh-CN"/>
                    </w:rPr>
                    <w:t>颗粒物</w:t>
                  </w:r>
                </w:p>
              </w:tc>
              <w:tc>
                <w:tcPr>
                  <w:tcW w:w="1315" w:type="dxa"/>
                  <w:shd w:val="clear" w:color="auto" w:fill="auto"/>
                  <w:noWrap w:val="0"/>
                  <w:tcMar>
                    <w:top w:w="15" w:type="dxa"/>
                    <w:left w:w="15" w:type="dxa"/>
                    <w:right w:w="15" w:type="dxa"/>
                  </w:tcMar>
                  <w:vAlign w:val="center"/>
                </w:tcPr>
                <w:p w14:paraId="7985EDA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0.376</w:t>
                  </w:r>
                </w:p>
              </w:tc>
              <w:tc>
                <w:tcPr>
                  <w:tcW w:w="1373" w:type="dxa"/>
                  <w:shd w:val="clear" w:color="auto" w:fill="auto"/>
                  <w:noWrap w:val="0"/>
                  <w:tcMar>
                    <w:top w:w="15" w:type="dxa"/>
                    <w:left w:w="15" w:type="dxa"/>
                    <w:right w:w="15" w:type="dxa"/>
                  </w:tcMar>
                  <w:vAlign w:val="center"/>
                </w:tcPr>
                <w:p w14:paraId="18DAA7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w:t>
                  </w:r>
                </w:p>
              </w:tc>
              <w:tc>
                <w:tcPr>
                  <w:tcW w:w="571" w:type="pct"/>
                  <w:vMerge w:val="restart"/>
                  <w:shd w:val="clear" w:color="auto" w:fill="auto"/>
                  <w:noWrap w:val="0"/>
                  <w:tcMar>
                    <w:top w:w="15" w:type="dxa"/>
                    <w:left w:w="15" w:type="dxa"/>
                    <w:right w:w="15" w:type="dxa"/>
                  </w:tcMar>
                  <w:vAlign w:val="center"/>
                </w:tcPr>
                <w:p w14:paraId="6813B7F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自由扩散</w:t>
                  </w:r>
                </w:p>
              </w:tc>
              <w:tc>
                <w:tcPr>
                  <w:tcW w:w="1297" w:type="dxa"/>
                  <w:shd w:val="clear" w:color="auto" w:fill="auto"/>
                  <w:noWrap w:val="0"/>
                  <w:tcMar>
                    <w:top w:w="15" w:type="dxa"/>
                    <w:left w:w="15" w:type="dxa"/>
                    <w:right w:w="15" w:type="dxa"/>
                  </w:tcMar>
                  <w:vAlign w:val="center"/>
                </w:tcPr>
                <w:p w14:paraId="6C7B96B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0.376</w:t>
                  </w:r>
                </w:p>
              </w:tc>
              <w:tc>
                <w:tcPr>
                  <w:tcW w:w="1479" w:type="dxa"/>
                  <w:shd w:val="clear" w:color="auto" w:fill="auto"/>
                  <w:noWrap w:val="0"/>
                  <w:tcMar>
                    <w:top w:w="15" w:type="dxa"/>
                    <w:left w:w="15" w:type="dxa"/>
                    <w:right w:w="15" w:type="dxa"/>
                  </w:tcMar>
                  <w:vAlign w:val="center"/>
                </w:tcPr>
                <w:p w14:paraId="0A33634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w:t>
                  </w:r>
                </w:p>
              </w:tc>
            </w:tr>
            <w:tr w14:paraId="1C0D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2CDFD963">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2EDB9F99">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shd w:val="clear" w:color="auto" w:fill="auto"/>
                  <w:noWrap w:val="0"/>
                  <w:tcMar>
                    <w:top w:w="15" w:type="dxa"/>
                    <w:left w:w="15" w:type="dxa"/>
                    <w:right w:w="15" w:type="dxa"/>
                  </w:tcMar>
                  <w:vAlign w:val="center"/>
                </w:tcPr>
                <w:p w14:paraId="786E1E29">
                  <w:pPr>
                    <w:pStyle w:val="352"/>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CO</w:t>
                  </w:r>
                </w:p>
              </w:tc>
              <w:tc>
                <w:tcPr>
                  <w:tcW w:w="1315" w:type="dxa"/>
                  <w:shd w:val="clear" w:color="auto" w:fill="auto"/>
                  <w:noWrap w:val="0"/>
                  <w:tcMar>
                    <w:top w:w="15" w:type="dxa"/>
                    <w:left w:w="15" w:type="dxa"/>
                    <w:right w:w="15" w:type="dxa"/>
                  </w:tcMar>
                  <w:vAlign w:val="center"/>
                </w:tcPr>
                <w:p w14:paraId="48F5CE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6.58</w:t>
                  </w:r>
                </w:p>
              </w:tc>
              <w:tc>
                <w:tcPr>
                  <w:tcW w:w="1373" w:type="dxa"/>
                  <w:shd w:val="clear" w:color="auto" w:fill="auto"/>
                  <w:noWrap w:val="0"/>
                  <w:tcMar>
                    <w:top w:w="15" w:type="dxa"/>
                    <w:left w:w="15" w:type="dxa"/>
                    <w:right w:w="15" w:type="dxa"/>
                  </w:tcMar>
                  <w:vAlign w:val="center"/>
                </w:tcPr>
                <w:p w14:paraId="69C733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0.34</w:t>
                  </w:r>
                </w:p>
              </w:tc>
              <w:tc>
                <w:tcPr>
                  <w:tcW w:w="571" w:type="pct"/>
                  <w:vMerge w:val="continue"/>
                  <w:shd w:val="clear" w:color="auto" w:fill="auto"/>
                  <w:noWrap w:val="0"/>
                  <w:tcMar>
                    <w:top w:w="15" w:type="dxa"/>
                    <w:left w:w="15" w:type="dxa"/>
                    <w:right w:w="15" w:type="dxa"/>
                  </w:tcMar>
                  <w:vAlign w:val="center"/>
                </w:tcPr>
                <w:p w14:paraId="4440120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p>
              </w:tc>
              <w:tc>
                <w:tcPr>
                  <w:tcW w:w="1297" w:type="dxa"/>
                  <w:shd w:val="clear" w:color="auto" w:fill="auto"/>
                  <w:noWrap w:val="0"/>
                  <w:tcMar>
                    <w:top w:w="15" w:type="dxa"/>
                    <w:left w:w="15" w:type="dxa"/>
                    <w:right w:w="15" w:type="dxa"/>
                  </w:tcMar>
                  <w:vAlign w:val="center"/>
                </w:tcPr>
                <w:p w14:paraId="0ADC1E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6.58</w:t>
                  </w:r>
                </w:p>
              </w:tc>
              <w:tc>
                <w:tcPr>
                  <w:tcW w:w="1479" w:type="dxa"/>
                  <w:shd w:val="clear" w:color="auto" w:fill="auto"/>
                  <w:noWrap w:val="0"/>
                  <w:tcMar>
                    <w:top w:w="15" w:type="dxa"/>
                    <w:left w:w="15" w:type="dxa"/>
                    <w:right w:w="15" w:type="dxa"/>
                  </w:tcMar>
                  <w:vAlign w:val="center"/>
                </w:tcPr>
                <w:p w14:paraId="1BB381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0.34</w:t>
                  </w:r>
                </w:p>
              </w:tc>
            </w:tr>
            <w:tr w14:paraId="4DE6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71E70DC1">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4CE3A164">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shd w:val="clear" w:color="auto" w:fill="auto"/>
                  <w:noWrap w:val="0"/>
                  <w:tcMar>
                    <w:top w:w="15" w:type="dxa"/>
                    <w:left w:w="15" w:type="dxa"/>
                    <w:right w:w="15" w:type="dxa"/>
                  </w:tcMar>
                  <w:vAlign w:val="center"/>
                </w:tcPr>
                <w:p w14:paraId="6569392E">
                  <w:pPr>
                    <w:pStyle w:val="352"/>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NO</w:t>
                  </w:r>
                  <w:r>
                    <w:rPr>
                      <w:rFonts w:hint="default" w:ascii="Times New Roman" w:hAnsi="Times New Roman" w:cs="Times New Roman"/>
                      <w:color w:val="auto"/>
                      <w:sz w:val="21"/>
                      <w:szCs w:val="21"/>
                      <w:vertAlign w:val="subscript"/>
                      <w:lang w:val="en-US" w:eastAsia="zh-CN"/>
                    </w:rPr>
                    <w:t>X</w:t>
                  </w:r>
                </w:p>
              </w:tc>
              <w:tc>
                <w:tcPr>
                  <w:tcW w:w="1315" w:type="dxa"/>
                  <w:shd w:val="clear" w:color="auto" w:fill="auto"/>
                  <w:noWrap w:val="0"/>
                  <w:tcMar>
                    <w:top w:w="15" w:type="dxa"/>
                    <w:left w:w="15" w:type="dxa"/>
                    <w:right w:w="15" w:type="dxa"/>
                  </w:tcMar>
                  <w:vAlign w:val="center"/>
                </w:tcPr>
                <w:p w14:paraId="4FE9BF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11.2</w:t>
                  </w:r>
                </w:p>
              </w:tc>
              <w:tc>
                <w:tcPr>
                  <w:tcW w:w="1373" w:type="dxa"/>
                  <w:shd w:val="clear" w:color="auto" w:fill="auto"/>
                  <w:noWrap w:val="0"/>
                  <w:tcMar>
                    <w:top w:w="15" w:type="dxa"/>
                    <w:left w:w="15" w:type="dxa"/>
                    <w:right w:w="15" w:type="dxa"/>
                  </w:tcMar>
                  <w:vAlign w:val="center"/>
                </w:tcPr>
                <w:p w14:paraId="50ACF8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0.58</w:t>
                  </w:r>
                </w:p>
              </w:tc>
              <w:tc>
                <w:tcPr>
                  <w:tcW w:w="571" w:type="pct"/>
                  <w:vMerge w:val="continue"/>
                  <w:shd w:val="clear" w:color="auto" w:fill="auto"/>
                  <w:noWrap w:val="0"/>
                  <w:tcMar>
                    <w:top w:w="15" w:type="dxa"/>
                    <w:left w:w="15" w:type="dxa"/>
                    <w:right w:w="15" w:type="dxa"/>
                  </w:tcMar>
                  <w:vAlign w:val="center"/>
                </w:tcPr>
                <w:p w14:paraId="31A5B4A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p>
              </w:tc>
              <w:tc>
                <w:tcPr>
                  <w:tcW w:w="1297" w:type="dxa"/>
                  <w:shd w:val="clear" w:color="auto" w:fill="auto"/>
                  <w:noWrap w:val="0"/>
                  <w:tcMar>
                    <w:top w:w="15" w:type="dxa"/>
                    <w:left w:w="15" w:type="dxa"/>
                    <w:right w:w="15" w:type="dxa"/>
                  </w:tcMar>
                  <w:vAlign w:val="center"/>
                </w:tcPr>
                <w:p w14:paraId="4951C8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u w:val="none"/>
                      <w:lang w:val="en-US" w:eastAsia="zh-CN" w:bidi="ar"/>
                    </w:rPr>
                    <w:t>11.2</w:t>
                  </w:r>
                </w:p>
              </w:tc>
              <w:tc>
                <w:tcPr>
                  <w:tcW w:w="1479" w:type="dxa"/>
                  <w:shd w:val="clear" w:color="auto" w:fill="auto"/>
                  <w:noWrap w:val="0"/>
                  <w:tcMar>
                    <w:top w:w="15" w:type="dxa"/>
                    <w:left w:w="15" w:type="dxa"/>
                    <w:right w:w="15" w:type="dxa"/>
                  </w:tcMar>
                  <w:vAlign w:val="center"/>
                </w:tcPr>
                <w:p w14:paraId="1BA249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0.58</w:t>
                  </w:r>
                </w:p>
              </w:tc>
            </w:tr>
            <w:tr w14:paraId="3203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pct"/>
                  <w:vMerge w:val="continue"/>
                  <w:noWrap w:val="0"/>
                  <w:tcMar>
                    <w:top w:w="15" w:type="dxa"/>
                    <w:left w:w="15" w:type="dxa"/>
                    <w:right w:w="15" w:type="dxa"/>
                  </w:tcMar>
                  <w:vAlign w:val="center"/>
                </w:tcPr>
                <w:p w14:paraId="29A5984D">
                  <w:pPr>
                    <w:widowControl/>
                    <w:adjustRightInd w:val="0"/>
                    <w:snapToGrid w:val="0"/>
                    <w:jc w:val="center"/>
                    <w:rPr>
                      <w:rFonts w:hint="default" w:ascii="Times New Roman" w:hAnsi="Times New Roman" w:eastAsia="宋体" w:cs="Times New Roman"/>
                      <w:color w:val="auto"/>
                      <w:spacing w:val="-2"/>
                      <w:sz w:val="21"/>
                      <w:szCs w:val="21"/>
                      <w:lang w:eastAsia="zh-CN"/>
                    </w:rPr>
                  </w:pPr>
                </w:p>
              </w:tc>
              <w:tc>
                <w:tcPr>
                  <w:tcW w:w="409" w:type="pct"/>
                  <w:vMerge w:val="continue"/>
                  <w:noWrap w:val="0"/>
                  <w:tcMar>
                    <w:top w:w="15" w:type="dxa"/>
                    <w:left w:w="15" w:type="dxa"/>
                    <w:right w:w="15" w:type="dxa"/>
                  </w:tcMar>
                  <w:vAlign w:val="center"/>
                </w:tcPr>
                <w:p w14:paraId="417899E7">
                  <w:pPr>
                    <w:widowControl/>
                    <w:adjustRightInd w:val="0"/>
                    <w:snapToGrid w:val="0"/>
                    <w:jc w:val="center"/>
                    <w:textAlignment w:val="center"/>
                    <w:rPr>
                      <w:rFonts w:hint="default" w:ascii="Times New Roman" w:hAnsi="Times New Roman" w:eastAsia="宋体" w:cs="Times New Roman"/>
                      <w:color w:val="auto"/>
                      <w:kern w:val="0"/>
                      <w:sz w:val="21"/>
                      <w:szCs w:val="21"/>
                      <w:u w:val="none"/>
                      <w:lang w:eastAsia="zh-CN" w:bidi="ar"/>
                    </w:rPr>
                  </w:pPr>
                </w:p>
              </w:tc>
              <w:tc>
                <w:tcPr>
                  <w:tcW w:w="432" w:type="pct"/>
                  <w:shd w:val="clear" w:color="auto" w:fill="auto"/>
                  <w:noWrap w:val="0"/>
                  <w:tcMar>
                    <w:top w:w="15" w:type="dxa"/>
                    <w:left w:w="15" w:type="dxa"/>
                    <w:right w:w="15" w:type="dxa"/>
                  </w:tcMar>
                  <w:vAlign w:val="center"/>
                </w:tcPr>
                <w:p w14:paraId="5194526B">
                  <w:pPr>
                    <w:pStyle w:val="352"/>
                    <w:spacing w:line="240" w:lineRule="auto"/>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HC</w:t>
                  </w:r>
                </w:p>
              </w:tc>
              <w:tc>
                <w:tcPr>
                  <w:tcW w:w="1315" w:type="dxa"/>
                  <w:shd w:val="clear" w:color="auto" w:fill="auto"/>
                  <w:noWrap w:val="0"/>
                  <w:tcMar>
                    <w:top w:w="15" w:type="dxa"/>
                    <w:left w:w="15" w:type="dxa"/>
                    <w:right w:w="15" w:type="dxa"/>
                  </w:tcMar>
                  <w:vAlign w:val="center"/>
                </w:tcPr>
                <w:p w14:paraId="606C99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s="Times New Roman"/>
                      <w:color w:val="auto"/>
                      <w:kern w:val="0"/>
                      <w:sz w:val="21"/>
                      <w:szCs w:val="21"/>
                      <w:u w:val="none"/>
                      <w:lang w:val="en-US" w:eastAsia="zh-CN" w:bidi="ar"/>
                    </w:rPr>
                    <w:t>0.94</w:t>
                  </w:r>
                </w:p>
              </w:tc>
              <w:tc>
                <w:tcPr>
                  <w:tcW w:w="1373" w:type="dxa"/>
                  <w:shd w:val="clear" w:color="auto" w:fill="auto"/>
                  <w:noWrap w:val="0"/>
                  <w:tcMar>
                    <w:top w:w="15" w:type="dxa"/>
                    <w:left w:w="15" w:type="dxa"/>
                    <w:right w:w="15" w:type="dxa"/>
                  </w:tcMar>
                  <w:vAlign w:val="center"/>
                </w:tcPr>
                <w:p w14:paraId="5BF672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0.049</w:t>
                  </w:r>
                </w:p>
              </w:tc>
              <w:tc>
                <w:tcPr>
                  <w:tcW w:w="571" w:type="pct"/>
                  <w:vMerge w:val="continue"/>
                  <w:shd w:val="clear" w:color="auto" w:fill="auto"/>
                  <w:noWrap w:val="0"/>
                  <w:tcMar>
                    <w:top w:w="15" w:type="dxa"/>
                    <w:left w:w="15" w:type="dxa"/>
                    <w:right w:w="15" w:type="dxa"/>
                  </w:tcMar>
                  <w:vAlign w:val="center"/>
                </w:tcPr>
                <w:p w14:paraId="7D5FC65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p>
              </w:tc>
              <w:tc>
                <w:tcPr>
                  <w:tcW w:w="1297" w:type="dxa"/>
                  <w:shd w:val="clear" w:color="auto" w:fill="auto"/>
                  <w:noWrap w:val="0"/>
                  <w:tcMar>
                    <w:top w:w="15" w:type="dxa"/>
                    <w:left w:w="15" w:type="dxa"/>
                    <w:right w:w="15" w:type="dxa"/>
                  </w:tcMar>
                  <w:vAlign w:val="center"/>
                </w:tcPr>
                <w:p w14:paraId="05A6D4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cs="Times New Roman"/>
                      <w:color w:val="auto"/>
                      <w:kern w:val="0"/>
                      <w:sz w:val="21"/>
                      <w:szCs w:val="21"/>
                      <w:u w:val="none"/>
                      <w:lang w:val="en-US" w:eastAsia="zh-CN" w:bidi="ar"/>
                    </w:rPr>
                    <w:t>0.94</w:t>
                  </w:r>
                </w:p>
              </w:tc>
              <w:tc>
                <w:tcPr>
                  <w:tcW w:w="1479" w:type="dxa"/>
                  <w:shd w:val="clear" w:color="auto" w:fill="auto"/>
                  <w:noWrap w:val="0"/>
                  <w:tcMar>
                    <w:top w:w="15" w:type="dxa"/>
                    <w:left w:w="15" w:type="dxa"/>
                    <w:right w:w="15" w:type="dxa"/>
                  </w:tcMar>
                  <w:vAlign w:val="center"/>
                </w:tcPr>
                <w:p w14:paraId="5F4BA8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0.049</w:t>
                  </w:r>
                </w:p>
              </w:tc>
            </w:tr>
          </w:tbl>
          <w:p w14:paraId="7B9194C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color w:val="auto"/>
              </w:rPr>
            </w:pPr>
            <w:r>
              <w:rPr>
                <w:rFonts w:hint="eastAsia" w:ascii="宋体" w:hAnsi="宋体" w:cs="宋体"/>
                <w:color w:val="auto"/>
                <w:kern w:val="0"/>
                <w:sz w:val="24"/>
                <w:szCs w:val="24"/>
                <w:lang w:val="en-US" w:eastAsia="zh-CN" w:bidi="ar"/>
              </w:rPr>
              <w:t>内燃牵引机</w:t>
            </w:r>
            <w:r>
              <w:rPr>
                <w:rFonts w:hint="eastAsia" w:ascii="宋体" w:hAnsi="宋体" w:eastAsia="宋体" w:cs="宋体"/>
                <w:color w:val="auto"/>
                <w:kern w:val="0"/>
                <w:sz w:val="24"/>
                <w:szCs w:val="24"/>
                <w:lang w:val="en-US" w:eastAsia="zh-CN" w:bidi="ar"/>
              </w:rPr>
              <w:t>属于移动源，其污染物排放量相对较少。通过采取选用符合环保要求低排放的内燃机车，加强内燃机调节，提高燃料燃烧率等措施后，可有效减少内燃调机运行时烟气污染物排放量，且周围比较空旷，容易扩散，不会造成局部污染物浓度急剧上升，对周围大气环境的影响较小。</w:t>
            </w:r>
          </w:p>
          <w:p w14:paraId="48D9C29D">
            <w:pPr>
              <w:pStyle w:val="349"/>
              <w:keepNext w:val="0"/>
              <w:keepLines w:val="0"/>
              <w:pageBreakBefore w:val="0"/>
              <w:widowControl w:val="0"/>
              <w:numPr>
                <w:ilvl w:val="-1"/>
                <w:numId w:val="0"/>
              </w:numPr>
              <w:kinsoku/>
              <w:wordWrap/>
              <w:overflowPunct/>
              <w:topLinePunct w:val="0"/>
              <w:autoSpaceDE/>
              <w:autoSpaceDN/>
              <w:bidi w:val="0"/>
              <w:adjustRightInd/>
              <w:snapToGrid/>
              <w:spacing w:line="360" w:lineRule="auto"/>
              <w:ind w:left="400" w:leftChars="0" w:firstLine="0" w:firstLineChars="0"/>
              <w:textAlignment w:val="auto"/>
              <w:rPr>
                <w:rFonts w:hint="eastAsia" w:ascii="Times New Roman" w:hAnsi="Times New Roman" w:eastAsia="宋体" w:cs="宋体"/>
                <w:bCs/>
                <w:color w:val="auto"/>
                <w:kern w:val="2"/>
                <w:sz w:val="24"/>
                <w:szCs w:val="24"/>
                <w:lang w:val="en-US" w:eastAsia="zh-CN" w:bidi="ar-SA"/>
              </w:rPr>
            </w:pPr>
            <w:r>
              <w:rPr>
                <w:rFonts w:hint="eastAsia" w:ascii="Times New Roman" w:hAnsi="Times New Roman" w:cs="宋体"/>
                <w:bCs/>
                <w:color w:val="auto"/>
                <w:kern w:val="2"/>
                <w:sz w:val="24"/>
                <w:szCs w:val="24"/>
                <w:lang w:val="en-US" w:eastAsia="zh-CN" w:bidi="ar-SA"/>
              </w:rPr>
              <w:t>（2）运输车辆尾气和装卸设备废气</w:t>
            </w:r>
          </w:p>
          <w:p w14:paraId="075F34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rPr>
            </w:pPr>
            <w:r>
              <w:rPr>
                <w:rFonts w:hint="default" w:ascii="Times New Roman" w:hAnsi="Times New Roman" w:eastAsia="宋体" w:cs="Times New Roman"/>
                <w:color w:val="auto"/>
                <w:sz w:val="24"/>
                <w:szCs w:val="24"/>
                <w:lang w:eastAsia="zh-CN"/>
              </w:rPr>
              <w:t>项目使用</w:t>
            </w:r>
            <w:r>
              <w:rPr>
                <w:rFonts w:hint="default" w:ascii="Times New Roman" w:hAnsi="Times New Roman" w:eastAsia="宋体" w:cs="Times New Roman"/>
                <w:color w:val="auto"/>
                <w:sz w:val="24"/>
              </w:rPr>
              <w:t>符合国家标准的</w:t>
            </w:r>
            <w:r>
              <w:rPr>
                <w:rFonts w:hint="default" w:ascii="Times New Roman" w:hAnsi="Times New Roman" w:eastAsia="宋体" w:cs="Times New Roman"/>
                <w:color w:val="auto"/>
                <w:sz w:val="24"/>
                <w:szCs w:val="24"/>
                <w:lang w:eastAsia="zh-CN"/>
              </w:rPr>
              <w:t>运输车辆，</w:t>
            </w:r>
            <w:r>
              <w:rPr>
                <w:rFonts w:hint="default" w:ascii="Times New Roman" w:hAnsi="Times New Roman" w:eastAsia="宋体" w:cs="Times New Roman"/>
                <w:color w:val="auto"/>
                <w:sz w:val="24"/>
                <w:szCs w:val="24"/>
              </w:rPr>
              <w:t>项目使用的装卸设备均检测合格。</w:t>
            </w:r>
            <w:r>
              <w:rPr>
                <w:rFonts w:hint="default" w:ascii="Times New Roman" w:hAnsi="Times New Roman" w:eastAsia="宋体" w:cs="Times New Roman"/>
                <w:color w:val="auto"/>
                <w:kern w:val="2"/>
                <w:sz w:val="24"/>
                <w:lang w:bidi="ar"/>
              </w:rPr>
              <w:t>主要污染物为发动机中所产生的CO、THC和NOx。</w:t>
            </w:r>
            <w:r>
              <w:rPr>
                <w:rFonts w:hint="eastAsia" w:ascii="Times New Roman" w:hAnsi="Times New Roman" w:eastAsia="宋体" w:cs="Times New Roman"/>
                <w:color w:val="auto"/>
                <w:kern w:val="2"/>
                <w:sz w:val="24"/>
                <w:lang w:eastAsia="zh-CN" w:bidi="ar"/>
              </w:rPr>
              <w:t>本项目运输车辆在集装箱堆场内停留时间短，正面吊运行时间短，项目区域</w:t>
            </w:r>
            <w:r>
              <w:rPr>
                <w:rFonts w:hint="default" w:ascii="Times New Roman" w:hAnsi="Times New Roman" w:eastAsia="宋体" w:cs="Times New Roman"/>
                <w:color w:val="auto"/>
                <w:sz w:val="24"/>
                <w:szCs w:val="24"/>
              </w:rPr>
              <w:t>项目区域开阔，空气扩散条件好，有利于污染物扩散，对周围大气环境影响小。</w:t>
            </w:r>
            <w:r>
              <w:rPr>
                <w:rFonts w:hint="eastAsia" w:cs="Times New Roman"/>
                <w:color w:val="auto"/>
                <w:sz w:val="24"/>
                <w:szCs w:val="24"/>
                <w:lang w:val="en-US" w:eastAsia="zh-CN"/>
              </w:rPr>
              <w:t>项目应</w:t>
            </w:r>
            <w:r>
              <w:rPr>
                <w:rFonts w:hint="default"/>
                <w:color w:val="auto"/>
                <w:sz w:val="24"/>
                <w:szCs w:val="24"/>
              </w:rPr>
              <w:t>选购排放污染物少的环保型高效装卸机械和运输车辆</w:t>
            </w:r>
            <w:r>
              <w:rPr>
                <w:rFonts w:hint="eastAsia"/>
                <w:color w:val="auto"/>
                <w:sz w:val="24"/>
                <w:szCs w:val="24"/>
                <w:lang w:eastAsia="zh-CN"/>
              </w:rPr>
              <w:t>；</w:t>
            </w:r>
            <w:r>
              <w:rPr>
                <w:rFonts w:hint="default"/>
                <w:color w:val="auto"/>
                <w:sz w:val="24"/>
                <w:szCs w:val="24"/>
              </w:rPr>
              <w:t>加强机械车辆的保养、维修，使其保持正常运行</w:t>
            </w:r>
            <w:r>
              <w:rPr>
                <w:rFonts w:hint="eastAsia"/>
                <w:color w:val="auto"/>
                <w:sz w:val="24"/>
                <w:szCs w:val="24"/>
                <w:lang w:eastAsia="zh-CN"/>
              </w:rPr>
              <w:t>；</w:t>
            </w:r>
            <w:r>
              <w:rPr>
                <w:rFonts w:hint="default"/>
                <w:color w:val="auto"/>
                <w:sz w:val="24"/>
                <w:szCs w:val="24"/>
              </w:rPr>
              <w:t>使用合格的燃料油</w:t>
            </w:r>
            <w:r>
              <w:rPr>
                <w:rFonts w:hint="eastAsia"/>
                <w:color w:val="auto"/>
                <w:sz w:val="24"/>
                <w:szCs w:val="24"/>
                <w:lang w:eastAsia="zh-CN"/>
              </w:rPr>
              <w:t>；</w:t>
            </w:r>
            <w:r>
              <w:rPr>
                <w:rFonts w:hint="default"/>
                <w:color w:val="auto"/>
                <w:sz w:val="24"/>
                <w:szCs w:val="24"/>
              </w:rPr>
              <w:t>疏导好场内交通、减少机械车辆的怠速行驶时间</w:t>
            </w:r>
            <w:r>
              <w:rPr>
                <w:rFonts w:hint="eastAsia"/>
                <w:color w:val="auto"/>
                <w:sz w:val="24"/>
                <w:szCs w:val="24"/>
                <w:lang w:eastAsia="zh-CN"/>
              </w:rPr>
              <w:t>。</w:t>
            </w:r>
            <w:r>
              <w:rPr>
                <w:rFonts w:hint="default"/>
                <w:color w:val="auto"/>
                <w:sz w:val="24"/>
                <w:szCs w:val="24"/>
              </w:rPr>
              <w:t>在做好相关污染防治措施要求基础上，本项目营运期排放</w:t>
            </w:r>
            <w:r>
              <w:rPr>
                <w:rFonts w:hint="eastAsia"/>
                <w:color w:val="auto"/>
                <w:sz w:val="24"/>
                <w:szCs w:val="24"/>
                <w:lang w:val="en-US" w:eastAsia="zh-CN"/>
              </w:rPr>
              <w:t>运输车辆和装卸设备</w:t>
            </w:r>
            <w:r>
              <w:rPr>
                <w:rFonts w:hint="default"/>
                <w:color w:val="auto"/>
                <w:sz w:val="24"/>
                <w:szCs w:val="24"/>
              </w:rPr>
              <w:t>废气对区域环境空气的影响较小。</w:t>
            </w:r>
          </w:p>
          <w:p w14:paraId="1018B03F">
            <w:pPr>
              <w:pStyle w:val="349"/>
              <w:keepNext w:val="0"/>
              <w:keepLines w:val="0"/>
              <w:pageBreakBefore w:val="0"/>
              <w:widowControl w:val="0"/>
              <w:numPr>
                <w:ilvl w:val="-1"/>
                <w:numId w:val="0"/>
              </w:numPr>
              <w:kinsoku/>
              <w:wordWrap/>
              <w:overflowPunct/>
              <w:topLinePunct w:val="0"/>
              <w:autoSpaceDE/>
              <w:autoSpaceDN/>
              <w:bidi w:val="0"/>
              <w:adjustRightInd/>
              <w:snapToGrid/>
              <w:spacing w:before="157" w:beforeLines="50" w:line="360" w:lineRule="auto"/>
              <w:ind w:left="0" w:leftChars="0" w:firstLine="480" w:firstLineChars="200"/>
              <w:textAlignment w:val="auto"/>
              <w:rPr>
                <w:rFonts w:hint="default" w:ascii="Times New Roman" w:hAnsi="Times New Roman" w:eastAsia="宋体" w:cs="宋体"/>
                <w:bCs/>
                <w:color w:val="auto"/>
                <w:kern w:val="2"/>
                <w:sz w:val="24"/>
                <w:szCs w:val="24"/>
                <w:lang w:val="en-US" w:eastAsia="zh-CN" w:bidi="ar-SA"/>
              </w:rPr>
            </w:pPr>
            <w:r>
              <w:rPr>
                <w:rFonts w:hint="eastAsia" w:ascii="Times New Roman" w:hAnsi="Times New Roman" w:cs="宋体"/>
                <w:bCs/>
                <w:color w:val="auto"/>
                <w:kern w:val="2"/>
                <w:sz w:val="24"/>
                <w:szCs w:val="24"/>
                <w:lang w:val="en-US" w:eastAsia="zh-CN" w:bidi="ar-SA"/>
              </w:rPr>
              <w:t>（3）</w:t>
            </w:r>
            <w:r>
              <w:rPr>
                <w:rFonts w:hint="eastAsia" w:ascii="Times New Roman" w:hAnsi="Times New Roman" w:eastAsia="宋体" w:cs="宋体"/>
                <w:bCs/>
                <w:color w:val="auto"/>
                <w:kern w:val="2"/>
                <w:sz w:val="24"/>
                <w:szCs w:val="24"/>
                <w:lang w:val="en-US" w:eastAsia="zh-CN" w:bidi="ar-SA"/>
              </w:rPr>
              <w:t>道路运输扬尘</w:t>
            </w:r>
            <w:r>
              <w:rPr>
                <w:rFonts w:hint="eastAsia" w:ascii="Times New Roman" w:hAnsi="Times New Roman" w:cs="宋体"/>
                <w:bCs/>
                <w:color w:val="auto"/>
                <w:kern w:val="2"/>
                <w:sz w:val="24"/>
                <w:szCs w:val="24"/>
                <w:lang w:val="en-US" w:eastAsia="zh-CN" w:bidi="ar-SA"/>
              </w:rPr>
              <w:t>、装卸粉尘</w:t>
            </w:r>
          </w:p>
          <w:p w14:paraId="0EEA9825">
            <w:pPr>
              <w:tabs>
                <w:tab w:val="left" w:pos="624"/>
              </w:tabs>
              <w:adjustRightInd w:val="0"/>
              <w:snapToGrid w:val="0"/>
              <w:spacing w:line="360" w:lineRule="auto"/>
              <w:ind w:firstLine="480" w:firstLineChars="200"/>
              <w:rPr>
                <w:rFonts w:hint="eastAsia" w:eastAsia="宋体"/>
                <w:color w:val="auto"/>
                <w:sz w:val="24"/>
                <w:szCs w:val="24"/>
                <w:lang w:eastAsia="zh-CN"/>
              </w:rPr>
            </w:pPr>
            <w:r>
              <w:rPr>
                <w:rFonts w:hint="eastAsia"/>
                <w:color w:val="auto"/>
                <w:sz w:val="24"/>
                <w:lang w:eastAsia="zh-CN"/>
              </w:rPr>
              <w:t>本项目不属于散装物料及易起尘物料的转运，</w:t>
            </w:r>
            <w:r>
              <w:rPr>
                <w:rFonts w:hint="eastAsia"/>
                <w:color w:val="auto"/>
                <w:sz w:val="24"/>
                <w:lang w:val="en-US" w:eastAsia="zh-CN"/>
              </w:rPr>
              <w:t>装卸产品均置于集装箱内</w:t>
            </w:r>
            <w:r>
              <w:rPr>
                <w:rFonts w:hint="eastAsia"/>
                <w:color w:val="auto"/>
                <w:sz w:val="24"/>
                <w:lang w:eastAsia="zh-CN"/>
              </w:rPr>
              <w:t>，</w:t>
            </w:r>
            <w:r>
              <w:rPr>
                <w:rFonts w:hint="default"/>
                <w:color w:val="auto"/>
                <w:sz w:val="24"/>
                <w:szCs w:val="24"/>
              </w:rPr>
              <w:t>因此本次评价不对</w:t>
            </w:r>
            <w:r>
              <w:rPr>
                <w:rFonts w:hint="eastAsia"/>
                <w:color w:val="auto"/>
                <w:sz w:val="24"/>
                <w:szCs w:val="24"/>
                <w:lang w:eastAsia="zh-CN"/>
              </w:rPr>
              <w:t>集装箱堆场内</w:t>
            </w:r>
            <w:r>
              <w:rPr>
                <w:rFonts w:hint="default"/>
                <w:color w:val="auto"/>
                <w:sz w:val="24"/>
                <w:szCs w:val="24"/>
              </w:rPr>
              <w:t>的运输扬尘</w:t>
            </w:r>
            <w:r>
              <w:rPr>
                <w:rFonts w:hint="eastAsia"/>
                <w:color w:val="auto"/>
                <w:sz w:val="24"/>
                <w:szCs w:val="24"/>
                <w:lang w:val="en-US" w:eastAsia="zh-CN"/>
              </w:rPr>
              <w:t>及装卸粉尘</w:t>
            </w:r>
            <w:r>
              <w:rPr>
                <w:rFonts w:hint="default"/>
                <w:color w:val="auto"/>
                <w:sz w:val="24"/>
                <w:szCs w:val="24"/>
              </w:rPr>
              <w:t>进行定量分析，只进行定性分析。</w:t>
            </w:r>
            <w:r>
              <w:rPr>
                <w:rFonts w:hint="eastAsia"/>
                <w:color w:val="auto"/>
                <w:sz w:val="24"/>
                <w:szCs w:val="24"/>
                <w:lang w:eastAsia="zh-CN"/>
              </w:rPr>
              <w:t>项目集装箱堆场区域开阔，</w:t>
            </w:r>
            <w:r>
              <w:rPr>
                <w:rFonts w:hint="default" w:ascii="Times New Roman" w:hAnsi="Times New Roman" w:eastAsia="宋体" w:cs="Times New Roman"/>
                <w:color w:val="auto"/>
                <w:sz w:val="24"/>
                <w:szCs w:val="24"/>
              </w:rPr>
              <w:t>空气扩散条件好，</w:t>
            </w:r>
            <w:r>
              <w:rPr>
                <w:rFonts w:hint="eastAsia" w:ascii="Times New Roman" w:hAnsi="Times New Roman" w:eastAsia="宋体" w:cs="Times New Roman"/>
                <w:color w:val="auto"/>
                <w:sz w:val="24"/>
                <w:szCs w:val="24"/>
                <w:lang w:eastAsia="zh-CN"/>
              </w:rPr>
              <w:t>运输道路较短，</w:t>
            </w:r>
            <w:r>
              <w:rPr>
                <w:rFonts w:hint="eastAsia" w:cs="Times New Roman"/>
                <w:color w:val="auto"/>
                <w:sz w:val="24"/>
                <w:szCs w:val="24"/>
                <w:lang w:val="en-US" w:eastAsia="zh-CN"/>
              </w:rPr>
              <w:t>可通过</w:t>
            </w:r>
            <w:r>
              <w:rPr>
                <w:rFonts w:hint="default"/>
                <w:color w:val="auto"/>
                <w:sz w:val="24"/>
                <w:szCs w:val="24"/>
              </w:rPr>
              <w:t>注意道路清扫工作，适当喷淋，减少扬尘</w:t>
            </w:r>
            <w:r>
              <w:rPr>
                <w:rFonts w:hint="eastAsia"/>
                <w:color w:val="auto"/>
                <w:sz w:val="24"/>
                <w:szCs w:val="24"/>
                <w:lang w:eastAsia="zh-CN"/>
              </w:rPr>
              <w:t>，</w:t>
            </w:r>
            <w:r>
              <w:rPr>
                <w:rFonts w:hint="eastAsia"/>
                <w:color w:val="auto"/>
                <w:sz w:val="24"/>
                <w:szCs w:val="24"/>
                <w:lang w:val="en-US" w:eastAsia="zh-CN"/>
              </w:rPr>
              <w:t>则</w:t>
            </w:r>
            <w:r>
              <w:rPr>
                <w:rFonts w:hint="eastAsia"/>
                <w:color w:val="auto"/>
                <w:sz w:val="24"/>
                <w:szCs w:val="24"/>
                <w:lang w:eastAsia="zh-CN"/>
              </w:rPr>
              <w:t>项目道路运输扬尘、</w:t>
            </w:r>
            <w:r>
              <w:rPr>
                <w:rFonts w:hint="eastAsia"/>
                <w:color w:val="auto"/>
                <w:sz w:val="24"/>
                <w:szCs w:val="24"/>
                <w:lang w:val="en-US" w:eastAsia="zh-CN"/>
              </w:rPr>
              <w:t>装卸粉尘</w:t>
            </w:r>
            <w:r>
              <w:rPr>
                <w:rFonts w:hint="eastAsia"/>
                <w:color w:val="auto"/>
                <w:sz w:val="24"/>
                <w:szCs w:val="24"/>
                <w:lang w:eastAsia="zh-CN"/>
              </w:rPr>
              <w:t>对</w:t>
            </w:r>
            <w:r>
              <w:rPr>
                <w:rFonts w:hint="default"/>
                <w:color w:val="auto"/>
                <w:sz w:val="24"/>
                <w:szCs w:val="24"/>
              </w:rPr>
              <w:t>区域环境空气的影响较小。</w:t>
            </w:r>
          </w:p>
          <w:p w14:paraId="3CC64DC0">
            <w:pPr>
              <w:adjustRightInd w:val="0"/>
              <w:snapToGrid w:val="0"/>
              <w:spacing w:line="360" w:lineRule="auto"/>
              <w:ind w:firstLine="482" w:firstLineChars="200"/>
              <w:rPr>
                <w:rFonts w:cs="宋体"/>
                <w:b/>
                <w:color w:val="auto"/>
                <w:sz w:val="24"/>
              </w:rPr>
            </w:pPr>
            <w:r>
              <w:rPr>
                <w:rFonts w:hint="eastAsia" w:cs="宋体"/>
                <w:b/>
                <w:color w:val="auto"/>
                <w:sz w:val="24"/>
              </w:rPr>
              <w:t>3、水环境影响分析</w:t>
            </w:r>
          </w:p>
          <w:p w14:paraId="718315A9">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eastAsia="宋体"/>
                <w:color w:val="auto"/>
                <w:spacing w:val="0"/>
                <w:sz w:val="24"/>
                <w:lang w:val="en-US" w:eastAsia="zh-CN"/>
              </w:rPr>
            </w:pPr>
            <w:r>
              <w:rPr>
                <w:rFonts w:hint="eastAsia"/>
                <w:color w:val="auto"/>
                <w:spacing w:val="0"/>
                <w:sz w:val="24"/>
                <w:lang w:eastAsia="zh-CN"/>
              </w:rPr>
              <w:t>项目集装箱堆场内</w:t>
            </w:r>
            <w:r>
              <w:rPr>
                <w:color w:val="auto"/>
                <w:spacing w:val="0"/>
                <w:sz w:val="24"/>
              </w:rPr>
              <w:t>降尘用水全部挥发，不产生</w:t>
            </w:r>
            <w:r>
              <w:rPr>
                <w:rFonts w:hint="eastAsia"/>
                <w:color w:val="auto"/>
                <w:spacing w:val="0"/>
                <w:sz w:val="24"/>
                <w:lang w:eastAsia="zh-CN"/>
              </w:rPr>
              <w:t>生产</w:t>
            </w:r>
            <w:r>
              <w:rPr>
                <w:color w:val="auto"/>
                <w:spacing w:val="0"/>
                <w:sz w:val="24"/>
              </w:rPr>
              <w:t>废水。</w:t>
            </w:r>
            <w:r>
              <w:rPr>
                <w:rFonts w:hint="eastAsia"/>
                <w:color w:val="auto"/>
                <w:spacing w:val="0"/>
                <w:sz w:val="24"/>
                <w:lang w:val="en-US" w:eastAsia="zh-CN"/>
              </w:rPr>
              <w:t>生活污水经化粪池处理后定期清理外运施肥。</w:t>
            </w:r>
          </w:p>
          <w:p w14:paraId="1CD523F0">
            <w:pPr>
              <w:widowControl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bCs/>
                <w:color w:val="auto"/>
                <w:sz w:val="24"/>
                <w:szCs w:val="24"/>
              </w:rPr>
              <w:t>项目生活污水按用水量80%计算，则生活污水产生量为</w:t>
            </w:r>
            <w:r>
              <w:rPr>
                <w:rFonts w:hint="eastAsia" w:cs="Times New Roman"/>
                <w:bCs/>
                <w:color w:val="auto"/>
                <w:sz w:val="24"/>
                <w:szCs w:val="24"/>
                <w:lang w:val="en-US" w:eastAsia="zh-CN"/>
              </w:rPr>
              <w:t>1</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w:t>
            </w:r>
            <w:r>
              <w:rPr>
                <w:rFonts w:hint="eastAsia" w:ascii="宋体" w:hAnsi="宋体" w:eastAsia="宋体" w:cs="宋体"/>
                <w:bCs/>
                <w:color w:val="auto"/>
                <w:sz w:val="24"/>
                <w:szCs w:val="24"/>
              </w:rPr>
              <w:t>(</w:t>
            </w:r>
            <w:r>
              <w:rPr>
                <w:rFonts w:hint="eastAsia" w:cs="Times New Roman"/>
                <w:bCs/>
                <w:color w:val="auto"/>
                <w:sz w:val="24"/>
                <w:szCs w:val="24"/>
                <w:lang w:val="en-US" w:eastAsia="zh-CN"/>
              </w:rPr>
              <w:t>365</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/a</w:t>
            </w:r>
            <w:r>
              <w:rPr>
                <w:rFonts w:hint="eastAsia" w:ascii="宋体" w:hAnsi="宋体" w:eastAsia="宋体" w:cs="宋体"/>
                <w:bCs/>
                <w:color w:val="auto"/>
                <w:sz w:val="24"/>
                <w:szCs w:val="24"/>
              </w:rPr>
              <w:t>)</w:t>
            </w:r>
            <w:r>
              <w:rPr>
                <w:rFonts w:ascii="Times New Roman" w:hAnsi="Times New Roman" w:cs="Times New Roman"/>
                <w:bCs/>
                <w:color w:val="auto"/>
                <w:sz w:val="24"/>
                <w:szCs w:val="24"/>
              </w:rPr>
              <w:t>。</w:t>
            </w:r>
            <w:r>
              <w:rPr>
                <w:rFonts w:ascii="Times New Roman" w:hAnsi="Times New Roman" w:cs="Times New Roman"/>
                <w:color w:val="auto"/>
                <w:sz w:val="24"/>
                <w:szCs w:val="24"/>
              </w:rPr>
              <w:t>项目</w:t>
            </w:r>
            <w:r>
              <w:rPr>
                <w:rFonts w:hint="eastAsia" w:ascii="Times New Roman" w:hAnsi="Times New Roman" w:cs="Times New Roman"/>
                <w:color w:val="auto"/>
                <w:sz w:val="24"/>
                <w:szCs w:val="24"/>
              </w:rPr>
              <w:t>生活</w:t>
            </w:r>
            <w:r>
              <w:rPr>
                <w:rFonts w:ascii="Times New Roman" w:hAnsi="Times New Roman" w:cs="Times New Roman"/>
                <w:color w:val="auto"/>
                <w:sz w:val="24"/>
                <w:szCs w:val="24"/>
              </w:rPr>
              <w:t>污水各污染物排放情况见表4</w:t>
            </w:r>
            <w:r>
              <w:rPr>
                <w:rFonts w:hint="eastAsia" w:cs="Times New Roman"/>
                <w:color w:val="auto"/>
                <w:sz w:val="24"/>
                <w:szCs w:val="24"/>
                <w:lang w:val="en-US" w:eastAsia="zh-CN"/>
              </w:rPr>
              <w:t>-5</w:t>
            </w:r>
            <w:r>
              <w:rPr>
                <w:rFonts w:ascii="Times New Roman" w:hAnsi="Times New Roman" w:cs="Times New Roman"/>
                <w:color w:val="auto"/>
                <w:sz w:val="24"/>
                <w:szCs w:val="24"/>
              </w:rPr>
              <w:t>。</w:t>
            </w:r>
          </w:p>
          <w:p w14:paraId="58343F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imes New Roman" w:hAnsi="Times New Roman" w:cs="Times New Roman"/>
                <w:b/>
                <w:color w:val="auto"/>
                <w:sz w:val="24"/>
                <w:szCs w:val="24"/>
              </w:rPr>
            </w:pPr>
            <w:r>
              <w:rPr>
                <w:rFonts w:ascii="Times New Roman" w:hAnsi="Times New Roman" w:cs="Times New Roman"/>
                <w:b/>
                <w:color w:val="auto"/>
                <w:sz w:val="24"/>
                <w:szCs w:val="24"/>
              </w:rPr>
              <w:t>表4-</w:t>
            </w:r>
            <w:r>
              <w:rPr>
                <w:rFonts w:hint="eastAsia" w:cs="Times New Roman"/>
                <w:b/>
                <w:color w:val="auto"/>
                <w:sz w:val="24"/>
                <w:szCs w:val="24"/>
                <w:lang w:val="en-US" w:eastAsia="zh-CN"/>
              </w:rPr>
              <w:t>5</w:t>
            </w:r>
            <w:r>
              <w:rPr>
                <w:rFonts w:ascii="Times New Roman" w:hAnsi="Times New Roman" w:cs="Times New Roman"/>
                <w:b/>
                <w:color w:val="auto"/>
                <w:sz w:val="24"/>
                <w:szCs w:val="24"/>
              </w:rPr>
              <w:t xml:space="preserve">  项目生活污水及其污染物排放情况一览表</w:t>
            </w:r>
          </w:p>
          <w:tbl>
            <w:tblPr>
              <w:tblStyle w:val="46"/>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407"/>
              <w:gridCol w:w="1898"/>
              <w:gridCol w:w="1047"/>
              <w:gridCol w:w="986"/>
              <w:gridCol w:w="956"/>
              <w:gridCol w:w="937"/>
            </w:tblGrid>
            <w:tr w14:paraId="70C80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vAlign w:val="center"/>
                </w:tcPr>
                <w:p w14:paraId="41F3B17F">
                  <w:pPr>
                    <w:spacing w:beforeLine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废水总量</w:t>
                  </w:r>
                </w:p>
              </w:tc>
              <w:tc>
                <w:tcPr>
                  <w:tcW w:w="1958" w:type="pct"/>
                  <w:gridSpan w:val="2"/>
                  <w:vAlign w:val="center"/>
                </w:tcPr>
                <w:p w14:paraId="7BF5D5F5">
                  <w:pPr>
                    <w:spacing w:beforeLine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项目</w:t>
                  </w:r>
                </w:p>
              </w:tc>
              <w:tc>
                <w:tcPr>
                  <w:tcW w:w="620" w:type="pct"/>
                  <w:vAlign w:val="center"/>
                </w:tcPr>
                <w:p w14:paraId="7622A9E0">
                  <w:pPr>
                    <w:spacing w:beforeLine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CODcr</w:t>
                  </w:r>
                </w:p>
              </w:tc>
              <w:tc>
                <w:tcPr>
                  <w:tcW w:w="584" w:type="pct"/>
                  <w:vAlign w:val="center"/>
                </w:tcPr>
                <w:p w14:paraId="17EC3141">
                  <w:pPr>
                    <w:spacing w:beforeLine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BOD</w:t>
                  </w:r>
                  <w:r>
                    <w:rPr>
                      <w:rFonts w:ascii="Times New Roman" w:hAnsi="Times New Roman" w:cs="Times New Roman"/>
                      <w:b/>
                      <w:bCs/>
                      <w:color w:val="auto"/>
                      <w:sz w:val="21"/>
                      <w:szCs w:val="21"/>
                      <w:vertAlign w:val="subscript"/>
                    </w:rPr>
                    <w:t>5</w:t>
                  </w:r>
                </w:p>
              </w:tc>
              <w:tc>
                <w:tcPr>
                  <w:tcW w:w="566" w:type="pct"/>
                  <w:vAlign w:val="center"/>
                </w:tcPr>
                <w:p w14:paraId="43B5AE18">
                  <w:pPr>
                    <w:spacing w:beforeLine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SS</w:t>
                  </w:r>
                </w:p>
              </w:tc>
              <w:tc>
                <w:tcPr>
                  <w:tcW w:w="553" w:type="pct"/>
                  <w:vAlign w:val="center"/>
                </w:tcPr>
                <w:p w14:paraId="7A01673C">
                  <w:pPr>
                    <w:spacing w:beforeLine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NH</w:t>
                  </w:r>
                  <w:r>
                    <w:rPr>
                      <w:rFonts w:ascii="Times New Roman" w:hAnsi="Times New Roman" w:cs="Times New Roman"/>
                      <w:b/>
                      <w:bCs/>
                      <w:color w:val="auto"/>
                      <w:sz w:val="21"/>
                      <w:szCs w:val="21"/>
                      <w:vertAlign w:val="subscript"/>
                    </w:rPr>
                    <w:t>3</w:t>
                  </w:r>
                  <w:r>
                    <w:rPr>
                      <w:rFonts w:ascii="Times New Roman" w:hAnsi="Times New Roman" w:cs="Times New Roman"/>
                      <w:b/>
                      <w:bCs/>
                      <w:color w:val="auto"/>
                      <w:sz w:val="21"/>
                      <w:szCs w:val="21"/>
                    </w:rPr>
                    <w:t>-N</w:t>
                  </w:r>
                </w:p>
              </w:tc>
            </w:tr>
            <w:tr w14:paraId="31298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vMerge w:val="restart"/>
                  <w:vAlign w:val="center"/>
                </w:tcPr>
                <w:p w14:paraId="5F615DF6">
                  <w:pPr>
                    <w:spacing w:beforeLines="0"/>
                    <w:jc w:val="center"/>
                    <w:rPr>
                      <w:rFonts w:ascii="Times New Roman" w:hAnsi="Times New Roman" w:cs="Times New Roman"/>
                      <w:color w:val="auto"/>
                      <w:sz w:val="21"/>
                      <w:szCs w:val="21"/>
                    </w:rPr>
                  </w:pPr>
                  <w:r>
                    <w:rPr>
                      <w:rFonts w:hint="eastAsia" w:cs="Times New Roman"/>
                      <w:color w:val="auto"/>
                      <w:sz w:val="21"/>
                      <w:szCs w:val="21"/>
                      <w:lang w:val="en-US" w:eastAsia="zh-CN"/>
                    </w:rPr>
                    <w:t>365</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/a</w:t>
                  </w:r>
                </w:p>
              </w:tc>
              <w:tc>
                <w:tcPr>
                  <w:tcW w:w="834" w:type="pct"/>
                  <w:vMerge w:val="restart"/>
                  <w:vAlign w:val="center"/>
                </w:tcPr>
                <w:p w14:paraId="5518743A">
                  <w:pPr>
                    <w:spacing w:before="0" w:beforeLines="0"/>
                    <w:jc w:val="center"/>
                    <w:rPr>
                      <w:rFonts w:ascii="Times New Roman" w:hAnsi="Times New Roman" w:cs="Times New Roman"/>
                      <w:color w:val="auto"/>
                      <w:sz w:val="21"/>
                      <w:szCs w:val="21"/>
                    </w:rPr>
                  </w:pPr>
                  <w:r>
                    <w:rPr>
                      <w:rFonts w:ascii="Times New Roman" w:hAnsi="Times New Roman" w:cs="Times New Roman"/>
                      <w:color w:val="auto"/>
                      <w:sz w:val="21"/>
                      <w:szCs w:val="21"/>
                    </w:rPr>
                    <w:t>处理前</w:t>
                  </w:r>
                </w:p>
              </w:tc>
              <w:tc>
                <w:tcPr>
                  <w:tcW w:w="1124" w:type="pct"/>
                  <w:vAlign w:val="center"/>
                </w:tcPr>
                <w:p w14:paraId="49763538">
                  <w:pPr>
                    <w:spacing w:beforeLines="0"/>
                    <w:jc w:val="center"/>
                    <w:rPr>
                      <w:rFonts w:ascii="Times New Roman" w:hAnsi="Times New Roman" w:cs="Times New Roman"/>
                      <w:color w:val="auto"/>
                      <w:sz w:val="21"/>
                      <w:szCs w:val="21"/>
                    </w:rPr>
                  </w:pPr>
                  <w:r>
                    <w:rPr>
                      <w:rFonts w:ascii="Times New Roman" w:hAnsi="Times New Roman" w:cs="Times New Roman"/>
                      <w:color w:val="auto"/>
                      <w:sz w:val="21"/>
                      <w:szCs w:val="21"/>
                    </w:rPr>
                    <w:t>产生浓度（mg/L）</w:t>
                  </w:r>
                </w:p>
              </w:tc>
              <w:tc>
                <w:tcPr>
                  <w:tcW w:w="620" w:type="pct"/>
                  <w:vAlign w:val="center"/>
                </w:tcPr>
                <w:p w14:paraId="29790F96">
                  <w:pPr>
                    <w:spacing w:beforeLines="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300</w:t>
                  </w:r>
                </w:p>
              </w:tc>
              <w:tc>
                <w:tcPr>
                  <w:tcW w:w="584" w:type="pct"/>
                  <w:vAlign w:val="center"/>
                </w:tcPr>
                <w:p w14:paraId="100CC5B3">
                  <w:pPr>
                    <w:spacing w:beforeLines="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566" w:type="pct"/>
                  <w:vAlign w:val="center"/>
                </w:tcPr>
                <w:p w14:paraId="562F0812">
                  <w:pPr>
                    <w:spacing w:beforeLines="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200</w:t>
                  </w:r>
                </w:p>
              </w:tc>
              <w:tc>
                <w:tcPr>
                  <w:tcW w:w="553" w:type="pct"/>
                  <w:vAlign w:val="center"/>
                </w:tcPr>
                <w:p w14:paraId="4543638E">
                  <w:pPr>
                    <w:spacing w:beforeLines="0"/>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rPr>
                    <w:t>30</w:t>
                  </w:r>
                </w:p>
              </w:tc>
            </w:tr>
            <w:tr w14:paraId="6350A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vMerge w:val="continue"/>
                  <w:vAlign w:val="center"/>
                </w:tcPr>
                <w:p w14:paraId="00CC3670">
                  <w:pPr>
                    <w:spacing w:beforeLines="0"/>
                    <w:jc w:val="center"/>
                    <w:rPr>
                      <w:rFonts w:ascii="Times New Roman" w:hAnsi="Times New Roman" w:cs="Times New Roman"/>
                      <w:color w:val="auto"/>
                      <w:sz w:val="21"/>
                      <w:szCs w:val="21"/>
                    </w:rPr>
                  </w:pPr>
                </w:p>
              </w:tc>
              <w:tc>
                <w:tcPr>
                  <w:tcW w:w="834" w:type="pct"/>
                  <w:vMerge w:val="continue"/>
                  <w:vAlign w:val="center"/>
                </w:tcPr>
                <w:p w14:paraId="51090941">
                  <w:pPr>
                    <w:spacing w:beforeLines="0"/>
                    <w:jc w:val="center"/>
                    <w:rPr>
                      <w:rFonts w:ascii="Times New Roman" w:hAnsi="Times New Roman" w:cs="Times New Roman"/>
                      <w:color w:val="auto"/>
                      <w:sz w:val="21"/>
                      <w:szCs w:val="21"/>
                    </w:rPr>
                  </w:pPr>
                </w:p>
              </w:tc>
              <w:tc>
                <w:tcPr>
                  <w:tcW w:w="1124" w:type="pct"/>
                  <w:vAlign w:val="center"/>
                </w:tcPr>
                <w:p w14:paraId="20D7F1DE">
                  <w:pPr>
                    <w:spacing w:beforeLines="0"/>
                    <w:jc w:val="center"/>
                    <w:rPr>
                      <w:rFonts w:ascii="Times New Roman" w:hAnsi="Times New Roman" w:cs="Times New Roman"/>
                      <w:color w:val="auto"/>
                      <w:sz w:val="21"/>
                      <w:szCs w:val="21"/>
                    </w:rPr>
                  </w:pPr>
                  <w:r>
                    <w:rPr>
                      <w:rFonts w:ascii="Times New Roman" w:hAnsi="Times New Roman" w:cs="Times New Roman"/>
                      <w:color w:val="auto"/>
                      <w:sz w:val="21"/>
                      <w:szCs w:val="21"/>
                    </w:rPr>
                    <w:t>产生量（t/a）</w:t>
                  </w:r>
                </w:p>
              </w:tc>
              <w:tc>
                <w:tcPr>
                  <w:tcW w:w="620" w:type="pct"/>
                  <w:vAlign w:val="center"/>
                </w:tcPr>
                <w:p w14:paraId="1D6394E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0.11</w:t>
                  </w:r>
                </w:p>
              </w:tc>
              <w:tc>
                <w:tcPr>
                  <w:tcW w:w="584" w:type="pct"/>
                  <w:vAlign w:val="center"/>
                </w:tcPr>
                <w:p w14:paraId="21B5650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0.073</w:t>
                  </w:r>
                </w:p>
              </w:tc>
              <w:tc>
                <w:tcPr>
                  <w:tcW w:w="566" w:type="pct"/>
                  <w:vAlign w:val="center"/>
                </w:tcPr>
                <w:p w14:paraId="34F270A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0.073</w:t>
                  </w:r>
                </w:p>
              </w:tc>
              <w:tc>
                <w:tcPr>
                  <w:tcW w:w="553" w:type="pct"/>
                  <w:vAlign w:val="center"/>
                </w:tcPr>
                <w:p w14:paraId="4C8535B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0.011</w:t>
                  </w:r>
                </w:p>
              </w:tc>
            </w:tr>
            <w:tr w14:paraId="6ED04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vMerge w:val="continue"/>
                  <w:vAlign w:val="center"/>
                </w:tcPr>
                <w:p w14:paraId="4C981106">
                  <w:pPr>
                    <w:spacing w:beforeLines="0"/>
                    <w:jc w:val="center"/>
                    <w:rPr>
                      <w:rFonts w:ascii="Times New Roman" w:hAnsi="Times New Roman" w:cs="Times New Roman"/>
                      <w:color w:val="auto"/>
                      <w:sz w:val="21"/>
                      <w:szCs w:val="21"/>
                    </w:rPr>
                  </w:pPr>
                </w:p>
              </w:tc>
              <w:tc>
                <w:tcPr>
                  <w:tcW w:w="1958" w:type="pct"/>
                  <w:gridSpan w:val="2"/>
                  <w:vAlign w:val="center"/>
                </w:tcPr>
                <w:p w14:paraId="5B9DD321">
                  <w:pPr>
                    <w:spacing w:beforeLines="0"/>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rPr>
                    <w:t>处理措施</w:t>
                  </w:r>
                </w:p>
              </w:tc>
              <w:tc>
                <w:tcPr>
                  <w:tcW w:w="2325" w:type="pct"/>
                  <w:gridSpan w:val="4"/>
                  <w:vAlign w:val="center"/>
                </w:tcPr>
                <w:p w14:paraId="7A760812">
                  <w:pPr>
                    <w:spacing w:beforeLines="0"/>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化粪池</w:t>
                  </w:r>
                </w:p>
              </w:tc>
            </w:tr>
            <w:tr w14:paraId="72131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vMerge w:val="continue"/>
                  <w:vAlign w:val="center"/>
                </w:tcPr>
                <w:p w14:paraId="60560F05">
                  <w:pPr>
                    <w:spacing w:beforeLines="0"/>
                    <w:jc w:val="center"/>
                    <w:rPr>
                      <w:rFonts w:ascii="Times New Roman" w:hAnsi="Times New Roman" w:cs="Times New Roman"/>
                      <w:color w:val="auto"/>
                      <w:sz w:val="21"/>
                      <w:szCs w:val="21"/>
                    </w:rPr>
                  </w:pPr>
                </w:p>
              </w:tc>
              <w:tc>
                <w:tcPr>
                  <w:tcW w:w="834" w:type="pct"/>
                  <w:vMerge w:val="restart"/>
                  <w:vAlign w:val="center"/>
                </w:tcPr>
                <w:p w14:paraId="25CB5C72">
                  <w:pPr>
                    <w:spacing w:before="0" w:beforeLines="0"/>
                    <w:jc w:val="center"/>
                    <w:rPr>
                      <w:rFonts w:ascii="Times New Roman" w:hAnsi="Times New Roman" w:cs="Times New Roman"/>
                      <w:color w:val="auto"/>
                      <w:sz w:val="21"/>
                      <w:szCs w:val="21"/>
                    </w:rPr>
                  </w:pPr>
                  <w:r>
                    <w:rPr>
                      <w:rFonts w:ascii="Times New Roman" w:hAnsi="Times New Roman" w:cs="Times New Roman"/>
                      <w:color w:val="auto"/>
                      <w:sz w:val="21"/>
                      <w:szCs w:val="21"/>
                    </w:rPr>
                    <w:t>处理后</w:t>
                  </w:r>
                </w:p>
              </w:tc>
              <w:tc>
                <w:tcPr>
                  <w:tcW w:w="1124" w:type="pct"/>
                  <w:vAlign w:val="center"/>
                </w:tcPr>
                <w:p w14:paraId="7E01259C">
                  <w:pPr>
                    <w:spacing w:beforeLines="0"/>
                    <w:jc w:val="center"/>
                    <w:rPr>
                      <w:rFonts w:ascii="Times New Roman" w:hAnsi="Times New Roman" w:cs="Times New Roman"/>
                      <w:color w:val="auto"/>
                      <w:sz w:val="21"/>
                      <w:szCs w:val="21"/>
                    </w:rPr>
                  </w:pPr>
                  <w:r>
                    <w:rPr>
                      <w:rFonts w:ascii="Times New Roman" w:hAnsi="Times New Roman" w:cs="Times New Roman"/>
                      <w:color w:val="auto"/>
                      <w:sz w:val="21"/>
                      <w:szCs w:val="21"/>
                    </w:rPr>
                    <w:t>排放浓度（mg/L）</w:t>
                  </w:r>
                </w:p>
              </w:tc>
              <w:tc>
                <w:tcPr>
                  <w:tcW w:w="620" w:type="pct"/>
                  <w:vAlign w:val="center"/>
                </w:tcPr>
                <w:p w14:paraId="1A31F884">
                  <w:pPr>
                    <w:spacing w:beforeLines="0"/>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200</w:t>
                  </w:r>
                </w:p>
              </w:tc>
              <w:tc>
                <w:tcPr>
                  <w:tcW w:w="584" w:type="pct"/>
                  <w:vAlign w:val="center"/>
                </w:tcPr>
                <w:p w14:paraId="081A3DE4">
                  <w:pPr>
                    <w:spacing w:beforeLines="0"/>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180</w:t>
                  </w:r>
                </w:p>
              </w:tc>
              <w:tc>
                <w:tcPr>
                  <w:tcW w:w="566" w:type="pct"/>
                  <w:vAlign w:val="center"/>
                </w:tcPr>
                <w:p w14:paraId="7A02D510">
                  <w:pPr>
                    <w:spacing w:beforeLines="0"/>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140</w:t>
                  </w:r>
                </w:p>
              </w:tc>
              <w:tc>
                <w:tcPr>
                  <w:tcW w:w="553" w:type="pct"/>
                  <w:vAlign w:val="center"/>
                </w:tcPr>
                <w:p w14:paraId="08DF2B48">
                  <w:pPr>
                    <w:spacing w:beforeLines="0"/>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30</w:t>
                  </w:r>
                </w:p>
              </w:tc>
            </w:tr>
            <w:tr w14:paraId="2295F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vMerge w:val="continue"/>
                  <w:vAlign w:val="center"/>
                </w:tcPr>
                <w:p w14:paraId="5089CEB9">
                  <w:pPr>
                    <w:spacing w:beforeLines="0"/>
                    <w:jc w:val="center"/>
                    <w:rPr>
                      <w:rFonts w:ascii="Times New Roman" w:hAnsi="Times New Roman" w:cs="Times New Roman"/>
                      <w:color w:val="auto"/>
                      <w:sz w:val="21"/>
                      <w:szCs w:val="21"/>
                    </w:rPr>
                  </w:pPr>
                </w:p>
              </w:tc>
              <w:tc>
                <w:tcPr>
                  <w:tcW w:w="834" w:type="pct"/>
                  <w:vMerge w:val="continue"/>
                  <w:vAlign w:val="center"/>
                </w:tcPr>
                <w:p w14:paraId="70550B42">
                  <w:pPr>
                    <w:spacing w:beforeLines="0"/>
                    <w:jc w:val="center"/>
                    <w:rPr>
                      <w:rFonts w:ascii="Times New Roman" w:hAnsi="Times New Roman" w:cs="Times New Roman"/>
                      <w:color w:val="auto"/>
                      <w:sz w:val="21"/>
                      <w:szCs w:val="21"/>
                    </w:rPr>
                  </w:pPr>
                </w:p>
              </w:tc>
              <w:tc>
                <w:tcPr>
                  <w:tcW w:w="1124" w:type="pct"/>
                  <w:vAlign w:val="center"/>
                </w:tcPr>
                <w:p w14:paraId="7A4E556D">
                  <w:pPr>
                    <w:spacing w:beforeLines="0"/>
                    <w:jc w:val="center"/>
                    <w:rPr>
                      <w:rFonts w:ascii="Times New Roman" w:hAnsi="Times New Roman" w:cs="Times New Roman"/>
                      <w:color w:val="auto"/>
                      <w:sz w:val="21"/>
                      <w:szCs w:val="21"/>
                    </w:rPr>
                  </w:pPr>
                  <w:r>
                    <w:rPr>
                      <w:rFonts w:ascii="Times New Roman" w:hAnsi="Times New Roman" w:cs="Times New Roman"/>
                      <w:color w:val="auto"/>
                      <w:sz w:val="21"/>
                      <w:szCs w:val="21"/>
                    </w:rPr>
                    <w:t>排放量（t/a）</w:t>
                  </w:r>
                </w:p>
              </w:tc>
              <w:tc>
                <w:tcPr>
                  <w:tcW w:w="620" w:type="pct"/>
                  <w:vAlign w:val="center"/>
                </w:tcPr>
                <w:p w14:paraId="3AC35E8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0.073</w:t>
                  </w:r>
                </w:p>
              </w:tc>
              <w:tc>
                <w:tcPr>
                  <w:tcW w:w="584" w:type="pct"/>
                  <w:vAlign w:val="center"/>
                </w:tcPr>
                <w:p w14:paraId="4E3EB9B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0.0657</w:t>
                  </w:r>
                </w:p>
              </w:tc>
              <w:tc>
                <w:tcPr>
                  <w:tcW w:w="566" w:type="pct"/>
                  <w:vAlign w:val="center"/>
                </w:tcPr>
                <w:p w14:paraId="46F89A6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0.0511</w:t>
                  </w:r>
                </w:p>
              </w:tc>
              <w:tc>
                <w:tcPr>
                  <w:tcW w:w="553" w:type="pct"/>
                  <w:vAlign w:val="center"/>
                </w:tcPr>
                <w:p w14:paraId="2D23C5E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cs="Times New Roman"/>
                      <w:color w:val="auto"/>
                      <w:sz w:val="21"/>
                      <w:szCs w:val="21"/>
                      <w:lang w:val="en-US" w:eastAsia="zh-CN" w:bidi="ar"/>
                    </w:rPr>
                    <w:t>0.011</w:t>
                  </w:r>
                </w:p>
              </w:tc>
            </w:tr>
            <w:tr w14:paraId="0A0BE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6" w:type="pct"/>
                  <w:vMerge w:val="continue"/>
                  <w:vAlign w:val="center"/>
                </w:tcPr>
                <w:p w14:paraId="594B042C">
                  <w:pPr>
                    <w:spacing w:beforeLines="0"/>
                    <w:jc w:val="center"/>
                    <w:rPr>
                      <w:rFonts w:ascii="Times New Roman" w:hAnsi="Times New Roman" w:cs="Times New Roman"/>
                      <w:color w:val="auto"/>
                      <w:sz w:val="21"/>
                      <w:szCs w:val="21"/>
                    </w:rPr>
                  </w:pPr>
                </w:p>
              </w:tc>
              <w:tc>
                <w:tcPr>
                  <w:tcW w:w="834" w:type="pct"/>
                  <w:vAlign w:val="center"/>
                </w:tcPr>
                <w:p w14:paraId="4B02C3FF">
                  <w:pPr>
                    <w:spacing w:beforeLines="0"/>
                    <w:jc w:val="center"/>
                    <w:rPr>
                      <w:rFonts w:ascii="Times New Roman" w:hAnsi="Times New Roman" w:cs="Times New Roman"/>
                      <w:color w:val="auto"/>
                      <w:sz w:val="21"/>
                      <w:szCs w:val="21"/>
                    </w:rPr>
                  </w:pPr>
                  <w:r>
                    <w:rPr>
                      <w:rFonts w:ascii="Times New Roman" w:hAnsi="Times New Roman" w:cs="Times New Roman"/>
                      <w:color w:val="auto"/>
                      <w:sz w:val="21"/>
                      <w:szCs w:val="21"/>
                    </w:rPr>
                    <w:t>排放去</w:t>
                  </w:r>
                  <w:r>
                    <w:rPr>
                      <w:rFonts w:hint="eastAsia" w:ascii="Times New Roman" w:hAnsi="Times New Roman" w:cs="Times New Roman"/>
                      <w:color w:val="auto"/>
                      <w:sz w:val="21"/>
                      <w:szCs w:val="21"/>
                    </w:rPr>
                    <w:t>向</w:t>
                  </w:r>
                </w:p>
              </w:tc>
              <w:tc>
                <w:tcPr>
                  <w:tcW w:w="3449" w:type="pct"/>
                  <w:gridSpan w:val="5"/>
                  <w:vAlign w:val="center"/>
                </w:tcPr>
                <w:p w14:paraId="308B9B10">
                  <w:pPr>
                    <w:spacing w:before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定期对化粪池进行清理</w:t>
                  </w:r>
                </w:p>
              </w:tc>
            </w:tr>
          </w:tbl>
          <w:p w14:paraId="6E2B6106">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textAlignment w:val="baseline"/>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u w:val="none" w:color="auto"/>
                <w:lang w:val="en-US" w:eastAsia="zh-CN"/>
              </w:rPr>
              <w:t>综上，项目集装箱堆场内降尘用水全部挥发，不产生生产废水。生活污水经化粪池处理后定期清理外运施肥，对环境影响不大</w:t>
            </w:r>
            <w:r>
              <w:rPr>
                <w:rFonts w:hint="default" w:ascii="Times New Roman" w:hAnsi="Times New Roman" w:eastAsia="宋体" w:cs="Times New Roman"/>
                <w:color w:val="auto"/>
                <w:sz w:val="24"/>
                <w:szCs w:val="24"/>
                <w:highlight w:val="none"/>
                <w:lang w:eastAsia="zh-CN"/>
              </w:rPr>
              <w:t>。</w:t>
            </w:r>
          </w:p>
          <w:p w14:paraId="1558D209">
            <w:pPr>
              <w:adjustRightInd w:val="0"/>
              <w:snapToGrid w:val="0"/>
              <w:spacing w:line="360" w:lineRule="auto"/>
              <w:ind w:firstLine="482" w:firstLineChars="200"/>
              <w:rPr>
                <w:rFonts w:cs="宋体"/>
                <w:b/>
                <w:color w:val="auto"/>
                <w:sz w:val="24"/>
              </w:rPr>
            </w:pPr>
            <w:r>
              <w:rPr>
                <w:rFonts w:hint="eastAsia" w:cs="宋体"/>
                <w:b/>
                <w:color w:val="auto"/>
                <w:sz w:val="24"/>
              </w:rPr>
              <w:t>4、声环境影响分析</w:t>
            </w:r>
          </w:p>
          <w:p w14:paraId="75C1807E">
            <w:pPr>
              <w:widowControl/>
              <w:spacing w:line="360" w:lineRule="auto"/>
              <w:ind w:firstLine="480" w:firstLineChars="200"/>
              <w:rPr>
                <w:rFonts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w:t>
            </w:r>
            <w:r>
              <w:rPr>
                <w:rFonts w:hint="eastAsia" w:cs="Times New Roman"/>
                <w:color w:val="auto"/>
                <w:kern w:val="0"/>
                <w:sz w:val="24"/>
                <w:highlight w:val="none"/>
                <w:lang w:val="en-US" w:eastAsia="zh-CN" w:bidi="ar"/>
              </w:rPr>
              <w:t>1</w:t>
            </w:r>
            <w:r>
              <w:rPr>
                <w:rFonts w:hint="default" w:ascii="Times New Roman" w:hAnsi="Times New Roman" w:cs="Times New Roman"/>
                <w:color w:val="auto"/>
                <w:kern w:val="0"/>
                <w:sz w:val="24"/>
                <w:highlight w:val="none"/>
                <w:lang w:bidi="ar"/>
              </w:rPr>
              <w:t>）</w:t>
            </w:r>
            <w:r>
              <w:rPr>
                <w:rFonts w:hint="eastAsia" w:ascii="Times New Roman" w:hAnsi="Times New Roman" w:cs="Times New Roman"/>
                <w:color w:val="auto"/>
                <w:kern w:val="0"/>
                <w:sz w:val="24"/>
                <w:highlight w:val="none"/>
                <w:lang w:val="en-US" w:eastAsia="zh-CN" w:bidi="ar"/>
              </w:rPr>
              <w:t>铁路</w:t>
            </w:r>
            <w:r>
              <w:rPr>
                <w:rFonts w:hint="default" w:ascii="Times New Roman" w:hAnsi="Times New Roman" w:cs="Times New Roman"/>
                <w:color w:val="auto"/>
                <w:kern w:val="0"/>
                <w:sz w:val="24"/>
                <w:highlight w:val="none"/>
                <w:lang w:bidi="ar"/>
              </w:rPr>
              <w:t>噪声影响分析</w:t>
            </w:r>
          </w:p>
          <w:p w14:paraId="4DCD0CEB">
            <w:pPr>
              <w:widowControl/>
              <w:spacing w:line="360" w:lineRule="auto"/>
              <w:ind w:firstLine="480" w:firstLineChars="200"/>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噪声污染源为专用线列车行驶产生的噪声，为非稳态源。根据铁计[2010]44号《铁路建设项目环境影响评价噪声振动源强取值和治理原则指导意见（2010修订稿）》，普通货物列车噪声源强见表4-</w:t>
            </w:r>
            <w:r>
              <w:rPr>
                <w:rFonts w:hint="eastAsia" w:cs="Times New Roman"/>
                <w:color w:val="auto"/>
                <w:kern w:val="0"/>
                <w:sz w:val="24"/>
                <w:szCs w:val="24"/>
                <w:lang w:val="en-US" w:eastAsia="zh-CN" w:bidi="ar"/>
              </w:rPr>
              <w:t>6</w:t>
            </w:r>
            <w:r>
              <w:rPr>
                <w:rFonts w:hint="eastAsia" w:ascii="Times New Roman" w:hAnsi="Times New Roman" w:eastAsia="宋体" w:cs="Times New Roman"/>
                <w:color w:val="auto"/>
                <w:kern w:val="0"/>
                <w:sz w:val="24"/>
                <w:szCs w:val="24"/>
                <w:lang w:val="en-US" w:eastAsia="zh-CN" w:bidi="ar"/>
              </w:rPr>
              <w:t>。</w:t>
            </w:r>
          </w:p>
          <w:p w14:paraId="5842898B">
            <w:pPr>
              <w:adjustRightInd w:val="0"/>
              <w:snapToGrid w:val="0"/>
              <w:spacing w:line="240" w:lineRule="auto"/>
              <w:ind w:firstLine="482" w:firstLineChars="200"/>
              <w:jc w:val="center"/>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表4-</w:t>
            </w:r>
            <w:r>
              <w:rPr>
                <w:rFonts w:hint="eastAsia" w:cs="Times New Roman"/>
                <w:b/>
                <w:color w:val="auto"/>
                <w:sz w:val="24"/>
                <w:szCs w:val="24"/>
                <w:lang w:val="en-US" w:eastAsia="zh-CN"/>
              </w:rPr>
              <w:t xml:space="preserve">6  </w:t>
            </w:r>
            <w:r>
              <w:rPr>
                <w:rFonts w:hint="default" w:ascii="Times New Roman" w:hAnsi="Times New Roman" w:eastAsia="宋体" w:cs="Times New Roman"/>
                <w:b/>
                <w:color w:val="auto"/>
                <w:sz w:val="24"/>
                <w:szCs w:val="24"/>
                <w:lang w:val="en-US" w:eastAsia="zh-CN"/>
              </w:rPr>
              <w:t>普通货物列车噪声源强表</w:t>
            </w:r>
          </w:p>
          <w:tbl>
            <w:tblPr>
              <w:tblStyle w:val="4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1170"/>
              <w:gridCol w:w="1170"/>
              <w:gridCol w:w="1170"/>
              <w:gridCol w:w="1170"/>
              <w:gridCol w:w="1171"/>
              <w:gridCol w:w="1171"/>
            </w:tblGrid>
            <w:tr w14:paraId="0C4A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5588C9C7">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速度（km/h）</w:t>
                  </w:r>
                </w:p>
              </w:tc>
              <w:tc>
                <w:tcPr>
                  <w:tcW w:w="692" w:type="pct"/>
                  <w:vAlign w:val="center"/>
                </w:tcPr>
                <w:p w14:paraId="14A1D8FD">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30</w:t>
                  </w:r>
                </w:p>
              </w:tc>
              <w:tc>
                <w:tcPr>
                  <w:tcW w:w="692" w:type="pct"/>
                  <w:vAlign w:val="center"/>
                </w:tcPr>
                <w:p w14:paraId="2884900B">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40</w:t>
                  </w:r>
                </w:p>
              </w:tc>
              <w:tc>
                <w:tcPr>
                  <w:tcW w:w="692" w:type="pct"/>
                  <w:vAlign w:val="center"/>
                </w:tcPr>
                <w:p w14:paraId="03EAEE22">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50</w:t>
                  </w:r>
                </w:p>
              </w:tc>
              <w:tc>
                <w:tcPr>
                  <w:tcW w:w="692" w:type="pct"/>
                  <w:vAlign w:val="center"/>
                </w:tcPr>
                <w:p w14:paraId="3C8BE62D">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60</w:t>
                  </w:r>
                </w:p>
              </w:tc>
              <w:tc>
                <w:tcPr>
                  <w:tcW w:w="693" w:type="pct"/>
                  <w:vAlign w:val="center"/>
                </w:tcPr>
                <w:p w14:paraId="00493089">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70</w:t>
                  </w:r>
                </w:p>
              </w:tc>
              <w:tc>
                <w:tcPr>
                  <w:tcW w:w="693" w:type="pct"/>
                  <w:vAlign w:val="center"/>
                </w:tcPr>
                <w:p w14:paraId="1175CE51">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80</w:t>
                  </w:r>
                </w:p>
              </w:tc>
            </w:tr>
            <w:tr w14:paraId="340A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2" w:type="pct"/>
                  <w:vAlign w:val="center"/>
                </w:tcPr>
                <w:p w14:paraId="4ABE55E8">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源强dB（A）</w:t>
                  </w:r>
                </w:p>
              </w:tc>
              <w:tc>
                <w:tcPr>
                  <w:tcW w:w="692" w:type="pct"/>
                  <w:vAlign w:val="center"/>
                </w:tcPr>
                <w:p w14:paraId="243C19A0">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75.0</w:t>
                  </w:r>
                </w:p>
              </w:tc>
              <w:tc>
                <w:tcPr>
                  <w:tcW w:w="692" w:type="pct"/>
                  <w:vAlign w:val="center"/>
                </w:tcPr>
                <w:p w14:paraId="3289380A">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76.7</w:t>
                  </w:r>
                </w:p>
              </w:tc>
              <w:tc>
                <w:tcPr>
                  <w:tcW w:w="692" w:type="pct"/>
                  <w:vAlign w:val="center"/>
                </w:tcPr>
                <w:p w14:paraId="2154190B">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78.2</w:t>
                  </w:r>
                </w:p>
              </w:tc>
              <w:tc>
                <w:tcPr>
                  <w:tcW w:w="692" w:type="pct"/>
                  <w:vAlign w:val="center"/>
                </w:tcPr>
                <w:p w14:paraId="7455DD87">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79.5</w:t>
                  </w:r>
                </w:p>
              </w:tc>
              <w:tc>
                <w:tcPr>
                  <w:tcW w:w="693" w:type="pct"/>
                  <w:vAlign w:val="center"/>
                </w:tcPr>
                <w:p w14:paraId="461E8097">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80.8</w:t>
                  </w:r>
                </w:p>
              </w:tc>
              <w:tc>
                <w:tcPr>
                  <w:tcW w:w="693" w:type="pct"/>
                  <w:vAlign w:val="center"/>
                </w:tcPr>
                <w:p w14:paraId="115EC89E">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81.9</w:t>
                  </w:r>
                </w:p>
              </w:tc>
            </w:tr>
          </w:tbl>
          <w:p w14:paraId="6AA332CA">
            <w:pPr>
              <w:pStyle w:val="354"/>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bookmarkStart w:id="13" w:name="_Hlk144227208"/>
            <w:r>
              <w:rPr>
                <w:rFonts w:hint="eastAsia" w:ascii="Times New Roman" w:hAnsi="Times New Roman" w:eastAsia="宋体" w:cs="Times New Roman"/>
                <w:color w:val="auto"/>
                <w:kern w:val="0"/>
                <w:sz w:val="24"/>
                <w:szCs w:val="24"/>
                <w:lang w:val="en-US" w:eastAsia="zh-CN" w:bidi="ar"/>
              </w:rPr>
              <w:t>本项目列车运行速度为3</w:t>
            </w:r>
            <w:r>
              <w:rPr>
                <w:rFonts w:hint="eastAsia" w:ascii="Times New Roman" w:cs="Times New Roman"/>
                <w:color w:val="auto"/>
                <w:kern w:val="0"/>
                <w:sz w:val="24"/>
                <w:szCs w:val="24"/>
                <w:lang w:val="en-US" w:eastAsia="zh-CN" w:bidi="ar"/>
              </w:rPr>
              <w:t>0</w:t>
            </w:r>
            <w:r>
              <w:rPr>
                <w:rFonts w:hint="eastAsia" w:ascii="Times New Roman" w:hAnsi="Times New Roman" w:eastAsia="宋体" w:cs="Times New Roman"/>
                <w:color w:val="auto"/>
                <w:kern w:val="0"/>
                <w:sz w:val="24"/>
                <w:szCs w:val="24"/>
                <w:lang w:val="en-US" w:eastAsia="zh-CN" w:bidi="ar"/>
              </w:rPr>
              <w:t>km/h，因此，本项目噪声源强为7</w:t>
            </w:r>
            <w:r>
              <w:rPr>
                <w:rFonts w:hint="eastAsia" w:ascii="Times New Roman" w:cs="Times New Roman"/>
                <w:color w:val="auto"/>
                <w:kern w:val="0"/>
                <w:sz w:val="24"/>
                <w:szCs w:val="24"/>
                <w:lang w:val="en-US" w:eastAsia="zh-CN" w:bidi="ar"/>
              </w:rPr>
              <w:t>5.0</w:t>
            </w:r>
            <w:r>
              <w:rPr>
                <w:rFonts w:hint="eastAsia" w:ascii="Times New Roman" w:hAnsi="Times New Roman" w:eastAsia="宋体" w:cs="Times New Roman"/>
                <w:color w:val="auto"/>
                <w:kern w:val="0"/>
                <w:sz w:val="24"/>
                <w:szCs w:val="24"/>
                <w:lang w:val="en-US" w:eastAsia="zh-CN" w:bidi="ar"/>
              </w:rPr>
              <w:t>dB（A）。</w:t>
            </w:r>
          </w:p>
          <w:bookmarkEnd w:id="13"/>
          <w:p w14:paraId="27F10198">
            <w:pPr>
              <w:widowControl/>
              <w:spacing w:line="360" w:lineRule="auto"/>
              <w:ind w:firstLine="480" w:firstLineChars="200"/>
              <w:rPr>
                <w:rFonts w:hint="default" w:eastAsia="宋体" w:cs="Times New Roman"/>
                <w:color w:val="auto"/>
                <w:kern w:val="0"/>
                <w:sz w:val="24"/>
                <w:highlight w:val="none"/>
                <w:lang w:val="en-US" w:eastAsia="zh-CN" w:bidi="ar"/>
              </w:rPr>
            </w:pPr>
            <w:r>
              <w:rPr>
                <w:rFonts w:hint="default" w:ascii="Times New Roman" w:hAnsi="Times New Roman" w:cs="Times New Roman"/>
                <w:color w:val="auto"/>
                <w:kern w:val="0"/>
                <w:sz w:val="24"/>
                <w:highlight w:val="none"/>
                <w:lang w:bidi="ar"/>
              </w:rPr>
              <w:t>（</w:t>
            </w:r>
            <w:r>
              <w:rPr>
                <w:rFonts w:hint="eastAsia" w:cs="Times New Roman"/>
                <w:color w:val="auto"/>
                <w:kern w:val="0"/>
                <w:sz w:val="24"/>
                <w:highlight w:val="none"/>
                <w:lang w:val="en-US" w:eastAsia="zh-CN" w:bidi="ar"/>
              </w:rPr>
              <w:t>2</w:t>
            </w:r>
            <w:r>
              <w:rPr>
                <w:rFonts w:hint="default" w:ascii="Times New Roman" w:hAnsi="Times New Roman" w:cs="Times New Roman"/>
                <w:color w:val="auto"/>
                <w:kern w:val="0"/>
                <w:sz w:val="24"/>
                <w:highlight w:val="none"/>
                <w:lang w:bidi="ar"/>
              </w:rPr>
              <w:t>）车辆</w:t>
            </w:r>
            <w:r>
              <w:rPr>
                <w:rFonts w:hint="eastAsia" w:cs="Times New Roman"/>
                <w:color w:val="auto"/>
                <w:kern w:val="0"/>
                <w:sz w:val="24"/>
                <w:highlight w:val="none"/>
                <w:lang w:val="en-US" w:eastAsia="zh-CN" w:bidi="ar"/>
              </w:rPr>
              <w:t>运输噪声</w:t>
            </w:r>
          </w:p>
          <w:p w14:paraId="7BB0DA1B">
            <w:pPr>
              <w:widowControl/>
              <w:spacing w:line="360" w:lineRule="auto"/>
              <w:ind w:firstLine="480" w:firstLineChars="200"/>
              <w:rPr>
                <w:rFonts w:hint="eastAsia" w:cs="Times New Roman"/>
                <w:color w:val="auto"/>
                <w:kern w:val="0"/>
                <w:sz w:val="24"/>
                <w:highlight w:val="none"/>
                <w:lang w:val="en-US" w:eastAsia="zh-CN" w:bidi="ar"/>
              </w:rPr>
            </w:pPr>
            <w:r>
              <w:rPr>
                <w:rFonts w:hint="eastAsia" w:cs="Times New Roman"/>
                <w:color w:val="auto"/>
                <w:kern w:val="0"/>
                <w:sz w:val="24"/>
                <w:highlight w:val="none"/>
                <w:lang w:val="en-US" w:eastAsia="zh-CN" w:bidi="ar"/>
              </w:rPr>
              <w:t>项目集装箱堆场进出车辆的交通噪声将会带来机动车噪声污染，预计车辆的噪声值在59～78dB(A)范围内。运输车辆噪声源噪声级不高，且为间歇性排放，排放时间短，不会形成连续的噪声污染。</w:t>
            </w:r>
          </w:p>
          <w:p w14:paraId="41162E62">
            <w:pPr>
              <w:widowControl/>
              <w:spacing w:line="360" w:lineRule="auto"/>
              <w:ind w:firstLine="480" w:firstLineChars="200"/>
              <w:rPr>
                <w:rFonts w:hint="eastAsia" w:cs="Times New Roman"/>
                <w:color w:val="auto"/>
                <w:kern w:val="0"/>
                <w:sz w:val="24"/>
                <w:highlight w:val="none"/>
                <w:lang w:val="en-US" w:eastAsia="zh-CN" w:bidi="ar"/>
              </w:rPr>
            </w:pPr>
            <w:r>
              <w:rPr>
                <w:rFonts w:hint="eastAsia" w:cs="Times New Roman"/>
                <w:color w:val="auto"/>
                <w:kern w:val="0"/>
                <w:sz w:val="24"/>
                <w:highlight w:val="none"/>
                <w:lang w:val="en-US" w:eastAsia="zh-CN" w:bidi="ar"/>
              </w:rPr>
              <w:t>项目在运营期将加强对进出车辆的管理，严格规定其不得鸣笛、限制其行驶速度并按规定停放车辆，以减小汽车噪声对周围环境噪声的影响。</w:t>
            </w:r>
          </w:p>
          <w:p w14:paraId="7D77DDE7">
            <w:pPr>
              <w:widowControl/>
              <w:spacing w:line="360" w:lineRule="auto"/>
              <w:ind w:firstLine="480" w:firstLineChars="200"/>
              <w:rPr>
                <w:rFonts w:ascii="Times New Roman" w:hAnsi="Times New Roman" w:cs="Times New Roman"/>
                <w:color w:val="auto"/>
                <w:kern w:val="0"/>
                <w:sz w:val="24"/>
                <w:highlight w:val="none"/>
                <w:lang w:bidi="ar"/>
              </w:rPr>
            </w:pPr>
            <w:r>
              <w:rPr>
                <w:rFonts w:hint="eastAsia" w:cs="Times New Roman"/>
                <w:color w:val="auto"/>
                <w:kern w:val="0"/>
                <w:sz w:val="24"/>
                <w:highlight w:val="none"/>
                <w:lang w:val="en-US" w:eastAsia="zh-CN" w:bidi="ar"/>
              </w:rPr>
              <w:t>（3）装卸</w:t>
            </w:r>
            <w:r>
              <w:rPr>
                <w:rFonts w:hint="default" w:ascii="Times New Roman" w:hAnsi="Times New Roman" w:cs="Times New Roman"/>
                <w:color w:val="auto"/>
                <w:kern w:val="0"/>
                <w:sz w:val="24"/>
                <w:highlight w:val="none"/>
                <w:lang w:bidi="ar"/>
              </w:rPr>
              <w:t>噪声影响分析</w:t>
            </w:r>
          </w:p>
          <w:p w14:paraId="0CB384A3">
            <w:pPr>
              <w:widowControl/>
              <w:spacing w:line="360" w:lineRule="auto"/>
              <w:ind w:firstLine="480" w:firstLineChars="200"/>
              <w:rPr>
                <w:rFonts w:hint="default" w:ascii="Times New Roman" w:hAnsi="Times New Roman" w:cs="Times New Roman"/>
                <w:color w:val="auto"/>
                <w:kern w:val="0"/>
                <w:sz w:val="24"/>
                <w:highlight w:val="none"/>
                <w:lang w:bidi="ar"/>
              </w:rPr>
            </w:pPr>
            <w:r>
              <w:rPr>
                <w:rFonts w:hint="eastAsia"/>
                <w:color w:val="auto"/>
                <w:sz w:val="24"/>
                <w:szCs w:val="24"/>
                <w:lang w:val="en-US" w:eastAsia="zh-CN"/>
              </w:rPr>
              <w:t>项目集装箱堆场采用正面吊进行装卸作业，为</w:t>
            </w:r>
            <w:r>
              <w:rPr>
                <w:rFonts w:hint="eastAsia"/>
                <w:color w:val="auto"/>
                <w:sz w:val="24"/>
                <w:szCs w:val="24"/>
              </w:rPr>
              <w:t>间歇性</w:t>
            </w:r>
            <w:r>
              <w:rPr>
                <w:rFonts w:hint="eastAsia"/>
                <w:color w:val="auto"/>
                <w:sz w:val="24"/>
                <w:szCs w:val="24"/>
                <w:lang w:val="en-US" w:eastAsia="zh-CN"/>
              </w:rPr>
              <w:t>作业</w:t>
            </w:r>
            <w:r>
              <w:rPr>
                <w:rFonts w:hint="eastAsia"/>
                <w:color w:val="auto"/>
                <w:sz w:val="24"/>
                <w:szCs w:val="24"/>
              </w:rPr>
              <w:t>排放。初期计划租用45t正面吊2台，负责集装箱的装卸及导运作业；后期若装卸量增加，业主可酌情考虑购置</w:t>
            </w:r>
            <w:r>
              <w:rPr>
                <w:rFonts w:hint="eastAsia"/>
                <w:color w:val="auto"/>
                <w:sz w:val="24"/>
                <w:szCs w:val="24"/>
                <w:lang w:eastAsia="zh-CN"/>
              </w:rPr>
              <w:t>。</w:t>
            </w:r>
            <w:r>
              <w:rPr>
                <w:rFonts w:hint="eastAsia"/>
                <w:color w:val="auto"/>
                <w:sz w:val="24"/>
                <w:szCs w:val="24"/>
              </w:rPr>
              <w:t>类比同类</w:t>
            </w:r>
            <w:r>
              <w:rPr>
                <w:rFonts w:hint="eastAsia"/>
                <w:color w:val="auto"/>
                <w:sz w:val="24"/>
                <w:szCs w:val="24"/>
                <w:lang w:val="en-US" w:eastAsia="zh-CN"/>
              </w:rPr>
              <w:t>集装箱堆场</w:t>
            </w:r>
            <w:r>
              <w:rPr>
                <w:rFonts w:hint="eastAsia"/>
                <w:color w:val="auto"/>
                <w:sz w:val="24"/>
                <w:szCs w:val="24"/>
              </w:rPr>
              <w:t>作业现场噪声监测数据，大型装卸设备噪声源强</w:t>
            </w:r>
            <w:r>
              <w:rPr>
                <w:rFonts w:hint="eastAsia"/>
                <w:color w:val="auto"/>
                <w:sz w:val="24"/>
                <w:szCs w:val="24"/>
                <w:lang w:val="en-US" w:eastAsia="zh-CN"/>
              </w:rPr>
              <w:t>约</w:t>
            </w:r>
            <w:r>
              <w:rPr>
                <w:rFonts w:hint="eastAsia"/>
                <w:color w:val="auto"/>
                <w:sz w:val="24"/>
                <w:szCs w:val="24"/>
              </w:rPr>
              <w:t>为</w:t>
            </w:r>
            <w:r>
              <w:rPr>
                <w:rFonts w:hint="eastAsia"/>
                <w:color w:val="auto"/>
                <w:sz w:val="24"/>
                <w:szCs w:val="24"/>
                <w:lang w:val="en-US" w:eastAsia="zh-CN"/>
              </w:rPr>
              <w:t>90</w:t>
            </w:r>
            <w:r>
              <w:rPr>
                <w:rFonts w:hint="eastAsia"/>
                <w:color w:val="auto"/>
                <w:sz w:val="24"/>
                <w:szCs w:val="24"/>
              </w:rPr>
              <w:t>dB(A)</w:t>
            </w:r>
            <w:r>
              <w:rPr>
                <w:rFonts w:hint="eastAsia"/>
                <w:color w:val="auto"/>
                <w:sz w:val="24"/>
                <w:szCs w:val="24"/>
                <w:lang w:eastAsia="zh-CN"/>
              </w:rPr>
              <w:t>。</w:t>
            </w:r>
          </w:p>
          <w:p w14:paraId="0A9DE742">
            <w:pPr>
              <w:adjustRightInd w:val="0"/>
              <w:snapToGrid w:val="0"/>
              <w:spacing w:line="240" w:lineRule="auto"/>
              <w:ind w:firstLine="482" w:firstLineChars="200"/>
              <w:jc w:val="center"/>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表4-</w:t>
            </w:r>
            <w:r>
              <w:rPr>
                <w:rFonts w:hint="eastAsia" w:ascii="Times New Roman" w:hAnsi="Times New Roman" w:eastAsia="宋体" w:cs="Times New Roman"/>
                <w:b/>
                <w:color w:val="auto"/>
                <w:sz w:val="24"/>
                <w:szCs w:val="24"/>
                <w:lang w:val="en-US" w:eastAsia="zh-CN"/>
              </w:rPr>
              <w:t>7  装卸设备</w:t>
            </w:r>
            <w:r>
              <w:rPr>
                <w:rFonts w:hint="default" w:ascii="Times New Roman" w:hAnsi="Times New Roman" w:eastAsia="宋体" w:cs="Times New Roman"/>
                <w:b/>
                <w:color w:val="auto"/>
                <w:sz w:val="24"/>
                <w:szCs w:val="24"/>
                <w:lang w:val="en-US" w:eastAsia="zh-CN"/>
              </w:rPr>
              <w:t>噪声源强表</w:t>
            </w:r>
          </w:p>
          <w:tbl>
            <w:tblPr>
              <w:tblStyle w:val="4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2627"/>
              <w:gridCol w:w="2629"/>
            </w:tblGrid>
            <w:tr w14:paraId="3DCE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9" w:type="pct"/>
                  <w:vAlign w:val="center"/>
                </w:tcPr>
                <w:p w14:paraId="697184FC">
                  <w:pPr>
                    <w:adjustRightInd w:val="0"/>
                    <w:snapToGrid w:val="0"/>
                    <w:spacing w:line="240" w:lineRule="auto"/>
                    <w:jc w:val="center"/>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设备名称</w:t>
                  </w:r>
                </w:p>
              </w:tc>
              <w:tc>
                <w:tcPr>
                  <w:tcW w:w="1554" w:type="pct"/>
                  <w:vAlign w:val="center"/>
                </w:tcPr>
                <w:p w14:paraId="7255E3C6">
                  <w:pPr>
                    <w:adjustRightInd w:val="0"/>
                    <w:snapToGrid w:val="0"/>
                    <w:spacing w:line="240" w:lineRule="auto"/>
                    <w:jc w:val="center"/>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数量</w:t>
                  </w:r>
                </w:p>
              </w:tc>
              <w:tc>
                <w:tcPr>
                  <w:tcW w:w="1555" w:type="pct"/>
                  <w:vAlign w:val="center"/>
                </w:tcPr>
                <w:p w14:paraId="2A5A35D6">
                  <w:pPr>
                    <w:adjustRightInd w:val="0"/>
                    <w:snapToGrid w:val="0"/>
                    <w:spacing w:line="240" w:lineRule="auto"/>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源强dB（A）</w:t>
                  </w:r>
                </w:p>
              </w:tc>
            </w:tr>
            <w:tr w14:paraId="3464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9" w:type="pct"/>
                  <w:vAlign w:val="center"/>
                </w:tcPr>
                <w:p w14:paraId="2AAE5027">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45t正面吊</w:t>
                  </w:r>
                </w:p>
              </w:tc>
              <w:tc>
                <w:tcPr>
                  <w:tcW w:w="1554" w:type="pct"/>
                  <w:vAlign w:val="center"/>
                </w:tcPr>
                <w:p w14:paraId="690C73A9">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2台</w:t>
                  </w:r>
                </w:p>
              </w:tc>
              <w:tc>
                <w:tcPr>
                  <w:tcW w:w="1555" w:type="pct"/>
                  <w:vAlign w:val="center"/>
                </w:tcPr>
                <w:p w14:paraId="49C75869">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90</w:t>
                  </w:r>
                </w:p>
              </w:tc>
            </w:tr>
          </w:tbl>
          <w:p w14:paraId="2F628FA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482" w:firstLineChars="20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4"/>
                <w:szCs w:val="24"/>
                <w:lang w:eastAsia="zh-CN"/>
              </w:rPr>
              <w:t>表</w:t>
            </w:r>
            <w:r>
              <w:rPr>
                <w:rFonts w:hint="eastAsia" w:cs="Times New Roman"/>
                <w:b/>
                <w:bCs/>
                <w:color w:val="auto"/>
                <w:sz w:val="24"/>
                <w:szCs w:val="24"/>
                <w:lang w:val="en-US" w:eastAsia="zh-CN"/>
              </w:rPr>
              <w:t>4-8</w:t>
            </w:r>
            <w:r>
              <w:rPr>
                <w:rFonts w:hint="default" w:ascii="Times New Roman" w:hAnsi="Times New Roman" w:eastAsia="宋体" w:cs="Times New Roman"/>
                <w:b/>
                <w:bCs/>
                <w:color w:val="auto"/>
                <w:sz w:val="24"/>
                <w:szCs w:val="24"/>
                <w:lang w:val="en-US" w:eastAsia="zh-CN"/>
              </w:rPr>
              <w:t xml:space="preserve">   装卸噪声预测结果一览表</w:t>
            </w:r>
            <w:r>
              <w:rPr>
                <w:rFonts w:hint="eastAsia" w:ascii="Times New Roman" w:hAnsi="Times New Roman" w:eastAsia="宋体" w:cs="Times New Roman"/>
                <w:b/>
                <w:bCs/>
                <w:color w:val="auto"/>
                <w:sz w:val="24"/>
                <w:szCs w:val="24"/>
                <w:lang w:val="en-US" w:eastAsia="zh-CN"/>
              </w:rPr>
              <w:t>（详见专项）</w:t>
            </w:r>
          </w:p>
          <w:tbl>
            <w:tblPr>
              <w:tblStyle w:val="47"/>
              <w:tblW w:w="49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538"/>
              <w:gridCol w:w="878"/>
              <w:gridCol w:w="811"/>
              <w:gridCol w:w="655"/>
              <w:gridCol w:w="843"/>
              <w:gridCol w:w="704"/>
              <w:gridCol w:w="677"/>
              <w:gridCol w:w="720"/>
            </w:tblGrid>
            <w:tr w14:paraId="2439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vMerge w:val="restart"/>
                  <w:tcBorders>
                    <w:tl2br w:val="nil"/>
                    <w:tr2bl w:val="nil"/>
                  </w:tcBorders>
                  <w:noWrap w:val="0"/>
                  <w:vAlign w:val="center"/>
                </w:tcPr>
                <w:p w14:paraId="4B39AC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项目</w:t>
                  </w:r>
                </w:p>
              </w:tc>
              <w:tc>
                <w:tcPr>
                  <w:tcW w:w="918" w:type="pct"/>
                  <w:vMerge w:val="restart"/>
                  <w:tcBorders>
                    <w:tl2br w:val="nil"/>
                    <w:tr2bl w:val="nil"/>
                  </w:tcBorders>
                  <w:noWrap w:val="0"/>
                  <w:vAlign w:val="center"/>
                </w:tcPr>
                <w:p w14:paraId="2A73E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贡献值dB（A）（昼间、夜间相同）</w:t>
                  </w:r>
                </w:p>
              </w:tc>
              <w:tc>
                <w:tcPr>
                  <w:tcW w:w="1008" w:type="pct"/>
                  <w:gridSpan w:val="2"/>
                  <w:tcBorders>
                    <w:tl2br w:val="nil"/>
                    <w:tr2bl w:val="nil"/>
                  </w:tcBorders>
                  <w:noWrap w:val="0"/>
                  <w:vAlign w:val="center"/>
                </w:tcPr>
                <w:p w14:paraId="5B66C6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背景值dB（A）</w:t>
                  </w:r>
                </w:p>
              </w:tc>
              <w:tc>
                <w:tcPr>
                  <w:tcW w:w="894" w:type="pct"/>
                  <w:gridSpan w:val="2"/>
                  <w:tcBorders>
                    <w:tl2br w:val="nil"/>
                    <w:tr2bl w:val="nil"/>
                  </w:tcBorders>
                  <w:noWrap w:val="0"/>
                  <w:vAlign w:val="center"/>
                </w:tcPr>
                <w:p w14:paraId="42B8B4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预测值dB（A）</w:t>
                  </w:r>
                </w:p>
              </w:tc>
              <w:tc>
                <w:tcPr>
                  <w:tcW w:w="824" w:type="pct"/>
                  <w:gridSpan w:val="2"/>
                  <w:tcBorders>
                    <w:tl2br w:val="nil"/>
                    <w:tr2bl w:val="nil"/>
                  </w:tcBorders>
                  <w:noWrap w:val="0"/>
                  <w:vAlign w:val="center"/>
                </w:tcPr>
                <w:p w14:paraId="1C091D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标准值</w:t>
                  </w:r>
                  <w:r>
                    <w:rPr>
                      <w:rFonts w:hint="default" w:ascii="Times New Roman" w:hAnsi="Times New Roman" w:eastAsia="宋体" w:cs="Times New Roman"/>
                      <w:b/>
                      <w:bCs/>
                      <w:color w:val="auto"/>
                      <w:sz w:val="21"/>
                      <w:szCs w:val="21"/>
                    </w:rPr>
                    <w:t>dB（A）</w:t>
                  </w:r>
                </w:p>
              </w:tc>
              <w:tc>
                <w:tcPr>
                  <w:tcW w:w="429" w:type="pct"/>
                  <w:vMerge w:val="restart"/>
                  <w:tcBorders>
                    <w:tl2br w:val="nil"/>
                    <w:tr2bl w:val="nil"/>
                  </w:tcBorders>
                  <w:noWrap w:val="0"/>
                  <w:vAlign w:val="center"/>
                </w:tcPr>
                <w:p w14:paraId="1B3C61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达标情况</w:t>
                  </w:r>
                </w:p>
              </w:tc>
            </w:tr>
            <w:tr w14:paraId="6740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vMerge w:val="continue"/>
                  <w:tcBorders>
                    <w:tl2br w:val="nil"/>
                    <w:tr2bl w:val="nil"/>
                  </w:tcBorders>
                  <w:noWrap w:val="0"/>
                  <w:vAlign w:val="center"/>
                </w:tcPr>
                <w:p w14:paraId="3ECEAB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c>
                <w:tcPr>
                  <w:tcW w:w="918" w:type="pct"/>
                  <w:vMerge w:val="continue"/>
                  <w:tcBorders>
                    <w:tl2br w:val="nil"/>
                    <w:tr2bl w:val="nil"/>
                  </w:tcBorders>
                  <w:noWrap w:val="0"/>
                  <w:vAlign w:val="center"/>
                </w:tcPr>
                <w:p w14:paraId="63822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24" w:type="pct"/>
                  <w:tcBorders>
                    <w:tl2br w:val="nil"/>
                    <w:tr2bl w:val="nil"/>
                  </w:tcBorders>
                  <w:noWrap w:val="0"/>
                  <w:vAlign w:val="center"/>
                </w:tcPr>
                <w:p w14:paraId="04AC4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昼间</w:t>
                  </w:r>
                </w:p>
              </w:tc>
              <w:tc>
                <w:tcPr>
                  <w:tcW w:w="484" w:type="pct"/>
                  <w:tcBorders>
                    <w:tl2br w:val="nil"/>
                    <w:tr2bl w:val="nil"/>
                  </w:tcBorders>
                  <w:noWrap w:val="0"/>
                  <w:vAlign w:val="center"/>
                </w:tcPr>
                <w:p w14:paraId="4A523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夜间</w:t>
                  </w:r>
                </w:p>
              </w:tc>
              <w:tc>
                <w:tcPr>
                  <w:tcW w:w="391" w:type="pct"/>
                  <w:tcBorders>
                    <w:tl2br w:val="nil"/>
                    <w:tr2bl w:val="nil"/>
                  </w:tcBorders>
                  <w:noWrap w:val="0"/>
                  <w:vAlign w:val="center"/>
                </w:tcPr>
                <w:p w14:paraId="4EAACF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val="en-US" w:eastAsia="zh-CN"/>
                    </w:rPr>
                    <w:t>昼间</w:t>
                  </w:r>
                </w:p>
              </w:tc>
              <w:tc>
                <w:tcPr>
                  <w:tcW w:w="502" w:type="pct"/>
                  <w:tcBorders>
                    <w:tl2br w:val="nil"/>
                    <w:tr2bl w:val="nil"/>
                  </w:tcBorders>
                  <w:noWrap w:val="0"/>
                  <w:vAlign w:val="center"/>
                </w:tcPr>
                <w:p w14:paraId="0709D3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val="en-US" w:eastAsia="zh-CN"/>
                    </w:rPr>
                    <w:t>夜间</w:t>
                  </w:r>
                </w:p>
              </w:tc>
              <w:tc>
                <w:tcPr>
                  <w:tcW w:w="420" w:type="pct"/>
                  <w:tcBorders>
                    <w:tl2br w:val="nil"/>
                    <w:tr2bl w:val="nil"/>
                  </w:tcBorders>
                  <w:noWrap w:val="0"/>
                  <w:vAlign w:val="center"/>
                </w:tcPr>
                <w:p w14:paraId="46610E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val="en-US" w:eastAsia="zh-CN"/>
                    </w:rPr>
                    <w:t>昼间</w:t>
                  </w:r>
                </w:p>
              </w:tc>
              <w:tc>
                <w:tcPr>
                  <w:tcW w:w="404" w:type="pct"/>
                  <w:tcBorders>
                    <w:tl2br w:val="nil"/>
                    <w:tr2bl w:val="nil"/>
                  </w:tcBorders>
                  <w:noWrap w:val="0"/>
                  <w:vAlign w:val="center"/>
                </w:tcPr>
                <w:p w14:paraId="5D2164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val="en-US" w:eastAsia="zh-CN"/>
                    </w:rPr>
                    <w:t>夜间</w:t>
                  </w:r>
                </w:p>
              </w:tc>
              <w:tc>
                <w:tcPr>
                  <w:tcW w:w="429" w:type="pct"/>
                  <w:vMerge w:val="continue"/>
                  <w:tcBorders>
                    <w:tl2br w:val="nil"/>
                    <w:tr2bl w:val="nil"/>
                  </w:tcBorders>
                  <w:noWrap w:val="0"/>
                  <w:vAlign w:val="center"/>
                </w:tcPr>
                <w:p w14:paraId="0F49F4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p>
              </w:tc>
            </w:tr>
            <w:tr w14:paraId="0220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69381D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东面</w:t>
                  </w:r>
                  <w:r>
                    <w:rPr>
                      <w:rFonts w:hint="eastAsia" w:ascii="Times New Roman" w:hAnsi="Times New Roman" w:eastAsia="宋体" w:cs="Times New Roman"/>
                      <w:color w:val="auto"/>
                      <w:sz w:val="21"/>
                      <w:szCs w:val="21"/>
                      <w:vertAlign w:val="baseline"/>
                      <w:lang w:val="en-US" w:eastAsia="zh-CN"/>
                    </w:rPr>
                    <w:t>厂</w:t>
                  </w:r>
                  <w:r>
                    <w:rPr>
                      <w:rFonts w:hint="default" w:ascii="Times New Roman" w:hAnsi="Times New Roman" w:eastAsia="宋体" w:cs="Times New Roman"/>
                      <w:color w:val="auto"/>
                      <w:sz w:val="21"/>
                      <w:szCs w:val="21"/>
                      <w:vertAlign w:val="baseline"/>
                      <w:lang w:eastAsia="zh-CN"/>
                    </w:rPr>
                    <w:t>界</w:t>
                  </w:r>
                </w:p>
              </w:tc>
              <w:tc>
                <w:tcPr>
                  <w:tcW w:w="918" w:type="pct"/>
                  <w:tcBorders>
                    <w:tl2br w:val="nil"/>
                    <w:tr2bl w:val="nil"/>
                  </w:tcBorders>
                  <w:noWrap w:val="0"/>
                  <w:vAlign w:val="center"/>
                </w:tcPr>
                <w:p w14:paraId="08D060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w:t>
                  </w:r>
                </w:p>
              </w:tc>
              <w:tc>
                <w:tcPr>
                  <w:tcW w:w="524" w:type="pct"/>
                  <w:tcBorders>
                    <w:tl2br w:val="nil"/>
                    <w:tr2bl w:val="nil"/>
                  </w:tcBorders>
                  <w:noWrap w:val="0"/>
                  <w:vAlign w:val="center"/>
                </w:tcPr>
                <w:p w14:paraId="25AA8A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5FE8AF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5C6FCE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40963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 w:type="pct"/>
                  <w:tcBorders>
                    <w:tl2br w:val="nil"/>
                    <w:tr2bl w:val="nil"/>
                  </w:tcBorders>
                  <w:noWrap w:val="0"/>
                  <w:vAlign w:val="center"/>
                </w:tcPr>
                <w:p w14:paraId="397DD0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3D465A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59E038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达标</w:t>
                  </w:r>
                </w:p>
              </w:tc>
            </w:tr>
            <w:tr w14:paraId="080F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668EC0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南面</w:t>
                  </w:r>
                  <w:r>
                    <w:rPr>
                      <w:rFonts w:hint="default" w:ascii="Times New Roman" w:hAnsi="Times New Roman" w:eastAsia="宋体" w:cs="Times New Roman"/>
                      <w:color w:val="auto"/>
                      <w:sz w:val="21"/>
                      <w:szCs w:val="21"/>
                      <w:vertAlign w:val="baseline"/>
                      <w:lang w:val="en-US" w:eastAsia="zh-CN"/>
                    </w:rPr>
                    <w:t>厂</w:t>
                  </w:r>
                  <w:r>
                    <w:rPr>
                      <w:rFonts w:hint="default" w:ascii="Times New Roman" w:hAnsi="Times New Roman" w:eastAsia="宋体" w:cs="Times New Roman"/>
                      <w:color w:val="auto"/>
                      <w:sz w:val="21"/>
                      <w:szCs w:val="21"/>
                      <w:vertAlign w:val="baseline"/>
                      <w:lang w:eastAsia="zh-CN"/>
                    </w:rPr>
                    <w:t>界</w:t>
                  </w:r>
                </w:p>
              </w:tc>
              <w:tc>
                <w:tcPr>
                  <w:tcW w:w="918" w:type="pct"/>
                  <w:tcBorders>
                    <w:tl2br w:val="nil"/>
                    <w:tr2bl w:val="nil"/>
                  </w:tcBorders>
                  <w:noWrap w:val="0"/>
                  <w:vAlign w:val="center"/>
                </w:tcPr>
                <w:p w14:paraId="7AD28A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524" w:type="pct"/>
                  <w:tcBorders>
                    <w:tl2br w:val="nil"/>
                    <w:tr2bl w:val="nil"/>
                  </w:tcBorders>
                  <w:noWrap w:val="0"/>
                  <w:vAlign w:val="center"/>
                </w:tcPr>
                <w:p w14:paraId="5EE7EA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740A2E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5450FF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1FB8B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420" w:type="pct"/>
                  <w:tcBorders>
                    <w:tl2br w:val="nil"/>
                    <w:tr2bl w:val="nil"/>
                  </w:tcBorders>
                  <w:noWrap w:val="0"/>
                  <w:vAlign w:val="center"/>
                </w:tcPr>
                <w:p w14:paraId="6DE17D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0074C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04E3B2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达标</w:t>
                  </w:r>
                </w:p>
              </w:tc>
            </w:tr>
            <w:tr w14:paraId="23A1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3DD08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西面</w:t>
                  </w:r>
                  <w:r>
                    <w:rPr>
                      <w:rFonts w:hint="default" w:ascii="Times New Roman" w:hAnsi="Times New Roman" w:eastAsia="宋体" w:cs="Times New Roman"/>
                      <w:color w:val="auto"/>
                      <w:sz w:val="21"/>
                      <w:szCs w:val="21"/>
                      <w:vertAlign w:val="baseline"/>
                      <w:lang w:val="en-US" w:eastAsia="zh-CN"/>
                    </w:rPr>
                    <w:t>厂</w:t>
                  </w:r>
                  <w:r>
                    <w:rPr>
                      <w:rFonts w:hint="default" w:ascii="Times New Roman" w:hAnsi="Times New Roman" w:eastAsia="宋体" w:cs="Times New Roman"/>
                      <w:color w:val="auto"/>
                      <w:sz w:val="21"/>
                      <w:szCs w:val="21"/>
                      <w:vertAlign w:val="baseline"/>
                      <w:lang w:eastAsia="zh-CN"/>
                    </w:rPr>
                    <w:t>界</w:t>
                  </w:r>
                </w:p>
              </w:tc>
              <w:tc>
                <w:tcPr>
                  <w:tcW w:w="918" w:type="pct"/>
                  <w:tcBorders>
                    <w:tl2br w:val="nil"/>
                    <w:tr2bl w:val="nil"/>
                  </w:tcBorders>
                  <w:noWrap w:val="0"/>
                  <w:vAlign w:val="center"/>
                </w:tcPr>
                <w:p w14:paraId="670C7D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w:t>
                  </w:r>
                </w:p>
              </w:tc>
              <w:tc>
                <w:tcPr>
                  <w:tcW w:w="524" w:type="pct"/>
                  <w:tcBorders>
                    <w:tl2br w:val="nil"/>
                    <w:tr2bl w:val="nil"/>
                  </w:tcBorders>
                  <w:noWrap w:val="0"/>
                  <w:vAlign w:val="center"/>
                </w:tcPr>
                <w:p w14:paraId="436928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3C729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4235FB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7C5EA7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420" w:type="pct"/>
                  <w:tcBorders>
                    <w:tl2br w:val="nil"/>
                    <w:tr2bl w:val="nil"/>
                  </w:tcBorders>
                  <w:noWrap w:val="0"/>
                  <w:vAlign w:val="center"/>
                </w:tcPr>
                <w:p w14:paraId="18D287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07B5A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6812A5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达标</w:t>
                  </w:r>
                </w:p>
              </w:tc>
            </w:tr>
            <w:tr w14:paraId="7A88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326F1A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北面</w:t>
                  </w:r>
                  <w:r>
                    <w:rPr>
                      <w:rFonts w:hint="default" w:ascii="Times New Roman" w:hAnsi="Times New Roman" w:eastAsia="宋体" w:cs="Times New Roman"/>
                      <w:color w:val="auto"/>
                      <w:sz w:val="21"/>
                      <w:szCs w:val="21"/>
                      <w:vertAlign w:val="baseline"/>
                      <w:lang w:val="en-US" w:eastAsia="zh-CN"/>
                    </w:rPr>
                    <w:t>厂</w:t>
                  </w:r>
                  <w:r>
                    <w:rPr>
                      <w:rFonts w:hint="default" w:ascii="Times New Roman" w:hAnsi="Times New Roman" w:eastAsia="宋体" w:cs="Times New Roman"/>
                      <w:color w:val="auto"/>
                      <w:sz w:val="21"/>
                      <w:szCs w:val="21"/>
                      <w:vertAlign w:val="baseline"/>
                      <w:lang w:eastAsia="zh-CN"/>
                    </w:rPr>
                    <w:t>界</w:t>
                  </w:r>
                </w:p>
              </w:tc>
              <w:tc>
                <w:tcPr>
                  <w:tcW w:w="918" w:type="pct"/>
                  <w:tcBorders>
                    <w:tl2br w:val="nil"/>
                    <w:tr2bl w:val="nil"/>
                  </w:tcBorders>
                  <w:noWrap w:val="0"/>
                  <w:vAlign w:val="center"/>
                </w:tcPr>
                <w:p w14:paraId="4B27F7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524" w:type="pct"/>
                  <w:tcBorders>
                    <w:tl2br w:val="nil"/>
                    <w:tr2bl w:val="nil"/>
                  </w:tcBorders>
                  <w:noWrap w:val="0"/>
                  <w:vAlign w:val="center"/>
                </w:tcPr>
                <w:p w14:paraId="46B75E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73BA61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19E44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14E3C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p>
              </w:tc>
              <w:tc>
                <w:tcPr>
                  <w:tcW w:w="420" w:type="pct"/>
                  <w:tcBorders>
                    <w:tl2br w:val="nil"/>
                    <w:tr2bl w:val="nil"/>
                  </w:tcBorders>
                  <w:noWrap w:val="0"/>
                  <w:vAlign w:val="center"/>
                </w:tcPr>
                <w:p w14:paraId="5792E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48D046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4E2E8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达标</w:t>
                  </w:r>
                </w:p>
              </w:tc>
            </w:tr>
            <w:tr w14:paraId="5719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6E2491C9">
                  <w:pPr>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Cs w:val="21"/>
                      <w:lang w:val="en-US" w:eastAsia="zh-CN"/>
                    </w:rPr>
                    <w:t>上云约</w:t>
                  </w:r>
                </w:p>
              </w:tc>
              <w:tc>
                <w:tcPr>
                  <w:tcW w:w="918" w:type="pct"/>
                  <w:tcBorders>
                    <w:tl2br w:val="nil"/>
                    <w:tr2bl w:val="nil"/>
                  </w:tcBorders>
                  <w:noWrap w:val="0"/>
                  <w:vAlign w:val="center"/>
                </w:tcPr>
                <w:p w14:paraId="0A390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w:t>
                  </w:r>
                </w:p>
              </w:tc>
              <w:tc>
                <w:tcPr>
                  <w:tcW w:w="524" w:type="pct"/>
                  <w:tcBorders>
                    <w:tl2br w:val="nil"/>
                    <w:tr2bl w:val="nil"/>
                  </w:tcBorders>
                  <w:noWrap w:val="0"/>
                  <w:vAlign w:val="center"/>
                </w:tcPr>
                <w:p w14:paraId="1090D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777F3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29A547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09AB75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 w:type="pct"/>
                  <w:tcBorders>
                    <w:tl2br w:val="nil"/>
                    <w:tr2bl w:val="nil"/>
                  </w:tcBorders>
                  <w:noWrap w:val="0"/>
                  <w:vAlign w:val="center"/>
                </w:tcPr>
                <w:p w14:paraId="4671EE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147C8B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0B218F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达标</w:t>
                  </w:r>
                </w:p>
              </w:tc>
            </w:tr>
            <w:tr w14:paraId="5AE4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4549F7BE">
                  <w:pPr>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Cs w:val="21"/>
                      <w:lang w:val="en-US" w:eastAsia="zh-CN"/>
                    </w:rPr>
                    <w:t>云约</w:t>
                  </w:r>
                </w:p>
              </w:tc>
              <w:tc>
                <w:tcPr>
                  <w:tcW w:w="918" w:type="pct"/>
                  <w:tcBorders>
                    <w:tl2br w:val="nil"/>
                    <w:tr2bl w:val="nil"/>
                  </w:tcBorders>
                  <w:noWrap w:val="0"/>
                  <w:vAlign w:val="center"/>
                </w:tcPr>
                <w:p w14:paraId="03F3D9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46</w:t>
                  </w:r>
                </w:p>
              </w:tc>
              <w:tc>
                <w:tcPr>
                  <w:tcW w:w="524" w:type="pct"/>
                  <w:tcBorders>
                    <w:tl2br w:val="nil"/>
                    <w:tr2bl w:val="nil"/>
                  </w:tcBorders>
                  <w:noWrap w:val="0"/>
                  <w:vAlign w:val="center"/>
                </w:tcPr>
                <w:p w14:paraId="71E172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45E919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25191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5C479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 w:type="pct"/>
                  <w:tcBorders>
                    <w:tl2br w:val="nil"/>
                    <w:tr2bl w:val="nil"/>
                  </w:tcBorders>
                  <w:noWrap w:val="0"/>
                  <w:vAlign w:val="center"/>
                </w:tcPr>
                <w:p w14:paraId="309443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6F5094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49F276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达标</w:t>
                  </w:r>
                </w:p>
              </w:tc>
            </w:tr>
            <w:tr w14:paraId="0292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11FDCEAA">
                  <w:pPr>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Cs w:val="21"/>
                      <w:lang w:val="en-US" w:eastAsia="zh-CN"/>
                    </w:rPr>
                    <w:t>下云约</w:t>
                  </w:r>
                </w:p>
              </w:tc>
              <w:tc>
                <w:tcPr>
                  <w:tcW w:w="918" w:type="pct"/>
                  <w:tcBorders>
                    <w:tl2br w:val="nil"/>
                    <w:tr2bl w:val="nil"/>
                  </w:tcBorders>
                  <w:noWrap w:val="0"/>
                  <w:vAlign w:val="center"/>
                </w:tcPr>
                <w:p w14:paraId="131117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w:t>
                  </w:r>
                </w:p>
              </w:tc>
              <w:tc>
                <w:tcPr>
                  <w:tcW w:w="524" w:type="pct"/>
                  <w:tcBorders>
                    <w:tl2br w:val="nil"/>
                    <w:tr2bl w:val="nil"/>
                  </w:tcBorders>
                  <w:noWrap w:val="0"/>
                  <w:vAlign w:val="center"/>
                </w:tcPr>
                <w:p w14:paraId="29E95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3C29F0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003DD4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6B437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 w:type="pct"/>
                  <w:tcBorders>
                    <w:tl2br w:val="nil"/>
                    <w:tr2bl w:val="nil"/>
                  </w:tcBorders>
                  <w:noWrap w:val="0"/>
                  <w:vAlign w:val="center"/>
                </w:tcPr>
                <w:p w14:paraId="4243C4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14C7CA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30A5D4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达标</w:t>
                  </w:r>
                </w:p>
              </w:tc>
            </w:tr>
            <w:tr w14:paraId="60E5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02AF609A">
                  <w:pPr>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Cs w:val="21"/>
                      <w:lang w:val="en-US" w:eastAsia="zh-CN"/>
                    </w:rPr>
                    <w:t>傅屋村</w:t>
                  </w:r>
                </w:p>
              </w:tc>
              <w:tc>
                <w:tcPr>
                  <w:tcW w:w="918" w:type="pct"/>
                  <w:tcBorders>
                    <w:tl2br w:val="nil"/>
                    <w:tr2bl w:val="nil"/>
                  </w:tcBorders>
                  <w:noWrap w:val="0"/>
                  <w:vAlign w:val="center"/>
                </w:tcPr>
                <w:p w14:paraId="6CA29A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524" w:type="pct"/>
                  <w:tcBorders>
                    <w:tl2br w:val="nil"/>
                    <w:tr2bl w:val="nil"/>
                  </w:tcBorders>
                  <w:noWrap w:val="0"/>
                  <w:vAlign w:val="center"/>
                </w:tcPr>
                <w:p w14:paraId="366C83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72E7C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5AB8C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162680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 w:type="pct"/>
                  <w:tcBorders>
                    <w:tl2br w:val="nil"/>
                    <w:tr2bl w:val="nil"/>
                  </w:tcBorders>
                  <w:noWrap w:val="0"/>
                  <w:vAlign w:val="center"/>
                </w:tcPr>
                <w:p w14:paraId="4CDB4C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567A9B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70AA2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达标</w:t>
                  </w:r>
                </w:p>
              </w:tc>
            </w:tr>
            <w:tr w14:paraId="64B7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2F3FB717">
                  <w:pPr>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Cs w:val="21"/>
                      <w:lang w:val="en-US" w:eastAsia="zh-CN"/>
                    </w:rPr>
                    <w:t>黄京角村</w:t>
                  </w:r>
                </w:p>
              </w:tc>
              <w:tc>
                <w:tcPr>
                  <w:tcW w:w="918" w:type="pct"/>
                  <w:tcBorders>
                    <w:tl2br w:val="nil"/>
                    <w:tr2bl w:val="nil"/>
                  </w:tcBorders>
                  <w:noWrap w:val="0"/>
                  <w:vAlign w:val="center"/>
                </w:tcPr>
                <w:p w14:paraId="38B68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w:t>
                  </w:r>
                </w:p>
              </w:tc>
              <w:tc>
                <w:tcPr>
                  <w:tcW w:w="524" w:type="pct"/>
                  <w:tcBorders>
                    <w:tl2br w:val="nil"/>
                    <w:tr2bl w:val="nil"/>
                  </w:tcBorders>
                  <w:noWrap w:val="0"/>
                  <w:vAlign w:val="center"/>
                </w:tcPr>
                <w:p w14:paraId="5C9CDF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59BC66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17072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0C40F5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 w:type="pct"/>
                  <w:tcBorders>
                    <w:tl2br w:val="nil"/>
                    <w:tr2bl w:val="nil"/>
                  </w:tcBorders>
                  <w:noWrap w:val="0"/>
                  <w:vAlign w:val="center"/>
                </w:tcPr>
                <w:p w14:paraId="319502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420A0A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6D9D5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达标</w:t>
                  </w:r>
                </w:p>
              </w:tc>
            </w:tr>
            <w:tr w14:paraId="06F5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25" w:type="pct"/>
                  <w:tcBorders>
                    <w:tl2br w:val="nil"/>
                    <w:tr2bl w:val="nil"/>
                  </w:tcBorders>
                  <w:noWrap w:val="0"/>
                  <w:vAlign w:val="center"/>
                </w:tcPr>
                <w:p w14:paraId="115BA1B7">
                  <w:pPr>
                    <w:jc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Cs w:val="21"/>
                      <w:lang w:val="en-US" w:eastAsia="zh-CN"/>
                    </w:rPr>
                    <w:t>4a类区陈屋村</w:t>
                  </w:r>
                </w:p>
              </w:tc>
              <w:tc>
                <w:tcPr>
                  <w:tcW w:w="918" w:type="pct"/>
                  <w:tcBorders>
                    <w:tl2br w:val="nil"/>
                    <w:tr2bl w:val="nil"/>
                  </w:tcBorders>
                  <w:noWrap w:val="0"/>
                  <w:vAlign w:val="center"/>
                </w:tcPr>
                <w:p w14:paraId="60C8C3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524" w:type="pct"/>
                  <w:tcBorders>
                    <w:tl2br w:val="nil"/>
                    <w:tr2bl w:val="nil"/>
                  </w:tcBorders>
                  <w:noWrap w:val="0"/>
                  <w:vAlign w:val="center"/>
                </w:tcPr>
                <w:p w14:paraId="19ED5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79F1EA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3067E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38C148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 w:type="pct"/>
                  <w:tcBorders>
                    <w:tl2br w:val="nil"/>
                    <w:tr2bl w:val="nil"/>
                  </w:tcBorders>
                  <w:noWrap w:val="0"/>
                  <w:vAlign w:val="center"/>
                </w:tcPr>
                <w:p w14:paraId="3390AA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457718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2C9BA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达标</w:t>
                  </w:r>
                </w:p>
              </w:tc>
            </w:tr>
            <w:tr w14:paraId="278A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25" w:type="pct"/>
                  <w:tcBorders>
                    <w:tl2br w:val="nil"/>
                    <w:tr2bl w:val="nil"/>
                  </w:tcBorders>
                  <w:noWrap w:val="0"/>
                  <w:vAlign w:val="center"/>
                </w:tcPr>
                <w:p w14:paraId="5A1E39A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2类区陈屋村</w:t>
                  </w:r>
                </w:p>
              </w:tc>
              <w:tc>
                <w:tcPr>
                  <w:tcW w:w="918" w:type="pct"/>
                  <w:tcBorders>
                    <w:tl2br w:val="nil"/>
                    <w:tr2bl w:val="nil"/>
                  </w:tcBorders>
                  <w:noWrap w:val="0"/>
                  <w:vAlign w:val="center"/>
                </w:tcPr>
                <w:p w14:paraId="67EB6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524" w:type="pct"/>
                  <w:tcBorders>
                    <w:tl2br w:val="nil"/>
                    <w:tr2bl w:val="nil"/>
                  </w:tcBorders>
                  <w:noWrap w:val="0"/>
                  <w:vAlign w:val="center"/>
                </w:tcPr>
                <w:p w14:paraId="578C9E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435690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5FC6E5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09CE02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 w:type="pct"/>
                  <w:tcBorders>
                    <w:tl2br w:val="nil"/>
                    <w:tr2bl w:val="nil"/>
                  </w:tcBorders>
                  <w:noWrap w:val="0"/>
                  <w:vAlign w:val="center"/>
                </w:tcPr>
                <w:p w14:paraId="787977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489A7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679C27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达标</w:t>
                  </w:r>
                </w:p>
              </w:tc>
            </w:tr>
            <w:tr w14:paraId="4665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5" w:type="pct"/>
                  <w:tcBorders>
                    <w:tl2br w:val="nil"/>
                    <w:tr2bl w:val="nil"/>
                  </w:tcBorders>
                  <w:noWrap w:val="0"/>
                  <w:vAlign w:val="center"/>
                </w:tcPr>
                <w:p w14:paraId="67842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val="en-US" w:eastAsia="zh-CN"/>
                    </w:rPr>
                    <w:t>大𬇕尾村</w:t>
                  </w:r>
                </w:p>
              </w:tc>
              <w:tc>
                <w:tcPr>
                  <w:tcW w:w="918" w:type="pct"/>
                  <w:tcBorders>
                    <w:tl2br w:val="nil"/>
                    <w:tr2bl w:val="nil"/>
                  </w:tcBorders>
                  <w:noWrap w:val="0"/>
                  <w:vAlign w:val="center"/>
                </w:tcPr>
                <w:p w14:paraId="3845E4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w:t>
                  </w:r>
                </w:p>
              </w:tc>
              <w:tc>
                <w:tcPr>
                  <w:tcW w:w="524" w:type="pct"/>
                  <w:tcBorders>
                    <w:tl2br w:val="nil"/>
                    <w:tr2bl w:val="nil"/>
                  </w:tcBorders>
                  <w:noWrap w:val="0"/>
                  <w:vAlign w:val="center"/>
                </w:tcPr>
                <w:p w14:paraId="10A65B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484" w:type="pct"/>
                  <w:tcBorders>
                    <w:tl2br w:val="nil"/>
                    <w:tr2bl w:val="nil"/>
                  </w:tcBorders>
                  <w:noWrap w:val="0"/>
                  <w:vAlign w:val="center"/>
                </w:tcPr>
                <w:p w14:paraId="0887A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391" w:type="pct"/>
                  <w:tcBorders>
                    <w:tl2br w:val="nil"/>
                    <w:tr2bl w:val="nil"/>
                  </w:tcBorders>
                  <w:noWrap w:val="0"/>
                  <w:vAlign w:val="center"/>
                </w:tcPr>
                <w:p w14:paraId="754E8D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502" w:type="pct"/>
                  <w:tcBorders>
                    <w:tl2br w:val="nil"/>
                    <w:tr2bl w:val="nil"/>
                  </w:tcBorders>
                  <w:noWrap w:val="0"/>
                  <w:vAlign w:val="center"/>
                </w:tcPr>
                <w:p w14:paraId="7421C3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 w:type="pct"/>
                  <w:tcBorders>
                    <w:tl2br w:val="nil"/>
                    <w:tr2bl w:val="nil"/>
                  </w:tcBorders>
                  <w:noWrap w:val="0"/>
                  <w:vAlign w:val="center"/>
                </w:tcPr>
                <w:p w14:paraId="048157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tcBorders>
                    <w:tl2br w:val="nil"/>
                    <w:tr2bl w:val="nil"/>
                  </w:tcBorders>
                  <w:noWrap w:val="0"/>
                  <w:vAlign w:val="center"/>
                </w:tcPr>
                <w:p w14:paraId="7EB8A9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9" w:type="pct"/>
                  <w:tcBorders>
                    <w:tl2br w:val="nil"/>
                    <w:tr2bl w:val="nil"/>
                  </w:tcBorders>
                  <w:noWrap w:val="0"/>
                  <w:vAlign w:val="center"/>
                </w:tcPr>
                <w:p w14:paraId="766E62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达标</w:t>
                  </w:r>
                </w:p>
              </w:tc>
            </w:tr>
          </w:tbl>
          <w:p w14:paraId="38E82CB9">
            <w:pPr>
              <w:widowControl/>
              <w:spacing w:line="360" w:lineRule="auto"/>
              <w:ind w:firstLine="480" w:firstLineChars="200"/>
              <w:rPr>
                <w:rFonts w:hint="eastAsia" w:cs="Times New Roman"/>
                <w:color w:val="auto"/>
                <w:kern w:val="0"/>
                <w:sz w:val="24"/>
                <w:highlight w:val="none"/>
                <w:lang w:val="en-US" w:eastAsia="zh-CN" w:bidi="ar"/>
              </w:rPr>
            </w:pPr>
            <w:r>
              <w:rPr>
                <w:rFonts w:hint="eastAsia" w:cs="Times New Roman"/>
                <w:color w:val="auto"/>
                <w:kern w:val="0"/>
                <w:sz w:val="24"/>
                <w:highlight w:val="none"/>
                <w:lang w:val="en-US" w:eastAsia="zh-CN" w:bidi="ar"/>
              </w:rPr>
              <w:t>根据上表可知，在四周厂界处噪声贡献值均能达到《工业企业厂界环境噪声排放标准》（GB12348-2008）中4类区标准限值，敏感点均能达到《声环境质量标准》（GB3096-2008）中的4a类标准与2类标准。</w:t>
            </w:r>
          </w:p>
          <w:p w14:paraId="2CC8C5F7">
            <w:pPr>
              <w:widowControl/>
              <w:spacing w:line="360" w:lineRule="auto"/>
              <w:ind w:firstLine="480" w:firstLineChars="200"/>
              <w:rPr>
                <w:rFonts w:hint="eastAsia" w:ascii="Times New Roman" w:hAnsi="Times New Roman" w:eastAsia="宋体" w:cs="宋体"/>
                <w:bCs/>
                <w:color w:val="auto"/>
                <w:sz w:val="24"/>
              </w:rPr>
            </w:pPr>
            <w:r>
              <w:rPr>
                <w:rFonts w:hint="eastAsia" w:cs="Times New Roman"/>
                <w:color w:val="auto"/>
                <w:kern w:val="0"/>
                <w:sz w:val="24"/>
                <w:highlight w:val="none"/>
                <w:lang w:val="en-US" w:eastAsia="zh-CN" w:bidi="ar"/>
              </w:rPr>
              <w:t>项目采用符合国家标准的正面吊设备，选用超低噪声、运行振动小的设备，定期检修，对周边敏感点影响较小。</w:t>
            </w:r>
          </w:p>
          <w:p w14:paraId="4B477398">
            <w:pPr>
              <w:adjustRightInd w:val="0"/>
              <w:snapToGrid w:val="0"/>
              <w:spacing w:line="360" w:lineRule="auto"/>
              <w:ind w:firstLine="482" w:firstLineChars="200"/>
              <w:rPr>
                <w:rFonts w:cs="宋体"/>
                <w:b/>
                <w:color w:val="auto"/>
                <w:sz w:val="24"/>
              </w:rPr>
            </w:pPr>
            <w:r>
              <w:rPr>
                <w:rFonts w:hint="eastAsia" w:cs="宋体"/>
                <w:b/>
                <w:color w:val="auto"/>
                <w:sz w:val="24"/>
              </w:rPr>
              <w:t>5、环境振动</w:t>
            </w:r>
          </w:p>
          <w:p w14:paraId="406C4085">
            <w:pPr>
              <w:adjustRightInd w:val="0"/>
              <w:snapToGrid w:val="0"/>
              <w:spacing w:line="360" w:lineRule="auto"/>
              <w:ind w:firstLine="480" w:firstLineChars="200"/>
              <w:rPr>
                <w:rFonts w:hint="eastAsia" w:cs="宋体"/>
                <w:bCs/>
                <w:color w:val="auto"/>
                <w:sz w:val="24"/>
              </w:rPr>
            </w:pPr>
            <w:r>
              <w:rPr>
                <w:rFonts w:hint="eastAsia" w:cs="宋体"/>
                <w:bCs/>
                <w:color w:val="auto"/>
                <w:sz w:val="24"/>
              </w:rPr>
              <w:t>项目建成后，列车运行将产生振动，此振动源于列车在运行中车轮与钢轨撞击产生的振动，经轨枕、道床、路基（或桥梁结构）地面传播到建筑物，引起建筑物的振动。</w:t>
            </w:r>
          </w:p>
          <w:p w14:paraId="2A5A6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color w:val="auto"/>
                <w:kern w:val="0"/>
                <w:sz w:val="24"/>
                <w:highlight w:val="none"/>
                <w:lang w:bidi="ar"/>
              </w:rPr>
            </w:pPr>
            <w:r>
              <w:rPr>
                <w:rFonts w:hint="default" w:ascii="Times New Roman" w:hAnsi="Times New Roman" w:eastAsia="宋体" w:cs="宋体"/>
                <w:bCs/>
                <w:color w:val="auto"/>
                <w:sz w:val="24"/>
              </w:rPr>
              <w:t>类比</w:t>
            </w:r>
            <w:r>
              <w:rPr>
                <w:rFonts w:hint="eastAsia" w:ascii="Times New Roman" w:hAnsi="Times New Roman" w:eastAsia="宋体" w:cs="宋体"/>
                <w:bCs/>
                <w:color w:val="auto"/>
                <w:sz w:val="24"/>
                <w:lang w:eastAsia="zh-CN"/>
              </w:rPr>
              <w:t>《</w:t>
            </w:r>
            <w:r>
              <w:rPr>
                <w:rFonts w:hint="eastAsia" w:ascii="Times New Roman" w:hAnsi="Times New Roman" w:eastAsia="宋体" w:cs="宋体"/>
                <w:bCs/>
                <w:color w:val="auto"/>
                <w:sz w:val="24"/>
              </w:rPr>
              <w:t>防城港企沙铁路支线皇城坳站货场建设项目竣工环境保护验收监测报告表</w:t>
            </w:r>
            <w:r>
              <w:rPr>
                <w:rFonts w:hint="eastAsia" w:ascii="Times New Roman" w:hAnsi="Times New Roman" w:eastAsia="宋体" w:cs="宋体"/>
                <w:bCs/>
                <w:color w:val="auto"/>
                <w:sz w:val="24"/>
                <w:lang w:eastAsia="zh-CN"/>
              </w:rPr>
              <w:t>》</w:t>
            </w:r>
            <w:r>
              <w:rPr>
                <w:rFonts w:hint="eastAsia" w:cs="宋体"/>
                <w:bCs/>
                <w:color w:val="auto"/>
                <w:sz w:val="24"/>
                <w:lang w:eastAsia="zh-CN"/>
              </w:rPr>
              <w:t>，</w:t>
            </w:r>
            <w:r>
              <w:rPr>
                <w:rFonts w:hint="eastAsia" w:cs="宋体"/>
                <w:bCs/>
                <w:color w:val="auto"/>
                <w:sz w:val="24"/>
                <w:lang w:val="en-US" w:eastAsia="zh-CN"/>
              </w:rPr>
              <w:t>根据其报告可知，</w:t>
            </w:r>
            <w:r>
              <w:rPr>
                <w:rFonts w:hint="eastAsia" w:ascii="Times New Roman" w:hAnsi="Times New Roman" w:eastAsia="宋体" w:cs="宋体"/>
                <w:bCs/>
                <w:color w:val="auto"/>
                <w:sz w:val="24"/>
              </w:rPr>
              <w:t>皇城坳站货场</w:t>
            </w:r>
            <w:r>
              <w:rPr>
                <w:rFonts w:hint="eastAsia" w:cs="宋体"/>
                <w:bCs/>
                <w:color w:val="auto"/>
                <w:sz w:val="24"/>
                <w:lang w:eastAsia="zh-CN"/>
              </w:rPr>
              <w:t>周边建筑物</w:t>
            </w:r>
            <w:r>
              <w:rPr>
                <w:rFonts w:hint="default" w:ascii="Times New Roman" w:hAnsi="Times New Roman" w:cs="Times New Roman"/>
                <w:bCs/>
                <w:color w:val="auto"/>
                <w:sz w:val="24"/>
                <w:lang w:eastAsia="zh-CN"/>
              </w:rPr>
              <w:t>昼间</w:t>
            </w:r>
            <w:r>
              <w:rPr>
                <w:rFonts w:hint="eastAsia" w:cs="宋体"/>
                <w:bCs/>
                <w:color w:val="auto"/>
                <w:sz w:val="24"/>
                <w:lang w:val="en-US" w:eastAsia="zh-CN"/>
              </w:rPr>
              <w:t>振动监测结果</w:t>
            </w:r>
            <w:r>
              <w:rPr>
                <w:rFonts w:hint="default" w:ascii="Times New Roman" w:hAnsi="Times New Roman" w:cs="Times New Roman"/>
                <w:bCs/>
                <w:color w:val="auto"/>
                <w:sz w:val="24"/>
                <w:lang w:val="en-US" w:eastAsia="zh-CN"/>
              </w:rPr>
              <w:t>为</w:t>
            </w:r>
            <w:r>
              <w:rPr>
                <w:rFonts w:hint="eastAsia" w:cs="Times New Roman"/>
                <w:bCs/>
                <w:color w:val="auto"/>
                <w:sz w:val="24"/>
                <w:lang w:val="en-US" w:eastAsia="zh-CN"/>
              </w:rPr>
              <w:t>60~61</w:t>
            </w:r>
            <w:r>
              <w:rPr>
                <w:rFonts w:hint="default" w:ascii="Times New Roman" w:hAnsi="Times New Roman" w:cs="Times New Roman"/>
                <w:color w:val="auto"/>
                <w:kern w:val="0"/>
                <w:sz w:val="24"/>
                <w:highlight w:val="none"/>
                <w:lang w:bidi="ar"/>
              </w:rPr>
              <w:t>dB(A)</w:t>
            </w:r>
            <w:r>
              <w:rPr>
                <w:rFonts w:hint="default" w:ascii="Times New Roman" w:hAnsi="Times New Roman" w:cs="Times New Roman"/>
                <w:color w:val="auto"/>
                <w:kern w:val="0"/>
                <w:sz w:val="24"/>
                <w:highlight w:val="none"/>
                <w:lang w:eastAsia="zh-CN" w:bidi="ar"/>
              </w:rPr>
              <w:t>，</w:t>
            </w:r>
            <w:r>
              <w:rPr>
                <w:rFonts w:hint="eastAsia" w:cs="Times New Roman"/>
                <w:color w:val="auto"/>
                <w:kern w:val="0"/>
                <w:sz w:val="24"/>
                <w:highlight w:val="none"/>
                <w:lang w:eastAsia="zh-CN" w:bidi="ar"/>
              </w:rPr>
              <w:t>夜间</w:t>
            </w:r>
            <w:r>
              <w:rPr>
                <w:rFonts w:hint="eastAsia" w:cs="宋体"/>
                <w:bCs/>
                <w:color w:val="auto"/>
                <w:sz w:val="24"/>
                <w:lang w:val="en-US" w:eastAsia="zh-CN"/>
              </w:rPr>
              <w:t>振动监测结果</w:t>
            </w:r>
            <w:r>
              <w:rPr>
                <w:rFonts w:hint="default" w:ascii="Times New Roman" w:hAnsi="Times New Roman" w:cs="Times New Roman"/>
                <w:bCs/>
                <w:color w:val="auto"/>
                <w:sz w:val="24"/>
                <w:lang w:val="en-US" w:eastAsia="zh-CN"/>
              </w:rPr>
              <w:t>为</w:t>
            </w:r>
            <w:r>
              <w:rPr>
                <w:rFonts w:hint="eastAsia" w:cs="Times New Roman"/>
                <w:bCs/>
                <w:color w:val="auto"/>
                <w:sz w:val="24"/>
                <w:lang w:val="en-US" w:eastAsia="zh-CN"/>
              </w:rPr>
              <w:t>60~61</w:t>
            </w:r>
            <w:r>
              <w:rPr>
                <w:rFonts w:hint="default" w:ascii="Times New Roman" w:hAnsi="Times New Roman" w:cs="Times New Roman"/>
                <w:color w:val="auto"/>
                <w:kern w:val="0"/>
                <w:sz w:val="24"/>
                <w:highlight w:val="none"/>
                <w:lang w:bidi="ar"/>
              </w:rPr>
              <w:t>dB(A)</w:t>
            </w:r>
            <w:r>
              <w:rPr>
                <w:rFonts w:hint="eastAsia" w:cs="Times New Roman"/>
                <w:color w:val="auto"/>
                <w:kern w:val="0"/>
                <w:sz w:val="24"/>
                <w:highlight w:val="none"/>
                <w:lang w:eastAsia="zh-CN" w:bidi="ar"/>
              </w:rPr>
              <w:t>，</w:t>
            </w:r>
            <w:r>
              <w:rPr>
                <w:rFonts w:hint="default"/>
                <w:color w:val="auto"/>
                <w:kern w:val="0"/>
                <w:sz w:val="24"/>
                <w:highlight w:val="none"/>
                <w:lang w:bidi="ar"/>
              </w:rPr>
              <w:t>满足《城市区域环境振动标准》（GB10070-88）中相关标准限值要求。</w:t>
            </w:r>
          </w:p>
          <w:p w14:paraId="471637A5">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both"/>
              <w:textAlignment w:val="auto"/>
              <w:rPr>
                <w:rFonts w:cs="宋体"/>
                <w:bCs/>
                <w:color w:val="auto"/>
                <w:sz w:val="24"/>
              </w:rPr>
            </w:pPr>
            <w:r>
              <w:rPr>
                <w:rFonts w:hint="eastAsia" w:cs="宋体"/>
                <w:bCs/>
                <w:color w:val="auto"/>
                <w:sz w:val="24"/>
                <w:szCs w:val="24"/>
                <w:lang w:eastAsia="zh-CN"/>
              </w:rPr>
              <w:t>本项目</w:t>
            </w:r>
            <w:r>
              <w:rPr>
                <w:rFonts w:hint="eastAsia" w:cs="宋体"/>
                <w:bCs/>
                <w:color w:val="auto"/>
                <w:sz w:val="24"/>
                <w:szCs w:val="24"/>
                <w:lang w:val="en-US" w:eastAsia="zh-CN"/>
              </w:rPr>
              <w:t>和皇城坳站位于同一园区，均为货运站，且</w:t>
            </w:r>
            <w:r>
              <w:rPr>
                <w:rFonts w:hint="eastAsia" w:ascii="Times New Roman" w:hAnsi="Times New Roman" w:eastAsia="宋体" w:cs="Times New Roman"/>
                <w:color w:val="auto"/>
                <w:kern w:val="0"/>
                <w:sz w:val="24"/>
                <w:szCs w:val="24"/>
                <w:lang w:val="en-US" w:eastAsia="zh-CN" w:bidi="ar"/>
              </w:rPr>
              <w:t>钢轨结构、轨道类型</w:t>
            </w:r>
            <w:r>
              <w:rPr>
                <w:rFonts w:hint="eastAsia" w:cs="Times New Roman"/>
                <w:color w:val="auto"/>
                <w:kern w:val="0"/>
                <w:sz w:val="24"/>
                <w:szCs w:val="24"/>
                <w:lang w:val="en-US" w:eastAsia="zh-CN" w:bidi="ar"/>
              </w:rPr>
              <w:t>一致，具有可比性。本</w:t>
            </w:r>
            <w:r>
              <w:rPr>
                <w:rFonts w:hint="eastAsia" w:cs="宋体"/>
                <w:bCs/>
                <w:color w:val="auto"/>
                <w:sz w:val="24"/>
                <w:szCs w:val="24"/>
                <w:lang w:val="en-US" w:eastAsia="zh-CN"/>
              </w:rPr>
              <w:t>项目专线设置在集装箱堆场内，项目周边无大量建筑物</w:t>
            </w:r>
            <w:r>
              <w:rPr>
                <w:rFonts w:hint="eastAsia" w:cs="宋体"/>
                <w:bCs/>
                <w:color w:val="auto"/>
                <w:sz w:val="24"/>
                <w:szCs w:val="24"/>
              </w:rPr>
              <w:t>，且项目振动为暂时性污染源，随着列车的通过而消失，因此，项目振动对周边环境影响较小。</w:t>
            </w:r>
            <w:r>
              <w:rPr>
                <w:rFonts w:hint="eastAsia" w:cs="宋体"/>
                <w:bCs/>
                <w:color w:val="auto"/>
                <w:sz w:val="24"/>
                <w:szCs w:val="24"/>
                <w:lang w:val="en-US" w:eastAsia="zh-CN"/>
              </w:rPr>
              <w:t>项目专线最近敏感点为云约，距离专线距离约38m，对周边敏感点影响较小。</w:t>
            </w:r>
          </w:p>
          <w:p w14:paraId="015C1769">
            <w:pPr>
              <w:adjustRightInd w:val="0"/>
              <w:snapToGrid w:val="0"/>
              <w:spacing w:line="360" w:lineRule="auto"/>
              <w:ind w:firstLine="482" w:firstLineChars="200"/>
              <w:rPr>
                <w:rFonts w:cs="宋体"/>
                <w:b/>
                <w:color w:val="auto"/>
                <w:sz w:val="24"/>
              </w:rPr>
            </w:pPr>
            <w:r>
              <w:rPr>
                <w:rFonts w:cs="宋体"/>
                <w:b/>
                <w:color w:val="auto"/>
                <w:sz w:val="24"/>
              </w:rPr>
              <w:t>6</w:t>
            </w:r>
            <w:r>
              <w:rPr>
                <w:rFonts w:hint="eastAsia" w:cs="宋体"/>
                <w:b/>
                <w:color w:val="auto"/>
                <w:sz w:val="24"/>
              </w:rPr>
              <w:t>、固体废物影响分析</w:t>
            </w:r>
          </w:p>
          <w:p w14:paraId="64E83A21">
            <w:pPr>
              <w:pStyle w:val="349"/>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宋体"/>
                <w:bCs/>
                <w:color w:val="auto"/>
                <w:kern w:val="2"/>
                <w:sz w:val="24"/>
                <w:szCs w:val="24"/>
                <w:lang w:val="en-US" w:eastAsia="zh-CN" w:bidi="ar-SA"/>
              </w:rPr>
            </w:pPr>
            <w:r>
              <w:rPr>
                <w:rFonts w:hint="eastAsia" w:ascii="Times New Roman" w:hAnsi="Times New Roman" w:eastAsia="宋体" w:cs="宋体"/>
                <w:bCs/>
                <w:color w:val="auto"/>
                <w:kern w:val="2"/>
                <w:sz w:val="24"/>
                <w:szCs w:val="24"/>
                <w:lang w:val="en-US" w:eastAsia="zh-CN" w:bidi="ar-SA"/>
              </w:rPr>
              <w:t>本项目运行过程中依托</w:t>
            </w:r>
            <w:r>
              <w:rPr>
                <w:rFonts w:hint="eastAsia" w:ascii="Times New Roman" w:hAnsi="Times New Roman" w:cs="宋体"/>
                <w:bCs/>
                <w:color w:val="auto"/>
                <w:kern w:val="2"/>
                <w:sz w:val="24"/>
                <w:szCs w:val="24"/>
                <w:lang w:val="en-US" w:eastAsia="zh-CN" w:bidi="ar-SA"/>
              </w:rPr>
              <w:t>云约</w:t>
            </w:r>
            <w:r>
              <w:rPr>
                <w:rFonts w:hint="eastAsia" w:ascii="Times New Roman" w:hAnsi="Times New Roman" w:eastAsia="宋体" w:cs="宋体"/>
                <w:bCs/>
                <w:color w:val="auto"/>
                <w:kern w:val="2"/>
                <w:sz w:val="24"/>
                <w:szCs w:val="24"/>
                <w:lang w:val="en-US" w:eastAsia="zh-CN" w:bidi="ar-SA"/>
              </w:rPr>
              <w:t>站负责装卸车辆的技术检查和处理，建设单位不进行检修，无检修维修产生的固废。集装箱堆场不存在机械维护等工序，因此项目主要固体废物来源于职工产生的生活垃圾。</w:t>
            </w:r>
          </w:p>
          <w:p w14:paraId="79472F3A">
            <w:pPr>
              <w:autoSpaceDE w:val="0"/>
              <w:autoSpaceDN w:val="0"/>
              <w:adjustRightInd w:val="0"/>
              <w:spacing w:line="360" w:lineRule="auto"/>
              <w:ind w:firstLine="480" w:firstLineChars="200"/>
              <w:jc w:val="left"/>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项目</w:t>
            </w:r>
            <w:r>
              <w:rPr>
                <w:rFonts w:hint="eastAsia" w:ascii="Times New Roman" w:hAnsi="Times New Roman" w:eastAsia="宋体" w:cs="Times New Roman"/>
                <w:color w:val="auto"/>
                <w:sz w:val="24"/>
                <w:szCs w:val="24"/>
                <w:highlight w:val="none"/>
                <w:u w:val="none" w:color="auto"/>
                <w:lang w:val="en-US" w:eastAsia="zh-CN"/>
              </w:rPr>
              <w:t>职工</w:t>
            </w:r>
            <w:r>
              <w:rPr>
                <w:rFonts w:hint="eastAsia" w:cs="Times New Roman"/>
                <w:color w:val="auto"/>
                <w:sz w:val="24"/>
                <w:szCs w:val="24"/>
                <w:highlight w:val="none"/>
                <w:u w:val="none" w:color="auto"/>
                <w:lang w:val="en-US" w:eastAsia="zh-CN"/>
              </w:rPr>
              <w:t>25</w:t>
            </w:r>
            <w:r>
              <w:rPr>
                <w:rFonts w:hint="default" w:ascii="Times New Roman" w:hAnsi="Times New Roman" w:eastAsia="宋体" w:cs="Times New Roman"/>
                <w:color w:val="auto"/>
                <w:sz w:val="24"/>
                <w:szCs w:val="24"/>
                <w:highlight w:val="none"/>
                <w:u w:val="none" w:color="auto"/>
                <w:lang w:val="en-US" w:eastAsia="zh-CN"/>
              </w:rPr>
              <w:t>人</w:t>
            </w:r>
            <w:r>
              <w:rPr>
                <w:rFonts w:hint="eastAsia" w:ascii="Times New Roman" w:hAnsi="Times New Roman" w:eastAsia="宋体" w:cs="Times New Roman"/>
                <w:color w:val="auto"/>
                <w:sz w:val="24"/>
                <w:szCs w:val="24"/>
                <w:highlight w:val="none"/>
                <w:u w:val="none" w:color="auto"/>
                <w:lang w:val="en-US" w:eastAsia="zh-CN"/>
              </w:rPr>
              <w:t>，</w:t>
            </w:r>
            <w:r>
              <w:rPr>
                <w:rFonts w:hint="eastAsia" w:cs="Times New Roman"/>
                <w:color w:val="auto"/>
                <w:sz w:val="24"/>
                <w:szCs w:val="24"/>
                <w:highlight w:val="none"/>
                <w:u w:val="none" w:color="auto"/>
                <w:lang w:val="en-US" w:eastAsia="zh-CN"/>
              </w:rPr>
              <w:t>均不</w:t>
            </w:r>
            <w:r>
              <w:rPr>
                <w:rFonts w:hint="default" w:ascii="Times New Roman" w:hAnsi="Times New Roman" w:eastAsia="宋体" w:cs="Times New Roman"/>
                <w:color w:val="auto"/>
                <w:sz w:val="24"/>
                <w:szCs w:val="24"/>
                <w:highlight w:val="none"/>
                <w:u w:val="none" w:color="auto"/>
                <w:lang w:val="en-US" w:eastAsia="zh-CN"/>
              </w:rPr>
              <w:t>在</w:t>
            </w:r>
            <w:r>
              <w:rPr>
                <w:rFonts w:hint="eastAsia" w:cs="Times New Roman"/>
                <w:color w:val="auto"/>
                <w:sz w:val="24"/>
                <w:szCs w:val="24"/>
                <w:highlight w:val="none"/>
                <w:u w:val="none" w:color="auto"/>
                <w:lang w:val="en-US" w:eastAsia="zh-CN"/>
              </w:rPr>
              <w:t>现场</w:t>
            </w:r>
            <w:r>
              <w:rPr>
                <w:rFonts w:hint="default" w:ascii="Times New Roman" w:hAnsi="Times New Roman" w:eastAsia="宋体" w:cs="Times New Roman"/>
                <w:color w:val="auto"/>
                <w:sz w:val="24"/>
                <w:szCs w:val="24"/>
                <w:highlight w:val="none"/>
                <w:u w:val="none" w:color="auto"/>
                <w:lang w:val="en-US" w:eastAsia="zh-CN"/>
              </w:rPr>
              <w:t>住宿，生活垃圾按</w:t>
            </w:r>
            <w:r>
              <w:rPr>
                <w:rFonts w:hint="eastAsia" w:ascii="Times New Roman" w:hAnsi="Times New Roman" w:eastAsia="宋体" w:cs="Times New Roman"/>
                <w:color w:val="auto"/>
                <w:sz w:val="24"/>
                <w:szCs w:val="24"/>
                <w:highlight w:val="none"/>
                <w:u w:val="none" w:color="auto"/>
                <w:lang w:val="en-US" w:eastAsia="zh-CN"/>
              </w:rPr>
              <w:t>0.5</w:t>
            </w:r>
            <w:r>
              <w:rPr>
                <w:rFonts w:hint="default" w:ascii="Times New Roman" w:hAnsi="Times New Roman" w:eastAsia="宋体" w:cs="Times New Roman"/>
                <w:color w:val="auto"/>
                <w:sz w:val="24"/>
                <w:szCs w:val="24"/>
                <w:highlight w:val="none"/>
                <w:u w:val="none" w:color="auto"/>
                <w:lang w:val="en-US" w:eastAsia="zh-CN"/>
              </w:rPr>
              <w:t>kg/人·d计</w:t>
            </w:r>
            <w:r>
              <w:rPr>
                <w:rFonts w:hint="eastAsia"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则产生生活垃圾量为</w:t>
            </w:r>
            <w:r>
              <w:rPr>
                <w:rFonts w:hint="eastAsia" w:cs="Times New Roman"/>
                <w:color w:val="auto"/>
                <w:sz w:val="24"/>
                <w:szCs w:val="24"/>
                <w:highlight w:val="none"/>
                <w:u w:val="none" w:color="auto"/>
                <w:lang w:val="en-US" w:eastAsia="zh-CN"/>
              </w:rPr>
              <w:t>12.5</w:t>
            </w:r>
            <w:r>
              <w:rPr>
                <w:rFonts w:hint="default" w:ascii="Times New Roman" w:hAnsi="Times New Roman" w:eastAsia="宋体" w:cs="Times New Roman"/>
                <w:color w:val="auto"/>
                <w:sz w:val="24"/>
                <w:szCs w:val="24"/>
                <w:highlight w:val="none"/>
                <w:u w:val="none" w:color="auto"/>
                <w:lang w:val="en-US" w:eastAsia="zh-CN"/>
              </w:rPr>
              <w:t>kg/d（</w:t>
            </w:r>
            <w:r>
              <w:rPr>
                <w:rFonts w:hint="eastAsia" w:cs="Times New Roman"/>
                <w:color w:val="auto"/>
                <w:sz w:val="24"/>
                <w:szCs w:val="24"/>
                <w:highlight w:val="none"/>
                <w:u w:val="none" w:color="auto"/>
                <w:lang w:val="en-US" w:eastAsia="zh-CN"/>
              </w:rPr>
              <w:t>4.56</w:t>
            </w:r>
            <w:r>
              <w:rPr>
                <w:rFonts w:hint="default" w:ascii="Times New Roman" w:hAnsi="Times New Roman" w:eastAsia="宋体" w:cs="Times New Roman"/>
                <w:color w:val="auto"/>
                <w:sz w:val="24"/>
                <w:szCs w:val="24"/>
                <w:highlight w:val="none"/>
                <w:u w:val="none" w:color="auto"/>
                <w:lang w:val="en-US" w:eastAsia="zh-CN"/>
              </w:rPr>
              <w:t>t/a）。</w:t>
            </w:r>
            <w:r>
              <w:rPr>
                <w:rFonts w:hint="default" w:ascii="Times New Roman" w:hAnsi="Times New Roman" w:eastAsia="宋体" w:cs="Times New Roman"/>
                <w:color w:val="auto"/>
                <w:sz w:val="24"/>
                <w:highlight w:val="none"/>
                <w:u w:val="none" w:color="auto"/>
              </w:rPr>
              <w:t>生活垃圾收集后由环卫部门收集运至生活垃圾处理厂统一处理</w:t>
            </w:r>
            <w:r>
              <w:rPr>
                <w:rFonts w:hint="default" w:ascii="Times New Roman" w:hAnsi="Times New Roman" w:eastAsia="宋体" w:cs="Times New Roman"/>
                <w:color w:val="auto"/>
                <w:sz w:val="24"/>
                <w:szCs w:val="24"/>
                <w:highlight w:val="none"/>
                <w:u w:val="none" w:color="auto"/>
                <w:lang w:val="en-US" w:eastAsia="zh-CN"/>
              </w:rPr>
              <w:t>。</w:t>
            </w:r>
          </w:p>
          <w:p w14:paraId="5349A3B3">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textAlignment w:val="auto"/>
              <w:rPr>
                <w:rFonts w:hint="default" w:ascii="Times New Roman" w:hAnsi="Times New Roman" w:eastAsia="宋体" w:cs="Times New Roman"/>
                <w:b/>
                <w:color w:val="auto"/>
                <w:spacing w:val="-10"/>
                <w:sz w:val="24"/>
                <w:szCs w:val="24"/>
              </w:rPr>
            </w:pPr>
            <w:r>
              <w:rPr>
                <w:rFonts w:hint="eastAsia" w:ascii="Times New Roman" w:hAnsi="Times New Roman" w:eastAsia="宋体" w:cs="Times New Roman"/>
                <w:b/>
                <w:color w:val="auto"/>
                <w:spacing w:val="-10"/>
                <w:sz w:val="24"/>
                <w:szCs w:val="24"/>
                <w:lang w:val="en-US" w:eastAsia="zh-CN"/>
              </w:rPr>
              <w:t>7</w:t>
            </w:r>
            <w:r>
              <w:rPr>
                <w:rFonts w:hint="default" w:ascii="Times New Roman" w:hAnsi="Times New Roman" w:eastAsia="宋体" w:cs="Times New Roman"/>
                <w:b/>
                <w:color w:val="auto"/>
                <w:spacing w:val="-10"/>
                <w:sz w:val="24"/>
                <w:szCs w:val="24"/>
              </w:rPr>
              <w:t>、地下水、土壤环境</w:t>
            </w:r>
          </w:p>
          <w:p w14:paraId="245001B1">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pacing w:val="-10"/>
                <w:sz w:val="24"/>
                <w:szCs w:val="24"/>
              </w:rPr>
              <w:t>（1）地下水环境</w:t>
            </w:r>
            <w:r>
              <w:rPr>
                <w:rFonts w:hint="default" w:ascii="Times New Roman" w:hAnsi="Times New Roman" w:eastAsia="宋体" w:cs="Times New Roman"/>
                <w:bCs/>
                <w:color w:val="auto"/>
                <w:sz w:val="24"/>
                <w:szCs w:val="24"/>
              </w:rPr>
              <w:t>影响分析</w:t>
            </w:r>
          </w:p>
          <w:p w14:paraId="2E085A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rPr>
            </w:pPr>
            <w:r>
              <w:rPr>
                <w:rFonts w:hint="eastAsia" w:cs="Times New Roman"/>
                <w:color w:val="auto"/>
                <w:spacing w:val="0"/>
                <w:sz w:val="24"/>
                <w:szCs w:val="24"/>
                <w:lang w:eastAsia="zh-CN"/>
              </w:rPr>
              <w:t>项目无废水外排，化粪池进行硬化防渗</w:t>
            </w:r>
            <w:r>
              <w:rPr>
                <w:rFonts w:hint="default" w:ascii="Times New Roman" w:hAnsi="Times New Roman" w:eastAsia="宋体" w:cs="Times New Roman"/>
                <w:color w:val="auto"/>
                <w:spacing w:val="0"/>
                <w:sz w:val="24"/>
                <w:szCs w:val="24"/>
              </w:rPr>
              <w:t>。项目</w:t>
            </w:r>
            <w:r>
              <w:rPr>
                <w:rFonts w:hint="eastAsia" w:cs="Times New Roman"/>
                <w:color w:val="auto"/>
                <w:spacing w:val="0"/>
                <w:sz w:val="24"/>
                <w:szCs w:val="24"/>
                <w:lang w:val="en-US" w:eastAsia="zh-CN"/>
              </w:rPr>
              <w:t>集装箱货场</w:t>
            </w:r>
            <w:r>
              <w:rPr>
                <w:rFonts w:hint="default" w:ascii="Times New Roman" w:hAnsi="Times New Roman" w:eastAsia="宋体" w:cs="Times New Roman"/>
                <w:color w:val="auto"/>
                <w:spacing w:val="0"/>
                <w:sz w:val="24"/>
                <w:szCs w:val="24"/>
              </w:rPr>
              <w:t>场地地面</w:t>
            </w:r>
            <w:r>
              <w:rPr>
                <w:rFonts w:hint="default" w:ascii="Times New Roman" w:hAnsi="Times New Roman" w:eastAsia="宋体" w:cs="Times New Roman"/>
                <w:bCs/>
                <w:color w:val="auto"/>
                <w:spacing w:val="0"/>
                <w:sz w:val="24"/>
                <w:szCs w:val="24"/>
              </w:rPr>
              <w:t>均采取了硬化</w:t>
            </w:r>
            <w:r>
              <w:rPr>
                <w:rFonts w:hint="eastAsia" w:cs="Times New Roman"/>
                <w:bCs/>
                <w:color w:val="auto"/>
                <w:spacing w:val="0"/>
                <w:sz w:val="24"/>
                <w:szCs w:val="24"/>
                <w:lang w:eastAsia="zh-CN"/>
              </w:rPr>
              <w:t>防腐</w:t>
            </w:r>
            <w:r>
              <w:rPr>
                <w:rFonts w:hint="eastAsia" w:ascii="Times New Roman" w:hAnsi="Times New Roman" w:eastAsia="宋体" w:cs="Times New Roman"/>
                <w:bCs/>
                <w:color w:val="auto"/>
                <w:spacing w:val="0"/>
                <w:sz w:val="24"/>
                <w:szCs w:val="24"/>
                <w:lang w:val="en-US" w:eastAsia="zh-CN"/>
              </w:rPr>
              <w:t>防渗</w:t>
            </w:r>
            <w:r>
              <w:rPr>
                <w:rFonts w:hint="default" w:ascii="Times New Roman" w:hAnsi="Times New Roman" w:eastAsia="宋体" w:cs="Times New Roman"/>
                <w:bCs/>
                <w:color w:val="auto"/>
                <w:spacing w:val="0"/>
                <w:sz w:val="24"/>
                <w:szCs w:val="24"/>
              </w:rPr>
              <w:t>措施</w:t>
            </w: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color w:val="auto"/>
                <w:spacing w:val="0"/>
                <w:sz w:val="24"/>
                <w:szCs w:val="24"/>
                <w:lang w:val="en-US" w:eastAsia="zh-CN"/>
              </w:rPr>
              <w:t>集装箱密封</w:t>
            </w:r>
            <w:r>
              <w:rPr>
                <w:rFonts w:hint="eastAsia" w:cs="Times New Roman"/>
                <w:color w:val="auto"/>
                <w:spacing w:val="0"/>
                <w:sz w:val="24"/>
                <w:szCs w:val="24"/>
                <w:lang w:val="en-US" w:eastAsia="zh-CN"/>
              </w:rPr>
              <w:t>装卸</w:t>
            </w:r>
            <w:r>
              <w:rPr>
                <w:rFonts w:hint="eastAsia" w:ascii="Times New Roman" w:hAnsi="Times New Roman" w:eastAsia="宋体" w:cs="Times New Roman"/>
                <w:color w:val="auto"/>
                <w:spacing w:val="0"/>
                <w:sz w:val="24"/>
                <w:szCs w:val="24"/>
                <w:lang w:val="en-US" w:eastAsia="zh-CN"/>
              </w:rPr>
              <w:t>，不在堆场内</w:t>
            </w:r>
            <w:r>
              <w:rPr>
                <w:rFonts w:hint="eastAsia" w:ascii="Times New Roman" w:hAnsi="Times New Roman" w:eastAsia="宋体" w:cs="Times New Roman"/>
                <w:color w:val="auto"/>
                <w:spacing w:val="0"/>
                <w:sz w:val="24"/>
                <w:szCs w:val="24"/>
              </w:rPr>
              <w:t>开箱卸货或散装分装</w:t>
            </w:r>
            <w:r>
              <w:rPr>
                <w:rFonts w:hint="default" w:ascii="Times New Roman" w:hAnsi="Times New Roman" w:eastAsia="宋体" w:cs="Times New Roman"/>
                <w:color w:val="auto"/>
                <w:spacing w:val="0"/>
                <w:sz w:val="24"/>
                <w:szCs w:val="24"/>
              </w:rPr>
              <w:t>。</w:t>
            </w:r>
            <w:r>
              <w:rPr>
                <w:rFonts w:hint="default" w:ascii="Times New Roman" w:hAnsi="Times New Roman" w:eastAsia="宋体" w:cs="Times New Roman"/>
                <w:bCs/>
                <w:color w:val="auto"/>
                <w:spacing w:val="0"/>
                <w:sz w:val="24"/>
                <w:szCs w:val="24"/>
              </w:rPr>
              <w:t>因此，没有地下水污染途径，本项目造成地下水污染的风险较小，</w:t>
            </w:r>
            <w:r>
              <w:rPr>
                <w:rFonts w:hint="default" w:ascii="Times New Roman" w:hAnsi="Times New Roman" w:eastAsia="宋体" w:cs="Times New Roman"/>
                <w:color w:val="auto"/>
                <w:spacing w:val="0"/>
                <w:sz w:val="24"/>
                <w:szCs w:val="24"/>
              </w:rPr>
              <w:t>项目营运期对周边地下水环境无明显影响。</w:t>
            </w:r>
          </w:p>
          <w:p w14:paraId="5EE1CFE6">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10"/>
                <w:sz w:val="24"/>
                <w:szCs w:val="24"/>
              </w:rPr>
              <w:t>（2）</w:t>
            </w:r>
            <w:r>
              <w:rPr>
                <w:rFonts w:hint="default" w:ascii="Times New Roman" w:hAnsi="Times New Roman" w:eastAsia="宋体" w:cs="Times New Roman"/>
                <w:bCs/>
                <w:color w:val="auto"/>
                <w:spacing w:val="0"/>
                <w:sz w:val="24"/>
                <w:szCs w:val="24"/>
              </w:rPr>
              <w:t>土壤环境影响分析</w:t>
            </w:r>
          </w:p>
          <w:p w14:paraId="754179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color w:val="auto"/>
                <w:spacing w:val="0"/>
                <w:sz w:val="24"/>
                <w:szCs w:val="24"/>
              </w:rPr>
              <w:t>项目</w:t>
            </w:r>
            <w:r>
              <w:rPr>
                <w:rFonts w:hint="eastAsia" w:cs="Times New Roman"/>
                <w:color w:val="auto"/>
                <w:spacing w:val="0"/>
                <w:sz w:val="24"/>
                <w:szCs w:val="24"/>
                <w:lang w:eastAsia="zh-CN"/>
              </w:rPr>
              <w:t>堆货场</w:t>
            </w:r>
            <w:r>
              <w:rPr>
                <w:rFonts w:hint="default" w:ascii="Times New Roman" w:hAnsi="Times New Roman" w:eastAsia="宋体" w:cs="Times New Roman"/>
                <w:color w:val="auto"/>
                <w:spacing w:val="0"/>
                <w:sz w:val="24"/>
                <w:szCs w:val="24"/>
              </w:rPr>
              <w:t>场地地面</w:t>
            </w:r>
            <w:r>
              <w:rPr>
                <w:rFonts w:hint="default" w:ascii="Times New Roman" w:hAnsi="Times New Roman" w:eastAsia="宋体" w:cs="Times New Roman"/>
                <w:bCs/>
                <w:color w:val="auto"/>
                <w:spacing w:val="0"/>
                <w:sz w:val="24"/>
                <w:szCs w:val="24"/>
              </w:rPr>
              <w:t>均采取硬化</w:t>
            </w:r>
            <w:r>
              <w:rPr>
                <w:rFonts w:hint="eastAsia" w:cs="Times New Roman"/>
                <w:bCs/>
                <w:color w:val="auto"/>
                <w:spacing w:val="0"/>
                <w:sz w:val="24"/>
                <w:szCs w:val="24"/>
                <w:lang w:eastAsia="zh-CN"/>
              </w:rPr>
              <w:t>防腐</w:t>
            </w:r>
            <w:r>
              <w:rPr>
                <w:rFonts w:hint="eastAsia" w:ascii="Times New Roman" w:hAnsi="Times New Roman" w:eastAsia="宋体" w:cs="Times New Roman"/>
                <w:bCs/>
                <w:color w:val="auto"/>
                <w:spacing w:val="0"/>
                <w:sz w:val="24"/>
                <w:szCs w:val="24"/>
                <w:lang w:val="en-US" w:eastAsia="zh-CN"/>
              </w:rPr>
              <w:t>防渗</w:t>
            </w:r>
            <w:r>
              <w:rPr>
                <w:rFonts w:hint="default" w:ascii="Times New Roman" w:hAnsi="Times New Roman" w:eastAsia="宋体" w:cs="Times New Roman"/>
                <w:bCs/>
                <w:color w:val="auto"/>
                <w:spacing w:val="0"/>
                <w:sz w:val="24"/>
                <w:szCs w:val="24"/>
              </w:rPr>
              <w:t>措施</w:t>
            </w: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color w:val="auto"/>
                <w:spacing w:val="0"/>
                <w:sz w:val="24"/>
                <w:szCs w:val="24"/>
                <w:lang w:val="en-US" w:eastAsia="zh-CN"/>
              </w:rPr>
              <w:t>集装箱密封</w:t>
            </w:r>
            <w:r>
              <w:rPr>
                <w:rFonts w:hint="eastAsia" w:cs="Times New Roman"/>
                <w:color w:val="auto"/>
                <w:spacing w:val="0"/>
                <w:sz w:val="24"/>
                <w:szCs w:val="24"/>
                <w:lang w:val="en-US" w:eastAsia="zh-CN"/>
              </w:rPr>
              <w:t>装卸</w:t>
            </w:r>
            <w:r>
              <w:rPr>
                <w:rFonts w:hint="eastAsia" w:ascii="Times New Roman" w:hAnsi="Times New Roman" w:eastAsia="宋体" w:cs="Times New Roman"/>
                <w:color w:val="auto"/>
                <w:spacing w:val="0"/>
                <w:sz w:val="24"/>
                <w:szCs w:val="24"/>
                <w:lang w:val="en-US" w:eastAsia="zh-CN"/>
              </w:rPr>
              <w:t>，不在堆场内</w:t>
            </w:r>
            <w:r>
              <w:rPr>
                <w:rFonts w:hint="eastAsia" w:ascii="Times New Roman" w:hAnsi="Times New Roman" w:eastAsia="宋体" w:cs="Times New Roman"/>
                <w:color w:val="auto"/>
                <w:spacing w:val="0"/>
                <w:sz w:val="24"/>
                <w:szCs w:val="24"/>
              </w:rPr>
              <w:t>开箱卸货或散装分装</w:t>
            </w:r>
            <w:r>
              <w:rPr>
                <w:rFonts w:hint="default" w:ascii="Times New Roman" w:hAnsi="Times New Roman" w:eastAsia="宋体" w:cs="Times New Roman"/>
                <w:bCs/>
                <w:color w:val="auto"/>
                <w:spacing w:val="0"/>
                <w:sz w:val="24"/>
                <w:szCs w:val="24"/>
              </w:rPr>
              <w:t>，</w:t>
            </w:r>
            <w:r>
              <w:rPr>
                <w:rFonts w:hint="eastAsia" w:cs="Times New Roman"/>
                <w:color w:val="auto"/>
                <w:spacing w:val="0"/>
                <w:sz w:val="24"/>
                <w:szCs w:val="24"/>
                <w:lang w:eastAsia="zh-CN"/>
              </w:rPr>
              <w:t>不易泄露导致下渗污染土壤</w:t>
            </w:r>
            <w:r>
              <w:rPr>
                <w:rFonts w:hint="default" w:ascii="Times New Roman" w:hAnsi="Times New Roman" w:eastAsia="宋体" w:cs="Times New Roman"/>
                <w:color w:val="auto"/>
                <w:spacing w:val="0"/>
                <w:sz w:val="24"/>
                <w:szCs w:val="24"/>
              </w:rPr>
              <w:t>，不会引发土壤盐化、碱化及酸化等生态影响，对土壤环境影响较小</w:t>
            </w:r>
            <w:r>
              <w:rPr>
                <w:rFonts w:hint="default" w:ascii="Times New Roman" w:hAnsi="Times New Roman" w:eastAsia="宋体" w:cs="Times New Roman"/>
                <w:bCs/>
                <w:color w:val="auto"/>
                <w:spacing w:val="0"/>
                <w:sz w:val="24"/>
                <w:szCs w:val="24"/>
              </w:rPr>
              <w:t>。</w:t>
            </w:r>
          </w:p>
          <w:p w14:paraId="447EF6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（3）防控措施</w:t>
            </w:r>
          </w:p>
          <w:p w14:paraId="6AF826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lang w:eastAsia="zh-CN"/>
              </w:rPr>
            </w:pPr>
            <w:r>
              <w:rPr>
                <w:rFonts w:hint="default" w:ascii="Times New Roman" w:hAnsi="Times New Roman" w:eastAsia="宋体" w:cs="Times New Roman"/>
                <w:color w:val="auto"/>
                <w:spacing w:val="0"/>
                <w:sz w:val="24"/>
                <w:szCs w:val="24"/>
              </w:rPr>
              <w:t>项目场地地面</w:t>
            </w:r>
            <w:r>
              <w:rPr>
                <w:rFonts w:hint="default" w:ascii="Times New Roman" w:hAnsi="Times New Roman" w:eastAsia="宋体" w:cs="Times New Roman"/>
                <w:bCs/>
                <w:color w:val="auto"/>
                <w:spacing w:val="0"/>
                <w:sz w:val="24"/>
                <w:szCs w:val="24"/>
              </w:rPr>
              <w:t>均采取了硬化</w:t>
            </w:r>
            <w:r>
              <w:rPr>
                <w:rFonts w:hint="eastAsia" w:cs="Times New Roman"/>
                <w:bCs/>
                <w:color w:val="auto"/>
                <w:spacing w:val="0"/>
                <w:sz w:val="24"/>
                <w:szCs w:val="24"/>
                <w:lang w:eastAsia="zh-CN"/>
              </w:rPr>
              <w:t>防腐</w:t>
            </w:r>
            <w:r>
              <w:rPr>
                <w:rFonts w:hint="eastAsia" w:ascii="Times New Roman" w:hAnsi="Times New Roman" w:eastAsia="宋体" w:cs="Times New Roman"/>
                <w:bCs/>
                <w:color w:val="auto"/>
                <w:spacing w:val="0"/>
                <w:sz w:val="24"/>
                <w:szCs w:val="24"/>
                <w:lang w:val="en-US" w:eastAsia="zh-CN"/>
              </w:rPr>
              <w:t>防渗</w:t>
            </w:r>
            <w:r>
              <w:rPr>
                <w:rFonts w:hint="default" w:ascii="Times New Roman" w:hAnsi="Times New Roman" w:eastAsia="宋体" w:cs="Times New Roman"/>
                <w:bCs/>
                <w:color w:val="auto"/>
                <w:spacing w:val="0"/>
                <w:sz w:val="24"/>
                <w:szCs w:val="24"/>
              </w:rPr>
              <w:t>措施</w:t>
            </w: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color w:val="auto"/>
                <w:spacing w:val="0"/>
                <w:sz w:val="24"/>
                <w:szCs w:val="24"/>
                <w:lang w:val="en-US" w:eastAsia="zh-CN"/>
              </w:rPr>
              <w:t>集装箱密封</w:t>
            </w:r>
            <w:r>
              <w:rPr>
                <w:rFonts w:hint="eastAsia" w:cs="Times New Roman"/>
                <w:color w:val="auto"/>
                <w:spacing w:val="0"/>
                <w:sz w:val="24"/>
                <w:szCs w:val="24"/>
                <w:lang w:val="en-US" w:eastAsia="zh-CN"/>
              </w:rPr>
              <w:t>装卸</w:t>
            </w:r>
            <w:r>
              <w:rPr>
                <w:rFonts w:hint="eastAsia" w:ascii="Times New Roman" w:hAnsi="Times New Roman" w:eastAsia="宋体" w:cs="Times New Roman"/>
                <w:color w:val="auto"/>
                <w:spacing w:val="0"/>
                <w:sz w:val="24"/>
                <w:szCs w:val="24"/>
                <w:lang w:val="en-US" w:eastAsia="zh-CN"/>
              </w:rPr>
              <w:t>，不在堆场内</w:t>
            </w:r>
            <w:r>
              <w:rPr>
                <w:rFonts w:hint="eastAsia" w:ascii="Times New Roman" w:hAnsi="Times New Roman" w:eastAsia="宋体" w:cs="Times New Roman"/>
                <w:color w:val="auto"/>
                <w:spacing w:val="0"/>
                <w:sz w:val="24"/>
                <w:szCs w:val="24"/>
              </w:rPr>
              <w:t>开箱卸货或散装分装</w:t>
            </w:r>
            <w:r>
              <w:rPr>
                <w:rFonts w:hint="default" w:ascii="Times New Roman" w:hAnsi="Times New Roman" w:eastAsia="宋体" w:cs="Times New Roman"/>
                <w:bCs/>
                <w:color w:val="auto"/>
                <w:spacing w:val="0"/>
                <w:sz w:val="24"/>
                <w:szCs w:val="24"/>
              </w:rPr>
              <w:t>，运营期间做好巡查工作，不会存在</w:t>
            </w:r>
            <w:r>
              <w:rPr>
                <w:rFonts w:hint="eastAsia" w:cs="Times New Roman"/>
                <w:bCs/>
                <w:color w:val="auto"/>
                <w:spacing w:val="0"/>
                <w:sz w:val="24"/>
                <w:szCs w:val="24"/>
                <w:lang w:val="en-US" w:eastAsia="zh-CN"/>
              </w:rPr>
              <w:t>转运物质</w:t>
            </w:r>
            <w:r>
              <w:rPr>
                <w:rFonts w:hint="default" w:ascii="Times New Roman" w:hAnsi="Times New Roman" w:eastAsia="宋体" w:cs="Times New Roman"/>
                <w:bCs/>
                <w:color w:val="auto"/>
                <w:spacing w:val="0"/>
                <w:sz w:val="24"/>
                <w:szCs w:val="24"/>
              </w:rPr>
              <w:t>泄漏污染土壤</w:t>
            </w:r>
            <w:r>
              <w:rPr>
                <w:rFonts w:hint="default" w:ascii="Times New Roman" w:hAnsi="Times New Roman" w:eastAsia="宋体" w:cs="Times New Roman"/>
                <w:bCs/>
                <w:color w:val="auto"/>
                <w:spacing w:val="0"/>
                <w:sz w:val="24"/>
                <w:szCs w:val="24"/>
                <w:lang w:eastAsia="zh-CN"/>
              </w:rPr>
              <w:t>和地下水</w:t>
            </w:r>
            <w:r>
              <w:rPr>
                <w:rFonts w:hint="default" w:ascii="Times New Roman" w:hAnsi="Times New Roman" w:eastAsia="宋体" w:cs="Times New Roman"/>
                <w:bCs/>
                <w:color w:val="auto"/>
                <w:spacing w:val="0"/>
                <w:sz w:val="24"/>
                <w:szCs w:val="24"/>
              </w:rPr>
              <w:t>的情况</w:t>
            </w:r>
            <w:r>
              <w:rPr>
                <w:rFonts w:hint="default"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不会对所在地面周边土壤环境造成盐化、酸化、碱化等影响，故本项目无需进行土壤跟踪监测。如若建设单位在运营过程中造成土壤环境污染，应及时采取措施，进行跟踪监测</w:t>
            </w:r>
            <w:r>
              <w:rPr>
                <w:rFonts w:hint="eastAsia" w:cs="Times New Roman"/>
                <w:bCs/>
                <w:color w:val="auto"/>
                <w:spacing w:val="0"/>
                <w:sz w:val="24"/>
                <w:szCs w:val="24"/>
                <w:lang w:eastAsia="zh-CN"/>
              </w:rPr>
              <w:t>。</w:t>
            </w:r>
          </w:p>
          <w:p w14:paraId="4380CC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lang w:val="en-US" w:eastAsia="zh-CN"/>
              </w:rPr>
            </w:pPr>
            <w:r>
              <w:rPr>
                <w:rFonts w:hint="eastAsia" w:cs="Times New Roman"/>
                <w:bCs/>
                <w:color w:val="auto"/>
                <w:spacing w:val="0"/>
                <w:sz w:val="24"/>
                <w:szCs w:val="24"/>
                <w:lang w:val="en-US" w:eastAsia="zh-CN"/>
              </w:rPr>
              <w:t>8、环境风险分析</w:t>
            </w:r>
          </w:p>
          <w:p w14:paraId="6F7D68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lang w:val="en-US" w:eastAsia="zh-CN"/>
              </w:rPr>
            </w:pPr>
            <w:r>
              <w:rPr>
                <w:rFonts w:hint="eastAsia" w:cs="Times New Roman"/>
                <w:bCs/>
                <w:color w:val="auto"/>
                <w:spacing w:val="0"/>
                <w:sz w:val="24"/>
                <w:szCs w:val="24"/>
                <w:lang w:val="en-US" w:eastAsia="zh-CN"/>
              </w:rPr>
              <w:t>（1）风险调查</w:t>
            </w:r>
          </w:p>
          <w:p w14:paraId="7A5BA4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Cs/>
                <w:color w:val="auto"/>
                <w:spacing w:val="0"/>
                <w:sz w:val="24"/>
                <w:szCs w:val="24"/>
                <w:lang w:val="en-US" w:eastAsia="zh-CN"/>
              </w:rPr>
            </w:pPr>
            <w:r>
              <w:rPr>
                <w:rFonts w:hint="eastAsia" w:cs="Times New Roman"/>
                <w:bCs/>
                <w:color w:val="auto"/>
                <w:spacing w:val="0"/>
                <w:sz w:val="24"/>
                <w:szCs w:val="24"/>
                <w:lang w:val="en-US" w:eastAsia="zh-CN"/>
              </w:rPr>
              <w:t>项目专用线货物主要以氧化铝、塑料制品及集装箱为主，项目不涉及危化品的运输。对照《建设项目环境风险评价技术导则》（HJ169-2018），本项目不涉及环境风险物质。</w:t>
            </w:r>
          </w:p>
          <w:p w14:paraId="160C9B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（2）风险潜势初判</w:t>
            </w:r>
          </w:p>
          <w:p w14:paraId="1B49E4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本项目不构成重大危险源，不涉及环境敏感地区。对照《建设项目环境风险评价技术导则》(HJ169-2018)附录 B 危险物质及临界量，本项目不涉及环境风险物质，本项目危险物质数量与临界量比值Q＜1，项目环境风险潜势为Ⅰ。</w:t>
            </w:r>
          </w:p>
          <w:p w14:paraId="42CFAE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 xml:space="preserve">（3）评价等级 </w:t>
            </w:r>
          </w:p>
          <w:p w14:paraId="12665E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根据《建设项目环境风险评价技术导则》（HJ169-2018），环境风险工作评价等级依据环境风险潜势判定，本项目环境风险评价等级为简单分析，只需明确危险物质种类和风险源分布情况及可能影响途径，并提出相应环境风险防范措施。</w:t>
            </w:r>
          </w:p>
          <w:p w14:paraId="27338A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32"/>
                <w:lang w:val="en-US" w:eastAsia="zh-CN"/>
              </w:rPr>
            </w:pPr>
            <w:r>
              <w:rPr>
                <w:rFonts w:hint="eastAsia"/>
                <w:color w:val="auto"/>
                <w:sz w:val="24"/>
                <w:szCs w:val="32"/>
                <w:lang w:val="en-US" w:eastAsia="zh-CN"/>
              </w:rPr>
              <w:t>（4）环境风险识别</w:t>
            </w:r>
          </w:p>
          <w:p w14:paraId="07F605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32"/>
                <w:lang w:val="en-US" w:eastAsia="zh-CN"/>
              </w:rPr>
            </w:pPr>
            <w:r>
              <w:rPr>
                <w:rFonts w:hint="eastAsia"/>
                <w:color w:val="auto"/>
                <w:sz w:val="24"/>
                <w:szCs w:val="32"/>
                <w:lang w:val="en-US" w:eastAsia="zh-CN"/>
              </w:rPr>
              <w:t>本项目主要风险源为运输货物（氧化铝、塑料制品、集装箱等）发生火灾等重大事故。</w:t>
            </w:r>
          </w:p>
          <w:p w14:paraId="6CE225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32"/>
                <w:lang w:val="en-US" w:eastAsia="zh-CN"/>
              </w:rPr>
            </w:pPr>
            <w:r>
              <w:rPr>
                <w:rFonts w:hint="eastAsia"/>
                <w:color w:val="auto"/>
                <w:sz w:val="24"/>
                <w:szCs w:val="32"/>
                <w:lang w:val="en-US" w:eastAsia="zh-CN"/>
              </w:rPr>
              <w:t>（5）风险防范措施</w:t>
            </w:r>
          </w:p>
          <w:p w14:paraId="760531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①建立安全生产岗位责任制，制定完善的安全生产规章制度、安全操作流程、安全生产检查制度、危险化学品的安全管理规定、安全管理制度、事故管理制度等，必须切实加强安全管理，提高事故防范能力。员工实行持证上岗。</w:t>
            </w:r>
          </w:p>
          <w:p w14:paraId="7CF956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②根据厂区生产特点和环境情况，在总图布置中，各建筑物之间的距离应满足《建筑设计防火规范》要求。各车间、工序按生产性质进行分区，各区间形成消防通道、应急疏散通道。</w:t>
            </w:r>
          </w:p>
          <w:p w14:paraId="00AD9C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③货场内设置消防水管，室外配置地上式消防栓；设置合适的灭火剂、灭火器材和足够的水源。</w:t>
            </w:r>
          </w:p>
          <w:p w14:paraId="76A5DE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④各类物品的堆放应有一定的防火间距、不得堵塞消防通道和消防设施。</w:t>
            </w:r>
          </w:p>
          <w:p w14:paraId="1C6C1D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r>
              <w:rPr>
                <w:rFonts w:hint="eastAsia"/>
                <w:color w:val="auto"/>
                <w:sz w:val="24"/>
                <w:szCs w:val="32"/>
                <w:lang w:val="en-US" w:eastAsia="zh-CN"/>
              </w:rPr>
              <w:t>⑤控制明火作业，必须使用电焊、气焊、气割或其它用火作业时，应事先经有关部门审批，办理动火手续，并采取防火措施；严禁吸烟、用火，禁止燃放烟花、爆竹等。</w:t>
            </w:r>
          </w:p>
          <w:p w14:paraId="09835348">
            <w:pPr>
              <w:keepNext w:val="0"/>
              <w:keepLines w:val="0"/>
              <w:pageBreakBefore w:val="0"/>
              <w:widowControl w:val="0"/>
              <w:kinsoku/>
              <w:wordWrap/>
              <w:overflowPunct/>
              <w:topLinePunct w:val="0"/>
              <w:autoSpaceDE/>
              <w:autoSpaceDN/>
              <w:bidi w:val="0"/>
              <w:adjustRightInd/>
              <w:snapToGrid/>
              <w:spacing w:before="161" w:beforeLines="50" w:line="360" w:lineRule="auto"/>
              <w:jc w:val="center"/>
              <w:textAlignment w:val="auto"/>
              <w:outlineLvl w:val="4"/>
              <w:rPr>
                <w:rFonts w:hint="default" w:ascii="Times New Roman" w:hAnsi="Times New Roman" w:eastAsia="宋体" w:cs="Times New Roman"/>
                <w:b/>
                <w:bCs/>
                <w:color w:val="auto"/>
                <w:sz w:val="24"/>
                <w:szCs w:val="20"/>
                <w:highlight w:val="none"/>
                <w:u w:val="none"/>
              </w:rPr>
            </w:pPr>
            <w:r>
              <w:rPr>
                <w:rFonts w:hint="default" w:ascii="Times New Roman" w:hAnsi="Times New Roman" w:eastAsia="宋体" w:cs="Times New Roman"/>
                <w:b/>
                <w:bCs/>
                <w:color w:val="auto"/>
                <w:sz w:val="24"/>
                <w:szCs w:val="20"/>
                <w:highlight w:val="none"/>
                <w:u w:val="none"/>
              </w:rPr>
              <w:t>表</w:t>
            </w:r>
            <w:r>
              <w:rPr>
                <w:rFonts w:hint="eastAsia" w:ascii="Times New Roman" w:hAnsi="Times New Roman" w:eastAsia="宋体" w:cs="Times New Roman"/>
                <w:b/>
                <w:bCs/>
                <w:color w:val="auto"/>
                <w:sz w:val="24"/>
                <w:szCs w:val="20"/>
                <w:highlight w:val="none"/>
                <w:u w:val="none"/>
                <w:lang w:val="en-US" w:eastAsia="zh-CN"/>
              </w:rPr>
              <w:t>4-</w:t>
            </w:r>
            <w:r>
              <w:rPr>
                <w:rFonts w:hint="eastAsia" w:eastAsia="宋体" w:cs="Times New Roman"/>
                <w:b/>
                <w:bCs/>
                <w:color w:val="auto"/>
                <w:sz w:val="24"/>
                <w:szCs w:val="20"/>
                <w:highlight w:val="none"/>
                <w:u w:val="none"/>
                <w:lang w:val="en-US" w:eastAsia="zh-CN"/>
              </w:rPr>
              <w:t>9</w:t>
            </w:r>
            <w:r>
              <w:rPr>
                <w:rFonts w:hint="default" w:ascii="Times New Roman" w:hAnsi="Times New Roman" w:eastAsia="宋体" w:cs="Times New Roman"/>
                <w:b/>
                <w:bCs/>
                <w:color w:val="auto"/>
                <w:sz w:val="24"/>
                <w:szCs w:val="20"/>
                <w:highlight w:val="none"/>
                <w:u w:val="none"/>
              </w:rPr>
              <w:t xml:space="preserve">  建设项目环境风险简单分析内容表</w:t>
            </w:r>
          </w:p>
          <w:tbl>
            <w:tblPr>
              <w:tblStyle w:val="4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391"/>
              <w:gridCol w:w="7048"/>
            </w:tblGrid>
            <w:tr w14:paraId="5AD233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8" w:hRule="atLeast"/>
                <w:jc w:val="center"/>
              </w:trPr>
              <w:tc>
                <w:tcPr>
                  <w:tcW w:w="824" w:type="pct"/>
                  <w:tcBorders>
                    <w:tl2br w:val="nil"/>
                    <w:tr2bl w:val="nil"/>
                  </w:tcBorders>
                  <w:noWrap w:val="0"/>
                  <w:vAlign w:val="center"/>
                </w:tcPr>
                <w:p w14:paraId="745ACB56">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建设项目名称</w:t>
                  </w:r>
                </w:p>
              </w:tc>
              <w:tc>
                <w:tcPr>
                  <w:tcW w:w="4175" w:type="pct"/>
                  <w:tcBorders>
                    <w:tl2br w:val="nil"/>
                    <w:tr2bl w:val="nil"/>
                  </w:tcBorders>
                  <w:noWrap w:val="0"/>
                  <w:vAlign w:val="center"/>
                </w:tcPr>
                <w:p w14:paraId="1A7E023E">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u w:val="none"/>
                      <w:lang w:eastAsia="zh-CN"/>
                    </w:rPr>
                    <w:t>广西沿海铁路股份有限公司云约站铁路物流园（铁路货场）工程</w:t>
                  </w:r>
                </w:p>
              </w:tc>
            </w:tr>
            <w:tr w14:paraId="2AB2F7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0" w:hRule="atLeast"/>
                <w:jc w:val="center"/>
              </w:trPr>
              <w:tc>
                <w:tcPr>
                  <w:tcW w:w="824" w:type="pct"/>
                  <w:tcBorders>
                    <w:tl2br w:val="nil"/>
                    <w:tr2bl w:val="nil"/>
                  </w:tcBorders>
                  <w:noWrap w:val="0"/>
                  <w:vAlign w:val="center"/>
                </w:tcPr>
                <w:p w14:paraId="6193DF1E">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建设地点</w:t>
                  </w:r>
                </w:p>
              </w:tc>
              <w:tc>
                <w:tcPr>
                  <w:tcW w:w="4175" w:type="pct"/>
                  <w:tcBorders>
                    <w:tl2br w:val="nil"/>
                    <w:tr2bl w:val="nil"/>
                  </w:tcBorders>
                  <w:noWrap w:val="0"/>
                  <w:vAlign w:val="center"/>
                </w:tcPr>
                <w:p w14:paraId="71D5EA7C">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lang w:val="en-US"/>
                    </w:rPr>
                  </w:pPr>
                  <w:r>
                    <w:rPr>
                      <w:rFonts w:hint="eastAsia" w:ascii="Times New Roman" w:hAnsi="Times New Roman" w:eastAsia="宋体" w:cs="Times New Roman"/>
                      <w:color w:val="auto"/>
                      <w:sz w:val="21"/>
                      <w:szCs w:val="21"/>
                      <w:u w:val="none"/>
                      <w:lang w:eastAsia="zh-CN"/>
                    </w:rPr>
                    <w:t>广西壮族自治区防城港市港口区</w:t>
                  </w:r>
                  <w:r>
                    <w:rPr>
                      <w:rFonts w:hint="eastAsia" w:eastAsia="宋体" w:cs="Times New Roman"/>
                      <w:color w:val="auto"/>
                      <w:sz w:val="21"/>
                      <w:szCs w:val="21"/>
                      <w:u w:val="none"/>
                      <w:lang w:val="en-US" w:eastAsia="zh-CN"/>
                    </w:rPr>
                    <w:t>云约站既有用地内</w:t>
                  </w:r>
                </w:p>
              </w:tc>
            </w:tr>
            <w:tr w14:paraId="7EA1F5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0" w:hRule="atLeast"/>
                <w:jc w:val="center"/>
              </w:trPr>
              <w:tc>
                <w:tcPr>
                  <w:tcW w:w="824" w:type="pct"/>
                  <w:tcBorders>
                    <w:tl2br w:val="nil"/>
                    <w:tr2bl w:val="nil"/>
                  </w:tcBorders>
                  <w:noWrap w:val="0"/>
                  <w:vAlign w:val="center"/>
                </w:tcPr>
                <w:p w14:paraId="32D27A4A">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地理坐标</w:t>
                  </w:r>
                </w:p>
              </w:tc>
              <w:tc>
                <w:tcPr>
                  <w:tcW w:w="4175" w:type="pct"/>
                  <w:tcBorders>
                    <w:tl2br w:val="nil"/>
                    <w:tr2bl w:val="nil"/>
                  </w:tcBorders>
                  <w:noWrap w:val="0"/>
                  <w:vAlign w:val="center"/>
                </w:tcPr>
                <w:p w14:paraId="66DE6205">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集装箱堆场中心坐标：</w:t>
                  </w:r>
                  <w:r>
                    <w:rPr>
                      <w:rFonts w:hint="default" w:ascii="Times New Roman" w:hAnsi="Times New Roman" w:eastAsia="宋体" w:cs="Times New Roman"/>
                      <w:color w:val="auto"/>
                      <w:sz w:val="21"/>
                      <w:szCs w:val="21"/>
                      <w:highlight w:val="none"/>
                      <w:u w:val="none"/>
                    </w:rPr>
                    <w:t>（10</w:t>
                  </w:r>
                  <w:r>
                    <w:rPr>
                      <w:rFonts w:hint="default" w:ascii="Times New Roman" w:hAnsi="Times New Roman" w:eastAsia="宋体" w:cs="Times New Roman"/>
                      <w:color w:val="auto"/>
                      <w:sz w:val="21"/>
                      <w:szCs w:val="21"/>
                      <w:highlight w:val="none"/>
                      <w:u w:val="none"/>
                      <w:lang w:val="en-US" w:eastAsia="zh-CN"/>
                    </w:rPr>
                    <w:t>8</w:t>
                  </w:r>
                  <w:r>
                    <w:rPr>
                      <w:rFonts w:hint="default" w:ascii="Times New Roman" w:hAnsi="Times New Roman" w:eastAsia="宋体" w:cs="Times New Roman"/>
                      <w:color w:val="auto"/>
                      <w:sz w:val="21"/>
                      <w:szCs w:val="21"/>
                      <w:highlight w:val="none"/>
                      <w:u w:val="none"/>
                    </w:rPr>
                    <w:t>度</w:t>
                  </w:r>
                  <w:r>
                    <w:rPr>
                      <w:rFonts w:hint="default" w:ascii="Times New Roman" w:hAnsi="Times New Roman" w:eastAsia="宋体" w:cs="Times New Roman"/>
                      <w:color w:val="auto"/>
                      <w:sz w:val="21"/>
                      <w:szCs w:val="21"/>
                      <w:highlight w:val="none"/>
                      <w:u w:val="none"/>
                      <w:lang w:val="en-US" w:eastAsia="zh-CN"/>
                    </w:rPr>
                    <w:t>27</w:t>
                  </w:r>
                  <w:r>
                    <w:rPr>
                      <w:rFonts w:hint="default" w:ascii="Times New Roman" w:hAnsi="Times New Roman" w:eastAsia="宋体" w:cs="Times New Roman"/>
                      <w:color w:val="auto"/>
                      <w:sz w:val="21"/>
                      <w:szCs w:val="21"/>
                      <w:highlight w:val="none"/>
                      <w:u w:val="none"/>
                    </w:rPr>
                    <w:t>分</w:t>
                  </w:r>
                  <w:r>
                    <w:rPr>
                      <w:rFonts w:hint="default" w:ascii="Times New Roman" w:hAnsi="Times New Roman" w:eastAsia="宋体" w:cs="Times New Roman"/>
                      <w:color w:val="auto"/>
                      <w:sz w:val="21"/>
                      <w:szCs w:val="21"/>
                      <w:highlight w:val="none"/>
                      <w:u w:val="none"/>
                      <w:lang w:val="en-US" w:eastAsia="zh-CN"/>
                    </w:rPr>
                    <w:t>38.131</w:t>
                  </w:r>
                  <w:r>
                    <w:rPr>
                      <w:rFonts w:hint="default" w:ascii="Times New Roman" w:hAnsi="Times New Roman" w:eastAsia="宋体" w:cs="Times New Roman"/>
                      <w:color w:val="auto"/>
                      <w:sz w:val="21"/>
                      <w:szCs w:val="21"/>
                      <w:highlight w:val="none"/>
                      <w:u w:val="none"/>
                    </w:rPr>
                    <w:t>秒，2</w:t>
                  </w:r>
                  <w:r>
                    <w:rPr>
                      <w:rFonts w:hint="default" w:ascii="Times New Roman" w:hAnsi="Times New Roman" w:eastAsia="宋体" w:cs="Times New Roman"/>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u w:val="none"/>
                    </w:rPr>
                    <w:t>度</w:t>
                  </w:r>
                  <w:r>
                    <w:rPr>
                      <w:rFonts w:hint="default" w:ascii="Times New Roman" w:hAnsi="Times New Roman" w:eastAsia="宋体" w:cs="Times New Roman"/>
                      <w:color w:val="auto"/>
                      <w:sz w:val="21"/>
                      <w:szCs w:val="21"/>
                      <w:highlight w:val="none"/>
                      <w:u w:val="none"/>
                      <w:lang w:val="en-US" w:eastAsia="zh-CN"/>
                    </w:rPr>
                    <w:t>36</w:t>
                  </w:r>
                  <w:r>
                    <w:rPr>
                      <w:rFonts w:hint="default" w:ascii="Times New Roman" w:hAnsi="Times New Roman" w:eastAsia="宋体" w:cs="Times New Roman"/>
                      <w:color w:val="auto"/>
                      <w:sz w:val="21"/>
                      <w:szCs w:val="21"/>
                      <w:highlight w:val="none"/>
                      <w:u w:val="none"/>
                    </w:rPr>
                    <w:t>分</w:t>
                  </w:r>
                  <w:r>
                    <w:rPr>
                      <w:rFonts w:hint="default" w:ascii="Times New Roman" w:hAnsi="Times New Roman" w:eastAsia="宋体" w:cs="Times New Roman"/>
                      <w:color w:val="auto"/>
                      <w:sz w:val="21"/>
                      <w:szCs w:val="21"/>
                      <w:highlight w:val="none"/>
                      <w:u w:val="none"/>
                      <w:lang w:val="en-US" w:eastAsia="zh-CN"/>
                    </w:rPr>
                    <w:t>34.938</w:t>
                  </w:r>
                  <w:r>
                    <w:rPr>
                      <w:rFonts w:hint="default" w:ascii="Times New Roman" w:hAnsi="Times New Roman" w:eastAsia="宋体" w:cs="Times New Roman"/>
                      <w:color w:val="auto"/>
                      <w:sz w:val="21"/>
                      <w:szCs w:val="21"/>
                      <w:highlight w:val="none"/>
                      <w:u w:val="none"/>
                    </w:rPr>
                    <w:t>秒）</w:t>
                  </w:r>
                </w:p>
                <w:p w14:paraId="5CABF08B">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专用线起点：</w:t>
                  </w:r>
                  <w:r>
                    <w:rPr>
                      <w:rFonts w:hint="default" w:ascii="Times New Roman" w:hAnsi="Times New Roman" w:eastAsia="宋体" w:cs="Times New Roman"/>
                      <w:color w:val="auto"/>
                      <w:sz w:val="21"/>
                      <w:szCs w:val="21"/>
                      <w:highlight w:val="none"/>
                      <w:u w:val="none"/>
                    </w:rPr>
                    <w:t>（10</w:t>
                  </w:r>
                  <w:r>
                    <w:rPr>
                      <w:rFonts w:hint="default" w:ascii="Times New Roman" w:hAnsi="Times New Roman" w:eastAsia="宋体" w:cs="Times New Roman"/>
                      <w:color w:val="auto"/>
                      <w:sz w:val="21"/>
                      <w:szCs w:val="21"/>
                      <w:highlight w:val="none"/>
                      <w:u w:val="none"/>
                      <w:lang w:val="en-US" w:eastAsia="zh-CN"/>
                    </w:rPr>
                    <w:t>8</w:t>
                  </w:r>
                  <w:r>
                    <w:rPr>
                      <w:rFonts w:hint="default" w:ascii="Times New Roman" w:hAnsi="Times New Roman" w:eastAsia="宋体" w:cs="Times New Roman"/>
                      <w:color w:val="auto"/>
                      <w:sz w:val="21"/>
                      <w:szCs w:val="21"/>
                      <w:highlight w:val="none"/>
                      <w:u w:val="none"/>
                    </w:rPr>
                    <w:t>度</w:t>
                  </w:r>
                  <w:r>
                    <w:rPr>
                      <w:rFonts w:hint="default" w:ascii="Times New Roman" w:hAnsi="Times New Roman" w:eastAsia="宋体" w:cs="Times New Roman"/>
                      <w:color w:val="auto"/>
                      <w:sz w:val="21"/>
                      <w:szCs w:val="21"/>
                      <w:highlight w:val="none"/>
                      <w:u w:val="none"/>
                      <w:lang w:val="en-US" w:eastAsia="zh-CN"/>
                    </w:rPr>
                    <w:t>27</w:t>
                  </w:r>
                  <w:r>
                    <w:rPr>
                      <w:rFonts w:hint="default" w:ascii="Times New Roman" w:hAnsi="Times New Roman" w:eastAsia="宋体" w:cs="Times New Roman"/>
                      <w:color w:val="auto"/>
                      <w:sz w:val="21"/>
                      <w:szCs w:val="21"/>
                      <w:highlight w:val="none"/>
                      <w:u w:val="none"/>
                    </w:rPr>
                    <w:t>分</w:t>
                  </w:r>
                  <w:r>
                    <w:rPr>
                      <w:rFonts w:hint="default" w:ascii="Times New Roman" w:hAnsi="Times New Roman" w:eastAsia="宋体" w:cs="Times New Roman"/>
                      <w:color w:val="auto"/>
                      <w:sz w:val="21"/>
                      <w:szCs w:val="21"/>
                      <w:highlight w:val="none"/>
                      <w:u w:val="none"/>
                      <w:lang w:val="en-US" w:eastAsia="zh-CN"/>
                    </w:rPr>
                    <w:t>40.604</w:t>
                  </w:r>
                  <w:r>
                    <w:rPr>
                      <w:rFonts w:hint="default" w:ascii="Times New Roman" w:hAnsi="Times New Roman" w:eastAsia="宋体" w:cs="Times New Roman"/>
                      <w:color w:val="auto"/>
                      <w:sz w:val="21"/>
                      <w:szCs w:val="21"/>
                      <w:highlight w:val="none"/>
                      <w:u w:val="none"/>
                    </w:rPr>
                    <w:t>秒，2</w:t>
                  </w:r>
                  <w:r>
                    <w:rPr>
                      <w:rFonts w:hint="default" w:ascii="Times New Roman" w:hAnsi="Times New Roman" w:eastAsia="宋体" w:cs="Times New Roman"/>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u w:val="none"/>
                    </w:rPr>
                    <w:t>度</w:t>
                  </w:r>
                  <w:r>
                    <w:rPr>
                      <w:rFonts w:hint="default" w:ascii="Times New Roman" w:hAnsi="Times New Roman" w:eastAsia="宋体" w:cs="Times New Roman"/>
                      <w:color w:val="auto"/>
                      <w:sz w:val="21"/>
                      <w:szCs w:val="21"/>
                      <w:highlight w:val="none"/>
                      <w:u w:val="none"/>
                      <w:lang w:val="en-US" w:eastAsia="zh-CN"/>
                    </w:rPr>
                    <w:t>36</w:t>
                  </w:r>
                  <w:r>
                    <w:rPr>
                      <w:rFonts w:hint="default" w:ascii="Times New Roman" w:hAnsi="Times New Roman" w:eastAsia="宋体" w:cs="Times New Roman"/>
                      <w:color w:val="auto"/>
                      <w:sz w:val="21"/>
                      <w:szCs w:val="21"/>
                      <w:highlight w:val="none"/>
                      <w:u w:val="none"/>
                    </w:rPr>
                    <w:t>分</w:t>
                  </w:r>
                  <w:r>
                    <w:rPr>
                      <w:rFonts w:hint="default" w:ascii="Times New Roman" w:hAnsi="Times New Roman" w:eastAsia="宋体" w:cs="Times New Roman"/>
                      <w:color w:val="auto"/>
                      <w:sz w:val="21"/>
                      <w:szCs w:val="21"/>
                      <w:highlight w:val="none"/>
                      <w:u w:val="none"/>
                      <w:lang w:val="en-US" w:eastAsia="zh-CN"/>
                    </w:rPr>
                    <w:t>58.486</w:t>
                  </w:r>
                  <w:r>
                    <w:rPr>
                      <w:rFonts w:hint="default" w:ascii="Times New Roman" w:hAnsi="Times New Roman" w:eastAsia="宋体" w:cs="Times New Roman"/>
                      <w:color w:val="auto"/>
                      <w:sz w:val="21"/>
                      <w:szCs w:val="21"/>
                      <w:highlight w:val="none"/>
                      <w:u w:val="none"/>
                    </w:rPr>
                    <w:t>秒）</w:t>
                  </w:r>
                </w:p>
                <w:p w14:paraId="215A5667">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专用线终点：</w:t>
                  </w:r>
                  <w:r>
                    <w:rPr>
                      <w:rFonts w:hint="default" w:ascii="Times New Roman" w:hAnsi="Times New Roman" w:eastAsia="宋体" w:cs="Times New Roman"/>
                      <w:color w:val="auto"/>
                      <w:sz w:val="21"/>
                      <w:szCs w:val="21"/>
                      <w:highlight w:val="none"/>
                      <w:u w:val="none"/>
                    </w:rPr>
                    <w:t>（10</w:t>
                  </w:r>
                  <w:r>
                    <w:rPr>
                      <w:rFonts w:hint="default" w:ascii="Times New Roman" w:hAnsi="Times New Roman" w:eastAsia="宋体" w:cs="Times New Roman"/>
                      <w:color w:val="auto"/>
                      <w:sz w:val="21"/>
                      <w:szCs w:val="21"/>
                      <w:highlight w:val="none"/>
                      <w:u w:val="none"/>
                      <w:lang w:val="en-US" w:eastAsia="zh-CN"/>
                    </w:rPr>
                    <w:t>8</w:t>
                  </w:r>
                  <w:r>
                    <w:rPr>
                      <w:rFonts w:hint="default" w:ascii="Times New Roman" w:hAnsi="Times New Roman" w:eastAsia="宋体" w:cs="Times New Roman"/>
                      <w:color w:val="auto"/>
                      <w:sz w:val="21"/>
                      <w:szCs w:val="21"/>
                      <w:highlight w:val="none"/>
                      <w:u w:val="none"/>
                    </w:rPr>
                    <w:t>度</w:t>
                  </w:r>
                  <w:r>
                    <w:rPr>
                      <w:rFonts w:hint="default" w:ascii="Times New Roman" w:hAnsi="Times New Roman" w:eastAsia="宋体" w:cs="Times New Roman"/>
                      <w:color w:val="auto"/>
                      <w:sz w:val="21"/>
                      <w:szCs w:val="21"/>
                      <w:highlight w:val="none"/>
                      <w:u w:val="none"/>
                      <w:lang w:val="en-US" w:eastAsia="zh-CN"/>
                    </w:rPr>
                    <w:t>27</w:t>
                  </w:r>
                  <w:r>
                    <w:rPr>
                      <w:rFonts w:hint="default" w:ascii="Times New Roman" w:hAnsi="Times New Roman" w:eastAsia="宋体" w:cs="Times New Roman"/>
                      <w:color w:val="auto"/>
                      <w:sz w:val="21"/>
                      <w:szCs w:val="21"/>
                      <w:highlight w:val="none"/>
                      <w:u w:val="none"/>
                    </w:rPr>
                    <w:t>分</w:t>
                  </w:r>
                  <w:r>
                    <w:rPr>
                      <w:rFonts w:hint="default" w:ascii="Times New Roman" w:hAnsi="Times New Roman" w:eastAsia="宋体" w:cs="Times New Roman"/>
                      <w:color w:val="auto"/>
                      <w:sz w:val="21"/>
                      <w:szCs w:val="21"/>
                      <w:highlight w:val="none"/>
                      <w:u w:val="none"/>
                      <w:lang w:val="en-US" w:eastAsia="zh-CN"/>
                    </w:rPr>
                    <w:t>40.280</w:t>
                  </w:r>
                  <w:r>
                    <w:rPr>
                      <w:rFonts w:hint="default" w:ascii="Times New Roman" w:hAnsi="Times New Roman" w:eastAsia="宋体" w:cs="Times New Roman"/>
                      <w:color w:val="auto"/>
                      <w:sz w:val="21"/>
                      <w:szCs w:val="21"/>
                      <w:highlight w:val="none"/>
                      <w:u w:val="none"/>
                    </w:rPr>
                    <w:t>秒，2</w:t>
                  </w:r>
                  <w:r>
                    <w:rPr>
                      <w:rFonts w:hint="default" w:ascii="Times New Roman" w:hAnsi="Times New Roman" w:eastAsia="宋体" w:cs="Times New Roman"/>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u w:val="none"/>
                    </w:rPr>
                    <w:t>度</w:t>
                  </w:r>
                  <w:r>
                    <w:rPr>
                      <w:rFonts w:hint="default" w:ascii="Times New Roman" w:hAnsi="Times New Roman" w:eastAsia="宋体" w:cs="Times New Roman"/>
                      <w:color w:val="auto"/>
                      <w:sz w:val="21"/>
                      <w:szCs w:val="21"/>
                      <w:highlight w:val="none"/>
                      <w:u w:val="none"/>
                      <w:lang w:val="en-US" w:eastAsia="zh-CN"/>
                    </w:rPr>
                    <w:t>36</w:t>
                  </w:r>
                  <w:r>
                    <w:rPr>
                      <w:rFonts w:hint="default" w:ascii="Times New Roman" w:hAnsi="Times New Roman" w:eastAsia="宋体" w:cs="Times New Roman"/>
                      <w:color w:val="auto"/>
                      <w:sz w:val="21"/>
                      <w:szCs w:val="21"/>
                      <w:highlight w:val="none"/>
                      <w:u w:val="none"/>
                    </w:rPr>
                    <w:t>分</w:t>
                  </w:r>
                  <w:r>
                    <w:rPr>
                      <w:rFonts w:hint="default" w:ascii="Times New Roman" w:hAnsi="Times New Roman" w:eastAsia="宋体" w:cs="Times New Roman"/>
                      <w:color w:val="auto"/>
                      <w:sz w:val="21"/>
                      <w:szCs w:val="21"/>
                      <w:highlight w:val="none"/>
                      <w:u w:val="none"/>
                      <w:lang w:val="en-US" w:eastAsia="zh-CN"/>
                    </w:rPr>
                    <w:t>9.468</w:t>
                  </w:r>
                  <w:r>
                    <w:rPr>
                      <w:rFonts w:hint="default" w:ascii="Times New Roman" w:hAnsi="Times New Roman" w:eastAsia="宋体" w:cs="Times New Roman"/>
                      <w:color w:val="auto"/>
                      <w:sz w:val="21"/>
                      <w:szCs w:val="21"/>
                      <w:highlight w:val="none"/>
                      <w:u w:val="none"/>
                    </w:rPr>
                    <w:t>秒）</w:t>
                  </w:r>
                </w:p>
              </w:tc>
            </w:tr>
            <w:tr w14:paraId="074CFD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30" w:hRule="atLeast"/>
                <w:jc w:val="center"/>
              </w:trPr>
              <w:tc>
                <w:tcPr>
                  <w:tcW w:w="824" w:type="pct"/>
                  <w:tcBorders>
                    <w:tl2br w:val="nil"/>
                    <w:tr2bl w:val="nil"/>
                  </w:tcBorders>
                  <w:noWrap w:val="0"/>
                  <w:vAlign w:val="center"/>
                </w:tcPr>
                <w:p w14:paraId="442B42C5">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主要危险物质及分布</w:t>
                  </w:r>
                </w:p>
              </w:tc>
              <w:tc>
                <w:tcPr>
                  <w:tcW w:w="4175" w:type="pct"/>
                  <w:tcBorders>
                    <w:tl2br w:val="nil"/>
                    <w:tr2bl w:val="nil"/>
                  </w:tcBorders>
                  <w:noWrap w:val="0"/>
                  <w:vAlign w:val="center"/>
                </w:tcPr>
                <w:p w14:paraId="1466579A">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运输货物（氧化铝、塑料制品、集装箱等）</w:t>
                  </w:r>
                  <w:r>
                    <w:rPr>
                      <w:rFonts w:hint="eastAsia" w:eastAsia="宋体" w:cs="Times New Roman"/>
                      <w:color w:val="auto"/>
                      <w:kern w:val="2"/>
                      <w:sz w:val="21"/>
                      <w:szCs w:val="21"/>
                      <w:highlight w:val="none"/>
                      <w:u w:val="none"/>
                      <w:lang w:val="en-US" w:eastAsia="zh-CN" w:bidi="ar-SA"/>
                    </w:rPr>
                    <w:t>，分布于货场，项目不涉及危险化学品</w:t>
                  </w:r>
                </w:p>
              </w:tc>
            </w:tr>
            <w:tr w14:paraId="7D8C6D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824" w:type="pct"/>
                  <w:tcBorders>
                    <w:tl2br w:val="nil"/>
                    <w:tr2bl w:val="nil"/>
                  </w:tcBorders>
                  <w:noWrap w:val="0"/>
                  <w:vAlign w:val="center"/>
                </w:tcPr>
                <w:p w14:paraId="44F088DA">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环境影响途径及危害后果</w:t>
                  </w:r>
                </w:p>
              </w:tc>
              <w:tc>
                <w:tcPr>
                  <w:tcW w:w="4175" w:type="pct"/>
                  <w:tcBorders>
                    <w:tl2br w:val="nil"/>
                    <w:tr2bl w:val="nil"/>
                  </w:tcBorders>
                  <w:noWrap w:val="0"/>
                  <w:vAlign w:val="center"/>
                </w:tcPr>
                <w:p w14:paraId="48CB9AFE">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lang w:val="en-US"/>
                    </w:rPr>
                  </w:pPr>
                  <w:r>
                    <w:rPr>
                      <w:rFonts w:hint="eastAsia" w:eastAsia="宋体" w:cs="Times New Roman"/>
                      <w:color w:val="auto"/>
                      <w:kern w:val="2"/>
                      <w:sz w:val="21"/>
                      <w:szCs w:val="21"/>
                      <w:highlight w:val="none"/>
                      <w:u w:val="none"/>
                      <w:lang w:val="en-US" w:eastAsia="zh-CN" w:bidi="ar-SA"/>
                    </w:rPr>
                    <w:t>火灾</w:t>
                  </w:r>
                  <w:r>
                    <w:rPr>
                      <w:rFonts w:hint="eastAsia" w:ascii="Times New Roman" w:hAnsi="Times New Roman" w:eastAsia="宋体" w:cs="Times New Roman"/>
                      <w:color w:val="auto"/>
                      <w:kern w:val="2"/>
                      <w:sz w:val="21"/>
                      <w:szCs w:val="21"/>
                      <w:highlight w:val="none"/>
                      <w:u w:val="none"/>
                      <w:lang w:val="en-US" w:eastAsia="zh-CN" w:bidi="ar-SA"/>
                    </w:rPr>
                    <w:t>燃烧</w:t>
                  </w:r>
                  <w:r>
                    <w:rPr>
                      <w:rFonts w:hint="eastAsia" w:eastAsia="宋体" w:cs="Times New Roman"/>
                      <w:color w:val="auto"/>
                      <w:kern w:val="2"/>
                      <w:sz w:val="21"/>
                      <w:szCs w:val="21"/>
                      <w:highlight w:val="none"/>
                      <w:u w:val="none"/>
                      <w:lang w:val="en-US" w:eastAsia="zh-CN" w:bidi="ar-SA"/>
                    </w:rPr>
                    <w:t>时大量烟气进入大气</w:t>
                  </w:r>
                  <w:r>
                    <w:rPr>
                      <w:rFonts w:hint="eastAsia" w:ascii="Times New Roman" w:hAnsi="Times New Roman" w:eastAsia="宋体" w:cs="Times New Roman"/>
                      <w:color w:val="auto"/>
                      <w:kern w:val="2"/>
                      <w:sz w:val="21"/>
                      <w:szCs w:val="21"/>
                      <w:highlight w:val="none"/>
                      <w:u w:val="none"/>
                      <w:lang w:val="en-US" w:eastAsia="zh-CN" w:bidi="ar-SA"/>
                    </w:rPr>
                    <w:t>，</w:t>
                  </w:r>
                  <w:r>
                    <w:rPr>
                      <w:rFonts w:hint="eastAsia" w:eastAsia="宋体" w:cs="Times New Roman"/>
                      <w:color w:val="auto"/>
                      <w:kern w:val="2"/>
                      <w:sz w:val="21"/>
                      <w:szCs w:val="21"/>
                      <w:highlight w:val="none"/>
                      <w:u w:val="none"/>
                      <w:lang w:val="en-US" w:eastAsia="zh-CN" w:bidi="ar-SA"/>
                    </w:rPr>
                    <w:t>产生消防废水进入周边地表水</w:t>
                  </w:r>
                </w:p>
              </w:tc>
            </w:tr>
            <w:tr w14:paraId="639109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7" w:hRule="atLeast"/>
                <w:jc w:val="center"/>
              </w:trPr>
              <w:tc>
                <w:tcPr>
                  <w:tcW w:w="824" w:type="pct"/>
                  <w:tcBorders>
                    <w:tl2br w:val="nil"/>
                    <w:tr2bl w:val="nil"/>
                  </w:tcBorders>
                  <w:noWrap w:val="0"/>
                  <w:vAlign w:val="center"/>
                </w:tcPr>
                <w:p w14:paraId="5557AF84">
                  <w:pPr>
                    <w:keepNext w:val="0"/>
                    <w:keepLines w:val="0"/>
                    <w:pageBreakBefore w:val="0"/>
                    <w:widowControl/>
                    <w:kinsoku/>
                    <w:overflowPunct/>
                    <w:topLinePunct w:val="0"/>
                    <w:bidi w:val="0"/>
                    <w:adjustRightInd/>
                    <w:snapToGrid/>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风险防范措施要求</w:t>
                  </w:r>
                </w:p>
              </w:tc>
              <w:tc>
                <w:tcPr>
                  <w:tcW w:w="4175" w:type="pct"/>
                  <w:tcBorders>
                    <w:tl2br w:val="nil"/>
                    <w:tr2bl w:val="nil"/>
                  </w:tcBorders>
                  <w:noWrap w:val="0"/>
                  <w:vAlign w:val="center"/>
                </w:tcPr>
                <w:p w14:paraId="3E415D07">
                  <w:pPr>
                    <w:keepNext w:val="0"/>
                    <w:keepLines w:val="0"/>
                    <w:pageBreakBefore w:val="0"/>
                    <w:widowControl/>
                    <w:kinsoku/>
                    <w:overflowPunct/>
                    <w:topLinePunct w:val="0"/>
                    <w:bidi w:val="0"/>
                    <w:adjustRightInd/>
                    <w:snapToGrid/>
                    <w:jc w:val="both"/>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①建立安全生产岗位责任制，制定完善的安全生产规章制度、安全操作流程、安全生产检查制度、危险化学品的安全管理规定、安全管理制度、事故管理制度等，必须切实加强安全管理，提高事故防范能力。员工实行持证上岗。</w:t>
                  </w:r>
                </w:p>
                <w:p w14:paraId="4F8B9C70">
                  <w:pPr>
                    <w:keepNext w:val="0"/>
                    <w:keepLines w:val="0"/>
                    <w:pageBreakBefore w:val="0"/>
                    <w:widowControl/>
                    <w:kinsoku/>
                    <w:overflowPunct/>
                    <w:topLinePunct w:val="0"/>
                    <w:bidi w:val="0"/>
                    <w:adjustRightInd/>
                    <w:snapToGrid/>
                    <w:jc w:val="both"/>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②根据厂区生产特点和环境情况，在总图布置中，各建筑物之间的距离应满足《建筑设计防火规范》要求。各车间、工序按生产性质进行分区，各区间形成消防通道、应急疏散通道。</w:t>
                  </w:r>
                </w:p>
                <w:p w14:paraId="2EC1F668">
                  <w:pPr>
                    <w:keepNext w:val="0"/>
                    <w:keepLines w:val="0"/>
                    <w:pageBreakBefore w:val="0"/>
                    <w:widowControl/>
                    <w:kinsoku/>
                    <w:overflowPunct/>
                    <w:topLinePunct w:val="0"/>
                    <w:bidi w:val="0"/>
                    <w:adjustRightInd/>
                    <w:snapToGrid/>
                    <w:jc w:val="both"/>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③货场内设置消防水管，室外配置地上式消防栓；设置合适的灭火剂、灭火器材和足够的水源。</w:t>
                  </w:r>
                </w:p>
                <w:p w14:paraId="26B7EB6C">
                  <w:pPr>
                    <w:keepNext w:val="0"/>
                    <w:keepLines w:val="0"/>
                    <w:pageBreakBefore w:val="0"/>
                    <w:widowControl/>
                    <w:kinsoku/>
                    <w:overflowPunct/>
                    <w:topLinePunct w:val="0"/>
                    <w:bidi w:val="0"/>
                    <w:adjustRightInd/>
                    <w:snapToGrid/>
                    <w:jc w:val="both"/>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④各类物品的堆放应有一定的防火间距、不得堵塞消防通道和消防设施。</w:t>
                  </w:r>
                </w:p>
                <w:p w14:paraId="602D0435">
                  <w:pPr>
                    <w:keepNext w:val="0"/>
                    <w:keepLines w:val="0"/>
                    <w:pageBreakBefore w:val="0"/>
                    <w:widowControl/>
                    <w:kinsoku/>
                    <w:overflowPunct/>
                    <w:topLinePunct w:val="0"/>
                    <w:bidi w:val="0"/>
                    <w:adjustRightInd/>
                    <w:snapToGrid/>
                    <w:jc w:val="both"/>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eastAsia="宋体" w:cs="Times New Roman"/>
                      <w:color w:val="auto"/>
                      <w:sz w:val="21"/>
                      <w:szCs w:val="21"/>
                      <w:u w:val="none"/>
                      <w:lang w:val="en-US" w:eastAsia="zh-CN"/>
                    </w:rPr>
                    <w:t>⑤控制明火作业，必须使用电焊、气焊、气割或其它用火作业时，应事先经有关部门审批，办理动火手续，并采取防火措施；严禁吸烟、用火，禁止燃放烟花、爆竹等</w:t>
                  </w:r>
                </w:p>
              </w:tc>
            </w:tr>
            <w:tr w14:paraId="2BAFCF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7" w:hRule="atLeast"/>
                <w:jc w:val="center"/>
              </w:trPr>
              <w:tc>
                <w:tcPr>
                  <w:tcW w:w="5000" w:type="pct"/>
                  <w:gridSpan w:val="2"/>
                  <w:tcBorders>
                    <w:tl2br w:val="nil"/>
                    <w:tr2bl w:val="nil"/>
                  </w:tcBorders>
                  <w:noWrap w:val="0"/>
                  <w:vAlign w:val="center"/>
                </w:tcPr>
                <w:p w14:paraId="71E95121">
                  <w:pPr>
                    <w:keepNext w:val="0"/>
                    <w:keepLines w:val="0"/>
                    <w:pageBreakBefore w:val="0"/>
                    <w:widowControl/>
                    <w:kinsoku/>
                    <w:overflowPunct/>
                    <w:topLinePunct w:val="0"/>
                    <w:bidi w:val="0"/>
                    <w:adjustRightInd/>
                    <w:snapToGrid/>
                    <w:jc w:val="left"/>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填表说明（列出项目相关信息及评价说明）</w:t>
                  </w:r>
                </w:p>
                <w:p w14:paraId="21123884">
                  <w:pPr>
                    <w:keepNext w:val="0"/>
                    <w:keepLines w:val="0"/>
                    <w:pageBreakBefore w:val="0"/>
                    <w:widowControl/>
                    <w:kinsoku/>
                    <w:overflowPunct/>
                    <w:topLinePunct w:val="0"/>
                    <w:bidi w:val="0"/>
                    <w:adjustRightInd/>
                    <w:snapToGrid/>
                    <w:jc w:val="left"/>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项目位于广西壮族自治区防城港市港口区。</w:t>
                  </w:r>
                  <w:r>
                    <w:rPr>
                      <w:rFonts w:hint="eastAsia" w:eastAsia="宋体" w:cs="Times New Roman"/>
                      <w:color w:val="auto"/>
                      <w:sz w:val="21"/>
                      <w:szCs w:val="21"/>
                      <w:u w:val="none"/>
                      <w:lang w:val="en-US" w:eastAsia="zh-CN"/>
                    </w:rPr>
                    <w:t>项目无</w:t>
                  </w:r>
                  <w:r>
                    <w:rPr>
                      <w:rFonts w:hint="eastAsia" w:ascii="Times New Roman" w:hAnsi="Times New Roman" w:eastAsia="宋体" w:cs="Times New Roman"/>
                      <w:color w:val="auto"/>
                      <w:sz w:val="21"/>
                      <w:szCs w:val="21"/>
                      <w:u w:val="none"/>
                      <w:lang w:val="en-US" w:eastAsia="zh-CN"/>
                    </w:rPr>
                    <w:t>《建设项目环境风险评价技术导则》（HJ169-2018）附录B重点关注的危险物质。最大储存量其临界量比值Q&lt;1，项目环境风险潜势为Ⅰ，本次环境风险评价等级确定为简单分析</w:t>
                  </w:r>
                </w:p>
              </w:tc>
            </w:tr>
          </w:tbl>
          <w:p w14:paraId="53311D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p>
          <w:p w14:paraId="2EE494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p>
          <w:p w14:paraId="713F60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32"/>
                <w:lang w:val="en-US" w:eastAsia="zh-CN"/>
              </w:rPr>
            </w:pPr>
          </w:p>
          <w:p w14:paraId="488405B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auto"/>
                <w:lang w:val="en-US" w:eastAsia="zh-CN"/>
              </w:rPr>
            </w:pPr>
          </w:p>
        </w:tc>
      </w:tr>
      <w:tr w14:paraId="35C61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5" w:hRule="atLeast"/>
          <w:jc w:val="center"/>
        </w:trPr>
        <w:tc>
          <w:tcPr>
            <w:tcW w:w="456" w:type="dxa"/>
            <w:vAlign w:val="center"/>
          </w:tcPr>
          <w:p w14:paraId="50F3354D">
            <w:pPr>
              <w:pStyle w:val="41"/>
              <w:adjustRightInd w:val="0"/>
              <w:snapToGrid w:val="0"/>
              <w:spacing w:before="0" w:beforeAutospacing="0" w:after="0" w:afterAutospacing="0"/>
              <w:jc w:val="center"/>
              <w:rPr>
                <w:rFonts w:ascii="Times New Roman" w:hAnsi="Times New Roman" w:cs="宋体"/>
                <w:bCs/>
                <w:color w:val="auto"/>
                <w:kern w:val="2"/>
              </w:rPr>
            </w:pPr>
            <w:r>
              <w:rPr>
                <w:rFonts w:hint="eastAsia" w:ascii="Times New Roman" w:hAnsi="Times New Roman" w:cs="宋体"/>
                <w:bCs/>
                <w:color w:val="auto"/>
                <w:kern w:val="2"/>
              </w:rPr>
              <w:t>选址选线环境合理性分析</w:t>
            </w:r>
          </w:p>
        </w:tc>
        <w:tc>
          <w:tcPr>
            <w:tcW w:w="8678" w:type="dxa"/>
          </w:tcPr>
          <w:p w14:paraId="17B9AFDE">
            <w:pPr>
              <w:adjustRightInd w:val="0"/>
              <w:snapToGrid w:val="0"/>
              <w:spacing w:line="360" w:lineRule="auto"/>
              <w:ind w:firstLine="482" w:firstLineChars="200"/>
              <w:rPr>
                <w:rFonts w:cs="宋体"/>
                <w:b/>
                <w:color w:val="auto"/>
                <w:sz w:val="24"/>
              </w:rPr>
            </w:pPr>
            <w:r>
              <w:rPr>
                <w:rFonts w:hint="eastAsia" w:cs="宋体"/>
                <w:b/>
                <w:color w:val="auto"/>
                <w:sz w:val="24"/>
              </w:rPr>
              <w:t>1、项目选址合理性分析</w:t>
            </w:r>
          </w:p>
          <w:p w14:paraId="56EBB4B2">
            <w:pPr>
              <w:adjustRightInd w:val="0"/>
              <w:snapToGrid w:val="0"/>
              <w:spacing w:line="360" w:lineRule="auto"/>
              <w:ind w:firstLine="480" w:firstLineChars="200"/>
              <w:rPr>
                <w:rFonts w:cs="宋体"/>
                <w:bCs/>
                <w:color w:val="auto"/>
                <w:sz w:val="24"/>
              </w:rPr>
            </w:pPr>
            <w:r>
              <w:rPr>
                <w:rFonts w:hint="eastAsia" w:cs="宋体"/>
                <w:bCs/>
                <w:color w:val="auto"/>
                <w:sz w:val="24"/>
              </w:rPr>
              <w:t>项目</w:t>
            </w:r>
            <w:r>
              <w:rPr>
                <w:rFonts w:hint="eastAsia" w:cs="宋体"/>
                <w:bCs/>
                <w:color w:val="auto"/>
                <w:sz w:val="24"/>
                <w:lang w:val="en-US" w:eastAsia="zh-CN"/>
              </w:rPr>
              <w:t>用地</w:t>
            </w:r>
            <w:r>
              <w:rPr>
                <w:rFonts w:hint="eastAsia" w:cs="宋体"/>
                <w:bCs/>
                <w:color w:val="auto"/>
                <w:sz w:val="24"/>
              </w:rPr>
              <w:t>不涉及《环境影响评价技术导则  生态影响》（HJ19-2022）中规定的国家公园、自然保护区、自然公园等自然保护地、世界自然遗产、生态保护红线、重要物种的天然集中分布区、栖息地，重要水生生物的产卵场、索饵场、越冬场和洄游通道，迁徙鸟类的重要繁殖地、停歇地、越冬地以及野生动物迁徙通道等生态敏感区，以及重要物种、其他需要保护的物种、种群、生物群落及生态空间。</w:t>
            </w:r>
          </w:p>
          <w:p w14:paraId="68748007">
            <w:pPr>
              <w:adjustRightInd w:val="0"/>
              <w:snapToGrid w:val="0"/>
              <w:spacing w:line="360" w:lineRule="auto"/>
              <w:ind w:firstLine="480" w:firstLineChars="200"/>
              <w:rPr>
                <w:rFonts w:hint="eastAsia" w:cs="宋体"/>
                <w:bCs/>
                <w:color w:val="auto"/>
                <w:sz w:val="24"/>
              </w:rPr>
            </w:pPr>
            <w:r>
              <w:rPr>
                <w:rFonts w:hint="eastAsia" w:cs="宋体"/>
                <w:bCs/>
                <w:color w:val="auto"/>
                <w:sz w:val="24"/>
              </w:rPr>
              <w:t>项目建设满足</w:t>
            </w:r>
            <w:r>
              <w:rPr>
                <w:rFonts w:hint="eastAsia" w:cs="宋体"/>
                <w:color w:val="auto"/>
                <w:kern w:val="0"/>
                <w:sz w:val="24"/>
                <w:lang w:val="en-US" w:eastAsia="zh-CN"/>
              </w:rPr>
              <w:t>《防城港市生态环境分区管控动态更新成果（</w:t>
            </w:r>
            <w:r>
              <w:rPr>
                <w:rFonts w:hint="default" w:cs="宋体"/>
                <w:color w:val="auto"/>
                <w:kern w:val="0"/>
                <w:sz w:val="24"/>
                <w:lang w:val="en-US" w:eastAsia="zh-CN"/>
              </w:rPr>
              <w:t>2023</w:t>
            </w:r>
            <w:r>
              <w:rPr>
                <w:rFonts w:hint="eastAsia" w:cs="宋体"/>
                <w:color w:val="auto"/>
                <w:kern w:val="0"/>
                <w:sz w:val="24"/>
                <w:lang w:val="en-US" w:eastAsia="zh-CN"/>
              </w:rPr>
              <w:t>年）》</w:t>
            </w:r>
            <w:r>
              <w:rPr>
                <w:rFonts w:hint="eastAsia" w:cs="宋体"/>
                <w:bCs/>
                <w:color w:val="auto"/>
                <w:sz w:val="24"/>
              </w:rPr>
              <w:t>中相关管控要求。因此，项目选址环境合理。</w:t>
            </w:r>
          </w:p>
          <w:p w14:paraId="0038F7C8">
            <w:pPr>
              <w:adjustRightInd w:val="0"/>
              <w:snapToGrid w:val="0"/>
              <w:spacing w:line="360" w:lineRule="auto"/>
              <w:ind w:firstLine="480" w:firstLineChars="200"/>
              <w:rPr>
                <w:rFonts w:cs="宋体"/>
                <w:bCs/>
                <w:color w:val="auto"/>
                <w:sz w:val="24"/>
              </w:rPr>
            </w:pPr>
            <w:r>
              <w:rPr>
                <w:rFonts w:hint="eastAsia" w:cs="宋体"/>
                <w:bCs/>
                <w:color w:val="auto"/>
                <w:sz w:val="24"/>
                <w:lang w:val="en-US" w:eastAsia="zh-CN"/>
              </w:rPr>
              <w:t>项目永久用地为防城港企沙铁路支线云约站用地空置部分，该用地于2013年12月27日取得防城港市住房和城乡建设委员会《关于办理防城港企沙铁路支线云约站选址意见的复函》（防住建函〔2013〕1494号），复函内批复用地面积为971.95亩，至今实际征地面积为564亩。本次项目利用已征得用地建设货物线及堆场</w:t>
            </w:r>
            <w:r>
              <w:rPr>
                <w:rFonts w:hint="eastAsia" w:cs="宋体"/>
                <w:bCs/>
                <w:color w:val="auto"/>
                <w:sz w:val="24"/>
              </w:rPr>
              <w:t>，土地</w:t>
            </w:r>
            <w:r>
              <w:rPr>
                <w:rFonts w:hint="eastAsia" w:cs="宋体"/>
                <w:bCs/>
                <w:color w:val="auto"/>
                <w:sz w:val="24"/>
                <w:lang w:val="en-US" w:eastAsia="zh-CN"/>
              </w:rPr>
              <w:t>规划</w:t>
            </w:r>
            <w:r>
              <w:rPr>
                <w:rFonts w:hint="eastAsia" w:cs="宋体"/>
                <w:bCs/>
                <w:color w:val="auto"/>
                <w:sz w:val="24"/>
              </w:rPr>
              <w:t>利用类型为</w:t>
            </w:r>
            <w:r>
              <w:rPr>
                <w:rFonts w:hint="eastAsia" w:cs="宋体"/>
                <w:bCs/>
                <w:color w:val="auto"/>
                <w:sz w:val="24"/>
                <w:lang w:eastAsia="zh-CN"/>
              </w:rPr>
              <w:t>铁路用地</w:t>
            </w:r>
            <w:r>
              <w:rPr>
                <w:rFonts w:hint="eastAsia" w:cs="宋体"/>
                <w:bCs/>
                <w:color w:val="auto"/>
                <w:sz w:val="24"/>
                <w:lang w:val="en-US" w:eastAsia="zh-CN"/>
              </w:rPr>
              <w:t>。</w:t>
            </w:r>
            <w:r>
              <w:rPr>
                <w:rFonts w:hint="eastAsia"/>
                <w:color w:val="auto"/>
                <w:sz w:val="24"/>
                <w:lang w:val="en-US" w:eastAsia="zh-CN"/>
              </w:rPr>
              <w:t>项目位于防城港经济技术开发区总体规划(2023-2035年)研究范围内，属于现代物流产业布局，符合规划，选址合理</w:t>
            </w:r>
            <w:r>
              <w:rPr>
                <w:rFonts w:cs="宋体"/>
                <w:bCs/>
                <w:color w:val="auto"/>
                <w:sz w:val="24"/>
              </w:rPr>
              <w:t>。</w:t>
            </w:r>
          </w:p>
          <w:p w14:paraId="67E42ECA">
            <w:pPr>
              <w:adjustRightInd w:val="0"/>
              <w:snapToGrid w:val="0"/>
              <w:spacing w:line="360" w:lineRule="auto"/>
              <w:ind w:firstLine="480" w:firstLineChars="200"/>
              <w:rPr>
                <w:rFonts w:hint="eastAsia" w:cs="宋体"/>
                <w:bCs/>
                <w:color w:val="auto"/>
                <w:sz w:val="24"/>
              </w:rPr>
            </w:pPr>
          </w:p>
          <w:p w14:paraId="0C6098E3">
            <w:pPr>
              <w:adjustRightInd w:val="0"/>
              <w:snapToGrid w:val="0"/>
              <w:spacing w:line="360" w:lineRule="auto"/>
              <w:ind w:firstLine="480" w:firstLineChars="200"/>
              <w:rPr>
                <w:rFonts w:cs="宋体"/>
                <w:bCs/>
                <w:color w:val="auto"/>
                <w:sz w:val="24"/>
              </w:rPr>
            </w:pPr>
          </w:p>
        </w:tc>
      </w:tr>
    </w:tbl>
    <w:p w14:paraId="14C3EC14">
      <w:pPr>
        <w:pStyle w:val="41"/>
        <w:jc w:val="center"/>
        <w:rPr>
          <w:rFonts w:ascii="Times New Roman" w:hAnsi="Times New Roman"/>
          <w:snapToGrid w:val="0"/>
          <w:color w:val="auto"/>
          <w:sz w:val="36"/>
          <w:szCs w:val="36"/>
        </w:rPr>
        <w:sectPr>
          <w:pgSz w:w="11906" w:h="16838"/>
          <w:pgMar w:top="1440" w:right="1800" w:bottom="1440" w:left="1800" w:header="851" w:footer="1077" w:gutter="0"/>
          <w:cols w:space="720" w:num="1"/>
          <w:docGrid w:linePitch="312" w:charSpace="0"/>
        </w:sectPr>
      </w:pPr>
    </w:p>
    <w:p w14:paraId="4FBB8D7D">
      <w:pPr>
        <w:pStyle w:val="41"/>
        <w:adjustRightInd w:val="0"/>
        <w:snapToGrid w:val="0"/>
        <w:spacing w:before="0" w:beforeAutospacing="0" w:after="0" w:afterAutospacing="0" w:line="14" w:lineRule="auto"/>
        <w:jc w:val="center"/>
        <w:rPr>
          <w:rFonts w:ascii="Times New Roman" w:hAnsi="Times New Roman"/>
          <w:snapToGrid w:val="0"/>
          <w:color w:val="auto"/>
          <w:sz w:val="30"/>
          <w:szCs w:val="30"/>
        </w:rPr>
      </w:pPr>
    </w:p>
    <w:p w14:paraId="69527C1F">
      <w:pPr>
        <w:pStyle w:val="41"/>
        <w:jc w:val="center"/>
        <w:outlineLvl w:val="0"/>
        <w:rPr>
          <w:rFonts w:ascii="Times New Roman" w:hAnsi="Times New Roman"/>
          <w:snapToGrid w:val="0"/>
          <w:color w:val="auto"/>
          <w:sz w:val="30"/>
          <w:szCs w:val="30"/>
        </w:rPr>
      </w:pPr>
      <w:bookmarkStart w:id="14" w:name="_Toc141432016"/>
      <w:r>
        <w:rPr>
          <w:rFonts w:hint="eastAsia" w:ascii="Times New Roman" w:hAnsi="Times New Roman"/>
          <w:snapToGrid w:val="0"/>
          <w:color w:val="auto"/>
          <w:sz w:val="30"/>
          <w:szCs w:val="30"/>
        </w:rPr>
        <w:t>五、主要生态环境保护措施</w:t>
      </w:r>
      <w:bookmarkEnd w:id="14"/>
    </w:p>
    <w:tbl>
      <w:tblPr>
        <w:tblStyle w:val="46"/>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8519"/>
      </w:tblGrid>
      <w:tr w14:paraId="42F6B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6" w:hRule="atLeast"/>
          <w:jc w:val="center"/>
        </w:trPr>
        <w:tc>
          <w:tcPr>
            <w:tcW w:w="557" w:type="dxa"/>
            <w:tcMar>
              <w:left w:w="28" w:type="dxa"/>
              <w:right w:w="28" w:type="dxa"/>
            </w:tcMar>
            <w:vAlign w:val="center"/>
          </w:tcPr>
          <w:p w14:paraId="67FABB76">
            <w:pPr>
              <w:adjustRightInd w:val="0"/>
              <w:snapToGrid w:val="0"/>
              <w:jc w:val="center"/>
              <w:rPr>
                <w:bCs/>
                <w:color w:val="auto"/>
                <w:sz w:val="24"/>
              </w:rPr>
            </w:pPr>
            <w:r>
              <w:rPr>
                <w:rFonts w:hint="eastAsia" w:cs="宋体"/>
                <w:bCs/>
                <w:color w:val="auto"/>
                <w:spacing w:val="10"/>
                <w:sz w:val="24"/>
              </w:rPr>
              <w:t>施工期生态环境保护措施</w:t>
            </w:r>
          </w:p>
        </w:tc>
        <w:tc>
          <w:tcPr>
            <w:tcW w:w="8653" w:type="dxa"/>
          </w:tcPr>
          <w:p w14:paraId="36FBB019">
            <w:pPr>
              <w:adjustRightInd w:val="0"/>
              <w:snapToGrid w:val="0"/>
              <w:spacing w:line="360" w:lineRule="auto"/>
              <w:ind w:firstLine="482" w:firstLineChars="200"/>
              <w:rPr>
                <w:rFonts w:cs="宋体"/>
                <w:b/>
                <w:color w:val="auto"/>
                <w:sz w:val="24"/>
              </w:rPr>
            </w:pPr>
            <w:r>
              <w:rPr>
                <w:rFonts w:hint="eastAsia" w:cs="宋体"/>
                <w:b/>
                <w:color w:val="auto"/>
                <w:sz w:val="24"/>
              </w:rPr>
              <w:t>1、生态环境</w:t>
            </w:r>
          </w:p>
          <w:p w14:paraId="22AFBEE6">
            <w:pPr>
              <w:adjustRightInd w:val="0"/>
              <w:snapToGrid w:val="0"/>
              <w:spacing w:line="360" w:lineRule="auto"/>
              <w:ind w:firstLine="480" w:firstLineChars="200"/>
              <w:rPr>
                <w:rFonts w:cs="宋体"/>
                <w:bCs/>
                <w:color w:val="auto"/>
                <w:sz w:val="24"/>
              </w:rPr>
            </w:pPr>
            <w:r>
              <w:rPr>
                <w:rFonts w:hint="eastAsia" w:cs="宋体"/>
                <w:bCs/>
                <w:color w:val="auto"/>
                <w:sz w:val="24"/>
              </w:rPr>
              <w:t>在施工过程中，为保护项目区域的生态环境，项目施工期应进行周密设计，尽量缩短工期，减小施工对周围自然植被、地形地貌等环境的影响。项目具体采取以下生态保护措施。</w:t>
            </w:r>
          </w:p>
          <w:p w14:paraId="476D90DA">
            <w:pPr>
              <w:adjustRightInd w:val="0"/>
              <w:snapToGrid w:val="0"/>
              <w:spacing w:line="360" w:lineRule="auto"/>
              <w:ind w:firstLine="480" w:firstLineChars="200"/>
              <w:rPr>
                <w:rFonts w:cs="宋体"/>
                <w:bCs/>
                <w:color w:val="auto"/>
                <w:sz w:val="24"/>
              </w:rPr>
            </w:pPr>
            <w:r>
              <w:rPr>
                <w:rFonts w:hint="eastAsia" w:cs="宋体"/>
                <w:bCs/>
                <w:color w:val="auto"/>
                <w:sz w:val="24"/>
              </w:rPr>
              <w:t>（1）做好施工组织设计，合理安排施工顺序；严格按设计占地面积、样式要求开挖，避免大规模开挖，站内施工时基础开挖的土石方应集中堆置，不允许随意处置；缩小施工作业范围，施工人员和机械不得在规定区域外活动。</w:t>
            </w:r>
          </w:p>
          <w:p w14:paraId="0F13D816">
            <w:pPr>
              <w:adjustRightInd w:val="0"/>
              <w:snapToGrid w:val="0"/>
              <w:spacing w:line="360" w:lineRule="auto"/>
              <w:ind w:firstLine="480" w:firstLineChars="200"/>
              <w:rPr>
                <w:rFonts w:cs="宋体"/>
                <w:bCs/>
                <w:color w:val="auto"/>
                <w:sz w:val="24"/>
              </w:rPr>
            </w:pPr>
            <w:r>
              <w:rPr>
                <w:rFonts w:hint="eastAsia" w:cs="宋体"/>
                <w:bCs/>
                <w:color w:val="auto"/>
                <w:sz w:val="24"/>
              </w:rPr>
              <w:t>（2）施工材料有序堆放，减少对周围的生态破坏。施工结束后应及时清理建筑垃圾、恢复地表状态及土地使用功能。</w:t>
            </w:r>
          </w:p>
          <w:p w14:paraId="09BC7FD2">
            <w:pPr>
              <w:adjustRightInd w:val="0"/>
              <w:snapToGrid w:val="0"/>
              <w:spacing w:line="360" w:lineRule="auto"/>
              <w:ind w:firstLine="480" w:firstLineChars="200"/>
              <w:rPr>
                <w:rFonts w:cs="宋体"/>
                <w:bCs/>
                <w:color w:val="auto"/>
                <w:sz w:val="24"/>
              </w:rPr>
            </w:pPr>
            <w:r>
              <w:rPr>
                <w:rFonts w:hint="eastAsia" w:cs="宋体"/>
                <w:bCs/>
                <w:color w:val="auto"/>
                <w:sz w:val="24"/>
              </w:rPr>
              <w:t>（3）施工准备阶段的场地平整、基础开挖等活动应尽量避开雨天，不能避开的应采取临时拦挡、挖临时排水沟等措施。</w:t>
            </w:r>
          </w:p>
          <w:p w14:paraId="563998ED">
            <w:pPr>
              <w:adjustRightInd w:val="0"/>
              <w:snapToGrid w:val="0"/>
              <w:spacing w:line="360" w:lineRule="auto"/>
              <w:ind w:firstLine="480" w:firstLineChars="200"/>
              <w:rPr>
                <w:rFonts w:cs="宋体"/>
                <w:bCs/>
                <w:color w:val="auto"/>
                <w:sz w:val="24"/>
              </w:rPr>
            </w:pPr>
            <w:r>
              <w:rPr>
                <w:rFonts w:hint="eastAsia" w:cs="宋体"/>
                <w:bCs/>
                <w:color w:val="auto"/>
                <w:sz w:val="24"/>
              </w:rPr>
              <w:t>（4）及时做好排水导流工作。在场地内开挖临时雨水排水沟，在雨水排水口处设置沉淀池，场地内的雨水径流经简易沉淀处理后，可回用于施工过程或场地洒水降尘。</w:t>
            </w:r>
          </w:p>
          <w:p w14:paraId="0359DC50">
            <w:pPr>
              <w:adjustRightInd w:val="0"/>
              <w:snapToGrid w:val="0"/>
              <w:spacing w:line="360" w:lineRule="auto"/>
              <w:ind w:firstLine="482" w:firstLineChars="200"/>
              <w:rPr>
                <w:rFonts w:cs="宋体"/>
                <w:b/>
                <w:color w:val="auto"/>
                <w:sz w:val="24"/>
              </w:rPr>
            </w:pPr>
            <w:r>
              <w:rPr>
                <w:rFonts w:hint="eastAsia" w:cs="宋体"/>
                <w:b/>
                <w:color w:val="auto"/>
                <w:sz w:val="24"/>
              </w:rPr>
              <w:t>2、废气</w:t>
            </w:r>
          </w:p>
          <w:p w14:paraId="36EC6803">
            <w:pPr>
              <w:adjustRightInd w:val="0"/>
              <w:snapToGrid w:val="0"/>
              <w:spacing w:line="360" w:lineRule="auto"/>
              <w:ind w:firstLine="480" w:firstLineChars="200"/>
              <w:rPr>
                <w:rFonts w:cs="宋体"/>
                <w:bCs/>
                <w:color w:val="auto"/>
                <w:sz w:val="24"/>
              </w:rPr>
            </w:pPr>
            <w:r>
              <w:rPr>
                <w:rFonts w:hint="eastAsia" w:cs="宋体"/>
                <w:bCs/>
                <w:color w:val="auto"/>
                <w:sz w:val="24"/>
              </w:rPr>
              <w:t>（1）车辆行驶扬尘</w:t>
            </w:r>
          </w:p>
          <w:p w14:paraId="1D703190">
            <w:pPr>
              <w:adjustRightInd w:val="0"/>
              <w:snapToGrid w:val="0"/>
              <w:spacing w:line="360" w:lineRule="auto"/>
              <w:ind w:firstLine="480" w:firstLineChars="200"/>
              <w:rPr>
                <w:rFonts w:cs="宋体"/>
                <w:bCs/>
                <w:color w:val="auto"/>
                <w:sz w:val="24"/>
              </w:rPr>
            </w:pPr>
            <w:r>
              <w:rPr>
                <w:rFonts w:hint="eastAsia" w:cs="宋体"/>
                <w:bCs/>
                <w:color w:val="auto"/>
                <w:sz w:val="24"/>
              </w:rPr>
              <w:t>在施工期间对车辆行驶的路面实施洒水抑尘，同时降低车辆行驶速度，可有效地控制施工扬尘，可将TSP的污染距离缩小。另外，在运输车辆出入场时清洗车轮，对车厢进行加盖密封，可有效减少扬尘的产生。</w:t>
            </w:r>
          </w:p>
          <w:p w14:paraId="7EBFB2F0">
            <w:pPr>
              <w:adjustRightInd w:val="0"/>
              <w:snapToGrid w:val="0"/>
              <w:spacing w:line="360" w:lineRule="auto"/>
              <w:ind w:firstLine="480" w:firstLineChars="200"/>
              <w:rPr>
                <w:rFonts w:cs="宋体"/>
                <w:bCs/>
                <w:color w:val="auto"/>
                <w:sz w:val="24"/>
              </w:rPr>
            </w:pPr>
            <w:r>
              <w:rPr>
                <w:rFonts w:hint="eastAsia" w:cs="宋体"/>
                <w:bCs/>
                <w:color w:val="auto"/>
                <w:sz w:val="24"/>
              </w:rPr>
              <w:t>（2）施工扬尘</w:t>
            </w:r>
          </w:p>
          <w:p w14:paraId="2091899D">
            <w:pPr>
              <w:adjustRightInd w:val="0"/>
              <w:snapToGrid w:val="0"/>
              <w:spacing w:line="360" w:lineRule="auto"/>
              <w:ind w:firstLine="480" w:firstLineChars="200"/>
              <w:rPr>
                <w:rFonts w:cs="宋体"/>
                <w:bCs/>
                <w:color w:val="auto"/>
                <w:sz w:val="24"/>
              </w:rPr>
            </w:pPr>
            <w:r>
              <w:rPr>
                <w:rFonts w:hint="eastAsia" w:cs="宋体"/>
                <w:bCs/>
                <w:color w:val="auto"/>
                <w:sz w:val="24"/>
              </w:rPr>
              <w:t>经采取合理化管理、对容易起尘的作业面和土堆适当喷水、土堆和建筑材料遮盖、大风天停止作业（达到四级及以上风速时）等措施时，施工扬尘对环境的影响会大为降低。</w:t>
            </w:r>
          </w:p>
          <w:p w14:paraId="155DB924">
            <w:pPr>
              <w:adjustRightInd w:val="0"/>
              <w:snapToGrid w:val="0"/>
              <w:spacing w:line="360" w:lineRule="auto"/>
              <w:ind w:firstLine="480" w:firstLineChars="200"/>
              <w:rPr>
                <w:rFonts w:cs="宋体"/>
                <w:bCs/>
                <w:color w:val="auto"/>
                <w:sz w:val="24"/>
              </w:rPr>
            </w:pPr>
            <w:r>
              <w:rPr>
                <w:rFonts w:hint="eastAsia" w:cs="宋体"/>
                <w:bCs/>
                <w:color w:val="auto"/>
                <w:sz w:val="24"/>
              </w:rPr>
              <w:t>（3）施工机械和运输车辆排放的尾气</w:t>
            </w:r>
          </w:p>
          <w:p w14:paraId="0329C887">
            <w:pPr>
              <w:adjustRightInd w:val="0"/>
              <w:snapToGrid w:val="0"/>
              <w:spacing w:line="360" w:lineRule="auto"/>
              <w:ind w:firstLine="480" w:firstLineChars="200"/>
              <w:rPr>
                <w:rFonts w:cs="宋体"/>
                <w:bCs/>
                <w:color w:val="auto"/>
                <w:sz w:val="24"/>
              </w:rPr>
            </w:pPr>
            <w:r>
              <w:rPr>
                <w:rFonts w:hint="eastAsia" w:cs="宋体"/>
                <w:bCs/>
                <w:color w:val="auto"/>
                <w:sz w:val="24"/>
              </w:rPr>
              <w:t>施工期间，在用机动车、非道路移动机械所有人或者使用人应当对机动车、非道路移动机械进行维修保养，保持排气污染控制装置处于正常工作状态，不得拆除、闲置、擅自更改排气污染控制装置和车载排放诊断系统。施工单位和个人不得使用超过国家排放标准或者排放黑烟等可见污染物的非道路移动机械。</w:t>
            </w:r>
          </w:p>
          <w:p w14:paraId="35ECFC78">
            <w:pPr>
              <w:adjustRightInd w:val="0"/>
              <w:snapToGrid w:val="0"/>
              <w:spacing w:line="360" w:lineRule="auto"/>
              <w:ind w:firstLine="482" w:firstLineChars="200"/>
              <w:rPr>
                <w:rFonts w:cs="宋体"/>
                <w:b/>
                <w:color w:val="auto"/>
                <w:sz w:val="24"/>
              </w:rPr>
            </w:pPr>
            <w:r>
              <w:rPr>
                <w:rFonts w:hint="eastAsia" w:cs="宋体"/>
                <w:b/>
                <w:color w:val="auto"/>
                <w:sz w:val="24"/>
              </w:rPr>
              <w:t>3、废水</w:t>
            </w:r>
          </w:p>
          <w:p w14:paraId="58E04DEA">
            <w:pPr>
              <w:adjustRightInd w:val="0"/>
              <w:snapToGrid w:val="0"/>
              <w:spacing w:line="360" w:lineRule="auto"/>
              <w:ind w:firstLine="480" w:firstLineChars="200"/>
              <w:rPr>
                <w:rFonts w:cs="宋体"/>
                <w:bCs/>
                <w:color w:val="auto"/>
                <w:sz w:val="24"/>
              </w:rPr>
            </w:pPr>
            <w:r>
              <w:rPr>
                <w:rFonts w:hint="eastAsia" w:cs="宋体"/>
                <w:bCs/>
                <w:color w:val="auto"/>
                <w:sz w:val="24"/>
              </w:rPr>
              <w:t>（1）生活污水</w:t>
            </w:r>
          </w:p>
          <w:p w14:paraId="639521AC">
            <w:pPr>
              <w:adjustRightInd w:val="0"/>
              <w:snapToGrid w:val="0"/>
              <w:spacing w:line="360" w:lineRule="auto"/>
              <w:ind w:firstLine="480" w:firstLineChars="200"/>
              <w:rPr>
                <w:rFonts w:cs="宋体"/>
                <w:bCs/>
                <w:color w:val="auto"/>
                <w:sz w:val="24"/>
              </w:rPr>
            </w:pPr>
            <w:r>
              <w:rPr>
                <w:rFonts w:hint="eastAsia" w:cs="宋体"/>
                <w:bCs/>
                <w:color w:val="auto"/>
                <w:sz w:val="24"/>
              </w:rPr>
              <w:t>项目施工期不设置生活营地，线路施工人员均租住周边村镇民房。所产生的生活污水就近利用当地设施处理，对周边水环境影响不大。</w:t>
            </w:r>
          </w:p>
          <w:p w14:paraId="477F778D">
            <w:pPr>
              <w:adjustRightInd w:val="0"/>
              <w:snapToGrid w:val="0"/>
              <w:spacing w:line="360" w:lineRule="auto"/>
              <w:ind w:firstLine="480" w:firstLineChars="200"/>
              <w:rPr>
                <w:rFonts w:cs="宋体"/>
                <w:bCs/>
                <w:color w:val="auto"/>
                <w:sz w:val="24"/>
              </w:rPr>
            </w:pPr>
            <w:r>
              <w:rPr>
                <w:rFonts w:hint="eastAsia" w:cs="宋体"/>
                <w:bCs/>
                <w:color w:val="auto"/>
                <w:sz w:val="24"/>
              </w:rPr>
              <w:t>（2）施工废水</w:t>
            </w:r>
          </w:p>
          <w:p w14:paraId="341DB6CC">
            <w:pPr>
              <w:adjustRightInd w:val="0"/>
              <w:snapToGrid w:val="0"/>
              <w:spacing w:line="360" w:lineRule="auto"/>
              <w:ind w:firstLine="480" w:firstLineChars="200"/>
              <w:rPr>
                <w:rFonts w:cs="宋体"/>
                <w:bCs/>
                <w:color w:val="auto"/>
                <w:sz w:val="24"/>
              </w:rPr>
            </w:pPr>
            <w:r>
              <w:rPr>
                <w:rFonts w:hint="eastAsia" w:cs="宋体"/>
                <w:bCs/>
                <w:color w:val="auto"/>
                <w:sz w:val="24"/>
              </w:rPr>
              <w:t>项目在施工工地设置沉淀池，施工废水经沉淀处理后，回用于场地洒水抑尘，不外排。</w:t>
            </w:r>
          </w:p>
          <w:p w14:paraId="3DF47AF0">
            <w:pPr>
              <w:adjustRightInd w:val="0"/>
              <w:snapToGrid w:val="0"/>
              <w:spacing w:line="360" w:lineRule="auto"/>
              <w:ind w:firstLine="482" w:firstLineChars="200"/>
              <w:rPr>
                <w:rFonts w:cs="宋体"/>
                <w:b/>
                <w:color w:val="auto"/>
                <w:sz w:val="24"/>
              </w:rPr>
            </w:pPr>
            <w:r>
              <w:rPr>
                <w:rFonts w:hint="eastAsia" w:cs="宋体"/>
                <w:b/>
                <w:color w:val="auto"/>
                <w:sz w:val="24"/>
              </w:rPr>
              <w:t>4、噪声</w:t>
            </w:r>
          </w:p>
          <w:p w14:paraId="5E6307C0">
            <w:pPr>
              <w:adjustRightInd w:val="0"/>
              <w:snapToGrid w:val="0"/>
              <w:spacing w:line="360" w:lineRule="auto"/>
              <w:ind w:firstLine="480" w:firstLineChars="200"/>
              <w:rPr>
                <w:rFonts w:cs="宋体"/>
                <w:bCs/>
                <w:color w:val="auto"/>
                <w:sz w:val="24"/>
              </w:rPr>
            </w:pPr>
            <w:r>
              <w:rPr>
                <w:rFonts w:hint="eastAsia" w:cs="宋体"/>
                <w:bCs/>
                <w:color w:val="auto"/>
                <w:sz w:val="24"/>
              </w:rPr>
              <w:t>（1）合理安排施工作业时间。作业不得在中午12:00~14:00及夜间22:00~次日6:00开展。</w:t>
            </w:r>
          </w:p>
          <w:p w14:paraId="72F20EEF">
            <w:pPr>
              <w:adjustRightInd w:val="0"/>
              <w:snapToGrid w:val="0"/>
              <w:spacing w:line="360" w:lineRule="auto"/>
              <w:ind w:firstLine="480" w:firstLineChars="200"/>
              <w:rPr>
                <w:rFonts w:cs="宋体"/>
                <w:bCs/>
                <w:color w:val="auto"/>
                <w:sz w:val="24"/>
              </w:rPr>
            </w:pPr>
            <w:r>
              <w:rPr>
                <w:rFonts w:hint="eastAsia" w:cs="宋体"/>
                <w:bCs/>
                <w:color w:val="auto"/>
                <w:sz w:val="24"/>
              </w:rPr>
              <w:t>（2）设置临时施工隔声板。</w:t>
            </w:r>
          </w:p>
          <w:p w14:paraId="53EAF2E5">
            <w:pPr>
              <w:adjustRightInd w:val="0"/>
              <w:snapToGrid w:val="0"/>
              <w:spacing w:line="360" w:lineRule="auto"/>
              <w:ind w:firstLine="480" w:firstLineChars="200"/>
              <w:rPr>
                <w:rFonts w:cs="宋体"/>
                <w:bCs/>
                <w:color w:val="auto"/>
                <w:sz w:val="24"/>
              </w:rPr>
            </w:pPr>
            <w:r>
              <w:rPr>
                <w:rFonts w:hint="eastAsia" w:cs="宋体"/>
                <w:bCs/>
                <w:color w:val="auto"/>
                <w:sz w:val="24"/>
              </w:rPr>
              <w:t>（3）采用低噪声机械，工程施工所用的施工机械设备应事先对其进行常规工作状态下的噪声测量，超过国家标准的机械应禁止其入场施工；施工期间要注意保养机械，使机械维持最低声级水平。</w:t>
            </w:r>
          </w:p>
          <w:p w14:paraId="7388123B">
            <w:pPr>
              <w:adjustRightInd w:val="0"/>
              <w:snapToGrid w:val="0"/>
              <w:spacing w:line="360" w:lineRule="auto"/>
              <w:ind w:firstLine="480" w:firstLineChars="200"/>
              <w:rPr>
                <w:rFonts w:cs="宋体"/>
                <w:bCs/>
                <w:color w:val="auto"/>
                <w:sz w:val="24"/>
              </w:rPr>
            </w:pPr>
            <w:r>
              <w:rPr>
                <w:rFonts w:hint="eastAsia" w:cs="宋体"/>
                <w:bCs/>
                <w:color w:val="auto"/>
                <w:sz w:val="24"/>
              </w:rPr>
              <w:t>（4）加强对运输车辆的管理，优化运输方案，夜间运输或经过村庄路段要采取减速缓行、禁止鸣笛等措施。</w:t>
            </w:r>
          </w:p>
          <w:p w14:paraId="00677361">
            <w:pPr>
              <w:adjustRightInd w:val="0"/>
              <w:snapToGrid w:val="0"/>
              <w:spacing w:line="360" w:lineRule="auto"/>
              <w:ind w:left="210" w:leftChars="100" w:firstLine="241" w:firstLineChars="100"/>
              <w:rPr>
                <w:rFonts w:cs="宋体"/>
                <w:b/>
                <w:color w:val="auto"/>
                <w:sz w:val="24"/>
              </w:rPr>
            </w:pPr>
            <w:r>
              <w:rPr>
                <w:rFonts w:hint="eastAsia" w:cs="宋体"/>
                <w:b/>
                <w:color w:val="auto"/>
                <w:sz w:val="24"/>
              </w:rPr>
              <w:t>5、固体废物</w:t>
            </w:r>
          </w:p>
          <w:p w14:paraId="0C81443F">
            <w:pPr>
              <w:adjustRightInd w:val="0"/>
              <w:snapToGrid w:val="0"/>
              <w:spacing w:line="360" w:lineRule="auto"/>
              <w:ind w:firstLine="480" w:firstLineChars="200"/>
              <w:rPr>
                <w:rFonts w:hint="eastAsia" w:eastAsia="宋体" w:cs="宋体"/>
                <w:bCs/>
                <w:color w:val="auto"/>
                <w:sz w:val="24"/>
                <w:lang w:eastAsia="zh-CN"/>
              </w:rPr>
            </w:pPr>
            <w:r>
              <w:rPr>
                <w:rFonts w:hint="eastAsia" w:cs="宋体"/>
                <w:bCs/>
                <w:color w:val="auto"/>
                <w:sz w:val="24"/>
              </w:rPr>
              <w:t>（</w:t>
            </w:r>
            <w:r>
              <w:rPr>
                <w:rFonts w:cs="宋体"/>
                <w:bCs/>
                <w:color w:val="auto"/>
                <w:sz w:val="24"/>
              </w:rPr>
              <w:t>1</w:t>
            </w:r>
            <w:r>
              <w:rPr>
                <w:rFonts w:hint="eastAsia" w:cs="宋体"/>
                <w:bCs/>
                <w:color w:val="auto"/>
                <w:sz w:val="24"/>
              </w:rPr>
              <w:t>）建筑垃圾</w:t>
            </w:r>
          </w:p>
          <w:p w14:paraId="7C18B53C">
            <w:pPr>
              <w:adjustRightInd w:val="0"/>
              <w:snapToGrid w:val="0"/>
              <w:spacing w:line="360" w:lineRule="auto"/>
              <w:ind w:firstLine="480" w:firstLineChars="200"/>
              <w:rPr>
                <w:rFonts w:cs="宋体"/>
                <w:bCs/>
                <w:color w:val="auto"/>
                <w:sz w:val="24"/>
              </w:rPr>
            </w:pPr>
            <w:r>
              <w:rPr>
                <w:rFonts w:hint="eastAsia" w:cs="宋体"/>
                <w:bCs/>
                <w:color w:val="auto"/>
                <w:sz w:val="24"/>
              </w:rPr>
              <w:t>建筑垃圾中可回收利用的部分统一回收后外卖给废品收购站综合利用，不可回收利用的，集中收集后运至市政部门指定地点消纳处理。</w:t>
            </w:r>
            <w:r>
              <w:rPr>
                <w:rFonts w:hint="eastAsia" w:cs="Times New Roman"/>
                <w:color w:val="auto"/>
                <w:spacing w:val="-3"/>
                <w:sz w:val="24"/>
                <w:szCs w:val="24"/>
                <w:lang w:eastAsia="zh-CN"/>
              </w:rPr>
              <w:t>废弃土方外运港口区公车建筑垃圾临时消纳场处置。</w:t>
            </w:r>
          </w:p>
          <w:p w14:paraId="2FAC74B9">
            <w:pPr>
              <w:adjustRightInd w:val="0"/>
              <w:snapToGrid w:val="0"/>
              <w:spacing w:line="360" w:lineRule="auto"/>
              <w:ind w:firstLine="480" w:firstLineChars="200"/>
              <w:rPr>
                <w:rFonts w:cs="宋体"/>
                <w:bCs/>
                <w:color w:val="auto"/>
                <w:sz w:val="24"/>
              </w:rPr>
            </w:pPr>
            <w:r>
              <w:rPr>
                <w:rFonts w:hint="eastAsia" w:cs="宋体"/>
                <w:bCs/>
                <w:color w:val="auto"/>
                <w:sz w:val="24"/>
              </w:rPr>
              <w:t>（</w:t>
            </w:r>
            <w:r>
              <w:rPr>
                <w:rFonts w:cs="宋体"/>
                <w:bCs/>
                <w:color w:val="auto"/>
                <w:sz w:val="24"/>
              </w:rPr>
              <w:t>2</w:t>
            </w:r>
            <w:r>
              <w:rPr>
                <w:rFonts w:hint="eastAsia" w:cs="宋体"/>
                <w:bCs/>
                <w:color w:val="auto"/>
                <w:sz w:val="24"/>
              </w:rPr>
              <w:t>）施工人员生活垃圾</w:t>
            </w:r>
          </w:p>
          <w:p w14:paraId="2A0DDF0C">
            <w:pPr>
              <w:adjustRightInd w:val="0"/>
              <w:snapToGrid w:val="0"/>
              <w:spacing w:line="360" w:lineRule="auto"/>
              <w:ind w:firstLine="480" w:firstLineChars="200"/>
              <w:rPr>
                <w:rFonts w:cs="宋体"/>
                <w:bCs/>
                <w:color w:val="auto"/>
                <w:sz w:val="24"/>
              </w:rPr>
            </w:pPr>
            <w:r>
              <w:rPr>
                <w:rFonts w:hint="eastAsia" w:cs="宋体"/>
                <w:bCs/>
                <w:color w:val="auto"/>
                <w:sz w:val="24"/>
              </w:rPr>
              <w:t>施工人员生活垃圾经收集后由环卫部门清运处理。</w:t>
            </w:r>
          </w:p>
        </w:tc>
      </w:tr>
      <w:tr w14:paraId="4712D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7" w:type="dxa"/>
            <w:tcMar>
              <w:left w:w="28" w:type="dxa"/>
              <w:right w:w="28" w:type="dxa"/>
            </w:tcMar>
            <w:vAlign w:val="center"/>
          </w:tcPr>
          <w:p w14:paraId="6053AC18">
            <w:pPr>
              <w:adjustRightInd w:val="0"/>
              <w:snapToGrid w:val="0"/>
              <w:jc w:val="center"/>
              <w:rPr>
                <w:rFonts w:cs="宋体"/>
                <w:bCs/>
                <w:color w:val="auto"/>
                <w:spacing w:val="10"/>
                <w:sz w:val="24"/>
              </w:rPr>
            </w:pPr>
            <w:r>
              <w:rPr>
                <w:rFonts w:hint="eastAsia" w:cs="宋体"/>
                <w:bCs/>
                <w:color w:val="auto"/>
                <w:spacing w:val="10"/>
                <w:sz w:val="24"/>
              </w:rPr>
              <w:t>运营期生态环境保护措施</w:t>
            </w:r>
          </w:p>
        </w:tc>
        <w:tc>
          <w:tcPr>
            <w:tcW w:w="8653" w:type="dxa"/>
          </w:tcPr>
          <w:p w14:paraId="163EBE88">
            <w:pPr>
              <w:adjustRightInd w:val="0"/>
              <w:snapToGrid w:val="0"/>
              <w:spacing w:line="360" w:lineRule="auto"/>
              <w:ind w:firstLine="482" w:firstLineChars="200"/>
              <w:rPr>
                <w:rFonts w:cs="宋体"/>
                <w:b/>
                <w:color w:val="auto"/>
                <w:sz w:val="24"/>
              </w:rPr>
            </w:pPr>
            <w:r>
              <w:rPr>
                <w:rFonts w:hint="eastAsia" w:cs="宋体"/>
                <w:b/>
                <w:color w:val="auto"/>
                <w:sz w:val="24"/>
              </w:rPr>
              <w:t>1、生态环境</w:t>
            </w:r>
          </w:p>
          <w:p w14:paraId="05524B9E">
            <w:pPr>
              <w:adjustRightInd w:val="0"/>
              <w:snapToGrid w:val="0"/>
              <w:spacing w:line="360" w:lineRule="auto"/>
              <w:ind w:firstLine="480" w:firstLineChars="200"/>
              <w:rPr>
                <w:rFonts w:cs="宋体"/>
                <w:bCs/>
                <w:color w:val="auto"/>
                <w:sz w:val="24"/>
              </w:rPr>
            </w:pPr>
            <w:r>
              <w:rPr>
                <w:rFonts w:hint="eastAsia" w:cs="宋体"/>
                <w:bCs/>
                <w:color w:val="auto"/>
                <w:sz w:val="24"/>
              </w:rPr>
              <w:t>①运营期应加强巡护和管理，设备检修和维护期间。</w:t>
            </w:r>
          </w:p>
          <w:p w14:paraId="31766715">
            <w:pPr>
              <w:adjustRightInd w:val="0"/>
              <w:snapToGrid w:val="0"/>
              <w:spacing w:line="360" w:lineRule="auto"/>
              <w:ind w:firstLine="480" w:firstLineChars="200"/>
              <w:rPr>
                <w:rFonts w:cs="宋体"/>
                <w:bCs/>
                <w:color w:val="auto"/>
                <w:sz w:val="24"/>
              </w:rPr>
            </w:pPr>
            <w:r>
              <w:rPr>
                <w:rFonts w:hint="eastAsia" w:cs="宋体"/>
                <w:bCs/>
                <w:color w:val="auto"/>
                <w:sz w:val="24"/>
              </w:rPr>
              <w:t>②按照施工设计要求，边坡采取绿化措施，运营过程及时维护，确保绿化效果。</w:t>
            </w:r>
          </w:p>
          <w:p w14:paraId="540799A9">
            <w:pPr>
              <w:adjustRightInd w:val="0"/>
              <w:snapToGrid w:val="0"/>
              <w:spacing w:line="360" w:lineRule="auto"/>
              <w:ind w:firstLine="482" w:firstLineChars="200"/>
              <w:rPr>
                <w:rFonts w:hint="default" w:ascii="Times New Roman" w:hAnsi="Times New Roman" w:eastAsia="宋体" w:cs="宋体"/>
                <w:b/>
                <w:color w:val="auto"/>
                <w:sz w:val="24"/>
              </w:rPr>
            </w:pPr>
            <w:r>
              <w:rPr>
                <w:rFonts w:hint="eastAsia" w:ascii="Times New Roman" w:hAnsi="Times New Roman" w:eastAsia="宋体" w:cs="宋体"/>
                <w:b/>
                <w:color w:val="auto"/>
                <w:sz w:val="24"/>
                <w:lang w:val="en-US" w:eastAsia="zh-CN"/>
              </w:rPr>
              <w:t>2、</w:t>
            </w:r>
            <w:r>
              <w:rPr>
                <w:rFonts w:hint="default" w:ascii="Times New Roman" w:hAnsi="Times New Roman" w:eastAsia="宋体" w:cs="宋体"/>
                <w:b/>
                <w:color w:val="auto"/>
                <w:sz w:val="24"/>
              </w:rPr>
              <w:t>废气防治措施</w:t>
            </w:r>
          </w:p>
          <w:p w14:paraId="56E547A0">
            <w:pPr>
              <w:adjustRightInd w:val="0"/>
              <w:snapToGrid w:val="0"/>
              <w:spacing w:line="360" w:lineRule="auto"/>
              <w:ind w:firstLine="480" w:firstLineChars="200"/>
              <w:rPr>
                <w:rFonts w:cs="宋体"/>
                <w:bCs/>
                <w:color w:val="auto"/>
                <w:sz w:val="24"/>
              </w:rPr>
            </w:pPr>
            <w:r>
              <w:rPr>
                <w:rFonts w:hint="eastAsia" w:cs="宋体"/>
                <w:bCs/>
                <w:color w:val="auto"/>
                <w:sz w:val="24"/>
              </w:rPr>
              <w:t>（</w:t>
            </w:r>
            <w:r>
              <w:rPr>
                <w:rFonts w:hint="eastAsia" w:cs="宋体"/>
                <w:bCs/>
                <w:color w:val="auto"/>
                <w:sz w:val="24"/>
                <w:lang w:val="en-US" w:eastAsia="zh-CN"/>
              </w:rPr>
              <w:t>1</w:t>
            </w:r>
            <w:r>
              <w:rPr>
                <w:rFonts w:hint="eastAsia" w:cs="宋体"/>
                <w:bCs/>
                <w:color w:val="auto"/>
                <w:sz w:val="24"/>
              </w:rPr>
              <w:t>）运输扬尘</w:t>
            </w:r>
          </w:p>
          <w:p w14:paraId="420794D1">
            <w:pPr>
              <w:adjustRightInd w:val="0"/>
              <w:snapToGrid w:val="0"/>
              <w:spacing w:line="360" w:lineRule="auto"/>
              <w:ind w:firstLine="480" w:firstLineChars="200"/>
              <w:rPr>
                <w:rFonts w:hint="eastAsia" w:eastAsia="宋体" w:cs="宋体"/>
                <w:b/>
                <w:color w:val="auto"/>
                <w:sz w:val="24"/>
                <w:lang w:val="en-US" w:eastAsia="zh-CN"/>
              </w:rPr>
            </w:pPr>
            <w:r>
              <w:rPr>
                <w:rFonts w:hint="eastAsia" w:cs="宋体"/>
                <w:bCs/>
                <w:color w:val="auto"/>
                <w:sz w:val="24"/>
                <w:lang w:val="en-US" w:eastAsia="zh-CN"/>
              </w:rPr>
              <w:t>集装箱堆场</w:t>
            </w:r>
            <w:r>
              <w:rPr>
                <w:rFonts w:hint="eastAsia" w:cs="宋体"/>
                <w:bCs/>
                <w:color w:val="auto"/>
                <w:sz w:val="24"/>
              </w:rPr>
              <w:t>道路水泥硬化，采用洒水车定期洒水，长期保持道路湿度，并不间断清扫保洁，</w:t>
            </w:r>
            <w:r>
              <w:rPr>
                <w:rFonts w:hint="eastAsia" w:cs="宋体"/>
                <w:bCs/>
                <w:color w:val="auto"/>
                <w:sz w:val="24"/>
                <w:lang w:val="en-US" w:eastAsia="zh-CN"/>
              </w:rPr>
              <w:t>车辆进出清洗</w:t>
            </w:r>
            <w:r>
              <w:rPr>
                <w:rFonts w:hint="eastAsia" w:cs="宋体"/>
                <w:bCs/>
                <w:color w:val="auto"/>
                <w:sz w:val="24"/>
              </w:rPr>
              <w:t>。</w:t>
            </w:r>
          </w:p>
          <w:p w14:paraId="3A0B7454">
            <w:pPr>
              <w:adjustRightInd w:val="0"/>
              <w:snapToGrid w:val="0"/>
              <w:spacing w:line="360" w:lineRule="auto"/>
              <w:ind w:firstLine="480" w:firstLineChars="200"/>
              <w:rPr>
                <w:rFonts w:hint="eastAsia" w:cs="宋体"/>
                <w:bCs/>
                <w:color w:val="auto"/>
                <w:sz w:val="24"/>
              </w:rPr>
            </w:pPr>
            <w:r>
              <w:rPr>
                <w:rFonts w:hint="eastAsia" w:cs="宋体"/>
                <w:bCs/>
                <w:color w:val="auto"/>
                <w:sz w:val="24"/>
              </w:rPr>
              <w:t>（</w:t>
            </w:r>
            <w:r>
              <w:rPr>
                <w:rFonts w:hint="eastAsia" w:cs="宋体"/>
                <w:bCs/>
                <w:color w:val="auto"/>
                <w:sz w:val="24"/>
                <w:lang w:val="en-US" w:eastAsia="zh-CN"/>
              </w:rPr>
              <w:t>2</w:t>
            </w:r>
            <w:r>
              <w:rPr>
                <w:rFonts w:hint="eastAsia" w:cs="宋体"/>
                <w:bCs/>
                <w:color w:val="auto"/>
                <w:sz w:val="24"/>
              </w:rPr>
              <w:t>）</w:t>
            </w:r>
            <w:r>
              <w:rPr>
                <w:rFonts w:hint="eastAsia" w:cs="宋体"/>
                <w:bCs/>
                <w:color w:val="auto"/>
                <w:sz w:val="24"/>
                <w:lang w:val="en-US" w:eastAsia="zh-CN"/>
              </w:rPr>
              <w:t>内燃牵引机、运输车辆和装卸设备废气</w:t>
            </w:r>
          </w:p>
          <w:p w14:paraId="684B2A18">
            <w:pPr>
              <w:adjustRightInd w:val="0"/>
              <w:snapToGrid w:val="0"/>
              <w:spacing w:line="360" w:lineRule="auto"/>
              <w:ind w:firstLine="480" w:firstLineChars="200"/>
              <w:rPr>
                <w:rFonts w:hint="eastAsia" w:eastAsia="宋体" w:cs="宋体"/>
                <w:bCs/>
                <w:color w:val="auto"/>
                <w:sz w:val="24"/>
                <w:lang w:eastAsia="zh-CN"/>
              </w:rPr>
            </w:pPr>
            <w:r>
              <w:rPr>
                <w:rFonts w:hint="eastAsia" w:ascii="宋体" w:hAnsi="宋体" w:eastAsia="宋体" w:cs="宋体"/>
                <w:color w:val="auto"/>
                <w:kern w:val="0"/>
                <w:sz w:val="24"/>
                <w:szCs w:val="24"/>
                <w:lang w:val="en-US" w:eastAsia="zh-CN" w:bidi="ar"/>
              </w:rPr>
              <w:t>通过采取选用符合环保要求低排放的内燃机车</w:t>
            </w:r>
            <w:r>
              <w:rPr>
                <w:rFonts w:hint="eastAsia" w:cs="宋体"/>
                <w:bCs/>
                <w:color w:val="auto"/>
                <w:sz w:val="24"/>
                <w:lang w:val="en-US" w:eastAsia="zh-CN"/>
              </w:rPr>
              <w:t>、运输车辆和装卸设备</w:t>
            </w:r>
            <w:r>
              <w:rPr>
                <w:rFonts w:hint="eastAsia" w:ascii="宋体" w:hAnsi="宋体" w:eastAsia="宋体" w:cs="宋体"/>
                <w:color w:val="auto"/>
                <w:kern w:val="0"/>
                <w:sz w:val="24"/>
                <w:szCs w:val="24"/>
                <w:lang w:val="en-US" w:eastAsia="zh-CN" w:bidi="ar"/>
              </w:rPr>
              <w:t>，加强内燃机调节，提高燃料燃烧率等措施</w:t>
            </w:r>
            <w:r>
              <w:rPr>
                <w:rFonts w:hint="eastAsia" w:ascii="宋体" w:hAnsi="宋体" w:cs="宋体"/>
                <w:color w:val="auto"/>
                <w:kern w:val="0"/>
                <w:sz w:val="24"/>
                <w:szCs w:val="24"/>
                <w:lang w:val="en-US" w:eastAsia="zh-CN" w:bidi="ar"/>
              </w:rPr>
              <w:t>。</w:t>
            </w:r>
            <w:r>
              <w:rPr>
                <w:rFonts w:hint="default"/>
                <w:color w:val="auto"/>
                <w:sz w:val="24"/>
                <w:szCs w:val="24"/>
              </w:rPr>
              <w:t>加强机械车辆的保养、维修，使其保持正常运行</w:t>
            </w:r>
            <w:r>
              <w:rPr>
                <w:rFonts w:hint="eastAsia"/>
                <w:color w:val="auto"/>
                <w:sz w:val="24"/>
                <w:szCs w:val="24"/>
                <w:lang w:eastAsia="zh-CN"/>
              </w:rPr>
              <w:t>；</w:t>
            </w:r>
            <w:r>
              <w:rPr>
                <w:rFonts w:hint="default"/>
                <w:color w:val="auto"/>
                <w:sz w:val="24"/>
                <w:szCs w:val="24"/>
              </w:rPr>
              <w:t>使用合格的燃料油</w:t>
            </w:r>
            <w:r>
              <w:rPr>
                <w:rFonts w:hint="eastAsia"/>
                <w:color w:val="auto"/>
                <w:sz w:val="24"/>
                <w:szCs w:val="24"/>
                <w:lang w:eastAsia="zh-CN"/>
              </w:rPr>
              <w:t>；</w:t>
            </w:r>
            <w:r>
              <w:rPr>
                <w:rFonts w:hint="default"/>
                <w:color w:val="auto"/>
                <w:sz w:val="24"/>
                <w:szCs w:val="24"/>
              </w:rPr>
              <w:t>疏导好场内交通、减少机械车辆的怠速行驶时间</w:t>
            </w:r>
            <w:r>
              <w:rPr>
                <w:rFonts w:hint="eastAsia"/>
                <w:color w:val="auto"/>
                <w:sz w:val="24"/>
                <w:szCs w:val="24"/>
                <w:lang w:eastAsia="zh-CN"/>
              </w:rPr>
              <w:t>；</w:t>
            </w:r>
            <w:r>
              <w:rPr>
                <w:rFonts w:hint="default"/>
                <w:color w:val="auto"/>
                <w:sz w:val="24"/>
                <w:szCs w:val="24"/>
              </w:rPr>
              <w:t>注意道路清扫工作，适当喷淋，减少扬尘</w:t>
            </w:r>
            <w:r>
              <w:rPr>
                <w:rFonts w:hint="eastAsia"/>
                <w:color w:val="auto"/>
                <w:sz w:val="24"/>
                <w:szCs w:val="24"/>
                <w:lang w:eastAsia="zh-CN"/>
              </w:rPr>
              <w:t>。</w:t>
            </w:r>
          </w:p>
          <w:p w14:paraId="16027FE3">
            <w:pPr>
              <w:numPr>
                <w:ilvl w:val="0"/>
                <w:numId w:val="1"/>
              </w:numPr>
              <w:adjustRightInd w:val="0"/>
              <w:snapToGrid w:val="0"/>
              <w:spacing w:line="360" w:lineRule="auto"/>
              <w:ind w:firstLine="482" w:firstLineChars="200"/>
              <w:rPr>
                <w:rFonts w:hint="eastAsia" w:cs="宋体"/>
                <w:b/>
                <w:color w:val="auto"/>
                <w:sz w:val="24"/>
                <w:lang w:val="en-US" w:eastAsia="zh-CN"/>
              </w:rPr>
            </w:pPr>
            <w:r>
              <w:rPr>
                <w:rFonts w:hint="eastAsia" w:cs="宋体"/>
                <w:b/>
                <w:color w:val="auto"/>
                <w:sz w:val="24"/>
                <w:lang w:val="en-US" w:eastAsia="zh-CN"/>
              </w:rPr>
              <w:t>废水防治措施</w:t>
            </w:r>
          </w:p>
          <w:p w14:paraId="74B545EC">
            <w:pPr>
              <w:adjustRightInd w:val="0"/>
              <w:snapToGrid w:val="0"/>
              <w:spacing w:line="360" w:lineRule="auto"/>
              <w:ind w:firstLine="480" w:firstLineChars="200"/>
              <w:rPr>
                <w:rFonts w:hint="default" w:ascii="Times New Roman" w:hAnsi="Times New Roman" w:eastAsia="宋体" w:cs="Times New Roman"/>
                <w:bCs/>
                <w:color w:val="auto"/>
                <w:spacing w:val="-10"/>
                <w:sz w:val="24"/>
                <w:lang w:val="en-US" w:eastAsia="zh-CN"/>
              </w:rPr>
            </w:pPr>
            <w:r>
              <w:rPr>
                <w:rFonts w:hint="default" w:ascii="Times New Roman" w:hAnsi="Times New Roman" w:eastAsia="宋体" w:cs="宋体"/>
                <w:bCs/>
                <w:color w:val="auto"/>
                <w:kern w:val="2"/>
                <w:sz w:val="24"/>
                <w:szCs w:val="24"/>
                <w:lang w:val="en-US" w:eastAsia="zh-CN" w:bidi="ar-SA"/>
              </w:rPr>
              <w:t>项目集装箱堆场内降尘用水全部挥发，不产生生产废水。生活污水经化粪池处理后定期清理外运施肥。</w:t>
            </w:r>
            <w:r>
              <w:rPr>
                <w:rFonts w:hint="eastAsia" w:cs="宋体"/>
                <w:bCs/>
                <w:color w:val="auto"/>
                <w:kern w:val="2"/>
                <w:sz w:val="24"/>
                <w:szCs w:val="24"/>
                <w:lang w:val="en-US" w:eastAsia="zh-CN" w:bidi="ar-SA"/>
              </w:rPr>
              <w:t>无废水</w:t>
            </w:r>
            <w:r>
              <w:rPr>
                <w:rFonts w:hint="eastAsia" w:cs="Times New Roman"/>
                <w:color w:val="auto"/>
                <w:spacing w:val="12"/>
                <w:sz w:val="24"/>
                <w:lang w:val="en-US" w:eastAsia="zh-CN"/>
              </w:rPr>
              <w:t>外排</w:t>
            </w:r>
            <w:r>
              <w:rPr>
                <w:rFonts w:hint="eastAsia" w:ascii="Times New Roman" w:hAnsi="Times New Roman" w:cs="Times New Roman"/>
                <w:color w:val="auto"/>
                <w:spacing w:val="12"/>
                <w:sz w:val="24"/>
                <w:lang w:val="en-US" w:eastAsia="zh-CN"/>
              </w:rPr>
              <w:t>。</w:t>
            </w:r>
          </w:p>
          <w:p w14:paraId="1C219163">
            <w:pPr>
              <w:adjustRightInd w:val="0"/>
              <w:snapToGrid w:val="0"/>
              <w:spacing w:line="360" w:lineRule="auto"/>
              <w:ind w:firstLine="482" w:firstLineChars="200"/>
              <w:rPr>
                <w:rFonts w:cs="宋体"/>
                <w:b/>
                <w:color w:val="auto"/>
                <w:sz w:val="24"/>
              </w:rPr>
            </w:pPr>
            <w:r>
              <w:rPr>
                <w:rFonts w:hint="eastAsia" w:cs="宋体"/>
                <w:b/>
                <w:color w:val="auto"/>
                <w:sz w:val="24"/>
                <w:lang w:val="en-US" w:eastAsia="zh-CN"/>
              </w:rPr>
              <w:t>3</w:t>
            </w:r>
            <w:r>
              <w:rPr>
                <w:rFonts w:hint="eastAsia" w:cs="宋体"/>
                <w:b/>
                <w:color w:val="auto"/>
                <w:sz w:val="24"/>
              </w:rPr>
              <w:t>、声环境</w:t>
            </w:r>
            <w:r>
              <w:rPr>
                <w:rFonts w:hint="eastAsia" w:cs="宋体"/>
                <w:b/>
                <w:color w:val="auto"/>
                <w:sz w:val="24"/>
                <w:lang w:val="en-US" w:eastAsia="zh-CN"/>
              </w:rPr>
              <w:t>防治措施</w:t>
            </w:r>
          </w:p>
          <w:p w14:paraId="2C45755F">
            <w:pPr>
              <w:adjustRightInd w:val="0"/>
              <w:snapToGrid w:val="0"/>
              <w:spacing w:line="360" w:lineRule="auto"/>
              <w:ind w:firstLine="480" w:firstLineChars="200"/>
              <w:rPr>
                <w:rFonts w:hint="eastAsia" w:cs="宋体"/>
                <w:bCs/>
                <w:color w:val="auto"/>
                <w:sz w:val="24"/>
              </w:rPr>
            </w:pPr>
            <w:bookmarkStart w:id="15" w:name="_Hlk144227083"/>
            <w:r>
              <w:rPr>
                <w:rFonts w:hint="eastAsia" w:cs="宋体"/>
                <w:bCs/>
                <w:color w:val="auto"/>
                <w:sz w:val="24"/>
                <w:lang w:val="en-US" w:eastAsia="zh-CN"/>
              </w:rPr>
              <w:t>（1）合理规划及建筑布局、控制铁路两侧用地</w:t>
            </w:r>
          </w:p>
          <w:p w14:paraId="4BDF4D76">
            <w:pPr>
              <w:adjustRightInd w:val="0"/>
              <w:snapToGrid w:val="0"/>
              <w:spacing w:line="360" w:lineRule="auto"/>
              <w:ind w:firstLine="480" w:firstLineChars="200"/>
              <w:rPr>
                <w:rFonts w:hint="eastAsia" w:cs="宋体"/>
                <w:bCs/>
                <w:color w:val="auto"/>
                <w:sz w:val="24"/>
              </w:rPr>
            </w:pPr>
            <w:r>
              <w:rPr>
                <w:rFonts w:hint="eastAsia" w:cs="宋体"/>
                <w:bCs/>
                <w:color w:val="auto"/>
                <w:sz w:val="24"/>
                <w:lang w:val="en-US" w:eastAsia="zh-CN"/>
              </w:rPr>
              <w:t>铁路建设不可避免地对沿线声环境带来负面影响，因此建议项目所在当地政府在规划使用铁路两侧用地及建筑物布局时，应依据国家声环境质量标准和民用建筑设计规范，合理规定建筑物与交通干道的防噪声距离，并提出相应的规划设计要求，对铁路两侧土地进行合理规划，严格控制沿线土地的使用功能。</w:t>
            </w:r>
          </w:p>
          <w:p w14:paraId="3579B9F8">
            <w:pPr>
              <w:adjustRightInd w:val="0"/>
              <w:snapToGrid w:val="0"/>
              <w:spacing w:line="360" w:lineRule="auto"/>
              <w:ind w:firstLine="480" w:firstLineChars="200"/>
              <w:rPr>
                <w:rFonts w:hint="eastAsia" w:cs="宋体"/>
                <w:bCs/>
                <w:color w:val="auto"/>
                <w:sz w:val="24"/>
              </w:rPr>
            </w:pPr>
            <w:r>
              <w:rPr>
                <w:rFonts w:hint="eastAsia" w:cs="宋体"/>
                <w:bCs/>
                <w:color w:val="auto"/>
                <w:sz w:val="24"/>
                <w:lang w:val="en-US" w:eastAsia="zh-CN"/>
              </w:rPr>
              <w:t>建设单位应配合地方土地行政主管部门合理规划铁路沿线的土地利用规划。相关主管部门制定规划时，建议依据《声环境功能区划分技术规范》(GB/T15190－2014)</w:t>
            </w:r>
            <w:r>
              <w:rPr>
                <w:rFonts w:hint="eastAsia"/>
                <w:color w:val="auto"/>
                <w:sz w:val="24"/>
                <w:szCs w:val="24"/>
                <w:lang w:val="en-US" w:eastAsia="zh-CN"/>
              </w:rPr>
              <w:t>相关要求进行划定</w:t>
            </w:r>
            <w:r>
              <w:rPr>
                <w:rFonts w:hint="eastAsia" w:cs="宋体"/>
                <w:bCs/>
                <w:color w:val="auto"/>
                <w:sz w:val="24"/>
                <w:szCs w:val="24"/>
                <w:lang w:val="en-US" w:eastAsia="zh-CN"/>
              </w:rPr>
              <w:t>。</w:t>
            </w:r>
            <w:r>
              <w:rPr>
                <w:rFonts w:hint="eastAsia"/>
                <w:color w:val="auto"/>
                <w:sz w:val="24"/>
                <w:szCs w:val="24"/>
              </w:rPr>
              <w:t>建议相关部门在规划使用铁路两侧用地及建筑物布局时，应当依据国家声环境质量标准、民用建筑设计规范以及本报告噪声预测结论，合理规定建筑物与交通干道的防噪距离。距铁路外侧轨道中心线30m以内区域严禁新建噪声敏感建筑；30m以外的噪声超标距离若必须建设应按照《中华人民共和国环境噪声污染防治法》第三十七条“在已有的城市交通干线的两侧建设噪声敏感建筑物的，建设单位应当按照国家规定间隔一定距离，并采取减轻、避免交通噪声影响的措施”等相关规定，由噪声敏感建筑的建设单位采取必要噪声防治措施。</w:t>
            </w:r>
          </w:p>
          <w:p w14:paraId="3C3DC95B">
            <w:pPr>
              <w:adjustRightInd w:val="0"/>
              <w:snapToGrid w:val="0"/>
              <w:spacing w:line="360" w:lineRule="auto"/>
              <w:ind w:firstLine="480" w:firstLineChars="200"/>
              <w:rPr>
                <w:rFonts w:hint="eastAsia" w:cs="宋体"/>
                <w:bCs/>
                <w:color w:val="auto"/>
                <w:sz w:val="24"/>
              </w:rPr>
            </w:pPr>
            <w:r>
              <w:rPr>
                <w:rFonts w:hint="eastAsia" w:cs="宋体"/>
                <w:bCs/>
                <w:color w:val="auto"/>
                <w:sz w:val="24"/>
                <w:lang w:val="en-US" w:eastAsia="zh-CN"/>
              </w:rPr>
              <w:t>（2）加强铁路管理、提高铁路装备技术含量</w:t>
            </w:r>
          </w:p>
          <w:p w14:paraId="036F0986">
            <w:pPr>
              <w:adjustRightInd w:val="0"/>
              <w:snapToGrid w:val="0"/>
              <w:spacing w:line="360" w:lineRule="auto"/>
              <w:ind w:firstLine="480" w:firstLineChars="200"/>
              <w:rPr>
                <w:rFonts w:hint="eastAsia" w:cs="宋体"/>
                <w:bCs/>
                <w:color w:val="auto"/>
                <w:sz w:val="24"/>
              </w:rPr>
            </w:pPr>
            <w:r>
              <w:rPr>
                <w:rFonts w:hint="eastAsia" w:cs="宋体"/>
                <w:bCs/>
                <w:color w:val="auto"/>
                <w:sz w:val="24"/>
                <w:lang w:val="en-US" w:eastAsia="zh-CN"/>
              </w:rPr>
              <w:t>为进一步降低铁路噪声干扰，评价采取以下几方面措施：</w:t>
            </w:r>
          </w:p>
          <w:p w14:paraId="3D6353E8">
            <w:pPr>
              <w:adjustRightInd w:val="0"/>
              <w:snapToGrid w:val="0"/>
              <w:spacing w:line="360" w:lineRule="auto"/>
              <w:ind w:firstLine="480" w:firstLineChars="200"/>
              <w:rPr>
                <w:rFonts w:hint="eastAsia" w:cs="宋体"/>
                <w:bCs/>
                <w:color w:val="auto"/>
                <w:sz w:val="24"/>
              </w:rPr>
            </w:pPr>
            <w:r>
              <w:rPr>
                <w:rFonts w:hint="eastAsia" w:cs="宋体"/>
                <w:bCs/>
                <w:color w:val="auto"/>
                <w:sz w:val="24"/>
                <w:lang w:val="en-US" w:eastAsia="zh-CN"/>
              </w:rPr>
              <w:t>①货场专用线运营距离短，沿线地形平坦，行车安全系数较高，要求列车运行中禁止机车鸣笛。</w:t>
            </w:r>
          </w:p>
          <w:p w14:paraId="1059E303">
            <w:pPr>
              <w:adjustRightInd w:val="0"/>
              <w:snapToGrid w:val="0"/>
              <w:spacing w:line="360" w:lineRule="auto"/>
              <w:ind w:firstLine="480" w:firstLineChars="200"/>
              <w:rPr>
                <w:rFonts w:hint="eastAsia" w:cs="宋体"/>
                <w:bCs/>
                <w:color w:val="auto"/>
                <w:sz w:val="24"/>
              </w:rPr>
            </w:pPr>
            <w:r>
              <w:rPr>
                <w:rFonts w:hint="eastAsia" w:cs="宋体"/>
                <w:bCs/>
                <w:color w:val="auto"/>
                <w:sz w:val="24"/>
                <w:lang w:val="en-US" w:eastAsia="zh-CN"/>
              </w:rPr>
              <w:t>②管理上控制</w:t>
            </w:r>
          </w:p>
          <w:p w14:paraId="1375D050">
            <w:pPr>
              <w:adjustRightInd w:val="0"/>
              <w:snapToGrid w:val="0"/>
              <w:spacing w:line="360" w:lineRule="auto"/>
              <w:ind w:firstLine="480" w:firstLineChars="200"/>
              <w:rPr>
                <w:rFonts w:hint="eastAsia" w:cs="宋体"/>
                <w:bCs/>
                <w:color w:val="auto"/>
                <w:sz w:val="24"/>
              </w:rPr>
            </w:pPr>
            <w:r>
              <w:rPr>
                <w:rFonts w:hint="eastAsia" w:cs="宋体"/>
                <w:bCs/>
                <w:color w:val="auto"/>
                <w:sz w:val="24"/>
                <w:lang w:val="en-US" w:eastAsia="zh-CN"/>
              </w:rPr>
              <w:t>运营单位应加强管理和保养，定期进行轨道打磨和旋轮等，使铁路在较佳的线路条件下运行。运营期管理单位应加强对沿线敏感点的噪声监测，根据监测结果及时增补、完善措施。</w:t>
            </w:r>
          </w:p>
          <w:p w14:paraId="04C68CCE">
            <w:pPr>
              <w:adjustRightInd w:val="0"/>
              <w:snapToGrid w:val="0"/>
              <w:spacing w:line="360" w:lineRule="auto"/>
              <w:ind w:firstLine="480" w:firstLineChars="200"/>
              <w:rPr>
                <w:rFonts w:hint="eastAsia" w:cs="宋体"/>
                <w:bCs/>
                <w:color w:val="auto"/>
                <w:sz w:val="24"/>
              </w:rPr>
            </w:pPr>
            <w:r>
              <w:rPr>
                <w:rFonts w:hint="eastAsia" w:cs="宋体"/>
                <w:bCs/>
                <w:color w:val="auto"/>
                <w:sz w:val="24"/>
                <w:lang w:val="en-US" w:eastAsia="zh-CN"/>
              </w:rPr>
              <w:t>③加强铁路两侧绿化</w:t>
            </w:r>
          </w:p>
          <w:p w14:paraId="48B38B3A">
            <w:pPr>
              <w:adjustRightInd w:val="0"/>
              <w:snapToGrid w:val="0"/>
              <w:spacing w:line="360" w:lineRule="auto"/>
              <w:ind w:firstLine="480" w:firstLineChars="200"/>
              <w:rPr>
                <w:rFonts w:hint="eastAsia" w:cs="宋体"/>
                <w:bCs/>
                <w:color w:val="auto"/>
                <w:sz w:val="24"/>
              </w:rPr>
            </w:pPr>
            <w:r>
              <w:rPr>
                <w:rFonts w:hint="eastAsia" w:cs="宋体"/>
                <w:bCs/>
                <w:color w:val="auto"/>
                <w:sz w:val="24"/>
                <w:lang w:val="en-US" w:eastAsia="zh-CN"/>
              </w:rPr>
              <w:t>绿化带不仅给线路两侧的民众带来良好的视觉感受和心理作用，还具有一定的降噪效果。根据既有铁路的测试结果，10~30m绿化林带可降噪1dB（A）左右。建议加强铁路两侧绿色通道建设。在绿化通道建设中应考虑植物合理搭配，适宜的株、行距设置，力求体现工程降噪措施的绿色理念，并达到工程与自然景观的协调。</w:t>
            </w:r>
          </w:p>
          <w:p w14:paraId="471A1D1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s="宋体"/>
                <w:bCs/>
                <w:color w:val="auto"/>
                <w:sz w:val="24"/>
                <w:lang w:val="en-US" w:eastAsia="zh-CN"/>
              </w:rPr>
            </w:pPr>
            <w:r>
              <w:rPr>
                <w:rFonts w:hint="eastAsia" w:cs="宋体"/>
                <w:bCs/>
                <w:color w:val="auto"/>
                <w:sz w:val="24"/>
                <w:lang w:val="en-US" w:eastAsia="zh-CN"/>
              </w:rPr>
              <w:t>（3）集装箱货场装卸设备、机械降噪措施</w:t>
            </w:r>
          </w:p>
          <w:p w14:paraId="357652F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s="宋体"/>
                <w:bCs/>
                <w:color w:val="auto"/>
                <w:sz w:val="24"/>
                <w:lang w:val="en-US" w:eastAsia="zh-CN"/>
              </w:rPr>
            </w:pPr>
            <w:r>
              <w:rPr>
                <w:rFonts w:hint="eastAsia" w:cs="宋体"/>
                <w:bCs/>
                <w:color w:val="auto"/>
                <w:sz w:val="24"/>
                <w:lang w:val="en-US" w:eastAsia="zh-CN"/>
              </w:rPr>
              <w:t>①尽量选用先进的低噪声设备，在高噪声设备周围适当设置屏障以减轻噪声对周围环境的影响。</w:t>
            </w:r>
          </w:p>
          <w:p w14:paraId="1874268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rFonts w:hint="default" w:cs="宋体"/>
                <w:bCs/>
                <w:color w:val="auto"/>
                <w:sz w:val="24"/>
                <w:lang w:val="en-US" w:eastAsia="zh-CN"/>
              </w:rPr>
            </w:pPr>
            <w:r>
              <w:rPr>
                <w:rFonts w:hint="eastAsia" w:cs="宋体"/>
                <w:bCs/>
                <w:color w:val="auto"/>
                <w:sz w:val="24"/>
                <w:lang w:val="en-US" w:eastAsia="zh-CN"/>
              </w:rPr>
              <w:t>②应加强对施工机械的维护保养，避免由于设备性能差而增大机械噪声的现象发生。</w:t>
            </w:r>
          </w:p>
          <w:p w14:paraId="2CFFD7AE">
            <w:pPr>
              <w:adjustRightInd w:val="0"/>
              <w:snapToGrid w:val="0"/>
              <w:spacing w:line="360" w:lineRule="auto"/>
              <w:ind w:firstLine="480" w:firstLineChars="200"/>
              <w:rPr>
                <w:rFonts w:cs="宋体"/>
                <w:bCs/>
                <w:color w:val="auto"/>
                <w:sz w:val="24"/>
              </w:rPr>
            </w:pPr>
            <w:r>
              <w:rPr>
                <w:rFonts w:hint="eastAsia" w:cs="宋体"/>
                <w:bCs/>
                <w:color w:val="auto"/>
                <w:sz w:val="24"/>
                <w:lang w:val="en-US" w:eastAsia="zh-CN"/>
              </w:rPr>
              <w:t>采取以上噪声污染防治措施后，可有效降低运营期噪声对周围环境的影响</w:t>
            </w:r>
            <w:r>
              <w:rPr>
                <w:rFonts w:hint="eastAsia" w:cs="宋体"/>
                <w:bCs/>
                <w:color w:val="auto"/>
                <w:sz w:val="24"/>
              </w:rPr>
              <w:t>。</w:t>
            </w:r>
          </w:p>
          <w:bookmarkEnd w:id="15"/>
          <w:p w14:paraId="1A181BE8">
            <w:pPr>
              <w:adjustRightInd w:val="0"/>
              <w:snapToGrid w:val="0"/>
              <w:spacing w:line="360" w:lineRule="auto"/>
              <w:ind w:firstLine="482" w:firstLineChars="200"/>
              <w:rPr>
                <w:rFonts w:cs="宋体"/>
                <w:b/>
                <w:color w:val="auto"/>
                <w:sz w:val="24"/>
              </w:rPr>
            </w:pPr>
            <w:r>
              <w:rPr>
                <w:rFonts w:hint="eastAsia" w:cs="宋体"/>
                <w:b/>
                <w:color w:val="auto"/>
                <w:sz w:val="24"/>
                <w:lang w:val="en-US" w:eastAsia="zh-CN"/>
              </w:rPr>
              <w:t>4</w:t>
            </w:r>
            <w:r>
              <w:rPr>
                <w:rFonts w:hint="eastAsia" w:cs="宋体"/>
                <w:b/>
                <w:color w:val="auto"/>
                <w:sz w:val="24"/>
              </w:rPr>
              <w:t>、环境振动</w:t>
            </w:r>
            <w:r>
              <w:rPr>
                <w:rFonts w:hint="eastAsia" w:cs="宋体"/>
                <w:b/>
                <w:color w:val="auto"/>
                <w:sz w:val="24"/>
                <w:lang w:val="en-US" w:eastAsia="zh-CN"/>
              </w:rPr>
              <w:t>防治措施</w:t>
            </w:r>
          </w:p>
          <w:p w14:paraId="5D807BEE">
            <w:pPr>
              <w:adjustRightInd w:val="0"/>
              <w:snapToGrid w:val="0"/>
              <w:spacing w:line="360" w:lineRule="auto"/>
              <w:ind w:firstLine="480" w:firstLineChars="200"/>
              <w:rPr>
                <w:rFonts w:cs="宋体"/>
                <w:bCs/>
                <w:color w:val="auto"/>
                <w:sz w:val="24"/>
              </w:rPr>
            </w:pPr>
            <w:r>
              <w:rPr>
                <w:rFonts w:hint="eastAsia" w:cs="宋体"/>
                <w:bCs/>
                <w:color w:val="auto"/>
                <w:sz w:val="24"/>
              </w:rPr>
              <w:t>轨道条件和运营管理等因素直接关系到铁路振动源强的大小，从这些方面采取改进措施，可根本上减轻铁路振动对周围环境的影响。为减轻列车振动影响，提出如下减振措施：</w:t>
            </w:r>
          </w:p>
          <w:p w14:paraId="0EF764C3">
            <w:pPr>
              <w:adjustRightInd w:val="0"/>
              <w:snapToGrid w:val="0"/>
              <w:spacing w:line="360" w:lineRule="auto"/>
              <w:ind w:firstLine="480" w:firstLineChars="200"/>
              <w:rPr>
                <w:rFonts w:cs="宋体"/>
                <w:bCs/>
                <w:color w:val="auto"/>
                <w:sz w:val="24"/>
              </w:rPr>
            </w:pPr>
            <w:r>
              <w:rPr>
                <w:rFonts w:hint="eastAsia" w:cs="宋体"/>
                <w:bCs/>
                <w:color w:val="auto"/>
                <w:sz w:val="24"/>
              </w:rPr>
              <w:t>（1）轨道结构减振</w:t>
            </w:r>
          </w:p>
          <w:p w14:paraId="2688692B">
            <w:pPr>
              <w:adjustRightInd w:val="0"/>
              <w:snapToGrid w:val="0"/>
              <w:spacing w:line="360" w:lineRule="auto"/>
              <w:ind w:firstLine="480" w:firstLineChars="200"/>
              <w:rPr>
                <w:rFonts w:cs="宋体"/>
                <w:bCs/>
                <w:color w:val="auto"/>
                <w:sz w:val="24"/>
              </w:rPr>
            </w:pPr>
            <w:r>
              <w:rPr>
                <w:rFonts w:hint="eastAsia" w:cs="宋体"/>
                <w:bCs/>
                <w:color w:val="auto"/>
                <w:sz w:val="24"/>
              </w:rPr>
              <w:t>目前的减振降噪措施主要有：采用焊接长钢轨；采用减振型钢轨；采用减振型扣件（如双重铁垫板式、剪切型、压缩型和低刚度型等等）；采用减振型轨下基础（如有碴轨道采用弹性轨枕和道床弹性胶垫，无碴轨道则采用弹性支承块、防振型轨道板等等）；采用钢轨打磨技术。这些措施均已被证明具有不同程度的减振降噪效果，适应环保要求。</w:t>
            </w:r>
          </w:p>
          <w:p w14:paraId="4BE40DE0">
            <w:pPr>
              <w:adjustRightInd w:val="0"/>
              <w:snapToGrid w:val="0"/>
              <w:spacing w:line="360" w:lineRule="auto"/>
              <w:ind w:firstLine="480" w:firstLineChars="200"/>
              <w:rPr>
                <w:rFonts w:cs="宋体"/>
                <w:bCs/>
                <w:color w:val="auto"/>
                <w:sz w:val="24"/>
              </w:rPr>
            </w:pPr>
            <w:r>
              <w:rPr>
                <w:rFonts w:hint="eastAsia" w:cs="宋体"/>
                <w:bCs/>
                <w:color w:val="auto"/>
                <w:sz w:val="24"/>
              </w:rPr>
              <w:t>项目设计中，采用弹条扣件可一定程度的减振。</w:t>
            </w:r>
          </w:p>
          <w:p w14:paraId="381E9965">
            <w:pPr>
              <w:adjustRightInd w:val="0"/>
              <w:snapToGrid w:val="0"/>
              <w:spacing w:line="360" w:lineRule="auto"/>
              <w:ind w:firstLine="480" w:firstLineChars="200"/>
              <w:rPr>
                <w:rFonts w:cs="宋体"/>
                <w:bCs/>
                <w:color w:val="auto"/>
                <w:sz w:val="24"/>
              </w:rPr>
            </w:pPr>
            <w:r>
              <w:rPr>
                <w:rFonts w:hint="eastAsia" w:cs="宋体"/>
                <w:bCs/>
                <w:color w:val="auto"/>
                <w:sz w:val="24"/>
              </w:rPr>
              <w:t>（2）运营管理措施</w:t>
            </w:r>
          </w:p>
          <w:p w14:paraId="37EB1AAC">
            <w:pPr>
              <w:adjustRightInd w:val="0"/>
              <w:snapToGrid w:val="0"/>
              <w:spacing w:line="360" w:lineRule="auto"/>
              <w:ind w:firstLine="480" w:firstLineChars="200"/>
              <w:rPr>
                <w:rFonts w:hint="eastAsia" w:cs="宋体"/>
                <w:bCs/>
                <w:color w:val="auto"/>
                <w:sz w:val="24"/>
              </w:rPr>
            </w:pPr>
            <w:r>
              <w:rPr>
                <w:rFonts w:hint="eastAsia" w:cs="宋体"/>
                <w:bCs/>
                <w:color w:val="auto"/>
                <w:sz w:val="24"/>
              </w:rPr>
              <w:t>如定期对钢轨进行打磨等，保持钢轨顶面平顺、光滑；对车轮定期进行铣、镟，减少车轮与钢轨撞击出现扁疤等。可使诸如道床、扣件、轨枕、钢轨等各项设备处于良好的工作状态，有效地增大振动传播途径的阻力，增强振动传播过程的阻尼作用，降低受振点振级值。</w:t>
            </w:r>
          </w:p>
          <w:p w14:paraId="14413FA8">
            <w:pPr>
              <w:adjustRightInd w:val="0"/>
              <w:snapToGrid w:val="0"/>
              <w:spacing w:line="360" w:lineRule="auto"/>
              <w:ind w:firstLine="480" w:firstLineChars="200"/>
              <w:rPr>
                <w:color w:val="auto"/>
                <w:sz w:val="24"/>
                <w:szCs w:val="32"/>
              </w:rPr>
            </w:pPr>
            <w:r>
              <w:rPr>
                <w:rFonts w:hint="eastAsia"/>
                <w:color w:val="auto"/>
                <w:sz w:val="24"/>
                <w:szCs w:val="32"/>
              </w:rPr>
              <w:t>严格控制新建居民区、学校、医院等敏感建筑物与本项目之间的距离，从规划建设阶段就避免铁路振动影响。</w:t>
            </w:r>
          </w:p>
          <w:p w14:paraId="6EF379E8">
            <w:pPr>
              <w:adjustRightInd w:val="0"/>
              <w:snapToGrid w:val="0"/>
              <w:spacing w:line="360" w:lineRule="auto"/>
              <w:ind w:firstLine="480" w:firstLineChars="200"/>
              <w:rPr>
                <w:rFonts w:hint="eastAsia" w:cs="宋体"/>
                <w:bCs/>
                <w:color w:val="auto"/>
                <w:sz w:val="24"/>
              </w:rPr>
            </w:pPr>
            <w:r>
              <w:rPr>
                <w:rFonts w:hint="eastAsia"/>
                <w:color w:val="auto"/>
                <w:sz w:val="24"/>
                <w:szCs w:val="32"/>
              </w:rPr>
              <w:t>项目建成运营后，及时对线路两侧的敏感点建筑物进行振动监测，发现振动超标现象，及时采取相应对策措施予以解决。</w:t>
            </w:r>
          </w:p>
          <w:p w14:paraId="23EB0DDF">
            <w:pPr>
              <w:adjustRightInd w:val="0"/>
              <w:snapToGrid w:val="0"/>
              <w:spacing w:line="360" w:lineRule="auto"/>
              <w:ind w:firstLine="482" w:firstLineChars="200"/>
              <w:rPr>
                <w:rFonts w:hint="eastAsia" w:eastAsia="宋体" w:cs="宋体"/>
                <w:b/>
                <w:color w:val="auto"/>
                <w:sz w:val="24"/>
                <w:lang w:val="en-US" w:eastAsia="zh-CN"/>
              </w:rPr>
            </w:pPr>
            <w:r>
              <w:rPr>
                <w:rFonts w:hint="eastAsia" w:cs="宋体"/>
                <w:b/>
                <w:color w:val="auto"/>
                <w:sz w:val="24"/>
                <w:lang w:val="en-US" w:eastAsia="zh-CN"/>
              </w:rPr>
              <w:t>5、固废防治措施</w:t>
            </w:r>
          </w:p>
          <w:p w14:paraId="530FBEDF">
            <w:pPr>
              <w:adjustRightInd w:val="0"/>
              <w:snapToGrid w:val="0"/>
              <w:spacing w:line="360" w:lineRule="auto"/>
              <w:ind w:firstLine="480" w:firstLineChars="200"/>
              <w:rPr>
                <w:rFonts w:hint="eastAsia" w:eastAsia="宋体" w:cs="宋体"/>
                <w:b/>
                <w:color w:val="auto"/>
                <w:sz w:val="24"/>
                <w:lang w:eastAsia="zh-CN"/>
              </w:rPr>
            </w:pPr>
            <w:r>
              <w:rPr>
                <w:rFonts w:hint="eastAsia" w:cs="宋体"/>
                <w:bCs/>
                <w:color w:val="auto"/>
                <w:sz w:val="24"/>
              </w:rPr>
              <w:t>生活垃圾分类集中收集后由环卫部门清运处置</w:t>
            </w:r>
            <w:r>
              <w:rPr>
                <w:rFonts w:hint="eastAsia" w:cs="宋体"/>
                <w:bCs/>
                <w:color w:val="auto"/>
                <w:sz w:val="24"/>
                <w:lang w:eastAsia="zh-CN"/>
              </w:rPr>
              <w:t>。</w:t>
            </w:r>
          </w:p>
          <w:p w14:paraId="67A91898">
            <w:pPr>
              <w:adjustRightInd w:val="0"/>
              <w:snapToGrid w:val="0"/>
              <w:spacing w:line="360" w:lineRule="auto"/>
              <w:ind w:firstLine="482" w:firstLineChars="200"/>
              <w:rPr>
                <w:rFonts w:cs="宋体"/>
                <w:b/>
                <w:color w:val="auto"/>
                <w:sz w:val="24"/>
              </w:rPr>
            </w:pPr>
            <w:r>
              <w:rPr>
                <w:rFonts w:hint="eastAsia" w:cs="宋体"/>
                <w:b/>
                <w:color w:val="auto"/>
                <w:sz w:val="24"/>
                <w:lang w:val="en-US" w:eastAsia="zh-CN"/>
              </w:rPr>
              <w:t>6</w:t>
            </w:r>
            <w:r>
              <w:rPr>
                <w:rFonts w:hint="eastAsia" w:cs="宋体"/>
                <w:b/>
                <w:color w:val="auto"/>
                <w:sz w:val="24"/>
              </w:rPr>
              <w:t>、环境风险</w:t>
            </w:r>
          </w:p>
          <w:p w14:paraId="3AB0BA27">
            <w:pPr>
              <w:adjustRightInd w:val="0"/>
              <w:snapToGrid w:val="0"/>
              <w:spacing w:line="360" w:lineRule="auto"/>
              <w:ind w:firstLine="480" w:firstLineChars="200"/>
              <w:rPr>
                <w:rFonts w:hint="default" w:eastAsia="宋体" w:cs="宋体"/>
                <w:bCs/>
                <w:color w:val="auto"/>
                <w:spacing w:val="0"/>
                <w:sz w:val="24"/>
                <w:lang w:val="en-US" w:eastAsia="zh-CN"/>
              </w:rPr>
            </w:pPr>
            <w:r>
              <w:rPr>
                <w:rFonts w:hint="eastAsia" w:cs="宋体"/>
                <w:bCs/>
                <w:color w:val="auto"/>
                <w:spacing w:val="0"/>
                <w:sz w:val="24"/>
                <w:lang w:val="en-US" w:eastAsia="zh-CN"/>
              </w:rPr>
              <w:t>项目内燃机用柴油在防城港机务段上油，本项目不储存柴油。本项目运行过程中依托云约站负责装卸车辆的技术检查和处理，建设单位不进行检修，无检修维修产生的固废。项目运输货物不涉及危险化学品。</w:t>
            </w:r>
          </w:p>
          <w:p w14:paraId="1EAAF78C">
            <w:pPr>
              <w:adjustRightInd w:val="0"/>
              <w:snapToGrid w:val="0"/>
              <w:spacing w:line="360" w:lineRule="auto"/>
              <w:ind w:firstLine="480" w:firstLineChars="200"/>
              <w:rPr>
                <w:rFonts w:hint="eastAsia" w:cs="宋体"/>
                <w:bCs/>
                <w:color w:val="auto"/>
                <w:spacing w:val="0"/>
                <w:sz w:val="24"/>
              </w:rPr>
            </w:pPr>
            <w:r>
              <w:rPr>
                <w:rFonts w:hint="eastAsia" w:cs="宋体"/>
                <w:bCs/>
                <w:color w:val="auto"/>
                <w:spacing w:val="0"/>
                <w:sz w:val="24"/>
              </w:rPr>
              <w:t>运营期应加强安全管理，严格执行铁路行业制定的技术操作规程和人员培训制度，避免事故的发生，运营单位应建立环境监控、事故预警和事故处理机构，降低和缓解环境风险，在发生环境事故时将损失减至最小程度。</w:t>
            </w:r>
          </w:p>
          <w:p w14:paraId="65D9A50C">
            <w:pPr>
              <w:adjustRightInd w:val="0"/>
              <w:snapToGrid w:val="0"/>
              <w:spacing w:line="360" w:lineRule="auto"/>
              <w:ind w:firstLine="480" w:firstLineChars="200"/>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总平面布置应充分考虑布局的安全性，生产区与区外道路应保持畅通，以便于安全疏散和消防车辆通行，同时在厂内设置完善的消防设施。具有易燃介质的生产车间遵守防火等安全规范、标准的规定，建筑物按《建筑防火设计规范》 的规定进行设计；建立和完善各级安全生产责任制，并切实落到实处。对职工要加强职业培训和安全教育。建立健全安全检查制度，定期进行安全检查，及时整改安全隐患防止事故发生。</w:t>
            </w:r>
          </w:p>
          <w:p w14:paraId="4485DC9C">
            <w:pPr>
              <w:adjustRightInd w:val="0"/>
              <w:snapToGrid w:val="0"/>
              <w:spacing w:line="360" w:lineRule="auto"/>
              <w:ind w:firstLine="480" w:firstLineChars="200"/>
              <w:rPr>
                <w:color w:val="auto"/>
              </w:rPr>
            </w:pPr>
            <w:r>
              <w:rPr>
                <w:rFonts w:hint="eastAsia" w:ascii="Times New Roman" w:hAnsi="Times New Roman" w:eastAsia="宋体" w:cs="Times New Roman"/>
                <w:color w:val="auto"/>
                <w:spacing w:val="0"/>
                <w:sz w:val="24"/>
                <w:szCs w:val="24"/>
                <w:lang w:val="en-US" w:eastAsia="zh-CN"/>
              </w:rPr>
              <w:t>集装箱堆场地面</w:t>
            </w:r>
            <w:r>
              <w:rPr>
                <w:rFonts w:hint="default" w:ascii="Times New Roman" w:hAnsi="Times New Roman" w:eastAsia="宋体" w:cs="Times New Roman"/>
                <w:bCs/>
                <w:color w:val="auto"/>
                <w:spacing w:val="0"/>
                <w:sz w:val="24"/>
                <w:szCs w:val="24"/>
              </w:rPr>
              <w:t>均采取硬化</w:t>
            </w:r>
            <w:r>
              <w:rPr>
                <w:rFonts w:hint="eastAsia" w:cs="Times New Roman"/>
                <w:bCs/>
                <w:color w:val="auto"/>
                <w:spacing w:val="0"/>
                <w:sz w:val="24"/>
                <w:szCs w:val="24"/>
                <w:lang w:eastAsia="zh-CN"/>
              </w:rPr>
              <w:t>防腐</w:t>
            </w:r>
            <w:r>
              <w:rPr>
                <w:rFonts w:hint="eastAsia" w:ascii="Times New Roman" w:hAnsi="Times New Roman" w:eastAsia="宋体" w:cs="Times New Roman"/>
                <w:bCs/>
                <w:color w:val="auto"/>
                <w:spacing w:val="0"/>
                <w:sz w:val="24"/>
                <w:szCs w:val="24"/>
                <w:lang w:val="en-US" w:eastAsia="zh-CN"/>
              </w:rPr>
              <w:t>防渗</w:t>
            </w:r>
            <w:r>
              <w:rPr>
                <w:rFonts w:hint="default" w:ascii="Times New Roman" w:hAnsi="Times New Roman" w:eastAsia="宋体" w:cs="Times New Roman"/>
                <w:bCs/>
                <w:color w:val="auto"/>
                <w:spacing w:val="0"/>
                <w:sz w:val="24"/>
                <w:szCs w:val="24"/>
              </w:rPr>
              <w:t>措施</w:t>
            </w: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color w:val="auto"/>
                <w:spacing w:val="0"/>
                <w:sz w:val="24"/>
                <w:szCs w:val="24"/>
                <w:lang w:val="en-US" w:eastAsia="zh-CN"/>
              </w:rPr>
              <w:t>集装箱密封，不在堆场内</w:t>
            </w:r>
            <w:r>
              <w:rPr>
                <w:rFonts w:hint="eastAsia" w:ascii="Times New Roman" w:hAnsi="Times New Roman" w:eastAsia="宋体" w:cs="Times New Roman"/>
                <w:color w:val="auto"/>
                <w:spacing w:val="0"/>
                <w:sz w:val="24"/>
                <w:szCs w:val="24"/>
              </w:rPr>
              <w:t>开箱卸货或散装分装</w:t>
            </w:r>
            <w:r>
              <w:rPr>
                <w:rFonts w:hint="default" w:ascii="Times New Roman" w:hAnsi="Times New Roman" w:eastAsia="宋体" w:cs="Times New Roman"/>
                <w:bCs/>
                <w:color w:val="auto"/>
                <w:spacing w:val="0"/>
                <w:sz w:val="24"/>
                <w:szCs w:val="24"/>
              </w:rPr>
              <w:t>，</w:t>
            </w:r>
            <w:r>
              <w:rPr>
                <w:rFonts w:hint="eastAsia" w:cs="Times New Roman"/>
                <w:bCs/>
                <w:color w:val="auto"/>
                <w:spacing w:val="0"/>
                <w:sz w:val="24"/>
                <w:szCs w:val="24"/>
                <w:lang w:eastAsia="zh-CN"/>
              </w:rPr>
              <w:t>集装箱堆场四周设置截排水沟，</w:t>
            </w:r>
            <w:r>
              <w:rPr>
                <w:rFonts w:hint="eastAsia" w:cs="宋体"/>
                <w:bCs/>
                <w:color w:val="auto"/>
                <w:spacing w:val="0"/>
                <w:sz w:val="24"/>
              </w:rPr>
              <w:t>落实防渗、防漏等风险防范措施</w:t>
            </w:r>
            <w:r>
              <w:rPr>
                <w:rFonts w:hint="default" w:ascii="Times New Roman" w:hAnsi="Times New Roman" w:eastAsia="宋体" w:cs="Times New Roman"/>
                <w:bCs/>
                <w:color w:val="auto"/>
                <w:spacing w:val="0"/>
                <w:sz w:val="24"/>
                <w:szCs w:val="24"/>
              </w:rPr>
              <w:t>，运营期间做好巡查工作</w:t>
            </w:r>
            <w:r>
              <w:rPr>
                <w:rFonts w:hint="eastAsia" w:cs="宋体"/>
                <w:bCs/>
                <w:color w:val="auto"/>
                <w:spacing w:val="0"/>
                <w:sz w:val="24"/>
              </w:rPr>
              <w:t>。</w:t>
            </w:r>
          </w:p>
        </w:tc>
      </w:tr>
      <w:tr w14:paraId="2FFDD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557" w:type="dxa"/>
            <w:vAlign w:val="center"/>
          </w:tcPr>
          <w:p w14:paraId="7FA75BE0">
            <w:pPr>
              <w:adjustRightInd w:val="0"/>
              <w:snapToGrid w:val="0"/>
              <w:jc w:val="center"/>
              <w:rPr>
                <w:rFonts w:cs="宋体"/>
                <w:bCs/>
                <w:color w:val="auto"/>
                <w:spacing w:val="10"/>
                <w:sz w:val="24"/>
              </w:rPr>
            </w:pPr>
            <w:r>
              <w:rPr>
                <w:rFonts w:hint="eastAsia"/>
                <w:bCs/>
                <w:color w:val="auto"/>
                <w:sz w:val="24"/>
              </w:rPr>
              <w:t>其他</w:t>
            </w:r>
          </w:p>
        </w:tc>
        <w:tc>
          <w:tcPr>
            <w:tcW w:w="8653" w:type="dxa"/>
          </w:tcPr>
          <w:p w14:paraId="2BBA221C">
            <w:pPr>
              <w:adjustRightInd w:val="0"/>
              <w:snapToGrid w:val="0"/>
              <w:spacing w:line="360" w:lineRule="auto"/>
              <w:ind w:firstLine="522" w:firstLineChars="200"/>
              <w:rPr>
                <w:rFonts w:cs="宋体"/>
                <w:b/>
                <w:color w:val="auto"/>
                <w:spacing w:val="10"/>
                <w:sz w:val="24"/>
              </w:rPr>
            </w:pPr>
            <w:r>
              <w:rPr>
                <w:rFonts w:hint="eastAsia" w:cs="宋体"/>
                <w:b/>
                <w:color w:val="auto"/>
                <w:spacing w:val="10"/>
                <w:sz w:val="24"/>
              </w:rPr>
              <w:t>1、环境管理与环境监测计划</w:t>
            </w:r>
          </w:p>
          <w:p w14:paraId="60BEB03D">
            <w:pPr>
              <w:adjustRightInd w:val="0"/>
              <w:snapToGrid w:val="0"/>
              <w:spacing w:line="360" w:lineRule="auto"/>
              <w:ind w:firstLine="520" w:firstLineChars="200"/>
              <w:rPr>
                <w:rFonts w:cs="宋体"/>
                <w:bCs/>
                <w:color w:val="auto"/>
                <w:spacing w:val="10"/>
                <w:sz w:val="24"/>
              </w:rPr>
            </w:pPr>
            <w:r>
              <w:rPr>
                <w:rFonts w:hint="eastAsia" w:cs="宋体"/>
                <w:bCs/>
                <w:color w:val="auto"/>
                <w:spacing w:val="10"/>
                <w:sz w:val="24"/>
              </w:rPr>
              <w:t>（1）环境监测的目的</w:t>
            </w:r>
          </w:p>
          <w:p w14:paraId="6382139F">
            <w:pPr>
              <w:adjustRightInd w:val="0"/>
              <w:snapToGrid w:val="0"/>
              <w:spacing w:line="360" w:lineRule="auto"/>
              <w:ind w:firstLine="520" w:firstLineChars="200"/>
              <w:rPr>
                <w:rFonts w:cs="宋体"/>
                <w:bCs/>
                <w:color w:val="auto"/>
                <w:spacing w:val="10"/>
                <w:sz w:val="24"/>
              </w:rPr>
            </w:pPr>
            <w:r>
              <w:rPr>
                <w:rFonts w:hint="eastAsia" w:cs="宋体"/>
                <w:bCs/>
                <w:color w:val="auto"/>
                <w:spacing w:val="10"/>
                <w:sz w:val="24"/>
              </w:rPr>
              <w:t>制订环境监测计划的目的是为了监督各项环保措施的落实执行情况，根据监测结果适时调整环境保护行动计划，为环保措施的实施时间和周期提供依据，为项目的环保竣工验收提供依据。制订的原则是根据预测的各个时期的主要环境影响及可能超标的路段和超标量而确定。</w:t>
            </w:r>
          </w:p>
          <w:p w14:paraId="73211802">
            <w:pPr>
              <w:adjustRightInd w:val="0"/>
              <w:snapToGrid w:val="0"/>
              <w:spacing w:line="360" w:lineRule="auto"/>
              <w:ind w:firstLine="520" w:firstLineChars="200"/>
              <w:rPr>
                <w:rFonts w:cs="宋体"/>
                <w:bCs/>
                <w:color w:val="auto"/>
                <w:spacing w:val="10"/>
                <w:sz w:val="24"/>
              </w:rPr>
            </w:pPr>
            <w:r>
              <w:rPr>
                <w:rFonts w:hint="eastAsia" w:cs="宋体"/>
                <w:bCs/>
                <w:color w:val="auto"/>
                <w:spacing w:val="10"/>
                <w:sz w:val="24"/>
              </w:rPr>
              <w:t>（2）环境监测机构</w:t>
            </w:r>
          </w:p>
          <w:p w14:paraId="1D3EFBA9">
            <w:pPr>
              <w:adjustRightInd w:val="0"/>
              <w:snapToGrid w:val="0"/>
              <w:spacing w:line="360" w:lineRule="auto"/>
              <w:ind w:firstLine="520" w:firstLineChars="200"/>
              <w:rPr>
                <w:rFonts w:cs="宋体"/>
                <w:bCs/>
                <w:color w:val="auto"/>
                <w:spacing w:val="10"/>
                <w:sz w:val="24"/>
              </w:rPr>
            </w:pPr>
            <w:r>
              <w:rPr>
                <w:rFonts w:hint="eastAsia" w:cs="宋体"/>
                <w:bCs/>
                <w:color w:val="auto"/>
                <w:spacing w:val="10"/>
                <w:sz w:val="24"/>
              </w:rPr>
              <w:t>铁路施工和运营期的环境监测委托当地环境保护监测单位承担。为了保证监测计划的执行，建设单位应在施工前与监测单位签订施工期的环境监测合同，在项目交付使用前与监测单位签订营运期环境监测合同。</w:t>
            </w:r>
          </w:p>
          <w:p w14:paraId="79AA50B7">
            <w:pPr>
              <w:adjustRightInd w:val="0"/>
              <w:snapToGrid w:val="0"/>
              <w:spacing w:line="360" w:lineRule="auto"/>
              <w:ind w:firstLine="520" w:firstLineChars="200"/>
              <w:rPr>
                <w:rFonts w:cs="宋体"/>
                <w:bCs/>
                <w:color w:val="auto"/>
                <w:spacing w:val="10"/>
                <w:sz w:val="24"/>
              </w:rPr>
            </w:pPr>
            <w:r>
              <w:rPr>
                <w:rFonts w:hint="eastAsia" w:cs="宋体"/>
                <w:bCs/>
                <w:color w:val="auto"/>
                <w:spacing w:val="10"/>
                <w:sz w:val="24"/>
              </w:rPr>
              <w:t>（3）监测计划</w:t>
            </w:r>
          </w:p>
          <w:p w14:paraId="579601DF">
            <w:pPr>
              <w:adjustRightInd w:val="0"/>
              <w:snapToGrid w:val="0"/>
              <w:spacing w:line="360" w:lineRule="auto"/>
              <w:ind w:firstLine="520" w:firstLineChars="200"/>
              <w:rPr>
                <w:rFonts w:cs="宋体"/>
                <w:bCs/>
                <w:color w:val="auto"/>
                <w:spacing w:val="10"/>
                <w:sz w:val="24"/>
              </w:rPr>
            </w:pPr>
            <w:r>
              <w:rPr>
                <w:rFonts w:hint="eastAsia" w:cs="宋体"/>
                <w:bCs/>
                <w:color w:val="auto"/>
                <w:spacing w:val="10"/>
                <w:sz w:val="24"/>
                <w:lang w:val="en-US" w:eastAsia="zh-CN"/>
              </w:rPr>
              <w:t>运营期</w:t>
            </w:r>
            <w:r>
              <w:rPr>
                <w:rFonts w:hint="eastAsia" w:cs="宋体"/>
                <w:bCs/>
                <w:color w:val="auto"/>
                <w:spacing w:val="10"/>
                <w:sz w:val="24"/>
              </w:rPr>
              <w:t>重点监测声环境</w:t>
            </w:r>
            <w:r>
              <w:rPr>
                <w:rFonts w:hint="eastAsia" w:cs="宋体"/>
                <w:bCs/>
                <w:color w:val="auto"/>
                <w:spacing w:val="10"/>
                <w:sz w:val="24"/>
                <w:lang w:eastAsia="zh-CN"/>
              </w:rPr>
              <w:t>，</w:t>
            </w:r>
            <w:r>
              <w:rPr>
                <w:rFonts w:hint="eastAsia" w:cs="宋体"/>
                <w:bCs/>
                <w:color w:val="auto"/>
                <w:spacing w:val="10"/>
                <w:sz w:val="24"/>
                <w:lang w:val="en-US" w:eastAsia="zh-CN"/>
              </w:rPr>
              <w:t>根据《排污单位自行监测技术指南总则》（HJ 819-2017），</w:t>
            </w:r>
            <w:r>
              <w:rPr>
                <w:rFonts w:hint="eastAsia" w:cs="宋体"/>
                <w:bCs/>
                <w:color w:val="auto"/>
                <w:spacing w:val="10"/>
                <w:sz w:val="24"/>
              </w:rPr>
              <w:t>项目监测计划详见表5</w:t>
            </w:r>
            <w:r>
              <w:rPr>
                <w:rFonts w:cs="宋体"/>
                <w:bCs/>
                <w:color w:val="auto"/>
                <w:spacing w:val="10"/>
                <w:sz w:val="24"/>
              </w:rPr>
              <w:t>-1</w:t>
            </w:r>
            <w:r>
              <w:rPr>
                <w:rFonts w:hint="eastAsia" w:cs="宋体"/>
                <w:bCs/>
                <w:color w:val="auto"/>
                <w:spacing w:val="10"/>
                <w:sz w:val="24"/>
              </w:rPr>
              <w:t>。</w:t>
            </w:r>
          </w:p>
          <w:p w14:paraId="12E350C2">
            <w:pPr>
              <w:adjustRightInd w:val="0"/>
              <w:snapToGrid w:val="0"/>
              <w:jc w:val="center"/>
              <w:rPr>
                <w:rFonts w:cs="宋体"/>
                <w:b/>
                <w:color w:val="auto"/>
                <w:spacing w:val="10"/>
                <w:sz w:val="24"/>
                <w:szCs w:val="24"/>
              </w:rPr>
            </w:pPr>
            <w:r>
              <w:rPr>
                <w:rFonts w:hint="eastAsia" w:cs="宋体"/>
                <w:b/>
                <w:color w:val="auto"/>
                <w:spacing w:val="10"/>
                <w:sz w:val="24"/>
                <w:szCs w:val="24"/>
              </w:rPr>
              <w:t>表5</w:t>
            </w:r>
            <w:r>
              <w:rPr>
                <w:rFonts w:cs="宋体"/>
                <w:b/>
                <w:color w:val="auto"/>
                <w:spacing w:val="10"/>
                <w:sz w:val="24"/>
                <w:szCs w:val="24"/>
              </w:rPr>
              <w:t xml:space="preserve">-1  </w:t>
            </w:r>
            <w:r>
              <w:rPr>
                <w:rFonts w:hint="eastAsia" w:cs="宋体"/>
                <w:b/>
                <w:color w:val="auto"/>
                <w:spacing w:val="10"/>
                <w:sz w:val="24"/>
                <w:szCs w:val="24"/>
              </w:rPr>
              <w:t>监测计划一览表</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2000"/>
              <w:gridCol w:w="1518"/>
              <w:gridCol w:w="1849"/>
              <w:gridCol w:w="1619"/>
            </w:tblGrid>
            <w:tr w14:paraId="48B6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6" w:type="pct"/>
                  <w:vAlign w:val="center"/>
                </w:tcPr>
                <w:p w14:paraId="7BAB17C2">
                  <w:pPr>
                    <w:adjustRightInd w:val="0"/>
                    <w:snapToGrid w:val="0"/>
                    <w:jc w:val="center"/>
                    <w:rPr>
                      <w:rFonts w:cs="宋体"/>
                      <w:b/>
                      <w:bCs w:val="0"/>
                      <w:color w:val="auto"/>
                      <w:spacing w:val="10"/>
                      <w:szCs w:val="21"/>
                    </w:rPr>
                  </w:pPr>
                  <w:r>
                    <w:rPr>
                      <w:rFonts w:hint="eastAsia" w:cs="宋体"/>
                      <w:b/>
                      <w:bCs w:val="0"/>
                      <w:color w:val="auto"/>
                      <w:spacing w:val="10"/>
                      <w:szCs w:val="21"/>
                    </w:rPr>
                    <w:t>监测要素</w:t>
                  </w:r>
                </w:p>
              </w:tc>
              <w:tc>
                <w:tcPr>
                  <w:tcW w:w="1206" w:type="pct"/>
                  <w:vAlign w:val="center"/>
                </w:tcPr>
                <w:p w14:paraId="779CC85A">
                  <w:pPr>
                    <w:adjustRightInd w:val="0"/>
                    <w:snapToGrid w:val="0"/>
                    <w:jc w:val="center"/>
                    <w:rPr>
                      <w:rFonts w:cs="宋体"/>
                      <w:b/>
                      <w:bCs w:val="0"/>
                      <w:color w:val="auto"/>
                      <w:spacing w:val="10"/>
                      <w:szCs w:val="21"/>
                    </w:rPr>
                  </w:pPr>
                  <w:r>
                    <w:rPr>
                      <w:rFonts w:hint="eastAsia" w:cs="宋体"/>
                      <w:b/>
                      <w:bCs w:val="0"/>
                      <w:color w:val="auto"/>
                      <w:spacing w:val="10"/>
                      <w:szCs w:val="21"/>
                    </w:rPr>
                    <w:t>监测点位</w:t>
                  </w:r>
                </w:p>
              </w:tc>
              <w:tc>
                <w:tcPr>
                  <w:tcW w:w="915" w:type="pct"/>
                  <w:vAlign w:val="center"/>
                </w:tcPr>
                <w:p w14:paraId="1832632B">
                  <w:pPr>
                    <w:adjustRightInd w:val="0"/>
                    <w:snapToGrid w:val="0"/>
                    <w:jc w:val="center"/>
                    <w:rPr>
                      <w:rFonts w:cs="宋体"/>
                      <w:b/>
                      <w:bCs w:val="0"/>
                      <w:color w:val="auto"/>
                      <w:spacing w:val="10"/>
                      <w:szCs w:val="21"/>
                    </w:rPr>
                  </w:pPr>
                  <w:r>
                    <w:rPr>
                      <w:rFonts w:hint="eastAsia" w:cs="宋体"/>
                      <w:b/>
                      <w:bCs w:val="0"/>
                      <w:color w:val="auto"/>
                      <w:spacing w:val="10"/>
                      <w:szCs w:val="21"/>
                    </w:rPr>
                    <w:t>监测项目</w:t>
                  </w:r>
                </w:p>
              </w:tc>
              <w:tc>
                <w:tcPr>
                  <w:tcW w:w="1115" w:type="pct"/>
                  <w:vAlign w:val="center"/>
                </w:tcPr>
                <w:p w14:paraId="0D459AFF">
                  <w:pPr>
                    <w:adjustRightInd w:val="0"/>
                    <w:snapToGrid w:val="0"/>
                    <w:jc w:val="center"/>
                    <w:rPr>
                      <w:rFonts w:cs="宋体"/>
                      <w:b/>
                      <w:bCs w:val="0"/>
                      <w:color w:val="auto"/>
                      <w:spacing w:val="10"/>
                      <w:szCs w:val="21"/>
                    </w:rPr>
                  </w:pPr>
                  <w:r>
                    <w:rPr>
                      <w:rFonts w:hint="eastAsia" w:cs="宋体"/>
                      <w:b/>
                      <w:bCs w:val="0"/>
                      <w:color w:val="auto"/>
                      <w:spacing w:val="10"/>
                      <w:szCs w:val="21"/>
                    </w:rPr>
                    <w:t>监测频次</w:t>
                  </w:r>
                </w:p>
              </w:tc>
              <w:tc>
                <w:tcPr>
                  <w:tcW w:w="976" w:type="pct"/>
                  <w:vAlign w:val="center"/>
                </w:tcPr>
                <w:p w14:paraId="1C66D637">
                  <w:pPr>
                    <w:adjustRightInd w:val="0"/>
                    <w:snapToGrid w:val="0"/>
                    <w:jc w:val="center"/>
                    <w:rPr>
                      <w:rFonts w:cs="宋体"/>
                      <w:b/>
                      <w:bCs w:val="0"/>
                      <w:color w:val="auto"/>
                      <w:spacing w:val="10"/>
                      <w:szCs w:val="21"/>
                    </w:rPr>
                  </w:pPr>
                  <w:r>
                    <w:rPr>
                      <w:rFonts w:hint="eastAsia" w:cs="宋体"/>
                      <w:b/>
                      <w:bCs w:val="0"/>
                      <w:color w:val="auto"/>
                      <w:spacing w:val="10"/>
                      <w:szCs w:val="21"/>
                    </w:rPr>
                    <w:t>实施机构</w:t>
                  </w:r>
                </w:p>
              </w:tc>
            </w:tr>
            <w:tr w14:paraId="74C8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6" w:type="pct"/>
                  <w:vMerge w:val="restart"/>
                  <w:vAlign w:val="center"/>
                </w:tcPr>
                <w:p w14:paraId="75532375">
                  <w:pPr>
                    <w:adjustRightInd w:val="0"/>
                    <w:snapToGrid w:val="0"/>
                    <w:jc w:val="center"/>
                    <w:rPr>
                      <w:rFonts w:cs="宋体"/>
                      <w:bCs/>
                      <w:color w:val="auto"/>
                      <w:spacing w:val="10"/>
                      <w:szCs w:val="21"/>
                    </w:rPr>
                  </w:pPr>
                  <w:r>
                    <w:rPr>
                      <w:rFonts w:hint="eastAsia" w:cs="宋体"/>
                      <w:bCs/>
                      <w:color w:val="auto"/>
                      <w:spacing w:val="10"/>
                      <w:szCs w:val="21"/>
                    </w:rPr>
                    <w:t>环境噪声</w:t>
                  </w:r>
                </w:p>
              </w:tc>
              <w:tc>
                <w:tcPr>
                  <w:tcW w:w="1206" w:type="pct"/>
                  <w:vAlign w:val="center"/>
                </w:tcPr>
                <w:p w14:paraId="5759020D">
                  <w:pPr>
                    <w:adjustRightInd w:val="0"/>
                    <w:snapToGrid w:val="0"/>
                    <w:jc w:val="center"/>
                    <w:rPr>
                      <w:rFonts w:cs="宋体"/>
                      <w:bCs/>
                      <w:color w:val="auto"/>
                      <w:spacing w:val="10"/>
                      <w:szCs w:val="21"/>
                    </w:rPr>
                  </w:pPr>
                  <w:r>
                    <w:rPr>
                      <w:rFonts w:hint="eastAsia" w:cs="宋体"/>
                      <w:bCs/>
                      <w:color w:val="auto"/>
                      <w:spacing w:val="10"/>
                      <w:szCs w:val="21"/>
                    </w:rPr>
                    <w:t>铁路外轨中心线30m处</w:t>
                  </w:r>
                </w:p>
              </w:tc>
              <w:tc>
                <w:tcPr>
                  <w:tcW w:w="915" w:type="pct"/>
                  <w:vMerge w:val="restart"/>
                  <w:vAlign w:val="center"/>
                </w:tcPr>
                <w:p w14:paraId="59BFDBC3">
                  <w:pPr>
                    <w:adjustRightInd w:val="0"/>
                    <w:snapToGrid w:val="0"/>
                    <w:jc w:val="center"/>
                    <w:rPr>
                      <w:rFonts w:cs="宋体"/>
                      <w:bCs/>
                      <w:color w:val="auto"/>
                      <w:spacing w:val="10"/>
                      <w:szCs w:val="21"/>
                    </w:rPr>
                  </w:pPr>
                  <w:r>
                    <w:rPr>
                      <w:rFonts w:hint="eastAsia" w:cs="宋体"/>
                      <w:bCs/>
                      <w:color w:val="auto"/>
                      <w:spacing w:val="10"/>
                      <w:szCs w:val="21"/>
                    </w:rPr>
                    <w:t>等效连续A声级</w:t>
                  </w:r>
                </w:p>
              </w:tc>
              <w:tc>
                <w:tcPr>
                  <w:tcW w:w="1115" w:type="pct"/>
                  <w:vMerge w:val="restart"/>
                  <w:vAlign w:val="center"/>
                </w:tcPr>
                <w:p w14:paraId="1D09F5F8">
                  <w:pPr>
                    <w:adjustRightInd w:val="0"/>
                    <w:snapToGrid w:val="0"/>
                    <w:jc w:val="center"/>
                    <w:rPr>
                      <w:rFonts w:hint="eastAsia" w:eastAsia="宋体" w:cs="宋体"/>
                      <w:bCs/>
                      <w:color w:val="auto"/>
                      <w:spacing w:val="10"/>
                      <w:szCs w:val="21"/>
                      <w:lang w:eastAsia="zh-CN"/>
                    </w:rPr>
                  </w:pPr>
                  <w:r>
                    <w:rPr>
                      <w:rFonts w:hint="eastAsia" w:cs="宋体"/>
                      <w:bCs/>
                      <w:color w:val="auto"/>
                      <w:spacing w:val="10"/>
                      <w:szCs w:val="21"/>
                    </w:rPr>
                    <w:t>1次/</w:t>
                  </w:r>
                  <w:r>
                    <w:rPr>
                      <w:rFonts w:hint="eastAsia" w:cs="宋体"/>
                      <w:bCs/>
                      <w:color w:val="auto"/>
                      <w:spacing w:val="10"/>
                      <w:szCs w:val="21"/>
                      <w:lang w:val="en-US" w:eastAsia="zh-CN"/>
                    </w:rPr>
                    <w:t>季度</w:t>
                  </w:r>
                </w:p>
              </w:tc>
              <w:tc>
                <w:tcPr>
                  <w:tcW w:w="976" w:type="pct"/>
                  <w:vMerge w:val="restart"/>
                  <w:shd w:val="clear" w:color="auto" w:fill="auto"/>
                  <w:vAlign w:val="center"/>
                </w:tcPr>
                <w:p w14:paraId="4AAD77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委托资质单位监测</w:t>
                  </w:r>
                </w:p>
              </w:tc>
            </w:tr>
            <w:tr w14:paraId="343D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6" w:type="pct"/>
                  <w:vMerge w:val="continue"/>
                  <w:vAlign w:val="center"/>
                </w:tcPr>
                <w:p w14:paraId="38C2D736">
                  <w:pPr>
                    <w:adjustRightInd w:val="0"/>
                    <w:snapToGrid w:val="0"/>
                    <w:jc w:val="center"/>
                    <w:rPr>
                      <w:rFonts w:hint="eastAsia" w:cs="宋体"/>
                      <w:bCs/>
                      <w:color w:val="auto"/>
                      <w:spacing w:val="10"/>
                      <w:szCs w:val="21"/>
                    </w:rPr>
                  </w:pPr>
                </w:p>
              </w:tc>
              <w:tc>
                <w:tcPr>
                  <w:tcW w:w="1206" w:type="pct"/>
                  <w:vAlign w:val="center"/>
                </w:tcPr>
                <w:p w14:paraId="37046327">
                  <w:pPr>
                    <w:adjustRightInd w:val="0"/>
                    <w:snapToGrid w:val="0"/>
                    <w:jc w:val="center"/>
                    <w:rPr>
                      <w:rFonts w:hint="eastAsia" w:eastAsia="宋体" w:cs="宋体"/>
                      <w:bCs/>
                      <w:color w:val="auto"/>
                      <w:spacing w:val="10"/>
                      <w:szCs w:val="21"/>
                      <w:lang w:eastAsia="zh-CN"/>
                    </w:rPr>
                  </w:pPr>
                  <w:r>
                    <w:rPr>
                      <w:rFonts w:hint="eastAsia" w:cs="宋体"/>
                      <w:bCs/>
                      <w:color w:val="auto"/>
                      <w:spacing w:val="10"/>
                      <w:szCs w:val="21"/>
                      <w:lang w:val="en-US" w:eastAsia="zh-CN"/>
                    </w:rPr>
                    <w:t>厂</w:t>
                  </w:r>
                  <w:r>
                    <w:rPr>
                      <w:rFonts w:hint="eastAsia" w:cs="宋体"/>
                      <w:bCs/>
                      <w:color w:val="auto"/>
                      <w:spacing w:val="10"/>
                      <w:szCs w:val="21"/>
                      <w:lang w:eastAsia="zh-CN"/>
                    </w:rPr>
                    <w:t>界</w:t>
                  </w:r>
                </w:p>
              </w:tc>
              <w:tc>
                <w:tcPr>
                  <w:tcW w:w="915" w:type="pct"/>
                  <w:vMerge w:val="continue"/>
                  <w:vAlign w:val="center"/>
                </w:tcPr>
                <w:p w14:paraId="2F532FD8">
                  <w:pPr>
                    <w:adjustRightInd w:val="0"/>
                    <w:snapToGrid w:val="0"/>
                    <w:jc w:val="center"/>
                    <w:rPr>
                      <w:rFonts w:hint="eastAsia" w:cs="宋体"/>
                      <w:bCs/>
                      <w:color w:val="auto"/>
                      <w:spacing w:val="10"/>
                      <w:szCs w:val="21"/>
                    </w:rPr>
                  </w:pPr>
                </w:p>
              </w:tc>
              <w:tc>
                <w:tcPr>
                  <w:tcW w:w="1115" w:type="pct"/>
                  <w:vMerge w:val="continue"/>
                  <w:vAlign w:val="center"/>
                </w:tcPr>
                <w:p w14:paraId="15E41A9A">
                  <w:pPr>
                    <w:adjustRightInd w:val="0"/>
                    <w:snapToGrid w:val="0"/>
                    <w:jc w:val="center"/>
                    <w:rPr>
                      <w:rFonts w:hint="eastAsia" w:eastAsia="宋体" w:cs="宋体"/>
                      <w:bCs/>
                      <w:color w:val="auto"/>
                      <w:spacing w:val="10"/>
                      <w:szCs w:val="21"/>
                      <w:lang w:eastAsia="zh-CN"/>
                    </w:rPr>
                  </w:pPr>
                </w:p>
              </w:tc>
              <w:tc>
                <w:tcPr>
                  <w:tcW w:w="976" w:type="pct"/>
                  <w:vMerge w:val="continue"/>
                  <w:shd w:val="clear" w:color="auto" w:fill="auto"/>
                  <w:vAlign w:val="center"/>
                </w:tcPr>
                <w:p w14:paraId="04792D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r>
            <w:tr w14:paraId="566F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6" w:type="pct"/>
                  <w:vMerge w:val="continue"/>
                  <w:vAlign w:val="center"/>
                </w:tcPr>
                <w:p w14:paraId="55D2BD38">
                  <w:pPr>
                    <w:adjustRightInd w:val="0"/>
                    <w:snapToGrid w:val="0"/>
                    <w:jc w:val="center"/>
                    <w:rPr>
                      <w:rFonts w:hint="eastAsia" w:cs="宋体"/>
                      <w:bCs/>
                      <w:color w:val="auto"/>
                      <w:spacing w:val="10"/>
                      <w:szCs w:val="21"/>
                    </w:rPr>
                  </w:pPr>
                </w:p>
              </w:tc>
              <w:tc>
                <w:tcPr>
                  <w:tcW w:w="1206" w:type="pct"/>
                  <w:vAlign w:val="center"/>
                </w:tcPr>
                <w:p w14:paraId="75211EF2">
                  <w:pPr>
                    <w:adjustRightInd w:val="0"/>
                    <w:snapToGrid w:val="0"/>
                    <w:jc w:val="center"/>
                    <w:rPr>
                      <w:rFonts w:hint="default" w:cs="宋体"/>
                      <w:bCs/>
                      <w:color w:val="auto"/>
                      <w:spacing w:val="10"/>
                      <w:szCs w:val="21"/>
                      <w:lang w:val="en-US" w:eastAsia="zh-CN"/>
                    </w:rPr>
                  </w:pPr>
                  <w:r>
                    <w:rPr>
                      <w:rFonts w:hint="eastAsia" w:cs="宋体"/>
                      <w:bCs/>
                      <w:color w:val="auto"/>
                      <w:spacing w:val="10"/>
                      <w:szCs w:val="21"/>
                      <w:lang w:val="en-US" w:eastAsia="zh-CN"/>
                    </w:rPr>
                    <w:t>云约</w:t>
                  </w:r>
                </w:p>
              </w:tc>
              <w:tc>
                <w:tcPr>
                  <w:tcW w:w="915" w:type="pct"/>
                  <w:vMerge w:val="continue"/>
                  <w:vAlign w:val="center"/>
                </w:tcPr>
                <w:p w14:paraId="5B22D5F5">
                  <w:pPr>
                    <w:adjustRightInd w:val="0"/>
                    <w:snapToGrid w:val="0"/>
                    <w:jc w:val="center"/>
                    <w:rPr>
                      <w:rFonts w:hint="eastAsia" w:cs="宋体"/>
                      <w:bCs/>
                      <w:color w:val="auto"/>
                      <w:spacing w:val="10"/>
                      <w:szCs w:val="21"/>
                    </w:rPr>
                  </w:pPr>
                </w:p>
              </w:tc>
              <w:tc>
                <w:tcPr>
                  <w:tcW w:w="1115" w:type="pct"/>
                  <w:vMerge w:val="continue"/>
                  <w:vAlign w:val="center"/>
                </w:tcPr>
                <w:p w14:paraId="4B0DAB6E">
                  <w:pPr>
                    <w:adjustRightInd w:val="0"/>
                    <w:snapToGrid w:val="0"/>
                    <w:jc w:val="center"/>
                    <w:rPr>
                      <w:rFonts w:hint="eastAsia" w:cs="宋体"/>
                      <w:bCs/>
                      <w:color w:val="auto"/>
                      <w:spacing w:val="10"/>
                      <w:szCs w:val="21"/>
                    </w:rPr>
                  </w:pPr>
                </w:p>
              </w:tc>
              <w:tc>
                <w:tcPr>
                  <w:tcW w:w="976" w:type="pct"/>
                  <w:vMerge w:val="continue"/>
                  <w:shd w:val="clear" w:color="auto" w:fill="auto"/>
                  <w:vAlign w:val="center"/>
                </w:tcPr>
                <w:p w14:paraId="007DFE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r>
            <w:tr w14:paraId="6B05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6" w:type="pct"/>
                  <w:vMerge w:val="continue"/>
                  <w:vAlign w:val="center"/>
                </w:tcPr>
                <w:p w14:paraId="336D2B2A">
                  <w:pPr>
                    <w:adjustRightInd w:val="0"/>
                    <w:snapToGrid w:val="0"/>
                    <w:jc w:val="center"/>
                    <w:rPr>
                      <w:rFonts w:hint="eastAsia" w:cs="宋体"/>
                      <w:bCs/>
                      <w:color w:val="auto"/>
                      <w:spacing w:val="10"/>
                      <w:szCs w:val="21"/>
                    </w:rPr>
                  </w:pPr>
                </w:p>
              </w:tc>
              <w:tc>
                <w:tcPr>
                  <w:tcW w:w="1206" w:type="pct"/>
                  <w:vAlign w:val="center"/>
                </w:tcPr>
                <w:p w14:paraId="646D3A93">
                  <w:pPr>
                    <w:adjustRightInd w:val="0"/>
                    <w:snapToGrid w:val="0"/>
                    <w:jc w:val="center"/>
                    <w:rPr>
                      <w:rFonts w:hint="default" w:cs="宋体"/>
                      <w:bCs/>
                      <w:color w:val="auto"/>
                      <w:spacing w:val="10"/>
                      <w:szCs w:val="21"/>
                      <w:lang w:val="en-US" w:eastAsia="zh-CN"/>
                    </w:rPr>
                  </w:pPr>
                  <w:r>
                    <w:rPr>
                      <w:rFonts w:hint="eastAsia" w:cs="宋体"/>
                      <w:bCs/>
                      <w:color w:val="auto"/>
                      <w:spacing w:val="10"/>
                      <w:szCs w:val="21"/>
                      <w:lang w:val="en-US" w:eastAsia="zh-CN"/>
                    </w:rPr>
                    <w:t>下云约</w:t>
                  </w:r>
                </w:p>
              </w:tc>
              <w:tc>
                <w:tcPr>
                  <w:tcW w:w="915" w:type="pct"/>
                  <w:vMerge w:val="continue"/>
                  <w:vAlign w:val="center"/>
                </w:tcPr>
                <w:p w14:paraId="33524556">
                  <w:pPr>
                    <w:adjustRightInd w:val="0"/>
                    <w:snapToGrid w:val="0"/>
                    <w:jc w:val="center"/>
                    <w:rPr>
                      <w:rFonts w:hint="eastAsia" w:cs="宋体"/>
                      <w:bCs/>
                      <w:color w:val="auto"/>
                      <w:spacing w:val="10"/>
                      <w:szCs w:val="21"/>
                    </w:rPr>
                  </w:pPr>
                </w:p>
              </w:tc>
              <w:tc>
                <w:tcPr>
                  <w:tcW w:w="1115" w:type="pct"/>
                  <w:vMerge w:val="continue"/>
                  <w:vAlign w:val="center"/>
                </w:tcPr>
                <w:p w14:paraId="1153E0A5">
                  <w:pPr>
                    <w:adjustRightInd w:val="0"/>
                    <w:snapToGrid w:val="0"/>
                    <w:jc w:val="center"/>
                    <w:rPr>
                      <w:rFonts w:hint="eastAsia" w:cs="宋体"/>
                      <w:bCs/>
                      <w:color w:val="auto"/>
                      <w:spacing w:val="10"/>
                      <w:szCs w:val="21"/>
                    </w:rPr>
                  </w:pPr>
                </w:p>
              </w:tc>
              <w:tc>
                <w:tcPr>
                  <w:tcW w:w="976" w:type="pct"/>
                  <w:vMerge w:val="continue"/>
                  <w:shd w:val="clear" w:color="auto" w:fill="auto"/>
                  <w:vAlign w:val="center"/>
                </w:tcPr>
                <w:p w14:paraId="1E1BF9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r>
            <w:tr w14:paraId="0776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6" w:type="pct"/>
                  <w:vMerge w:val="continue"/>
                  <w:vAlign w:val="center"/>
                </w:tcPr>
                <w:p w14:paraId="2833B0CF">
                  <w:pPr>
                    <w:adjustRightInd w:val="0"/>
                    <w:snapToGrid w:val="0"/>
                    <w:jc w:val="center"/>
                    <w:rPr>
                      <w:rFonts w:hint="eastAsia" w:cs="宋体"/>
                      <w:bCs/>
                      <w:color w:val="auto"/>
                      <w:spacing w:val="10"/>
                      <w:szCs w:val="21"/>
                    </w:rPr>
                  </w:pPr>
                </w:p>
              </w:tc>
              <w:tc>
                <w:tcPr>
                  <w:tcW w:w="1206" w:type="pct"/>
                  <w:vAlign w:val="center"/>
                </w:tcPr>
                <w:p w14:paraId="7106E171">
                  <w:pPr>
                    <w:adjustRightInd w:val="0"/>
                    <w:snapToGrid w:val="0"/>
                    <w:jc w:val="center"/>
                    <w:rPr>
                      <w:rFonts w:hint="default" w:cs="宋体"/>
                      <w:bCs/>
                      <w:color w:val="auto"/>
                      <w:spacing w:val="10"/>
                      <w:szCs w:val="21"/>
                      <w:lang w:val="en-US" w:eastAsia="zh-CN"/>
                    </w:rPr>
                  </w:pPr>
                  <w:r>
                    <w:rPr>
                      <w:rFonts w:hint="eastAsia" w:cs="宋体"/>
                      <w:bCs/>
                      <w:color w:val="auto"/>
                      <w:spacing w:val="10"/>
                      <w:szCs w:val="21"/>
                      <w:lang w:val="en-US" w:eastAsia="zh-CN"/>
                    </w:rPr>
                    <w:t>傅屋村</w:t>
                  </w:r>
                </w:p>
              </w:tc>
              <w:tc>
                <w:tcPr>
                  <w:tcW w:w="915" w:type="pct"/>
                  <w:vMerge w:val="continue"/>
                  <w:vAlign w:val="center"/>
                </w:tcPr>
                <w:p w14:paraId="5C981ADD">
                  <w:pPr>
                    <w:adjustRightInd w:val="0"/>
                    <w:snapToGrid w:val="0"/>
                    <w:jc w:val="center"/>
                    <w:rPr>
                      <w:rFonts w:hint="eastAsia" w:cs="宋体"/>
                      <w:bCs/>
                      <w:color w:val="auto"/>
                      <w:spacing w:val="10"/>
                      <w:szCs w:val="21"/>
                    </w:rPr>
                  </w:pPr>
                </w:p>
              </w:tc>
              <w:tc>
                <w:tcPr>
                  <w:tcW w:w="1115" w:type="pct"/>
                  <w:vMerge w:val="continue"/>
                  <w:vAlign w:val="center"/>
                </w:tcPr>
                <w:p w14:paraId="3E05F2FC">
                  <w:pPr>
                    <w:adjustRightInd w:val="0"/>
                    <w:snapToGrid w:val="0"/>
                    <w:jc w:val="center"/>
                    <w:rPr>
                      <w:rFonts w:hint="eastAsia" w:cs="宋体"/>
                      <w:bCs/>
                      <w:color w:val="auto"/>
                      <w:spacing w:val="10"/>
                      <w:szCs w:val="21"/>
                    </w:rPr>
                  </w:pPr>
                </w:p>
              </w:tc>
              <w:tc>
                <w:tcPr>
                  <w:tcW w:w="976" w:type="pct"/>
                  <w:vMerge w:val="continue"/>
                  <w:shd w:val="clear" w:color="auto" w:fill="auto"/>
                  <w:vAlign w:val="center"/>
                </w:tcPr>
                <w:p w14:paraId="1BAFF2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rPr>
                  </w:pPr>
                </w:p>
              </w:tc>
            </w:tr>
          </w:tbl>
          <w:p w14:paraId="0CB57F5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2" w:firstLineChars="200"/>
              <w:textAlignment w:val="auto"/>
              <w:rPr>
                <w:rFonts w:cs="宋体"/>
                <w:b/>
                <w:color w:val="auto"/>
                <w:spacing w:val="10"/>
                <w:sz w:val="24"/>
              </w:rPr>
            </w:pPr>
            <w:r>
              <w:rPr>
                <w:rFonts w:hint="eastAsia" w:cs="宋体"/>
                <w:b/>
                <w:color w:val="auto"/>
                <w:spacing w:val="10"/>
                <w:sz w:val="24"/>
              </w:rPr>
              <w:t>2、排污许可信息管理</w:t>
            </w:r>
          </w:p>
          <w:p w14:paraId="64C5B879">
            <w:pPr>
              <w:keepNext w:val="0"/>
              <w:keepLines w:val="0"/>
              <w:pageBreakBefore w:val="0"/>
              <w:widowControl w:val="0"/>
              <w:kinsoku/>
              <w:wordWrap/>
              <w:overflowPunct/>
              <w:topLinePunct w:val="0"/>
              <w:autoSpaceDE/>
              <w:autoSpaceDN/>
              <w:bidi w:val="0"/>
              <w:adjustRightInd w:val="0"/>
              <w:snapToGrid w:val="0"/>
              <w:spacing w:line="360" w:lineRule="auto"/>
              <w:ind w:firstLine="520" w:firstLineChars="200"/>
              <w:textAlignment w:val="auto"/>
              <w:rPr>
                <w:rFonts w:hint="eastAsia" w:cs="宋体"/>
                <w:bCs/>
                <w:color w:val="auto"/>
                <w:spacing w:val="10"/>
                <w:sz w:val="24"/>
                <w:lang w:val="en-US" w:eastAsia="zh-CN"/>
              </w:rPr>
            </w:pPr>
            <w:r>
              <w:rPr>
                <w:rFonts w:hint="eastAsia" w:cs="宋体"/>
                <w:bCs/>
                <w:color w:val="auto"/>
                <w:spacing w:val="10"/>
                <w:sz w:val="24"/>
                <w:lang w:val="en-US" w:eastAsia="zh-CN"/>
              </w:rPr>
              <w:t>根据《排污许可管理办法》（2024-04-08），第一章总则--第四条“根据污染物产生量、排放量、对环境的影响程度等因素，对企业事业单位和其他生产经营者实行排污许可重点管理、简化管理和排污登记管理。实行排污许可重点管理、简化管理的排污单位具体范围，依照固定污染源排污许可分类管理名录规定执行。实行排污登记管理的排污登记单位具体范围由国务院生态环境主管部门制定并公布。”</w:t>
            </w:r>
          </w:p>
          <w:p w14:paraId="6CC42873">
            <w:pPr>
              <w:keepNext w:val="0"/>
              <w:keepLines w:val="0"/>
              <w:pageBreakBefore w:val="0"/>
              <w:widowControl w:val="0"/>
              <w:kinsoku/>
              <w:wordWrap/>
              <w:overflowPunct/>
              <w:topLinePunct w:val="0"/>
              <w:autoSpaceDE/>
              <w:autoSpaceDN/>
              <w:bidi w:val="0"/>
              <w:adjustRightInd w:val="0"/>
              <w:snapToGrid w:val="0"/>
              <w:spacing w:line="360" w:lineRule="auto"/>
              <w:ind w:firstLine="520" w:firstLineChars="200"/>
              <w:textAlignment w:val="auto"/>
              <w:rPr>
                <w:rFonts w:hint="eastAsia" w:ascii="Times New Roman" w:hAnsi="Times New Roman" w:eastAsia="宋体" w:cs="宋体"/>
                <w:bCs/>
                <w:color w:val="auto"/>
                <w:spacing w:val="10"/>
                <w:sz w:val="24"/>
              </w:rPr>
            </w:pPr>
            <w:r>
              <w:rPr>
                <w:rFonts w:hint="eastAsia" w:cs="宋体"/>
                <w:bCs/>
                <w:color w:val="auto"/>
                <w:spacing w:val="10"/>
                <w:sz w:val="24"/>
                <w:lang w:val="en-US" w:eastAsia="zh-CN"/>
              </w:rPr>
              <w:t>本项目属于“G5320-铁路货物运输”，未被纳入《固定污染源排污许可分类管理名录（2019 年版）》中，因此暂不需申请排污许可证</w:t>
            </w:r>
            <w:r>
              <w:rPr>
                <w:rFonts w:hint="eastAsia" w:ascii="Times New Roman" w:hAnsi="Times New Roman" w:eastAsia="宋体" w:cs="宋体"/>
                <w:bCs/>
                <w:color w:val="auto"/>
                <w:spacing w:val="10"/>
                <w:sz w:val="24"/>
              </w:rPr>
              <w:t>。</w:t>
            </w:r>
          </w:p>
          <w:p w14:paraId="2D8A0CE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pacing w:val="0"/>
                <w:sz w:val="24"/>
                <w:szCs w:val="24"/>
                <w:highlight w:val="none"/>
              </w:rPr>
            </w:pPr>
            <w:r>
              <w:rPr>
                <w:rFonts w:hint="eastAsia" w:cs="宋体"/>
                <w:b/>
                <w:bCs w:val="0"/>
                <w:color w:val="auto"/>
                <w:spacing w:val="0"/>
                <w:sz w:val="24"/>
                <w:lang w:val="en-US" w:eastAsia="zh-CN"/>
              </w:rPr>
              <w:t>3、</w:t>
            </w:r>
            <w:r>
              <w:rPr>
                <w:rFonts w:hint="default" w:ascii="Times New Roman" w:hAnsi="Times New Roman" w:cs="Times New Roman"/>
                <w:b/>
                <w:bCs w:val="0"/>
                <w:color w:val="auto"/>
                <w:spacing w:val="0"/>
                <w:sz w:val="24"/>
                <w:szCs w:val="24"/>
                <w:highlight w:val="none"/>
              </w:rPr>
              <w:t>环保竣工验收</w:t>
            </w:r>
            <w:r>
              <w:rPr>
                <w:rFonts w:hint="default" w:ascii="Times New Roman" w:hAnsi="Times New Roman" w:cs="Times New Roman"/>
                <w:b/>
                <w:color w:val="auto"/>
                <w:spacing w:val="0"/>
                <w:sz w:val="24"/>
                <w:szCs w:val="24"/>
                <w:highlight w:val="none"/>
              </w:rPr>
              <w:t>内容</w:t>
            </w:r>
          </w:p>
          <w:p w14:paraId="3EE3C2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color w:val="auto"/>
                <w:sz w:val="24"/>
                <w:szCs w:val="24"/>
                <w:highlight w:val="none"/>
              </w:rPr>
              <w:t>企业应在项目建设完成后及时对环保设施进行验收。本项目环保“三同时”验收主要内容见下表</w:t>
            </w:r>
            <w:r>
              <w:rPr>
                <w:rFonts w:hint="default" w:ascii="Times New Roman" w:hAnsi="Times New Roman" w:cs="Times New Roman"/>
                <w:snapToGrid w:val="0"/>
                <w:color w:val="auto"/>
                <w:kern w:val="0"/>
                <w:sz w:val="24"/>
                <w:szCs w:val="24"/>
                <w:highlight w:val="none"/>
              </w:rPr>
              <w:t>。</w:t>
            </w:r>
          </w:p>
          <w:p w14:paraId="6A9CEB1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snapToGrid w:val="0"/>
                <w:color w:val="auto"/>
                <w:kern w:val="0"/>
                <w:sz w:val="24"/>
                <w:szCs w:val="24"/>
                <w:highlight w:val="none"/>
              </w:rPr>
            </w:pPr>
            <w:r>
              <w:rPr>
                <w:rFonts w:hint="default" w:ascii="Times New Roman" w:hAnsi="Times New Roman" w:cs="Times New Roman"/>
                <w:b/>
                <w:snapToGrid w:val="0"/>
                <w:color w:val="auto"/>
                <w:kern w:val="0"/>
                <w:sz w:val="24"/>
                <w:szCs w:val="24"/>
                <w:highlight w:val="none"/>
              </w:rPr>
              <w:t>表5-</w:t>
            </w:r>
            <w:r>
              <w:rPr>
                <w:rFonts w:hint="eastAsia" w:cs="Times New Roman"/>
                <w:b/>
                <w:snapToGrid w:val="0"/>
                <w:color w:val="auto"/>
                <w:kern w:val="0"/>
                <w:sz w:val="24"/>
                <w:szCs w:val="24"/>
                <w:highlight w:val="none"/>
                <w:lang w:val="en-US" w:eastAsia="zh-CN"/>
              </w:rPr>
              <w:t xml:space="preserve">2 </w:t>
            </w:r>
            <w:r>
              <w:rPr>
                <w:rFonts w:hint="default" w:ascii="Times New Roman" w:hAnsi="Times New Roman" w:cs="Times New Roman"/>
                <w:b/>
                <w:snapToGrid w:val="0"/>
                <w:color w:val="auto"/>
                <w:kern w:val="0"/>
                <w:sz w:val="24"/>
                <w:szCs w:val="24"/>
                <w:highlight w:val="none"/>
              </w:rPr>
              <w:t>项目环保竣工验收一览表</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255"/>
              <w:gridCol w:w="1230"/>
              <w:gridCol w:w="1362"/>
              <w:gridCol w:w="1833"/>
              <w:gridCol w:w="3150"/>
            </w:tblGrid>
            <w:tr w14:paraId="1BE8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48" w:type="dxa"/>
                  <w:gridSpan w:val="3"/>
                  <w:noWrap w:val="0"/>
                  <w:vAlign w:val="center"/>
                </w:tcPr>
                <w:p w14:paraId="12E1D5F5">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1362" w:type="dxa"/>
                  <w:noWrap w:val="0"/>
                  <w:vAlign w:val="center"/>
                </w:tcPr>
                <w:p w14:paraId="516E223C">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833" w:type="dxa"/>
                  <w:noWrap w:val="0"/>
                  <w:vAlign w:val="center"/>
                </w:tcPr>
                <w:p w14:paraId="188A5115">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治理措施</w:t>
                  </w:r>
                </w:p>
              </w:tc>
              <w:tc>
                <w:tcPr>
                  <w:tcW w:w="3150" w:type="dxa"/>
                  <w:noWrap w:val="0"/>
                  <w:vAlign w:val="center"/>
                </w:tcPr>
                <w:p w14:paraId="6C27DD99">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处理效果、执行标准</w:t>
                  </w:r>
                </w:p>
              </w:tc>
            </w:tr>
            <w:tr w14:paraId="4991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3" w:type="dxa"/>
                  <w:vMerge w:val="restart"/>
                  <w:noWrap w:val="0"/>
                  <w:vAlign w:val="center"/>
                </w:tcPr>
                <w:p w14:paraId="6AE46F01">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485" w:type="dxa"/>
                  <w:gridSpan w:val="2"/>
                  <w:shd w:val="clear" w:color="auto" w:fill="auto"/>
                  <w:noWrap w:val="0"/>
                  <w:vAlign w:val="center"/>
                </w:tcPr>
                <w:p w14:paraId="611911C4">
                  <w:pPr>
                    <w:keepNext w:val="0"/>
                    <w:keepLines w:val="0"/>
                    <w:pageBreakBefore w:val="0"/>
                    <w:kinsoku/>
                    <w:wordWrap/>
                    <w:overflowPunct/>
                    <w:topLinePunct w:val="0"/>
                    <w:autoSpaceDE/>
                    <w:autoSpaceDN/>
                    <w:bidi w:val="0"/>
                    <w:adjustRightInd/>
                    <w:snapToGrid/>
                    <w:spacing w:before="63" w:before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道路运输扬尘</w:t>
                  </w:r>
                  <w:r>
                    <w:rPr>
                      <w:rFonts w:hint="eastAsia" w:cs="Times New Roman"/>
                      <w:color w:val="auto"/>
                      <w:sz w:val="21"/>
                      <w:szCs w:val="21"/>
                      <w:highlight w:val="none"/>
                      <w:lang w:val="en-US" w:eastAsia="zh-CN"/>
                    </w:rPr>
                    <w:t>、装卸扬尘</w:t>
                  </w:r>
                </w:p>
              </w:tc>
              <w:tc>
                <w:tcPr>
                  <w:tcW w:w="1362" w:type="dxa"/>
                  <w:shd w:val="clear" w:color="auto" w:fill="auto"/>
                  <w:noWrap w:val="0"/>
                  <w:vAlign w:val="center"/>
                </w:tcPr>
                <w:p w14:paraId="222D27CF">
                  <w:pPr>
                    <w:keepNext w:val="0"/>
                    <w:keepLines w:val="0"/>
                    <w:pageBreakBefore w:val="0"/>
                    <w:widowControl/>
                    <w:kinsoku/>
                    <w:wordWrap/>
                    <w:overflowPunct/>
                    <w:topLinePunct w:val="0"/>
                    <w:autoSpaceDE/>
                    <w:autoSpaceDN/>
                    <w:bidi w:val="0"/>
                    <w:adjustRightInd w:val="0"/>
                    <w:snapToGrid w:val="0"/>
                    <w:spacing w:before="63" w:before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颗粒物</w:t>
                  </w:r>
                </w:p>
              </w:tc>
              <w:tc>
                <w:tcPr>
                  <w:tcW w:w="1833" w:type="dxa"/>
                  <w:shd w:val="clear" w:color="auto" w:fill="auto"/>
                  <w:noWrap w:val="0"/>
                  <w:vAlign w:val="center"/>
                </w:tcPr>
                <w:p w14:paraId="30142061">
                  <w:pPr>
                    <w:keepNext w:val="0"/>
                    <w:keepLines w:val="0"/>
                    <w:pageBreakBefore w:val="0"/>
                    <w:kinsoku/>
                    <w:wordWrap/>
                    <w:overflowPunct/>
                    <w:topLinePunct w:val="0"/>
                    <w:autoSpaceDE/>
                    <w:autoSpaceDN/>
                    <w:bidi w:val="0"/>
                    <w:adjustRightInd/>
                    <w:snapToGrid/>
                    <w:spacing w:before="63" w:beforeLines="2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路面硬化、洒水降尘等措施</w:t>
                  </w:r>
                </w:p>
              </w:tc>
              <w:tc>
                <w:tcPr>
                  <w:tcW w:w="3150" w:type="dxa"/>
                  <w:vMerge w:val="restart"/>
                  <w:noWrap w:val="0"/>
                  <w:vAlign w:val="center"/>
                </w:tcPr>
                <w:p w14:paraId="68511BE9">
                  <w:pPr>
                    <w:keepNext w:val="0"/>
                    <w:keepLines w:val="0"/>
                    <w:pageBreakBefore w:val="0"/>
                    <w:widowControl/>
                    <w:kinsoku/>
                    <w:wordWrap/>
                    <w:overflowPunct/>
                    <w:topLinePunct w:val="0"/>
                    <w:autoSpaceDE/>
                    <w:autoSpaceDN/>
                    <w:bidi w:val="0"/>
                    <w:spacing w:before="63" w:beforeLines="2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达到《大气污染物综合排放标准》（GB16297-1996）无组织排放监控浓度限值要求</w:t>
                  </w:r>
                </w:p>
              </w:tc>
            </w:tr>
            <w:tr w14:paraId="6542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3" w:type="dxa"/>
                  <w:vMerge w:val="continue"/>
                  <w:noWrap w:val="0"/>
                  <w:vAlign w:val="center"/>
                </w:tcPr>
                <w:p w14:paraId="089DE7D8">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p>
              </w:tc>
              <w:tc>
                <w:tcPr>
                  <w:tcW w:w="1485" w:type="dxa"/>
                  <w:gridSpan w:val="2"/>
                  <w:shd w:val="clear" w:color="auto" w:fill="auto"/>
                  <w:noWrap w:val="0"/>
                  <w:vAlign w:val="center"/>
                </w:tcPr>
                <w:p w14:paraId="331D345C">
                  <w:pPr>
                    <w:keepNext w:val="0"/>
                    <w:keepLines w:val="0"/>
                    <w:pageBreakBefore w:val="0"/>
                    <w:kinsoku/>
                    <w:wordWrap/>
                    <w:overflowPunct/>
                    <w:topLinePunct w:val="0"/>
                    <w:autoSpaceDE/>
                    <w:autoSpaceDN/>
                    <w:bidi w:val="0"/>
                    <w:adjustRightInd/>
                    <w:snapToGrid/>
                    <w:spacing w:before="63" w:beforeLines="2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运输和装卸设备废气</w:t>
                  </w:r>
                </w:p>
              </w:tc>
              <w:tc>
                <w:tcPr>
                  <w:tcW w:w="1362" w:type="dxa"/>
                  <w:shd w:val="clear" w:color="auto" w:fill="auto"/>
                  <w:noWrap w:val="0"/>
                  <w:vAlign w:val="center"/>
                </w:tcPr>
                <w:p w14:paraId="08A014D7">
                  <w:pPr>
                    <w:keepNext w:val="0"/>
                    <w:keepLines w:val="0"/>
                    <w:pageBreakBefore w:val="0"/>
                    <w:widowControl/>
                    <w:kinsoku/>
                    <w:wordWrap/>
                    <w:overflowPunct/>
                    <w:topLinePunct w:val="0"/>
                    <w:autoSpaceDE/>
                    <w:autoSpaceDN/>
                    <w:bidi w:val="0"/>
                    <w:adjustRightInd/>
                    <w:snapToGrid/>
                    <w:spacing w:before="63" w:beforeLines="20"/>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颗粒物、</w:t>
                  </w:r>
                  <w:r>
                    <w:rPr>
                      <w:rFonts w:hint="default" w:ascii="Times New Roman" w:hAnsi="Times New Roman" w:eastAsia="宋体" w:cs="Times New Roman"/>
                      <w:color w:val="auto"/>
                      <w:kern w:val="0"/>
                      <w:sz w:val="21"/>
                      <w:szCs w:val="21"/>
                      <w:lang w:val="en-US" w:eastAsia="zh-CN" w:bidi="ar"/>
                    </w:rPr>
                    <w:t>CO</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NOx</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HC</w:t>
                  </w:r>
                </w:p>
              </w:tc>
              <w:tc>
                <w:tcPr>
                  <w:tcW w:w="1833" w:type="dxa"/>
                  <w:shd w:val="clear" w:color="auto" w:fill="auto"/>
                  <w:noWrap w:val="0"/>
                  <w:vAlign w:val="center"/>
                </w:tcPr>
                <w:p w14:paraId="7306A47D">
                  <w:pPr>
                    <w:keepNext w:val="0"/>
                    <w:keepLines w:val="0"/>
                    <w:pageBreakBefore w:val="0"/>
                    <w:kinsoku/>
                    <w:wordWrap/>
                    <w:overflowPunct/>
                    <w:topLinePunct w:val="0"/>
                    <w:autoSpaceDE/>
                    <w:autoSpaceDN/>
                    <w:bidi w:val="0"/>
                    <w:adjustRightInd/>
                    <w:snapToGrid/>
                    <w:spacing w:before="63" w:beforeLines="2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选用符合环保要求设备，定期检修维护</w:t>
                  </w:r>
                </w:p>
              </w:tc>
              <w:tc>
                <w:tcPr>
                  <w:tcW w:w="3150" w:type="dxa"/>
                  <w:vMerge w:val="continue"/>
                  <w:noWrap w:val="0"/>
                  <w:vAlign w:val="center"/>
                </w:tcPr>
                <w:p w14:paraId="231B83F7">
                  <w:pPr>
                    <w:keepNext w:val="0"/>
                    <w:keepLines w:val="0"/>
                    <w:pageBreakBefore w:val="0"/>
                    <w:widowControl/>
                    <w:kinsoku/>
                    <w:wordWrap/>
                    <w:overflowPunct/>
                    <w:topLinePunct w:val="0"/>
                    <w:autoSpaceDE/>
                    <w:autoSpaceDN/>
                    <w:bidi w:val="0"/>
                    <w:spacing w:before="63" w:beforeLines="20"/>
                    <w:jc w:val="center"/>
                    <w:textAlignment w:val="auto"/>
                    <w:rPr>
                      <w:rFonts w:hint="default" w:ascii="Times New Roman" w:hAnsi="Times New Roman" w:eastAsia="宋体" w:cs="Times New Roman"/>
                      <w:bCs/>
                      <w:color w:val="auto"/>
                      <w:sz w:val="21"/>
                      <w:szCs w:val="21"/>
                      <w:highlight w:val="none"/>
                      <w:lang w:val="en-US" w:eastAsia="zh-CN"/>
                    </w:rPr>
                  </w:pPr>
                </w:p>
              </w:tc>
            </w:tr>
            <w:tr w14:paraId="1D40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3" w:type="dxa"/>
                  <w:vMerge w:val="continue"/>
                  <w:noWrap w:val="0"/>
                  <w:vAlign w:val="center"/>
                </w:tcPr>
                <w:p w14:paraId="53C70EE7">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p>
              </w:tc>
              <w:tc>
                <w:tcPr>
                  <w:tcW w:w="1485" w:type="dxa"/>
                  <w:gridSpan w:val="2"/>
                  <w:shd w:val="clear" w:color="auto" w:fill="auto"/>
                  <w:noWrap w:val="0"/>
                  <w:vAlign w:val="center"/>
                </w:tcPr>
                <w:p w14:paraId="0DAAD5A8">
                  <w:pPr>
                    <w:keepNext w:val="0"/>
                    <w:keepLines w:val="0"/>
                    <w:pageBreakBefore w:val="0"/>
                    <w:kinsoku/>
                    <w:wordWrap/>
                    <w:overflowPunct/>
                    <w:topLinePunct w:val="0"/>
                    <w:autoSpaceDE/>
                    <w:autoSpaceDN/>
                    <w:bidi w:val="0"/>
                    <w:adjustRightInd/>
                    <w:snapToGrid/>
                    <w:spacing w:before="63" w:beforeLines="2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内燃牵引机</w:t>
                  </w:r>
                </w:p>
              </w:tc>
              <w:tc>
                <w:tcPr>
                  <w:tcW w:w="1362" w:type="dxa"/>
                  <w:shd w:val="clear" w:color="auto" w:fill="auto"/>
                  <w:noWrap w:val="0"/>
                  <w:vAlign w:val="center"/>
                </w:tcPr>
                <w:p w14:paraId="189375B9">
                  <w:pPr>
                    <w:keepNext w:val="0"/>
                    <w:keepLines w:val="0"/>
                    <w:pageBreakBefore w:val="0"/>
                    <w:widowControl/>
                    <w:kinsoku/>
                    <w:wordWrap/>
                    <w:overflowPunct/>
                    <w:topLinePunct w:val="0"/>
                    <w:autoSpaceDE/>
                    <w:autoSpaceDN/>
                    <w:bidi w:val="0"/>
                    <w:adjustRightInd/>
                    <w:snapToGrid/>
                    <w:spacing w:before="63" w:beforeLines="20"/>
                    <w:jc w:val="center"/>
                    <w:textAlignment w:val="auto"/>
                    <w:rPr>
                      <w:rFonts w:hint="default" w:ascii="Times New Roman" w:hAnsi="Times New Roman" w:cs="Times New Roman"/>
                      <w:color w:val="auto"/>
                      <w:sz w:val="21"/>
                      <w:szCs w:val="21"/>
                      <w:highlight w:val="none"/>
                    </w:rPr>
                  </w:pPr>
                  <w:r>
                    <w:rPr>
                      <w:rFonts w:hint="eastAsia" w:ascii="宋体" w:hAnsi="宋体" w:eastAsia="宋体" w:cs="宋体"/>
                      <w:color w:val="auto"/>
                      <w:kern w:val="0"/>
                      <w:sz w:val="21"/>
                      <w:szCs w:val="21"/>
                      <w:lang w:val="en-US" w:eastAsia="zh-CN" w:bidi="ar"/>
                    </w:rPr>
                    <w:t>颗粒物、</w:t>
                  </w:r>
                  <w:r>
                    <w:rPr>
                      <w:rFonts w:hint="default" w:ascii="Times New Roman" w:hAnsi="Times New Roman" w:eastAsia="宋体" w:cs="Times New Roman"/>
                      <w:color w:val="auto"/>
                      <w:kern w:val="0"/>
                      <w:sz w:val="21"/>
                      <w:szCs w:val="21"/>
                      <w:lang w:val="en-US" w:eastAsia="zh-CN" w:bidi="ar"/>
                    </w:rPr>
                    <w:t>CO</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NOx</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HC</w:t>
                  </w:r>
                </w:p>
              </w:tc>
              <w:tc>
                <w:tcPr>
                  <w:tcW w:w="1833" w:type="dxa"/>
                  <w:shd w:val="clear" w:color="auto" w:fill="auto"/>
                  <w:noWrap w:val="0"/>
                  <w:vAlign w:val="center"/>
                </w:tcPr>
                <w:p w14:paraId="4AF29CAA">
                  <w:pPr>
                    <w:keepNext w:val="0"/>
                    <w:keepLines w:val="0"/>
                    <w:pageBreakBefore w:val="0"/>
                    <w:kinsoku/>
                    <w:wordWrap/>
                    <w:overflowPunct/>
                    <w:topLinePunct w:val="0"/>
                    <w:autoSpaceDE/>
                    <w:autoSpaceDN/>
                    <w:bidi w:val="0"/>
                    <w:adjustRightInd/>
                    <w:snapToGrid/>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选用符合环保要求</w:t>
                  </w:r>
                  <w:r>
                    <w:rPr>
                      <w:rFonts w:hint="eastAsia" w:eastAsia="宋体" w:cs="Times New Roman"/>
                      <w:color w:val="auto"/>
                      <w:sz w:val="21"/>
                      <w:szCs w:val="21"/>
                      <w:highlight w:val="none"/>
                      <w:lang w:val="en-US" w:eastAsia="zh-CN"/>
                    </w:rPr>
                    <w:t>设备，定期检修维护</w:t>
                  </w:r>
                </w:p>
              </w:tc>
              <w:tc>
                <w:tcPr>
                  <w:tcW w:w="3150" w:type="dxa"/>
                  <w:noWrap w:val="0"/>
                  <w:vAlign w:val="center"/>
                </w:tcPr>
                <w:p w14:paraId="5F9E5CCF">
                  <w:pPr>
                    <w:keepNext w:val="0"/>
                    <w:keepLines w:val="0"/>
                    <w:pageBreakBefore w:val="0"/>
                    <w:widowControl/>
                    <w:kinsoku/>
                    <w:wordWrap/>
                    <w:overflowPunct/>
                    <w:topLinePunct w:val="0"/>
                    <w:autoSpaceDE/>
                    <w:autoSpaceDN/>
                    <w:bidi w:val="0"/>
                    <w:spacing w:before="63" w:beforeLines="2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《铁路内燃机车及其发动机排气污染物排放限值及测量方法（中国第一阶段）》中表2排放限值</w:t>
                  </w:r>
                </w:p>
              </w:tc>
            </w:tr>
            <w:tr w14:paraId="0506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463" w:type="dxa"/>
                  <w:noWrap w:val="0"/>
                  <w:vAlign w:val="center"/>
                </w:tcPr>
                <w:p w14:paraId="31F8CC7A">
                  <w:pPr>
                    <w:keepNext w:val="0"/>
                    <w:keepLines w:val="0"/>
                    <w:pageBreakBefore w:val="0"/>
                    <w:widowControl/>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485" w:type="dxa"/>
                  <w:gridSpan w:val="2"/>
                  <w:noWrap w:val="0"/>
                  <w:vAlign w:val="center"/>
                </w:tcPr>
                <w:p w14:paraId="567C986D">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1362" w:type="dxa"/>
                  <w:noWrap w:val="0"/>
                  <w:vAlign w:val="center"/>
                </w:tcPr>
                <w:p w14:paraId="2D3A37BA">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pt-BR"/>
                    </w:rPr>
                    <w:t>COD</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pt-BR"/>
                    </w:rPr>
                    <w:t>BOD</w:t>
                  </w:r>
                  <w:r>
                    <w:rPr>
                      <w:rFonts w:hint="default" w:ascii="Times New Roman" w:hAnsi="Times New Roman" w:cs="Times New Roman"/>
                      <w:color w:val="auto"/>
                      <w:sz w:val="21"/>
                      <w:szCs w:val="21"/>
                      <w:highlight w:val="none"/>
                      <w:vertAlign w:val="subscript"/>
                      <w:lang w:val="pt-BR"/>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pt-BR"/>
                    </w:rPr>
                    <w:t>NH</w:t>
                  </w:r>
                  <w:r>
                    <w:rPr>
                      <w:rFonts w:hint="default" w:ascii="Times New Roman" w:hAnsi="Times New Roman" w:cs="Times New Roman"/>
                      <w:color w:val="auto"/>
                      <w:sz w:val="21"/>
                      <w:szCs w:val="21"/>
                      <w:highlight w:val="none"/>
                      <w:vertAlign w:val="subscript"/>
                      <w:lang w:val="pt-BR"/>
                    </w:rPr>
                    <w:t>3</w:t>
                  </w:r>
                  <w:r>
                    <w:rPr>
                      <w:rFonts w:hint="default" w:ascii="Times New Roman" w:hAnsi="Times New Roman" w:cs="Times New Roman"/>
                      <w:color w:val="auto"/>
                      <w:sz w:val="21"/>
                      <w:szCs w:val="21"/>
                      <w:highlight w:val="none"/>
                      <w:lang w:val="pt-BR"/>
                    </w:rPr>
                    <w:t>-N</w:t>
                  </w:r>
                </w:p>
              </w:tc>
              <w:tc>
                <w:tcPr>
                  <w:tcW w:w="1833" w:type="dxa"/>
                  <w:noWrap w:val="0"/>
                  <w:vAlign w:val="center"/>
                </w:tcPr>
                <w:p w14:paraId="6995F9F8">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eastAsia="宋体" w:cs="Times New Roman"/>
                      <w:color w:val="auto"/>
                      <w:sz w:val="21"/>
                      <w:szCs w:val="21"/>
                      <w:highlight w:val="none"/>
                      <w:lang w:val="en-US" w:eastAsia="zh-CN"/>
                    </w:rPr>
                  </w:pPr>
                  <w:r>
                    <w:rPr>
                      <w:rFonts w:hint="default" w:eastAsia="宋体"/>
                      <w:color w:val="auto"/>
                      <w:sz w:val="21"/>
                      <w:szCs w:val="21"/>
                      <w:highlight w:val="none"/>
                    </w:rPr>
                    <w:t>经化粪池处理后</w:t>
                  </w:r>
                  <w:r>
                    <w:rPr>
                      <w:rFonts w:hint="default" w:eastAsia="宋体" w:cs="Times New Roman"/>
                      <w:color w:val="auto"/>
                      <w:kern w:val="2"/>
                      <w:sz w:val="21"/>
                      <w:szCs w:val="21"/>
                      <w:highlight w:val="none"/>
                      <w:lang w:val="en-US" w:eastAsia="zh-CN"/>
                    </w:rPr>
                    <w:t>定期进行清理</w:t>
                  </w:r>
                  <w:r>
                    <w:rPr>
                      <w:rFonts w:hint="eastAsia" w:eastAsia="宋体" w:cs="Times New Roman"/>
                      <w:color w:val="auto"/>
                      <w:kern w:val="2"/>
                      <w:sz w:val="21"/>
                      <w:szCs w:val="21"/>
                      <w:highlight w:val="none"/>
                      <w:lang w:val="en-US" w:eastAsia="zh-CN"/>
                    </w:rPr>
                    <w:t>外运施肥</w:t>
                  </w:r>
                </w:p>
              </w:tc>
              <w:tc>
                <w:tcPr>
                  <w:tcW w:w="3150" w:type="dxa"/>
                  <w:noWrap w:val="0"/>
                  <w:vAlign w:val="center"/>
                </w:tcPr>
                <w:p w14:paraId="31850C79">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对周围环境影响不大</w:t>
                  </w:r>
                </w:p>
              </w:tc>
            </w:tr>
            <w:tr w14:paraId="3A07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3" w:type="dxa"/>
                  <w:vMerge w:val="restart"/>
                  <w:noWrap w:val="0"/>
                  <w:vAlign w:val="center"/>
                </w:tcPr>
                <w:p w14:paraId="6369AF78">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485" w:type="dxa"/>
                  <w:gridSpan w:val="2"/>
                  <w:noWrap w:val="0"/>
                  <w:vAlign w:val="center"/>
                </w:tcPr>
                <w:p w14:paraId="5066C53B">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铁路运输</w:t>
                  </w:r>
                </w:p>
              </w:tc>
              <w:tc>
                <w:tcPr>
                  <w:tcW w:w="1362" w:type="dxa"/>
                  <w:noWrap w:val="0"/>
                  <w:vAlign w:val="center"/>
                </w:tcPr>
                <w:p w14:paraId="249795E6">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833" w:type="dxa"/>
                  <w:vMerge w:val="restart"/>
                  <w:noWrap w:val="0"/>
                  <w:vAlign w:val="center"/>
                </w:tcPr>
                <w:p w14:paraId="4C2E5CFC">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eastAsia" w:cs="宋体"/>
                      <w:color w:val="auto"/>
                      <w:szCs w:val="21"/>
                    </w:rPr>
                    <w:t>绿化、加强维护管理等</w:t>
                  </w:r>
                </w:p>
              </w:tc>
              <w:tc>
                <w:tcPr>
                  <w:tcW w:w="3150" w:type="dxa"/>
                  <w:noWrap w:val="0"/>
                  <w:vAlign w:val="center"/>
                </w:tcPr>
                <w:p w14:paraId="0AA437FC">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eastAsia" w:cs="宋体"/>
                      <w:color w:val="auto"/>
                      <w:szCs w:val="21"/>
                    </w:rPr>
                    <w:t>满足《铁路边界噪声限值及其测量方法》（GB12525-90）及其修改单</w:t>
                  </w:r>
                </w:p>
              </w:tc>
            </w:tr>
            <w:tr w14:paraId="0F72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3" w:type="dxa"/>
                  <w:vMerge w:val="continue"/>
                  <w:noWrap w:val="0"/>
                  <w:vAlign w:val="center"/>
                </w:tcPr>
                <w:p w14:paraId="1AFAF3D4">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p>
              </w:tc>
              <w:tc>
                <w:tcPr>
                  <w:tcW w:w="1485" w:type="dxa"/>
                  <w:gridSpan w:val="2"/>
                  <w:noWrap w:val="0"/>
                  <w:vAlign w:val="center"/>
                </w:tcPr>
                <w:p w14:paraId="203C17F2">
                  <w:pPr>
                    <w:keepNext w:val="0"/>
                    <w:keepLines w:val="0"/>
                    <w:pageBreakBefore w:val="0"/>
                    <w:kinsoku/>
                    <w:wordWrap/>
                    <w:overflowPunct/>
                    <w:topLinePunct w:val="0"/>
                    <w:autoSpaceDE/>
                    <w:autoSpaceDN/>
                    <w:bidi w:val="0"/>
                    <w:spacing w:before="63" w:beforeLines="20"/>
                    <w:jc w:val="center"/>
                    <w:textAlignment w:val="auto"/>
                    <w:rPr>
                      <w:rFonts w:hint="eastAsia" w:cs="Times New Roman"/>
                      <w:color w:val="auto"/>
                      <w:sz w:val="21"/>
                      <w:szCs w:val="21"/>
                      <w:highlight w:val="none"/>
                      <w:lang w:val="en-US" w:eastAsia="zh-CN"/>
                    </w:rPr>
                  </w:pPr>
                  <w:r>
                    <w:rPr>
                      <w:rFonts w:hint="eastAsia" w:ascii="宋体" w:hAnsi="宋体" w:cs="宋体"/>
                      <w:color w:val="auto"/>
                      <w:kern w:val="0"/>
                      <w:sz w:val="21"/>
                      <w:szCs w:val="21"/>
                      <w:lang w:val="en-US" w:eastAsia="zh-CN" w:bidi="ar"/>
                    </w:rPr>
                    <w:t>场</w:t>
                  </w:r>
                  <w:r>
                    <w:rPr>
                      <w:rFonts w:hint="eastAsia" w:ascii="宋体" w:hAnsi="宋体" w:eastAsia="宋体" w:cs="宋体"/>
                      <w:color w:val="auto"/>
                      <w:kern w:val="0"/>
                      <w:sz w:val="21"/>
                      <w:szCs w:val="21"/>
                      <w:lang w:val="en-US" w:eastAsia="zh-CN" w:bidi="ar"/>
                    </w:rPr>
                    <w:t>界</w:t>
                  </w:r>
                </w:p>
              </w:tc>
              <w:tc>
                <w:tcPr>
                  <w:tcW w:w="1362" w:type="dxa"/>
                  <w:noWrap w:val="0"/>
                  <w:vAlign w:val="center"/>
                </w:tcPr>
                <w:p w14:paraId="004C4E32">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833" w:type="dxa"/>
                  <w:vMerge w:val="continue"/>
                  <w:noWrap w:val="0"/>
                  <w:vAlign w:val="center"/>
                </w:tcPr>
                <w:p w14:paraId="4FAED03A">
                  <w:pPr>
                    <w:keepNext w:val="0"/>
                    <w:keepLines w:val="0"/>
                    <w:pageBreakBefore w:val="0"/>
                    <w:kinsoku/>
                    <w:wordWrap/>
                    <w:overflowPunct/>
                    <w:topLinePunct w:val="0"/>
                    <w:autoSpaceDE/>
                    <w:autoSpaceDN/>
                    <w:bidi w:val="0"/>
                    <w:spacing w:before="63" w:beforeLines="20"/>
                    <w:jc w:val="center"/>
                    <w:textAlignment w:val="auto"/>
                    <w:rPr>
                      <w:rFonts w:hint="eastAsia" w:cs="宋体"/>
                      <w:color w:val="auto"/>
                      <w:sz w:val="21"/>
                      <w:szCs w:val="21"/>
                    </w:rPr>
                  </w:pPr>
                </w:p>
              </w:tc>
              <w:tc>
                <w:tcPr>
                  <w:tcW w:w="3150" w:type="dxa"/>
                  <w:noWrap w:val="0"/>
                  <w:vAlign w:val="center"/>
                </w:tcPr>
                <w:p w14:paraId="6835214B">
                  <w:pPr>
                    <w:keepNext w:val="0"/>
                    <w:keepLines w:val="0"/>
                    <w:pageBreakBefore w:val="0"/>
                    <w:widowControl/>
                    <w:kinsoku/>
                    <w:wordWrap/>
                    <w:overflowPunct/>
                    <w:topLinePunct w:val="0"/>
                    <w:autoSpaceDE/>
                    <w:autoSpaceDN/>
                    <w:bidi w:val="0"/>
                    <w:spacing w:before="63" w:beforeLines="20"/>
                    <w:jc w:val="center"/>
                    <w:textAlignment w:val="auto"/>
                    <w:rPr>
                      <w:rFonts w:hint="default" w:cs="宋体"/>
                      <w:color w:val="auto"/>
                      <w:sz w:val="21"/>
                      <w:szCs w:val="21"/>
                      <w:lang w:val="en-US"/>
                    </w:rPr>
                  </w:pPr>
                  <w:r>
                    <w:rPr>
                      <w:rFonts w:hint="eastAsia" w:ascii="宋体" w:hAnsi="宋体" w:eastAsia="宋体" w:cs="宋体"/>
                      <w:color w:val="auto"/>
                      <w:kern w:val="0"/>
                      <w:sz w:val="21"/>
                      <w:szCs w:val="21"/>
                      <w:lang w:val="en-US" w:eastAsia="zh-CN" w:bidi="ar"/>
                    </w:rPr>
                    <w:t>《工业企业厂界环境噪声排放标准》（</w:t>
                  </w:r>
                  <w:r>
                    <w:rPr>
                      <w:rFonts w:hint="default" w:ascii="Times New Roman" w:hAnsi="Times New Roman" w:eastAsia="宋体" w:cs="Times New Roman"/>
                      <w:color w:val="auto"/>
                      <w:kern w:val="0"/>
                      <w:sz w:val="21"/>
                      <w:szCs w:val="21"/>
                      <w:lang w:val="en-US" w:eastAsia="zh-CN" w:bidi="ar"/>
                    </w:rPr>
                    <w:t>GB12348-2008</w:t>
                  </w:r>
                  <w:r>
                    <w:rPr>
                      <w:rFonts w:hint="eastAsia" w:ascii="宋体" w:hAnsi="宋体" w:eastAsia="宋体" w:cs="宋体"/>
                      <w:color w:val="auto"/>
                      <w:kern w:val="0"/>
                      <w:sz w:val="21"/>
                      <w:szCs w:val="21"/>
                      <w:lang w:val="en-US" w:eastAsia="zh-CN" w:bidi="ar"/>
                    </w:rPr>
                    <w:t>）</w:t>
                  </w:r>
                  <w:r>
                    <w:rPr>
                      <w:rFonts w:hint="default" w:ascii="Times New Roman" w:hAnsi="Times New Roman" w:cs="Times New Roman"/>
                      <w:color w:val="auto"/>
                      <w:kern w:val="0"/>
                      <w:sz w:val="21"/>
                      <w:szCs w:val="21"/>
                      <w:lang w:val="en-US" w:eastAsia="zh-CN" w:bidi="ar"/>
                    </w:rPr>
                    <w:t>4类</w:t>
                  </w:r>
                </w:p>
              </w:tc>
            </w:tr>
            <w:tr w14:paraId="03FEE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63" w:type="dxa"/>
                  <w:noWrap w:val="0"/>
                  <w:vAlign w:val="center"/>
                </w:tcPr>
                <w:p w14:paraId="07963980">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1485" w:type="dxa"/>
                  <w:gridSpan w:val="2"/>
                  <w:noWrap w:val="0"/>
                  <w:vAlign w:val="center"/>
                </w:tcPr>
                <w:p w14:paraId="62F81E45">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办公生活</w:t>
                  </w:r>
                </w:p>
              </w:tc>
              <w:tc>
                <w:tcPr>
                  <w:tcW w:w="1362" w:type="dxa"/>
                  <w:shd w:val="clear" w:color="auto" w:fill="auto"/>
                  <w:noWrap w:val="0"/>
                  <w:vAlign w:val="center"/>
                </w:tcPr>
                <w:p w14:paraId="36886BF1">
                  <w:pPr>
                    <w:keepNext w:val="0"/>
                    <w:keepLines w:val="0"/>
                    <w:pageBreakBefore w:val="0"/>
                    <w:widowControl/>
                    <w:kinsoku/>
                    <w:wordWrap/>
                    <w:overflowPunct/>
                    <w:topLinePunct w:val="0"/>
                    <w:autoSpaceDE/>
                    <w:autoSpaceDN/>
                    <w:bidi w:val="0"/>
                    <w:adjustRightInd/>
                    <w:snapToGrid/>
                    <w:spacing w:before="63" w:beforeLines="20"/>
                    <w:jc w:val="center"/>
                    <w:textAlignment w:val="auto"/>
                    <w:rPr>
                      <w:rFonts w:hint="eastAsia" w:eastAsia="宋体"/>
                      <w:color w:val="auto"/>
                      <w:sz w:val="21"/>
                      <w:szCs w:val="21"/>
                      <w:highlight w:val="none"/>
                      <w:lang w:eastAsia="zh-CN"/>
                    </w:rPr>
                  </w:pPr>
                  <w:r>
                    <w:rPr>
                      <w:bCs/>
                      <w:color w:val="auto"/>
                      <w:sz w:val="21"/>
                      <w:szCs w:val="21"/>
                      <w:highlight w:val="none"/>
                    </w:rPr>
                    <w:t>生活垃圾</w:t>
                  </w:r>
                </w:p>
              </w:tc>
              <w:tc>
                <w:tcPr>
                  <w:tcW w:w="1833" w:type="dxa"/>
                  <w:shd w:val="clear" w:color="auto" w:fill="auto"/>
                  <w:noWrap w:val="0"/>
                  <w:vAlign w:val="center"/>
                </w:tcPr>
                <w:p w14:paraId="4D5D27BB">
                  <w:pPr>
                    <w:keepNext w:val="0"/>
                    <w:keepLines w:val="0"/>
                    <w:pageBreakBefore w:val="0"/>
                    <w:widowControl/>
                    <w:kinsoku/>
                    <w:wordWrap/>
                    <w:overflowPunct/>
                    <w:topLinePunct w:val="0"/>
                    <w:autoSpaceDE/>
                    <w:autoSpaceDN/>
                    <w:bidi w:val="0"/>
                    <w:adjustRightInd/>
                    <w:snapToGrid/>
                    <w:spacing w:before="63" w:beforeLines="20"/>
                    <w:jc w:val="center"/>
                    <w:textAlignment w:val="auto"/>
                    <w:rPr>
                      <w:rFonts w:hint="eastAsia"/>
                      <w:color w:val="auto"/>
                      <w:sz w:val="21"/>
                      <w:szCs w:val="21"/>
                      <w:highlight w:val="none"/>
                      <w:lang w:eastAsia="zh-CN"/>
                    </w:rPr>
                  </w:pPr>
                  <w:r>
                    <w:rPr>
                      <w:color w:val="auto"/>
                      <w:sz w:val="21"/>
                      <w:szCs w:val="21"/>
                      <w:highlight w:val="none"/>
                    </w:rPr>
                    <w:t>交由环卫部门清运</w:t>
                  </w:r>
                </w:p>
              </w:tc>
              <w:tc>
                <w:tcPr>
                  <w:tcW w:w="3150" w:type="dxa"/>
                  <w:noWrap w:val="0"/>
                  <w:vAlign w:val="center"/>
                </w:tcPr>
                <w:p w14:paraId="731408EA">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cs="Times New Roman"/>
                      <w:color w:val="auto"/>
                      <w:sz w:val="21"/>
                      <w:szCs w:val="21"/>
                      <w:highlight w:val="none"/>
                    </w:rPr>
                  </w:pPr>
                  <w:r>
                    <w:rPr>
                      <w:rFonts w:hint="eastAsia" w:cs="宋体"/>
                      <w:color w:val="auto"/>
                      <w:szCs w:val="21"/>
                    </w:rPr>
                    <w:t>得到妥善处置</w:t>
                  </w:r>
                </w:p>
              </w:tc>
            </w:tr>
            <w:tr w14:paraId="7C26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8" w:type="dxa"/>
                  <w:gridSpan w:val="2"/>
                  <w:noWrap w:val="0"/>
                  <w:vAlign w:val="center"/>
                </w:tcPr>
                <w:p w14:paraId="6B45A344">
                  <w:pPr>
                    <w:keepNext w:val="0"/>
                    <w:keepLines w:val="0"/>
                    <w:pageBreakBefore w:val="0"/>
                    <w:kinsoku/>
                    <w:wordWrap/>
                    <w:overflowPunct/>
                    <w:topLinePunct w:val="0"/>
                    <w:autoSpaceDE/>
                    <w:autoSpaceDN/>
                    <w:bidi w:val="0"/>
                    <w:spacing w:before="63" w:beforeLines="2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生态</w:t>
                  </w:r>
                </w:p>
              </w:tc>
              <w:tc>
                <w:tcPr>
                  <w:tcW w:w="4425" w:type="dxa"/>
                  <w:gridSpan w:val="3"/>
                  <w:noWrap w:val="0"/>
                  <w:vAlign w:val="center"/>
                </w:tcPr>
                <w:p w14:paraId="5AACE6D4">
                  <w:pPr>
                    <w:keepNext w:val="0"/>
                    <w:keepLines w:val="0"/>
                    <w:pageBreakBefore w:val="0"/>
                    <w:widowControl/>
                    <w:kinsoku/>
                    <w:wordWrap/>
                    <w:overflowPunct/>
                    <w:topLinePunct w:val="0"/>
                    <w:autoSpaceDE/>
                    <w:autoSpaceDN/>
                    <w:bidi w:val="0"/>
                    <w:spacing w:before="63" w:beforeLines="2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采取水土保持措施，</w:t>
                  </w:r>
                  <w:r>
                    <w:rPr>
                      <w:rFonts w:hint="eastAsia" w:cs="Times New Roman"/>
                      <w:color w:val="auto"/>
                      <w:kern w:val="2"/>
                      <w:sz w:val="21"/>
                      <w:szCs w:val="21"/>
                      <w:highlight w:val="none"/>
                      <w:lang w:val="en-US" w:eastAsia="zh-CN" w:bidi="ar"/>
                    </w:rPr>
                    <w:t>铁路</w:t>
                  </w:r>
                  <w:r>
                    <w:rPr>
                      <w:rFonts w:hint="default" w:ascii="Times New Roman" w:hAnsi="Times New Roman" w:eastAsia="宋体" w:cs="Times New Roman"/>
                      <w:color w:val="auto"/>
                      <w:kern w:val="2"/>
                      <w:sz w:val="21"/>
                      <w:szCs w:val="21"/>
                      <w:highlight w:val="none"/>
                      <w:lang w:val="en-US" w:eastAsia="zh-CN" w:bidi="ar"/>
                    </w:rPr>
                    <w:t>专用线两侧种植植被</w:t>
                  </w:r>
                </w:p>
              </w:tc>
              <w:tc>
                <w:tcPr>
                  <w:tcW w:w="3150" w:type="dxa"/>
                  <w:noWrap w:val="0"/>
                  <w:vAlign w:val="center"/>
                </w:tcPr>
                <w:p w14:paraId="5EB4F580">
                  <w:pPr>
                    <w:keepNext w:val="0"/>
                    <w:keepLines w:val="0"/>
                    <w:pageBreakBefore w:val="0"/>
                    <w:kinsoku/>
                    <w:wordWrap/>
                    <w:overflowPunct/>
                    <w:topLinePunct w:val="0"/>
                    <w:autoSpaceDE/>
                    <w:autoSpaceDN/>
                    <w:bidi w:val="0"/>
                    <w:spacing w:before="63" w:beforeLines="2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水土保持，改善生态环境</w:t>
                  </w:r>
                </w:p>
              </w:tc>
            </w:tr>
          </w:tbl>
          <w:p w14:paraId="5AAAEFA2">
            <w:pPr>
              <w:adjustRightInd w:val="0"/>
              <w:snapToGrid w:val="0"/>
              <w:spacing w:line="360" w:lineRule="auto"/>
              <w:rPr>
                <w:rFonts w:cs="宋体"/>
                <w:bCs/>
                <w:color w:val="auto"/>
                <w:spacing w:val="10"/>
                <w:sz w:val="24"/>
              </w:rPr>
            </w:pPr>
          </w:p>
        </w:tc>
      </w:tr>
      <w:tr w14:paraId="51900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3" w:hRule="atLeast"/>
          <w:jc w:val="center"/>
        </w:trPr>
        <w:tc>
          <w:tcPr>
            <w:tcW w:w="557" w:type="dxa"/>
            <w:vAlign w:val="center"/>
          </w:tcPr>
          <w:p w14:paraId="3397A905">
            <w:pPr>
              <w:adjustRightInd w:val="0"/>
              <w:snapToGrid w:val="0"/>
              <w:jc w:val="center"/>
              <w:rPr>
                <w:rFonts w:cs="宋体"/>
                <w:bCs/>
                <w:color w:val="auto"/>
                <w:spacing w:val="10"/>
                <w:sz w:val="24"/>
              </w:rPr>
            </w:pPr>
            <w:r>
              <w:rPr>
                <w:rFonts w:hint="eastAsia"/>
                <w:bCs/>
                <w:color w:val="auto"/>
                <w:sz w:val="24"/>
              </w:rPr>
              <w:t>环保投资</w:t>
            </w:r>
          </w:p>
        </w:tc>
        <w:tc>
          <w:tcPr>
            <w:tcW w:w="8653" w:type="dxa"/>
          </w:tcPr>
          <w:p w14:paraId="2003027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0" w:firstLineChars="200"/>
              <w:textAlignment w:val="auto"/>
              <w:rPr>
                <w:rFonts w:cs="宋体"/>
                <w:bCs/>
                <w:color w:val="auto"/>
                <w:spacing w:val="10"/>
                <w:sz w:val="24"/>
              </w:rPr>
            </w:pPr>
            <w:r>
              <w:rPr>
                <w:rFonts w:hint="eastAsia" w:cs="宋体"/>
                <w:bCs/>
                <w:color w:val="auto"/>
                <w:spacing w:val="10"/>
                <w:sz w:val="24"/>
              </w:rPr>
              <w:t>项目总投资</w:t>
            </w:r>
            <w:r>
              <w:rPr>
                <w:rFonts w:hint="eastAsia" w:cs="宋体"/>
                <w:color w:val="auto"/>
                <w:sz w:val="24"/>
                <w:lang w:val="en-US" w:eastAsia="zh-CN"/>
              </w:rPr>
              <w:t>9866</w:t>
            </w:r>
            <w:r>
              <w:rPr>
                <w:rFonts w:hint="eastAsia" w:cs="宋体"/>
                <w:bCs/>
                <w:color w:val="auto"/>
                <w:spacing w:val="10"/>
                <w:sz w:val="24"/>
              </w:rPr>
              <w:t>万元，其中环保投资</w:t>
            </w:r>
            <w:r>
              <w:rPr>
                <w:rFonts w:hint="eastAsia" w:cs="宋体"/>
                <w:bCs/>
                <w:color w:val="auto"/>
                <w:spacing w:val="10"/>
                <w:sz w:val="24"/>
                <w:lang w:val="en-US" w:eastAsia="zh-CN"/>
              </w:rPr>
              <w:t>267</w:t>
            </w:r>
            <w:r>
              <w:rPr>
                <w:rFonts w:hint="eastAsia" w:cs="宋体"/>
                <w:bCs/>
                <w:color w:val="auto"/>
                <w:spacing w:val="10"/>
                <w:sz w:val="24"/>
              </w:rPr>
              <w:t>万元，占项目总投资的</w:t>
            </w:r>
            <w:r>
              <w:rPr>
                <w:rFonts w:hint="eastAsia" w:cs="宋体"/>
                <w:bCs/>
                <w:color w:val="auto"/>
                <w:spacing w:val="10"/>
                <w:sz w:val="24"/>
                <w:lang w:val="en-US" w:eastAsia="zh-CN"/>
              </w:rPr>
              <w:t>2.7</w:t>
            </w:r>
            <w:r>
              <w:rPr>
                <w:rFonts w:cs="宋体"/>
                <w:bCs/>
                <w:color w:val="auto"/>
                <w:spacing w:val="10"/>
                <w:sz w:val="24"/>
              </w:rPr>
              <w:t>%</w:t>
            </w:r>
            <w:r>
              <w:rPr>
                <w:rFonts w:hint="eastAsia" w:cs="宋体"/>
                <w:bCs/>
                <w:color w:val="auto"/>
                <w:spacing w:val="10"/>
                <w:sz w:val="24"/>
              </w:rPr>
              <w:t>，详见表5</w:t>
            </w:r>
            <w:r>
              <w:rPr>
                <w:rFonts w:cs="宋体"/>
                <w:bCs/>
                <w:color w:val="auto"/>
                <w:spacing w:val="10"/>
                <w:sz w:val="24"/>
              </w:rPr>
              <w:t>-</w:t>
            </w:r>
            <w:r>
              <w:rPr>
                <w:rFonts w:hint="eastAsia" w:cs="宋体"/>
                <w:bCs/>
                <w:color w:val="auto"/>
                <w:spacing w:val="10"/>
                <w:sz w:val="24"/>
                <w:lang w:val="en-US" w:eastAsia="zh-CN"/>
              </w:rPr>
              <w:t>3</w:t>
            </w:r>
            <w:r>
              <w:rPr>
                <w:rFonts w:hint="eastAsia" w:cs="宋体"/>
                <w:bCs/>
                <w:color w:val="auto"/>
                <w:spacing w:val="10"/>
                <w:sz w:val="24"/>
              </w:rPr>
              <w:t>。</w:t>
            </w:r>
          </w:p>
          <w:p w14:paraId="4F6AD56A">
            <w:pPr>
              <w:adjustRightInd w:val="0"/>
              <w:snapToGrid w:val="0"/>
              <w:jc w:val="center"/>
              <w:rPr>
                <w:rFonts w:cs="宋体"/>
                <w:b/>
                <w:color w:val="auto"/>
                <w:spacing w:val="10"/>
                <w:szCs w:val="21"/>
              </w:rPr>
            </w:pPr>
            <w:r>
              <w:rPr>
                <w:rFonts w:hint="eastAsia" w:cs="宋体"/>
                <w:b/>
                <w:color w:val="auto"/>
                <w:spacing w:val="10"/>
                <w:sz w:val="24"/>
                <w:szCs w:val="24"/>
              </w:rPr>
              <w:t>表5</w:t>
            </w:r>
            <w:r>
              <w:rPr>
                <w:rFonts w:cs="宋体"/>
                <w:b/>
                <w:color w:val="auto"/>
                <w:spacing w:val="10"/>
                <w:sz w:val="24"/>
                <w:szCs w:val="24"/>
              </w:rPr>
              <w:t>-</w:t>
            </w:r>
            <w:r>
              <w:rPr>
                <w:rFonts w:hint="eastAsia" w:cs="宋体"/>
                <w:b/>
                <w:color w:val="auto"/>
                <w:spacing w:val="10"/>
                <w:sz w:val="24"/>
                <w:szCs w:val="24"/>
                <w:lang w:val="en-US" w:eastAsia="zh-CN"/>
              </w:rPr>
              <w:t>3</w:t>
            </w:r>
            <w:r>
              <w:rPr>
                <w:rFonts w:cs="宋体"/>
                <w:b/>
                <w:color w:val="auto"/>
                <w:spacing w:val="10"/>
                <w:sz w:val="24"/>
                <w:szCs w:val="24"/>
              </w:rPr>
              <w:t xml:space="preserve">  </w:t>
            </w:r>
            <w:r>
              <w:rPr>
                <w:rFonts w:hint="eastAsia" w:cs="宋体"/>
                <w:b/>
                <w:color w:val="auto"/>
                <w:spacing w:val="10"/>
                <w:sz w:val="24"/>
                <w:szCs w:val="24"/>
              </w:rPr>
              <w:t>项目环保投资一览表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178"/>
              <w:gridCol w:w="1920"/>
              <w:gridCol w:w="3128"/>
              <w:gridCol w:w="1372"/>
            </w:tblGrid>
            <w:tr w14:paraId="1074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Align w:val="center"/>
                </w:tcPr>
                <w:p w14:paraId="60933079">
                  <w:pPr>
                    <w:adjustRightInd w:val="0"/>
                    <w:snapToGrid w:val="0"/>
                    <w:jc w:val="center"/>
                    <w:rPr>
                      <w:rFonts w:cs="宋体"/>
                      <w:b/>
                      <w:bCs w:val="0"/>
                      <w:color w:val="auto"/>
                      <w:spacing w:val="10"/>
                      <w:szCs w:val="21"/>
                    </w:rPr>
                  </w:pPr>
                  <w:r>
                    <w:rPr>
                      <w:rFonts w:hint="eastAsia" w:cs="宋体"/>
                      <w:b/>
                      <w:bCs w:val="0"/>
                      <w:color w:val="auto"/>
                      <w:spacing w:val="10"/>
                      <w:szCs w:val="21"/>
                    </w:rPr>
                    <w:t>时期</w:t>
                  </w:r>
                </w:p>
              </w:tc>
              <w:tc>
                <w:tcPr>
                  <w:tcW w:w="1178" w:type="dxa"/>
                  <w:vAlign w:val="center"/>
                </w:tcPr>
                <w:p w14:paraId="7EA2708E">
                  <w:pPr>
                    <w:adjustRightInd w:val="0"/>
                    <w:snapToGrid w:val="0"/>
                    <w:jc w:val="center"/>
                    <w:rPr>
                      <w:rFonts w:cs="宋体"/>
                      <w:b/>
                      <w:bCs w:val="0"/>
                      <w:color w:val="auto"/>
                      <w:spacing w:val="10"/>
                      <w:szCs w:val="21"/>
                    </w:rPr>
                  </w:pPr>
                  <w:r>
                    <w:rPr>
                      <w:rFonts w:hint="eastAsia" w:cs="宋体"/>
                      <w:b/>
                      <w:bCs w:val="0"/>
                      <w:color w:val="auto"/>
                      <w:spacing w:val="10"/>
                      <w:szCs w:val="21"/>
                    </w:rPr>
                    <w:t>类别</w:t>
                  </w:r>
                </w:p>
              </w:tc>
              <w:tc>
                <w:tcPr>
                  <w:tcW w:w="1920" w:type="dxa"/>
                  <w:vAlign w:val="center"/>
                </w:tcPr>
                <w:p w14:paraId="67A82870">
                  <w:pPr>
                    <w:adjustRightInd w:val="0"/>
                    <w:snapToGrid w:val="0"/>
                    <w:jc w:val="center"/>
                    <w:rPr>
                      <w:rFonts w:cs="宋体"/>
                      <w:b/>
                      <w:bCs w:val="0"/>
                      <w:color w:val="auto"/>
                      <w:spacing w:val="10"/>
                      <w:szCs w:val="21"/>
                    </w:rPr>
                  </w:pPr>
                  <w:r>
                    <w:rPr>
                      <w:rFonts w:hint="eastAsia" w:cs="宋体"/>
                      <w:b/>
                      <w:bCs w:val="0"/>
                      <w:color w:val="auto"/>
                      <w:spacing w:val="10"/>
                      <w:szCs w:val="21"/>
                    </w:rPr>
                    <w:t>污染源</w:t>
                  </w:r>
                </w:p>
              </w:tc>
              <w:tc>
                <w:tcPr>
                  <w:tcW w:w="3128" w:type="dxa"/>
                  <w:vAlign w:val="center"/>
                </w:tcPr>
                <w:p w14:paraId="3462491C">
                  <w:pPr>
                    <w:adjustRightInd w:val="0"/>
                    <w:snapToGrid w:val="0"/>
                    <w:jc w:val="center"/>
                    <w:rPr>
                      <w:rFonts w:cs="宋体"/>
                      <w:b/>
                      <w:bCs w:val="0"/>
                      <w:color w:val="auto"/>
                      <w:spacing w:val="10"/>
                      <w:szCs w:val="21"/>
                    </w:rPr>
                  </w:pPr>
                  <w:r>
                    <w:rPr>
                      <w:rFonts w:hint="eastAsia" w:cs="宋体"/>
                      <w:b/>
                      <w:bCs w:val="0"/>
                      <w:color w:val="auto"/>
                      <w:spacing w:val="10"/>
                      <w:szCs w:val="21"/>
                    </w:rPr>
                    <w:t>环保措施</w:t>
                  </w:r>
                </w:p>
              </w:tc>
              <w:tc>
                <w:tcPr>
                  <w:tcW w:w="1372" w:type="dxa"/>
                  <w:vAlign w:val="center"/>
                </w:tcPr>
                <w:p w14:paraId="7AEB12B5">
                  <w:pPr>
                    <w:adjustRightInd w:val="0"/>
                    <w:snapToGrid w:val="0"/>
                    <w:jc w:val="center"/>
                    <w:rPr>
                      <w:rFonts w:cs="宋体"/>
                      <w:b/>
                      <w:bCs w:val="0"/>
                      <w:color w:val="auto"/>
                      <w:spacing w:val="10"/>
                      <w:szCs w:val="21"/>
                    </w:rPr>
                  </w:pPr>
                  <w:r>
                    <w:rPr>
                      <w:rFonts w:hint="eastAsia" w:cs="宋体"/>
                      <w:b/>
                      <w:bCs w:val="0"/>
                      <w:color w:val="auto"/>
                      <w:spacing w:val="10"/>
                      <w:szCs w:val="21"/>
                    </w:rPr>
                    <w:t>投资金额</w:t>
                  </w:r>
                </w:p>
                <w:p w14:paraId="1D5CB385">
                  <w:pPr>
                    <w:adjustRightInd w:val="0"/>
                    <w:snapToGrid w:val="0"/>
                    <w:jc w:val="center"/>
                    <w:rPr>
                      <w:rFonts w:cs="宋体"/>
                      <w:b/>
                      <w:bCs w:val="0"/>
                      <w:color w:val="auto"/>
                      <w:spacing w:val="10"/>
                      <w:szCs w:val="21"/>
                    </w:rPr>
                  </w:pPr>
                  <w:r>
                    <w:rPr>
                      <w:rFonts w:hint="eastAsia" w:cs="宋体"/>
                      <w:b/>
                      <w:bCs w:val="0"/>
                      <w:color w:val="auto"/>
                      <w:spacing w:val="10"/>
                      <w:szCs w:val="21"/>
                    </w:rPr>
                    <w:t>（万元）</w:t>
                  </w:r>
                </w:p>
              </w:tc>
            </w:tr>
            <w:tr w14:paraId="668E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restart"/>
                  <w:vAlign w:val="center"/>
                </w:tcPr>
                <w:p w14:paraId="1A257A7F">
                  <w:pPr>
                    <w:adjustRightInd w:val="0"/>
                    <w:snapToGrid w:val="0"/>
                    <w:jc w:val="center"/>
                    <w:rPr>
                      <w:rFonts w:cs="宋体"/>
                      <w:bCs/>
                      <w:color w:val="auto"/>
                      <w:spacing w:val="10"/>
                      <w:szCs w:val="21"/>
                    </w:rPr>
                  </w:pPr>
                  <w:r>
                    <w:rPr>
                      <w:rFonts w:hint="eastAsia" w:cs="宋体"/>
                      <w:bCs/>
                      <w:color w:val="auto"/>
                      <w:spacing w:val="10"/>
                      <w:szCs w:val="21"/>
                    </w:rPr>
                    <w:t>施工期</w:t>
                  </w:r>
                </w:p>
              </w:tc>
              <w:tc>
                <w:tcPr>
                  <w:tcW w:w="1178" w:type="dxa"/>
                  <w:vAlign w:val="center"/>
                </w:tcPr>
                <w:p w14:paraId="5DDD572D">
                  <w:pPr>
                    <w:adjustRightInd w:val="0"/>
                    <w:snapToGrid w:val="0"/>
                    <w:jc w:val="center"/>
                    <w:rPr>
                      <w:rFonts w:cs="宋体"/>
                      <w:bCs/>
                      <w:color w:val="auto"/>
                      <w:spacing w:val="10"/>
                      <w:szCs w:val="21"/>
                    </w:rPr>
                  </w:pPr>
                  <w:r>
                    <w:rPr>
                      <w:rFonts w:hint="eastAsia" w:cs="宋体"/>
                      <w:bCs/>
                      <w:color w:val="auto"/>
                      <w:spacing w:val="10"/>
                      <w:szCs w:val="21"/>
                    </w:rPr>
                    <w:t>废气</w:t>
                  </w:r>
                </w:p>
              </w:tc>
              <w:tc>
                <w:tcPr>
                  <w:tcW w:w="1920" w:type="dxa"/>
                  <w:vAlign w:val="center"/>
                </w:tcPr>
                <w:p w14:paraId="57FB772C">
                  <w:pPr>
                    <w:adjustRightInd w:val="0"/>
                    <w:snapToGrid w:val="0"/>
                    <w:jc w:val="center"/>
                    <w:rPr>
                      <w:rFonts w:cs="宋体"/>
                      <w:bCs/>
                      <w:color w:val="auto"/>
                      <w:spacing w:val="10"/>
                      <w:szCs w:val="21"/>
                    </w:rPr>
                  </w:pPr>
                  <w:r>
                    <w:rPr>
                      <w:rFonts w:hint="eastAsia" w:cs="宋体"/>
                      <w:bCs/>
                      <w:color w:val="auto"/>
                      <w:spacing w:val="10"/>
                      <w:szCs w:val="21"/>
                    </w:rPr>
                    <w:t>施工扬尘</w:t>
                  </w:r>
                </w:p>
              </w:tc>
              <w:tc>
                <w:tcPr>
                  <w:tcW w:w="3128" w:type="dxa"/>
                  <w:vAlign w:val="center"/>
                </w:tcPr>
                <w:p w14:paraId="08DA9286">
                  <w:pPr>
                    <w:adjustRightInd w:val="0"/>
                    <w:snapToGrid w:val="0"/>
                    <w:jc w:val="center"/>
                    <w:rPr>
                      <w:rFonts w:cs="宋体"/>
                      <w:bCs/>
                      <w:color w:val="auto"/>
                      <w:spacing w:val="10"/>
                      <w:szCs w:val="21"/>
                    </w:rPr>
                  </w:pPr>
                  <w:r>
                    <w:rPr>
                      <w:rFonts w:hint="eastAsia" w:cs="宋体"/>
                      <w:bCs/>
                      <w:color w:val="auto"/>
                      <w:spacing w:val="10"/>
                      <w:szCs w:val="21"/>
                    </w:rPr>
                    <w:t>围挡、洒水降尘、篷布遮盖等</w:t>
                  </w:r>
                </w:p>
              </w:tc>
              <w:tc>
                <w:tcPr>
                  <w:tcW w:w="1372" w:type="dxa"/>
                  <w:vAlign w:val="center"/>
                </w:tcPr>
                <w:p w14:paraId="33310064">
                  <w:pPr>
                    <w:adjustRightInd w:val="0"/>
                    <w:snapToGrid w:val="0"/>
                    <w:jc w:val="center"/>
                    <w:rPr>
                      <w:rFonts w:cs="宋体"/>
                      <w:bCs/>
                      <w:color w:val="auto"/>
                      <w:spacing w:val="10"/>
                      <w:szCs w:val="21"/>
                    </w:rPr>
                  </w:pPr>
                  <w:r>
                    <w:rPr>
                      <w:rFonts w:hint="eastAsia" w:cs="宋体"/>
                      <w:bCs/>
                      <w:color w:val="auto"/>
                      <w:spacing w:val="10"/>
                      <w:szCs w:val="21"/>
                    </w:rPr>
                    <w:t>8</w:t>
                  </w:r>
                </w:p>
              </w:tc>
            </w:tr>
            <w:tr w14:paraId="7823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vAlign w:val="center"/>
                </w:tcPr>
                <w:p w14:paraId="7B7EA7BB">
                  <w:pPr>
                    <w:adjustRightInd w:val="0"/>
                    <w:snapToGrid w:val="0"/>
                    <w:jc w:val="center"/>
                    <w:rPr>
                      <w:rFonts w:cs="宋体"/>
                      <w:bCs/>
                      <w:color w:val="auto"/>
                      <w:spacing w:val="10"/>
                      <w:szCs w:val="21"/>
                    </w:rPr>
                  </w:pPr>
                </w:p>
              </w:tc>
              <w:tc>
                <w:tcPr>
                  <w:tcW w:w="1178" w:type="dxa"/>
                  <w:vAlign w:val="center"/>
                </w:tcPr>
                <w:p w14:paraId="5EA341E7">
                  <w:pPr>
                    <w:adjustRightInd w:val="0"/>
                    <w:snapToGrid w:val="0"/>
                    <w:jc w:val="center"/>
                    <w:rPr>
                      <w:rFonts w:cs="宋体"/>
                      <w:bCs/>
                      <w:color w:val="auto"/>
                      <w:spacing w:val="10"/>
                      <w:szCs w:val="21"/>
                    </w:rPr>
                  </w:pPr>
                  <w:r>
                    <w:rPr>
                      <w:rFonts w:hint="eastAsia" w:cs="宋体"/>
                      <w:bCs/>
                      <w:color w:val="auto"/>
                      <w:spacing w:val="10"/>
                      <w:szCs w:val="21"/>
                    </w:rPr>
                    <w:t>废水</w:t>
                  </w:r>
                </w:p>
              </w:tc>
              <w:tc>
                <w:tcPr>
                  <w:tcW w:w="1920" w:type="dxa"/>
                  <w:vAlign w:val="center"/>
                </w:tcPr>
                <w:p w14:paraId="39E1F2B9">
                  <w:pPr>
                    <w:adjustRightInd w:val="0"/>
                    <w:snapToGrid w:val="0"/>
                    <w:jc w:val="center"/>
                    <w:rPr>
                      <w:rFonts w:cs="宋体"/>
                      <w:bCs/>
                      <w:color w:val="auto"/>
                      <w:spacing w:val="10"/>
                      <w:szCs w:val="21"/>
                    </w:rPr>
                  </w:pPr>
                  <w:r>
                    <w:rPr>
                      <w:rFonts w:hint="eastAsia" w:cs="宋体"/>
                      <w:bCs/>
                      <w:color w:val="auto"/>
                      <w:spacing w:val="10"/>
                      <w:szCs w:val="21"/>
                    </w:rPr>
                    <w:t>施工废水</w:t>
                  </w:r>
                </w:p>
              </w:tc>
              <w:tc>
                <w:tcPr>
                  <w:tcW w:w="3128" w:type="dxa"/>
                  <w:vAlign w:val="center"/>
                </w:tcPr>
                <w:p w14:paraId="674145C8">
                  <w:pPr>
                    <w:adjustRightInd w:val="0"/>
                    <w:snapToGrid w:val="0"/>
                    <w:jc w:val="center"/>
                    <w:rPr>
                      <w:rFonts w:cs="宋体"/>
                      <w:bCs/>
                      <w:color w:val="auto"/>
                      <w:spacing w:val="10"/>
                      <w:szCs w:val="21"/>
                    </w:rPr>
                  </w:pPr>
                  <w:r>
                    <w:rPr>
                      <w:rFonts w:hint="eastAsia" w:cs="宋体"/>
                      <w:bCs/>
                      <w:color w:val="auto"/>
                      <w:spacing w:val="10"/>
                      <w:szCs w:val="21"/>
                    </w:rPr>
                    <w:t>临时沉淀池、临时排水沟</w:t>
                  </w:r>
                </w:p>
              </w:tc>
              <w:tc>
                <w:tcPr>
                  <w:tcW w:w="1372" w:type="dxa"/>
                  <w:vAlign w:val="center"/>
                </w:tcPr>
                <w:p w14:paraId="7B76CBDD">
                  <w:pPr>
                    <w:adjustRightInd w:val="0"/>
                    <w:snapToGrid w:val="0"/>
                    <w:jc w:val="center"/>
                    <w:rPr>
                      <w:rFonts w:cs="宋体"/>
                      <w:bCs/>
                      <w:color w:val="auto"/>
                      <w:spacing w:val="10"/>
                      <w:szCs w:val="21"/>
                    </w:rPr>
                  </w:pPr>
                  <w:r>
                    <w:rPr>
                      <w:rFonts w:hint="eastAsia" w:cs="宋体"/>
                      <w:bCs/>
                      <w:color w:val="auto"/>
                      <w:spacing w:val="10"/>
                      <w:szCs w:val="21"/>
                    </w:rPr>
                    <w:t>6</w:t>
                  </w:r>
                </w:p>
              </w:tc>
            </w:tr>
            <w:tr w14:paraId="1D94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vAlign w:val="center"/>
                </w:tcPr>
                <w:p w14:paraId="4D2F1C83">
                  <w:pPr>
                    <w:adjustRightInd w:val="0"/>
                    <w:snapToGrid w:val="0"/>
                    <w:jc w:val="center"/>
                    <w:rPr>
                      <w:rFonts w:cs="宋体"/>
                      <w:bCs/>
                      <w:color w:val="auto"/>
                      <w:spacing w:val="10"/>
                      <w:szCs w:val="21"/>
                    </w:rPr>
                  </w:pPr>
                </w:p>
              </w:tc>
              <w:tc>
                <w:tcPr>
                  <w:tcW w:w="1178" w:type="dxa"/>
                  <w:vAlign w:val="center"/>
                </w:tcPr>
                <w:p w14:paraId="741E3B99">
                  <w:pPr>
                    <w:adjustRightInd w:val="0"/>
                    <w:snapToGrid w:val="0"/>
                    <w:jc w:val="center"/>
                    <w:rPr>
                      <w:rFonts w:cs="宋体"/>
                      <w:bCs/>
                      <w:color w:val="auto"/>
                      <w:spacing w:val="10"/>
                      <w:szCs w:val="21"/>
                    </w:rPr>
                  </w:pPr>
                  <w:r>
                    <w:rPr>
                      <w:rFonts w:hint="eastAsia" w:cs="宋体"/>
                      <w:bCs/>
                      <w:color w:val="auto"/>
                      <w:spacing w:val="10"/>
                      <w:szCs w:val="21"/>
                    </w:rPr>
                    <w:t>噪声</w:t>
                  </w:r>
                </w:p>
              </w:tc>
              <w:tc>
                <w:tcPr>
                  <w:tcW w:w="1920" w:type="dxa"/>
                  <w:vAlign w:val="center"/>
                </w:tcPr>
                <w:p w14:paraId="786B0220">
                  <w:pPr>
                    <w:adjustRightInd w:val="0"/>
                    <w:snapToGrid w:val="0"/>
                    <w:jc w:val="center"/>
                    <w:rPr>
                      <w:rFonts w:cs="宋体"/>
                      <w:bCs/>
                      <w:color w:val="auto"/>
                      <w:spacing w:val="10"/>
                      <w:szCs w:val="21"/>
                    </w:rPr>
                  </w:pPr>
                  <w:r>
                    <w:rPr>
                      <w:rFonts w:hint="eastAsia" w:cs="宋体"/>
                      <w:bCs/>
                      <w:color w:val="auto"/>
                      <w:spacing w:val="10"/>
                      <w:szCs w:val="21"/>
                    </w:rPr>
                    <w:t>机械设备</w:t>
                  </w:r>
                </w:p>
              </w:tc>
              <w:tc>
                <w:tcPr>
                  <w:tcW w:w="3128" w:type="dxa"/>
                  <w:vAlign w:val="center"/>
                </w:tcPr>
                <w:p w14:paraId="52D43D05">
                  <w:pPr>
                    <w:adjustRightInd w:val="0"/>
                    <w:snapToGrid w:val="0"/>
                    <w:jc w:val="center"/>
                    <w:rPr>
                      <w:rFonts w:cs="宋体"/>
                      <w:bCs/>
                      <w:color w:val="auto"/>
                      <w:spacing w:val="10"/>
                      <w:szCs w:val="21"/>
                    </w:rPr>
                  </w:pPr>
                  <w:r>
                    <w:rPr>
                      <w:rFonts w:hint="eastAsia" w:cs="宋体"/>
                      <w:bCs/>
                      <w:color w:val="auto"/>
                      <w:spacing w:val="10"/>
                      <w:szCs w:val="21"/>
                    </w:rPr>
                    <w:t>优选施工设备、围挡、隔声罩等减震措施</w:t>
                  </w:r>
                </w:p>
              </w:tc>
              <w:tc>
                <w:tcPr>
                  <w:tcW w:w="1372" w:type="dxa"/>
                  <w:vAlign w:val="center"/>
                </w:tcPr>
                <w:p w14:paraId="2BD10D64">
                  <w:pPr>
                    <w:adjustRightInd w:val="0"/>
                    <w:snapToGrid w:val="0"/>
                    <w:jc w:val="center"/>
                    <w:rPr>
                      <w:rFonts w:cs="宋体"/>
                      <w:bCs/>
                      <w:color w:val="auto"/>
                      <w:spacing w:val="10"/>
                      <w:szCs w:val="21"/>
                    </w:rPr>
                  </w:pPr>
                  <w:r>
                    <w:rPr>
                      <w:rFonts w:hint="eastAsia" w:cs="宋体"/>
                      <w:bCs/>
                      <w:color w:val="auto"/>
                      <w:spacing w:val="10"/>
                      <w:szCs w:val="21"/>
                    </w:rPr>
                    <w:t>3</w:t>
                  </w:r>
                </w:p>
              </w:tc>
            </w:tr>
            <w:tr w14:paraId="095B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vAlign w:val="center"/>
                </w:tcPr>
                <w:p w14:paraId="5C3A91AE">
                  <w:pPr>
                    <w:adjustRightInd w:val="0"/>
                    <w:snapToGrid w:val="0"/>
                    <w:jc w:val="center"/>
                    <w:rPr>
                      <w:rFonts w:cs="宋体"/>
                      <w:bCs/>
                      <w:color w:val="auto"/>
                      <w:spacing w:val="10"/>
                      <w:szCs w:val="21"/>
                    </w:rPr>
                  </w:pPr>
                </w:p>
              </w:tc>
              <w:tc>
                <w:tcPr>
                  <w:tcW w:w="1178" w:type="dxa"/>
                  <w:vMerge w:val="restart"/>
                  <w:vAlign w:val="center"/>
                </w:tcPr>
                <w:p w14:paraId="40E29063">
                  <w:pPr>
                    <w:adjustRightInd w:val="0"/>
                    <w:snapToGrid w:val="0"/>
                    <w:jc w:val="center"/>
                    <w:rPr>
                      <w:rFonts w:cs="宋体"/>
                      <w:bCs/>
                      <w:color w:val="auto"/>
                      <w:spacing w:val="10"/>
                      <w:szCs w:val="21"/>
                    </w:rPr>
                  </w:pPr>
                  <w:r>
                    <w:rPr>
                      <w:rFonts w:hint="eastAsia" w:cs="宋体"/>
                      <w:bCs/>
                      <w:color w:val="auto"/>
                      <w:spacing w:val="10"/>
                      <w:szCs w:val="21"/>
                    </w:rPr>
                    <w:t>固体</w:t>
                  </w:r>
                </w:p>
                <w:p w14:paraId="028A4A1F">
                  <w:pPr>
                    <w:adjustRightInd w:val="0"/>
                    <w:snapToGrid w:val="0"/>
                    <w:jc w:val="center"/>
                    <w:rPr>
                      <w:rFonts w:cs="宋体"/>
                      <w:bCs/>
                      <w:color w:val="auto"/>
                      <w:spacing w:val="10"/>
                      <w:szCs w:val="21"/>
                    </w:rPr>
                  </w:pPr>
                  <w:r>
                    <w:rPr>
                      <w:rFonts w:hint="eastAsia" w:cs="宋体"/>
                      <w:bCs/>
                      <w:color w:val="auto"/>
                      <w:spacing w:val="10"/>
                      <w:szCs w:val="21"/>
                    </w:rPr>
                    <w:t>废物</w:t>
                  </w:r>
                </w:p>
              </w:tc>
              <w:tc>
                <w:tcPr>
                  <w:tcW w:w="1920" w:type="dxa"/>
                  <w:vAlign w:val="center"/>
                </w:tcPr>
                <w:p w14:paraId="51DDDBAD">
                  <w:pPr>
                    <w:adjustRightInd w:val="0"/>
                    <w:snapToGrid w:val="0"/>
                    <w:jc w:val="center"/>
                    <w:rPr>
                      <w:rFonts w:cs="宋体"/>
                      <w:bCs/>
                      <w:color w:val="auto"/>
                      <w:spacing w:val="10"/>
                      <w:szCs w:val="21"/>
                    </w:rPr>
                  </w:pPr>
                  <w:r>
                    <w:rPr>
                      <w:rFonts w:hint="eastAsia" w:cs="宋体"/>
                      <w:bCs/>
                      <w:color w:val="auto"/>
                      <w:spacing w:val="10"/>
                      <w:szCs w:val="21"/>
                    </w:rPr>
                    <w:t>建筑垃圾</w:t>
                  </w:r>
                </w:p>
              </w:tc>
              <w:tc>
                <w:tcPr>
                  <w:tcW w:w="3128" w:type="dxa"/>
                  <w:vAlign w:val="center"/>
                </w:tcPr>
                <w:p w14:paraId="4B56948D">
                  <w:pPr>
                    <w:adjustRightInd w:val="0"/>
                    <w:snapToGrid w:val="0"/>
                    <w:jc w:val="center"/>
                    <w:rPr>
                      <w:rFonts w:cs="宋体"/>
                      <w:bCs/>
                      <w:color w:val="auto"/>
                      <w:spacing w:val="10"/>
                      <w:szCs w:val="21"/>
                    </w:rPr>
                  </w:pPr>
                  <w:r>
                    <w:rPr>
                      <w:rFonts w:hint="eastAsia" w:cs="宋体"/>
                      <w:bCs/>
                      <w:color w:val="auto"/>
                      <w:spacing w:val="10"/>
                      <w:szCs w:val="21"/>
                    </w:rPr>
                    <w:t>运至市政指定地点堆放</w:t>
                  </w:r>
                </w:p>
              </w:tc>
              <w:tc>
                <w:tcPr>
                  <w:tcW w:w="1372" w:type="dxa"/>
                  <w:vAlign w:val="center"/>
                </w:tcPr>
                <w:p w14:paraId="039E155A">
                  <w:pPr>
                    <w:adjustRightInd w:val="0"/>
                    <w:snapToGrid w:val="0"/>
                    <w:jc w:val="center"/>
                    <w:rPr>
                      <w:rFonts w:cs="宋体"/>
                      <w:bCs/>
                      <w:color w:val="auto"/>
                      <w:spacing w:val="10"/>
                      <w:szCs w:val="21"/>
                    </w:rPr>
                  </w:pPr>
                  <w:r>
                    <w:rPr>
                      <w:rFonts w:hint="eastAsia" w:cs="宋体"/>
                      <w:bCs/>
                      <w:color w:val="auto"/>
                      <w:spacing w:val="10"/>
                      <w:szCs w:val="21"/>
                    </w:rPr>
                    <w:t>3</w:t>
                  </w:r>
                </w:p>
              </w:tc>
            </w:tr>
            <w:tr w14:paraId="38D4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vAlign w:val="center"/>
                </w:tcPr>
                <w:p w14:paraId="03243FFE">
                  <w:pPr>
                    <w:adjustRightInd w:val="0"/>
                    <w:snapToGrid w:val="0"/>
                    <w:jc w:val="center"/>
                    <w:rPr>
                      <w:rFonts w:cs="宋体"/>
                      <w:bCs/>
                      <w:color w:val="auto"/>
                      <w:spacing w:val="10"/>
                      <w:szCs w:val="21"/>
                    </w:rPr>
                  </w:pPr>
                </w:p>
              </w:tc>
              <w:tc>
                <w:tcPr>
                  <w:tcW w:w="1178" w:type="dxa"/>
                  <w:vMerge w:val="continue"/>
                  <w:vAlign w:val="center"/>
                </w:tcPr>
                <w:p w14:paraId="10D63C64">
                  <w:pPr>
                    <w:adjustRightInd w:val="0"/>
                    <w:snapToGrid w:val="0"/>
                    <w:jc w:val="center"/>
                    <w:rPr>
                      <w:rFonts w:cs="宋体"/>
                      <w:bCs/>
                      <w:color w:val="auto"/>
                      <w:spacing w:val="10"/>
                      <w:szCs w:val="21"/>
                    </w:rPr>
                  </w:pPr>
                </w:p>
              </w:tc>
              <w:tc>
                <w:tcPr>
                  <w:tcW w:w="1920" w:type="dxa"/>
                  <w:vAlign w:val="center"/>
                </w:tcPr>
                <w:p w14:paraId="4A09DF41">
                  <w:pPr>
                    <w:adjustRightInd w:val="0"/>
                    <w:snapToGrid w:val="0"/>
                    <w:jc w:val="center"/>
                    <w:rPr>
                      <w:rFonts w:cs="宋体"/>
                      <w:bCs/>
                      <w:color w:val="auto"/>
                      <w:spacing w:val="10"/>
                      <w:szCs w:val="21"/>
                    </w:rPr>
                  </w:pPr>
                  <w:r>
                    <w:rPr>
                      <w:rFonts w:hint="eastAsia" w:cs="宋体"/>
                      <w:bCs/>
                      <w:color w:val="auto"/>
                      <w:spacing w:val="10"/>
                      <w:szCs w:val="21"/>
                    </w:rPr>
                    <w:t>生活垃圾</w:t>
                  </w:r>
                </w:p>
              </w:tc>
              <w:tc>
                <w:tcPr>
                  <w:tcW w:w="3128" w:type="dxa"/>
                  <w:vAlign w:val="center"/>
                </w:tcPr>
                <w:p w14:paraId="4B5C333A">
                  <w:pPr>
                    <w:adjustRightInd w:val="0"/>
                    <w:snapToGrid w:val="0"/>
                    <w:jc w:val="center"/>
                    <w:rPr>
                      <w:rFonts w:cs="宋体"/>
                      <w:bCs/>
                      <w:color w:val="auto"/>
                      <w:spacing w:val="10"/>
                      <w:szCs w:val="21"/>
                    </w:rPr>
                  </w:pPr>
                  <w:r>
                    <w:rPr>
                      <w:rFonts w:hint="eastAsia" w:cs="宋体"/>
                      <w:bCs/>
                      <w:color w:val="auto"/>
                      <w:spacing w:val="10"/>
                      <w:szCs w:val="21"/>
                    </w:rPr>
                    <w:t>环卫部门清运处置</w:t>
                  </w:r>
                </w:p>
              </w:tc>
              <w:tc>
                <w:tcPr>
                  <w:tcW w:w="1372" w:type="dxa"/>
                  <w:vAlign w:val="center"/>
                </w:tcPr>
                <w:p w14:paraId="5F2FA1AF">
                  <w:pPr>
                    <w:adjustRightInd w:val="0"/>
                    <w:snapToGrid w:val="0"/>
                    <w:jc w:val="center"/>
                    <w:rPr>
                      <w:rFonts w:hint="default" w:eastAsia="宋体" w:cs="宋体"/>
                      <w:bCs/>
                      <w:color w:val="auto"/>
                      <w:spacing w:val="10"/>
                      <w:szCs w:val="21"/>
                      <w:lang w:val="en-US" w:eastAsia="zh-CN"/>
                    </w:rPr>
                  </w:pPr>
                  <w:r>
                    <w:rPr>
                      <w:rFonts w:hint="eastAsia" w:cs="宋体"/>
                      <w:bCs/>
                      <w:color w:val="auto"/>
                      <w:spacing w:val="10"/>
                      <w:szCs w:val="21"/>
                      <w:lang w:val="en-US" w:eastAsia="zh-CN"/>
                    </w:rPr>
                    <w:t>0.5</w:t>
                  </w:r>
                </w:p>
              </w:tc>
            </w:tr>
            <w:tr w14:paraId="0134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vAlign w:val="center"/>
                </w:tcPr>
                <w:p w14:paraId="64E44DE9">
                  <w:pPr>
                    <w:adjustRightInd w:val="0"/>
                    <w:snapToGrid w:val="0"/>
                    <w:jc w:val="center"/>
                    <w:rPr>
                      <w:rFonts w:cs="宋体"/>
                      <w:bCs/>
                      <w:color w:val="auto"/>
                      <w:spacing w:val="10"/>
                      <w:szCs w:val="21"/>
                    </w:rPr>
                  </w:pPr>
                </w:p>
              </w:tc>
              <w:tc>
                <w:tcPr>
                  <w:tcW w:w="1178" w:type="dxa"/>
                  <w:vAlign w:val="center"/>
                </w:tcPr>
                <w:p w14:paraId="584B77BD">
                  <w:pPr>
                    <w:adjustRightInd w:val="0"/>
                    <w:snapToGrid w:val="0"/>
                    <w:jc w:val="center"/>
                    <w:rPr>
                      <w:rFonts w:cs="宋体"/>
                      <w:bCs/>
                      <w:color w:val="auto"/>
                      <w:spacing w:val="10"/>
                      <w:szCs w:val="21"/>
                    </w:rPr>
                  </w:pPr>
                  <w:r>
                    <w:rPr>
                      <w:rFonts w:hint="eastAsia" w:cs="宋体"/>
                      <w:bCs/>
                      <w:color w:val="auto"/>
                      <w:spacing w:val="10"/>
                      <w:szCs w:val="21"/>
                    </w:rPr>
                    <w:t>生态</w:t>
                  </w:r>
                </w:p>
              </w:tc>
              <w:tc>
                <w:tcPr>
                  <w:tcW w:w="1920" w:type="dxa"/>
                  <w:vAlign w:val="center"/>
                </w:tcPr>
                <w:p w14:paraId="01BA034F">
                  <w:pPr>
                    <w:adjustRightInd w:val="0"/>
                    <w:snapToGrid w:val="0"/>
                    <w:jc w:val="center"/>
                    <w:rPr>
                      <w:rFonts w:cs="宋体"/>
                      <w:bCs/>
                      <w:color w:val="auto"/>
                      <w:spacing w:val="10"/>
                      <w:szCs w:val="21"/>
                    </w:rPr>
                  </w:pPr>
                  <w:r>
                    <w:rPr>
                      <w:rFonts w:hint="eastAsia" w:cs="宋体"/>
                      <w:bCs/>
                      <w:color w:val="auto"/>
                      <w:spacing w:val="10"/>
                      <w:szCs w:val="21"/>
                    </w:rPr>
                    <w:t>/</w:t>
                  </w:r>
                </w:p>
              </w:tc>
              <w:tc>
                <w:tcPr>
                  <w:tcW w:w="3128" w:type="dxa"/>
                  <w:vAlign w:val="center"/>
                </w:tcPr>
                <w:p w14:paraId="3FA87EB3">
                  <w:pPr>
                    <w:adjustRightInd w:val="0"/>
                    <w:snapToGrid w:val="0"/>
                    <w:jc w:val="center"/>
                    <w:rPr>
                      <w:rFonts w:cs="宋体"/>
                      <w:bCs/>
                      <w:color w:val="auto"/>
                      <w:spacing w:val="10"/>
                      <w:szCs w:val="21"/>
                    </w:rPr>
                  </w:pPr>
                  <w:r>
                    <w:rPr>
                      <w:rFonts w:hint="eastAsia" w:cs="宋体"/>
                      <w:bCs/>
                      <w:color w:val="auto"/>
                      <w:spacing w:val="10"/>
                      <w:szCs w:val="21"/>
                    </w:rPr>
                    <w:t>水土保持等</w:t>
                  </w:r>
                </w:p>
              </w:tc>
              <w:tc>
                <w:tcPr>
                  <w:tcW w:w="1372" w:type="dxa"/>
                  <w:vAlign w:val="center"/>
                </w:tcPr>
                <w:p w14:paraId="31D9B75A">
                  <w:pPr>
                    <w:adjustRightInd w:val="0"/>
                    <w:snapToGrid w:val="0"/>
                    <w:jc w:val="center"/>
                    <w:rPr>
                      <w:rFonts w:cs="宋体"/>
                      <w:bCs/>
                      <w:color w:val="auto"/>
                      <w:spacing w:val="10"/>
                      <w:szCs w:val="21"/>
                    </w:rPr>
                  </w:pPr>
                  <w:r>
                    <w:rPr>
                      <w:rFonts w:hint="eastAsia" w:cs="宋体"/>
                      <w:bCs/>
                      <w:color w:val="auto"/>
                      <w:spacing w:val="10"/>
                      <w:szCs w:val="21"/>
                    </w:rPr>
                    <w:t>2</w:t>
                  </w:r>
                  <w:r>
                    <w:rPr>
                      <w:rFonts w:cs="宋体"/>
                      <w:bCs/>
                      <w:color w:val="auto"/>
                      <w:spacing w:val="10"/>
                      <w:szCs w:val="21"/>
                    </w:rPr>
                    <w:t>0</w:t>
                  </w:r>
                </w:p>
              </w:tc>
            </w:tr>
            <w:tr w14:paraId="35B1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restart"/>
                  <w:vAlign w:val="center"/>
                </w:tcPr>
                <w:p w14:paraId="3B51669F">
                  <w:pPr>
                    <w:adjustRightInd w:val="0"/>
                    <w:snapToGrid w:val="0"/>
                    <w:jc w:val="center"/>
                    <w:rPr>
                      <w:rFonts w:cs="宋体"/>
                      <w:bCs/>
                      <w:color w:val="auto"/>
                      <w:spacing w:val="10"/>
                      <w:szCs w:val="21"/>
                    </w:rPr>
                  </w:pPr>
                  <w:r>
                    <w:rPr>
                      <w:rFonts w:hint="eastAsia" w:cs="宋体"/>
                      <w:bCs/>
                      <w:color w:val="auto"/>
                      <w:spacing w:val="10"/>
                      <w:szCs w:val="21"/>
                    </w:rPr>
                    <w:t>运营期</w:t>
                  </w:r>
                </w:p>
              </w:tc>
              <w:tc>
                <w:tcPr>
                  <w:tcW w:w="1178" w:type="dxa"/>
                  <w:vAlign w:val="center"/>
                </w:tcPr>
                <w:p w14:paraId="74225F35">
                  <w:pPr>
                    <w:adjustRightInd w:val="0"/>
                    <w:snapToGrid w:val="0"/>
                    <w:jc w:val="center"/>
                    <w:rPr>
                      <w:rFonts w:hint="eastAsia" w:cs="宋体"/>
                      <w:bCs/>
                      <w:color w:val="auto"/>
                      <w:spacing w:val="10"/>
                      <w:szCs w:val="21"/>
                    </w:rPr>
                  </w:pPr>
                  <w:r>
                    <w:rPr>
                      <w:rFonts w:hint="eastAsia" w:cs="宋体"/>
                      <w:bCs/>
                      <w:color w:val="auto"/>
                      <w:spacing w:val="10"/>
                      <w:szCs w:val="21"/>
                    </w:rPr>
                    <w:t>废气</w:t>
                  </w:r>
                </w:p>
              </w:tc>
              <w:tc>
                <w:tcPr>
                  <w:tcW w:w="1920" w:type="dxa"/>
                  <w:vAlign w:val="center"/>
                </w:tcPr>
                <w:p w14:paraId="256F1889">
                  <w:pPr>
                    <w:adjustRightInd w:val="0"/>
                    <w:snapToGrid w:val="0"/>
                    <w:jc w:val="center"/>
                    <w:rPr>
                      <w:rFonts w:hint="default" w:eastAsia="宋体" w:cs="宋体"/>
                      <w:bCs/>
                      <w:color w:val="auto"/>
                      <w:spacing w:val="10"/>
                      <w:szCs w:val="21"/>
                      <w:lang w:val="en-US" w:eastAsia="zh-CN"/>
                    </w:rPr>
                  </w:pPr>
                  <w:r>
                    <w:rPr>
                      <w:rFonts w:hint="eastAsia" w:cs="宋体"/>
                      <w:bCs/>
                      <w:color w:val="auto"/>
                      <w:spacing w:val="10"/>
                      <w:szCs w:val="21"/>
                      <w:lang w:val="en-US" w:eastAsia="zh-CN"/>
                    </w:rPr>
                    <w:t>运输扬尘</w:t>
                  </w:r>
                </w:p>
              </w:tc>
              <w:tc>
                <w:tcPr>
                  <w:tcW w:w="3128" w:type="dxa"/>
                  <w:vAlign w:val="center"/>
                </w:tcPr>
                <w:p w14:paraId="2BE26412">
                  <w:pPr>
                    <w:adjustRightInd w:val="0"/>
                    <w:snapToGrid w:val="0"/>
                    <w:jc w:val="center"/>
                    <w:rPr>
                      <w:rFonts w:hint="eastAsia" w:eastAsia="宋体" w:cs="宋体"/>
                      <w:bCs/>
                      <w:color w:val="auto"/>
                      <w:spacing w:val="10"/>
                      <w:szCs w:val="21"/>
                      <w:lang w:eastAsia="zh-CN"/>
                    </w:rPr>
                  </w:pPr>
                  <w:r>
                    <w:rPr>
                      <w:rFonts w:hint="default" w:ascii="Times New Roman" w:hAnsi="Times New Roman" w:cs="Times New Roman"/>
                      <w:color w:val="auto"/>
                      <w:sz w:val="21"/>
                      <w:szCs w:val="21"/>
                      <w:highlight w:val="none"/>
                    </w:rPr>
                    <w:t>路面硬化、洒水降尘措施</w:t>
                  </w:r>
                  <w:r>
                    <w:rPr>
                      <w:rFonts w:hint="eastAsia" w:cs="Times New Roman"/>
                      <w:color w:val="auto"/>
                      <w:sz w:val="21"/>
                      <w:szCs w:val="21"/>
                      <w:highlight w:val="none"/>
                      <w:lang w:eastAsia="zh-CN"/>
                    </w:rPr>
                    <w:t>；使用符合环保要求低排放运输及装卸设备</w:t>
                  </w:r>
                </w:p>
              </w:tc>
              <w:tc>
                <w:tcPr>
                  <w:tcW w:w="1372" w:type="dxa"/>
                  <w:vAlign w:val="center"/>
                </w:tcPr>
                <w:p w14:paraId="16FD1BA7">
                  <w:pPr>
                    <w:adjustRightInd w:val="0"/>
                    <w:snapToGrid w:val="0"/>
                    <w:jc w:val="center"/>
                    <w:rPr>
                      <w:rFonts w:hint="default" w:eastAsia="宋体" w:cs="宋体"/>
                      <w:bCs/>
                      <w:color w:val="auto"/>
                      <w:spacing w:val="10"/>
                      <w:szCs w:val="21"/>
                      <w:lang w:val="en-US" w:eastAsia="zh-CN"/>
                    </w:rPr>
                  </w:pPr>
                  <w:r>
                    <w:rPr>
                      <w:rFonts w:hint="eastAsia" w:cs="宋体"/>
                      <w:bCs/>
                      <w:color w:val="auto"/>
                      <w:spacing w:val="10"/>
                      <w:szCs w:val="21"/>
                      <w:lang w:val="en-US" w:eastAsia="zh-CN"/>
                    </w:rPr>
                    <w:t>15</w:t>
                  </w:r>
                </w:p>
              </w:tc>
            </w:tr>
            <w:tr w14:paraId="24F7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vAlign w:val="center"/>
                </w:tcPr>
                <w:p w14:paraId="761094C8">
                  <w:pPr>
                    <w:adjustRightInd w:val="0"/>
                    <w:snapToGrid w:val="0"/>
                    <w:jc w:val="center"/>
                    <w:rPr>
                      <w:rFonts w:cs="宋体"/>
                      <w:bCs/>
                      <w:color w:val="auto"/>
                      <w:spacing w:val="10"/>
                      <w:szCs w:val="21"/>
                    </w:rPr>
                  </w:pPr>
                </w:p>
              </w:tc>
              <w:tc>
                <w:tcPr>
                  <w:tcW w:w="1178" w:type="dxa"/>
                  <w:vAlign w:val="center"/>
                </w:tcPr>
                <w:p w14:paraId="469596DC">
                  <w:pPr>
                    <w:adjustRightInd w:val="0"/>
                    <w:snapToGrid w:val="0"/>
                    <w:jc w:val="center"/>
                    <w:rPr>
                      <w:rFonts w:hint="eastAsia" w:eastAsia="宋体" w:cs="宋体"/>
                      <w:bCs/>
                      <w:color w:val="auto"/>
                      <w:spacing w:val="10"/>
                      <w:szCs w:val="21"/>
                      <w:lang w:val="en-US" w:eastAsia="zh-CN"/>
                    </w:rPr>
                  </w:pPr>
                  <w:r>
                    <w:rPr>
                      <w:rFonts w:hint="eastAsia" w:cs="宋体"/>
                      <w:bCs/>
                      <w:color w:val="auto"/>
                      <w:spacing w:val="10"/>
                      <w:szCs w:val="21"/>
                      <w:lang w:val="en-US" w:eastAsia="zh-CN"/>
                    </w:rPr>
                    <w:t>废水</w:t>
                  </w:r>
                </w:p>
              </w:tc>
              <w:tc>
                <w:tcPr>
                  <w:tcW w:w="1920" w:type="dxa"/>
                  <w:vAlign w:val="center"/>
                </w:tcPr>
                <w:p w14:paraId="072A936D">
                  <w:pPr>
                    <w:adjustRightInd w:val="0"/>
                    <w:snapToGrid w:val="0"/>
                    <w:jc w:val="center"/>
                    <w:rPr>
                      <w:rFonts w:hint="default" w:cs="宋体"/>
                      <w:bCs/>
                      <w:color w:val="auto"/>
                      <w:spacing w:val="10"/>
                      <w:szCs w:val="21"/>
                      <w:lang w:val="en-US" w:eastAsia="zh-CN"/>
                    </w:rPr>
                  </w:pPr>
                  <w:r>
                    <w:rPr>
                      <w:rFonts w:hint="eastAsia" w:cs="宋体"/>
                      <w:bCs/>
                      <w:color w:val="auto"/>
                      <w:spacing w:val="10"/>
                      <w:szCs w:val="21"/>
                      <w:lang w:val="en-US" w:eastAsia="zh-CN"/>
                    </w:rPr>
                    <w:t>生活污水</w:t>
                  </w:r>
                </w:p>
              </w:tc>
              <w:tc>
                <w:tcPr>
                  <w:tcW w:w="3128" w:type="dxa"/>
                  <w:vAlign w:val="center"/>
                </w:tcPr>
                <w:p w14:paraId="72996648">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化粪池</w:t>
                  </w:r>
                </w:p>
              </w:tc>
              <w:tc>
                <w:tcPr>
                  <w:tcW w:w="1372" w:type="dxa"/>
                  <w:vAlign w:val="center"/>
                </w:tcPr>
                <w:p w14:paraId="6A2A9143">
                  <w:pPr>
                    <w:adjustRightInd w:val="0"/>
                    <w:snapToGrid w:val="0"/>
                    <w:jc w:val="center"/>
                    <w:rPr>
                      <w:rFonts w:hint="default" w:cs="宋体"/>
                      <w:bCs/>
                      <w:color w:val="auto"/>
                      <w:spacing w:val="10"/>
                      <w:szCs w:val="21"/>
                      <w:lang w:val="en-US" w:eastAsia="zh-CN"/>
                    </w:rPr>
                  </w:pPr>
                  <w:r>
                    <w:rPr>
                      <w:rFonts w:hint="eastAsia" w:cs="宋体"/>
                      <w:bCs/>
                      <w:color w:val="auto"/>
                      <w:spacing w:val="10"/>
                      <w:szCs w:val="21"/>
                      <w:lang w:val="en-US" w:eastAsia="zh-CN"/>
                    </w:rPr>
                    <w:t>1</w:t>
                  </w:r>
                </w:p>
              </w:tc>
            </w:tr>
            <w:tr w14:paraId="0E35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vAlign w:val="center"/>
                </w:tcPr>
                <w:p w14:paraId="0339FBEE">
                  <w:pPr>
                    <w:adjustRightInd w:val="0"/>
                    <w:snapToGrid w:val="0"/>
                    <w:jc w:val="center"/>
                    <w:rPr>
                      <w:rFonts w:cs="宋体"/>
                      <w:bCs/>
                      <w:color w:val="auto"/>
                      <w:spacing w:val="10"/>
                      <w:szCs w:val="21"/>
                    </w:rPr>
                  </w:pPr>
                </w:p>
              </w:tc>
              <w:tc>
                <w:tcPr>
                  <w:tcW w:w="1178" w:type="dxa"/>
                  <w:vAlign w:val="center"/>
                </w:tcPr>
                <w:p w14:paraId="7BB1FE96">
                  <w:pPr>
                    <w:adjustRightInd w:val="0"/>
                    <w:snapToGrid w:val="0"/>
                    <w:jc w:val="center"/>
                    <w:rPr>
                      <w:rFonts w:cs="宋体"/>
                      <w:bCs/>
                      <w:color w:val="auto"/>
                      <w:spacing w:val="10"/>
                      <w:szCs w:val="21"/>
                    </w:rPr>
                  </w:pPr>
                  <w:r>
                    <w:rPr>
                      <w:rFonts w:hint="eastAsia" w:cs="宋体"/>
                      <w:bCs/>
                      <w:color w:val="auto"/>
                      <w:spacing w:val="10"/>
                      <w:szCs w:val="21"/>
                    </w:rPr>
                    <w:t>噪声</w:t>
                  </w:r>
                </w:p>
              </w:tc>
              <w:tc>
                <w:tcPr>
                  <w:tcW w:w="1920" w:type="dxa"/>
                  <w:vAlign w:val="center"/>
                </w:tcPr>
                <w:p w14:paraId="1131BB0C">
                  <w:pPr>
                    <w:adjustRightInd w:val="0"/>
                    <w:snapToGrid w:val="0"/>
                    <w:jc w:val="center"/>
                    <w:rPr>
                      <w:rFonts w:cs="宋体"/>
                      <w:bCs/>
                      <w:color w:val="auto"/>
                      <w:spacing w:val="10"/>
                      <w:szCs w:val="21"/>
                    </w:rPr>
                  </w:pPr>
                  <w:r>
                    <w:rPr>
                      <w:rFonts w:hint="eastAsia" w:cs="宋体"/>
                      <w:bCs/>
                      <w:color w:val="auto"/>
                      <w:spacing w:val="10"/>
                      <w:szCs w:val="21"/>
                    </w:rPr>
                    <w:t>列车</w:t>
                  </w:r>
                  <w:r>
                    <w:rPr>
                      <w:rFonts w:hint="eastAsia" w:cs="宋体"/>
                      <w:bCs/>
                      <w:color w:val="auto"/>
                      <w:spacing w:val="10"/>
                      <w:szCs w:val="21"/>
                      <w:lang w:eastAsia="zh-CN"/>
                    </w:rPr>
                    <w:t>、</w:t>
                  </w:r>
                  <w:r>
                    <w:rPr>
                      <w:rFonts w:hint="eastAsia" w:cs="宋体"/>
                      <w:bCs/>
                      <w:color w:val="auto"/>
                      <w:spacing w:val="10"/>
                      <w:szCs w:val="21"/>
                      <w:lang w:val="en-US" w:eastAsia="zh-CN"/>
                    </w:rPr>
                    <w:t>集装箱装卸设备、运输车辆</w:t>
                  </w:r>
                </w:p>
              </w:tc>
              <w:tc>
                <w:tcPr>
                  <w:tcW w:w="3128" w:type="dxa"/>
                  <w:vAlign w:val="center"/>
                </w:tcPr>
                <w:p w14:paraId="2075AFBA">
                  <w:pPr>
                    <w:adjustRightInd w:val="0"/>
                    <w:snapToGrid w:val="0"/>
                    <w:jc w:val="center"/>
                    <w:rPr>
                      <w:rFonts w:cs="宋体"/>
                      <w:bCs/>
                      <w:color w:val="auto"/>
                      <w:spacing w:val="10"/>
                      <w:szCs w:val="21"/>
                    </w:rPr>
                  </w:pPr>
                  <w:r>
                    <w:rPr>
                      <w:rFonts w:hint="eastAsia" w:cs="宋体"/>
                      <w:bCs/>
                      <w:color w:val="auto"/>
                      <w:spacing w:val="10"/>
                      <w:szCs w:val="21"/>
                    </w:rPr>
                    <w:t>绿化、加强线路管理</w:t>
                  </w:r>
                  <w:r>
                    <w:rPr>
                      <w:rFonts w:hint="eastAsia" w:cs="宋体"/>
                      <w:bCs/>
                      <w:color w:val="auto"/>
                      <w:spacing w:val="10"/>
                      <w:szCs w:val="21"/>
                      <w:lang w:eastAsia="zh-CN"/>
                    </w:rPr>
                    <w:t>、</w:t>
                  </w:r>
                  <w:r>
                    <w:rPr>
                      <w:rFonts w:hint="eastAsia" w:cs="宋体"/>
                      <w:bCs/>
                      <w:color w:val="auto"/>
                      <w:spacing w:val="10"/>
                      <w:szCs w:val="21"/>
                    </w:rPr>
                    <w:t>车辆保养</w:t>
                  </w:r>
                </w:p>
              </w:tc>
              <w:tc>
                <w:tcPr>
                  <w:tcW w:w="1372" w:type="dxa"/>
                  <w:vAlign w:val="center"/>
                </w:tcPr>
                <w:p w14:paraId="4C2158EC">
                  <w:pPr>
                    <w:adjustRightInd w:val="0"/>
                    <w:snapToGrid w:val="0"/>
                    <w:jc w:val="center"/>
                    <w:rPr>
                      <w:rFonts w:hint="default" w:eastAsia="宋体" w:cs="宋体"/>
                      <w:bCs/>
                      <w:color w:val="auto"/>
                      <w:spacing w:val="10"/>
                      <w:szCs w:val="21"/>
                      <w:lang w:val="en-US" w:eastAsia="zh-CN"/>
                    </w:rPr>
                  </w:pPr>
                  <w:r>
                    <w:rPr>
                      <w:rFonts w:cs="宋体"/>
                      <w:bCs/>
                      <w:color w:val="auto"/>
                      <w:spacing w:val="10"/>
                      <w:szCs w:val="21"/>
                    </w:rPr>
                    <w:t>2</w:t>
                  </w:r>
                  <w:r>
                    <w:rPr>
                      <w:rFonts w:hint="eastAsia" w:cs="宋体"/>
                      <w:bCs/>
                      <w:color w:val="auto"/>
                      <w:spacing w:val="10"/>
                      <w:szCs w:val="21"/>
                      <w:lang w:val="en-US" w:eastAsia="zh-CN"/>
                    </w:rPr>
                    <w:t>00</w:t>
                  </w:r>
                </w:p>
              </w:tc>
            </w:tr>
            <w:tr w14:paraId="614D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vAlign w:val="center"/>
                </w:tcPr>
                <w:p w14:paraId="25E8DB62">
                  <w:pPr>
                    <w:adjustRightInd w:val="0"/>
                    <w:snapToGrid w:val="0"/>
                    <w:jc w:val="center"/>
                    <w:rPr>
                      <w:rFonts w:hint="eastAsia" w:cs="宋体"/>
                      <w:bCs/>
                      <w:color w:val="auto"/>
                      <w:spacing w:val="10"/>
                      <w:szCs w:val="21"/>
                    </w:rPr>
                  </w:pPr>
                </w:p>
              </w:tc>
              <w:tc>
                <w:tcPr>
                  <w:tcW w:w="1178" w:type="dxa"/>
                  <w:shd w:val="clear" w:color="auto" w:fill="auto"/>
                  <w:vAlign w:val="center"/>
                </w:tcPr>
                <w:p w14:paraId="7E195666">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振动</w:t>
                  </w:r>
                </w:p>
              </w:tc>
              <w:tc>
                <w:tcPr>
                  <w:tcW w:w="1920" w:type="dxa"/>
                  <w:shd w:val="clear" w:color="auto" w:fill="auto"/>
                  <w:vAlign w:val="center"/>
                </w:tcPr>
                <w:p w14:paraId="116384C3">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列车</w:t>
                  </w:r>
                </w:p>
              </w:tc>
              <w:tc>
                <w:tcPr>
                  <w:tcW w:w="3128" w:type="dxa"/>
                  <w:shd w:val="clear" w:color="auto" w:fill="auto"/>
                  <w:vAlign w:val="center"/>
                </w:tcPr>
                <w:p w14:paraId="4C065D2C">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轨道结构减振</w:t>
                  </w:r>
                </w:p>
              </w:tc>
              <w:tc>
                <w:tcPr>
                  <w:tcW w:w="1372" w:type="dxa"/>
                  <w:shd w:val="clear" w:color="auto" w:fill="auto"/>
                  <w:vAlign w:val="center"/>
                </w:tcPr>
                <w:p w14:paraId="5D113E20">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1</w:t>
                  </w:r>
                  <w:r>
                    <w:rPr>
                      <w:rFonts w:cs="宋体"/>
                      <w:bCs/>
                      <w:color w:val="auto"/>
                      <w:spacing w:val="10"/>
                      <w:szCs w:val="21"/>
                    </w:rPr>
                    <w:t>0</w:t>
                  </w:r>
                </w:p>
              </w:tc>
            </w:tr>
            <w:tr w14:paraId="7F49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5" w:type="dxa"/>
                  <w:vMerge w:val="continue"/>
                  <w:vAlign w:val="center"/>
                </w:tcPr>
                <w:p w14:paraId="266E73C9">
                  <w:pPr>
                    <w:adjustRightInd w:val="0"/>
                    <w:snapToGrid w:val="0"/>
                    <w:jc w:val="center"/>
                    <w:rPr>
                      <w:rFonts w:cs="宋体"/>
                      <w:bCs/>
                      <w:color w:val="auto"/>
                      <w:spacing w:val="10"/>
                      <w:szCs w:val="21"/>
                    </w:rPr>
                  </w:pPr>
                </w:p>
              </w:tc>
              <w:tc>
                <w:tcPr>
                  <w:tcW w:w="1178" w:type="dxa"/>
                  <w:shd w:val="clear" w:color="auto" w:fill="auto"/>
                  <w:vAlign w:val="center"/>
                </w:tcPr>
                <w:p w14:paraId="61A66E43">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固体废物</w:t>
                  </w:r>
                </w:p>
              </w:tc>
              <w:tc>
                <w:tcPr>
                  <w:tcW w:w="1920" w:type="dxa"/>
                  <w:shd w:val="clear" w:color="auto" w:fill="auto"/>
                  <w:vAlign w:val="center"/>
                </w:tcPr>
                <w:p w14:paraId="2AB2C2E8">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生活垃圾</w:t>
                  </w:r>
                </w:p>
              </w:tc>
              <w:tc>
                <w:tcPr>
                  <w:tcW w:w="3128" w:type="dxa"/>
                  <w:shd w:val="clear" w:color="auto" w:fill="auto"/>
                  <w:vAlign w:val="center"/>
                </w:tcPr>
                <w:p w14:paraId="4A394F55">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环卫部门清运处置</w:t>
                  </w:r>
                </w:p>
              </w:tc>
              <w:tc>
                <w:tcPr>
                  <w:tcW w:w="1372" w:type="dxa"/>
                  <w:shd w:val="clear" w:color="auto" w:fill="auto"/>
                  <w:vAlign w:val="center"/>
                </w:tcPr>
                <w:p w14:paraId="625A911E">
                  <w:pPr>
                    <w:adjustRightInd w:val="0"/>
                    <w:snapToGrid w:val="0"/>
                    <w:jc w:val="center"/>
                    <w:rPr>
                      <w:rFonts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lang w:val="en-US" w:eastAsia="zh-CN"/>
                    </w:rPr>
                    <w:t>0.5</w:t>
                  </w:r>
                </w:p>
              </w:tc>
            </w:tr>
            <w:tr w14:paraId="6029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21" w:type="dxa"/>
                  <w:gridSpan w:val="4"/>
                  <w:vAlign w:val="center"/>
                </w:tcPr>
                <w:p w14:paraId="1EE9F7B7">
                  <w:pPr>
                    <w:adjustRightInd w:val="0"/>
                    <w:snapToGrid w:val="0"/>
                    <w:jc w:val="center"/>
                    <w:rPr>
                      <w:rFonts w:cs="宋体"/>
                      <w:bCs/>
                      <w:color w:val="auto"/>
                      <w:spacing w:val="10"/>
                      <w:szCs w:val="21"/>
                    </w:rPr>
                  </w:pPr>
                  <w:r>
                    <w:rPr>
                      <w:rFonts w:hint="eastAsia" w:cs="宋体"/>
                      <w:bCs/>
                      <w:color w:val="auto"/>
                      <w:spacing w:val="10"/>
                      <w:szCs w:val="21"/>
                    </w:rPr>
                    <w:t>合计</w:t>
                  </w:r>
                </w:p>
              </w:tc>
              <w:tc>
                <w:tcPr>
                  <w:tcW w:w="1372" w:type="dxa"/>
                  <w:vAlign w:val="center"/>
                </w:tcPr>
                <w:p w14:paraId="72D94124">
                  <w:pPr>
                    <w:adjustRightInd w:val="0"/>
                    <w:snapToGrid w:val="0"/>
                    <w:jc w:val="center"/>
                    <w:rPr>
                      <w:rFonts w:hint="default" w:eastAsia="宋体" w:cs="宋体"/>
                      <w:bCs/>
                      <w:color w:val="auto"/>
                      <w:spacing w:val="10"/>
                      <w:szCs w:val="21"/>
                      <w:lang w:val="en-US" w:eastAsia="zh-CN"/>
                    </w:rPr>
                  </w:pPr>
                  <w:r>
                    <w:rPr>
                      <w:rFonts w:hint="eastAsia" w:cs="宋体"/>
                      <w:bCs/>
                      <w:color w:val="auto"/>
                      <w:spacing w:val="10"/>
                      <w:szCs w:val="21"/>
                      <w:lang w:val="en-US" w:eastAsia="zh-CN"/>
                    </w:rPr>
                    <w:t>267</w:t>
                  </w:r>
                </w:p>
              </w:tc>
            </w:tr>
          </w:tbl>
          <w:p w14:paraId="05D5BF17">
            <w:pPr>
              <w:adjustRightInd w:val="0"/>
              <w:snapToGrid w:val="0"/>
              <w:spacing w:line="360" w:lineRule="auto"/>
              <w:rPr>
                <w:rFonts w:cs="宋体"/>
                <w:bCs/>
                <w:color w:val="auto"/>
                <w:spacing w:val="10"/>
                <w:sz w:val="24"/>
              </w:rPr>
            </w:pPr>
          </w:p>
        </w:tc>
      </w:tr>
    </w:tbl>
    <w:p w14:paraId="53FB82F5">
      <w:pPr>
        <w:rPr>
          <w:color w:val="auto"/>
        </w:rPr>
        <w:sectPr>
          <w:pgSz w:w="11907" w:h="16840"/>
          <w:pgMar w:top="1440" w:right="1797" w:bottom="1440" w:left="1797" w:header="851" w:footer="1077" w:gutter="0"/>
          <w:cols w:space="720" w:num="1"/>
          <w:docGrid w:linePitch="312" w:charSpace="0"/>
        </w:sectPr>
      </w:pPr>
    </w:p>
    <w:p w14:paraId="7CAD2564">
      <w:pPr>
        <w:pStyle w:val="41"/>
        <w:jc w:val="center"/>
        <w:outlineLvl w:val="0"/>
        <w:rPr>
          <w:rFonts w:ascii="Times New Roman" w:hAnsi="Times New Roman"/>
          <w:snapToGrid w:val="0"/>
          <w:color w:val="auto"/>
          <w:sz w:val="30"/>
          <w:szCs w:val="30"/>
        </w:rPr>
      </w:pPr>
      <w:bookmarkStart w:id="16" w:name="_Toc141432017"/>
      <w:r>
        <w:rPr>
          <w:rFonts w:hint="eastAsia" w:ascii="Times New Roman" w:hAnsi="Times New Roman"/>
          <w:snapToGrid w:val="0"/>
          <w:color w:val="auto"/>
          <w:sz w:val="30"/>
          <w:szCs w:val="30"/>
        </w:rPr>
        <w:t>六、生态环境保护措施监督检查清单</w:t>
      </w:r>
      <w:bookmarkEnd w:id="16"/>
    </w:p>
    <w:tbl>
      <w:tblPr>
        <w:tblStyle w:val="4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874"/>
        <w:gridCol w:w="1357"/>
        <w:gridCol w:w="1335"/>
        <w:gridCol w:w="1943"/>
      </w:tblGrid>
      <w:tr w14:paraId="732E6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Merge w:val="restart"/>
            <w:tcBorders>
              <w:tl2br w:val="single" w:color="auto" w:sz="4" w:space="0"/>
            </w:tcBorders>
          </w:tcPr>
          <w:p w14:paraId="4B9821F6">
            <w:pPr>
              <w:pStyle w:val="41"/>
              <w:adjustRightInd w:val="0"/>
              <w:snapToGrid w:val="0"/>
              <w:spacing w:before="72" w:beforeLines="30" w:beforeAutospacing="0" w:after="0" w:afterAutospacing="0"/>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 xml:space="preserve">       </w:t>
            </w:r>
          </w:p>
          <w:p w14:paraId="46FB1FA6">
            <w:pPr>
              <w:pStyle w:val="41"/>
              <w:adjustRightInd w:val="0"/>
              <w:snapToGrid w:val="0"/>
              <w:spacing w:before="72" w:beforeLines="30" w:beforeAutospacing="0" w:after="0" w:afterAutospacing="0"/>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 xml:space="preserve">             内容</w:t>
            </w:r>
          </w:p>
          <w:p w14:paraId="46C26D98">
            <w:pPr>
              <w:pStyle w:val="41"/>
              <w:adjustRightInd w:val="0"/>
              <w:snapToGrid w:val="0"/>
              <w:spacing w:before="0" w:beforeAutospacing="0" w:after="0" w:afterAutospacing="0" w:line="14" w:lineRule="auto"/>
              <w:rPr>
                <w:rFonts w:ascii="Times New Roman" w:hAnsi="Times New Roman" w:cs="宋体"/>
                <w:color w:val="auto"/>
                <w:kern w:val="2"/>
                <w:sz w:val="135"/>
                <w:szCs w:val="21"/>
              </w:rPr>
            </w:pPr>
            <w:r>
              <w:rPr>
                <w:rFonts w:hint="eastAsia" w:ascii="Times New Roman" w:hAnsi="Times New Roman" w:cs="宋体"/>
                <w:color w:val="auto"/>
                <w:kern w:val="2"/>
                <w:sz w:val="21"/>
                <w:szCs w:val="21"/>
              </w:rPr>
              <w:t xml:space="preserve"> </w:t>
            </w:r>
            <w:r>
              <w:rPr>
                <w:rFonts w:hint="eastAsia" w:ascii="Times New Roman" w:hAnsi="Times New Roman" w:cs="宋体"/>
                <w:color w:val="auto"/>
                <w:kern w:val="2"/>
                <w:sz w:val="135"/>
                <w:szCs w:val="21"/>
              </w:rPr>
              <w:t xml:space="preserve"> </w:t>
            </w:r>
          </w:p>
          <w:p w14:paraId="1A1B708B">
            <w:pPr>
              <w:pStyle w:val="41"/>
              <w:adjustRightInd w:val="0"/>
              <w:snapToGrid w:val="0"/>
              <w:spacing w:before="0" w:beforeAutospacing="0" w:after="0" w:afterAutospacing="0"/>
              <w:rPr>
                <w:rFonts w:ascii="Times New Roman" w:hAnsi="Times New Roman" w:cs="宋体"/>
                <w:color w:val="auto"/>
                <w:kern w:val="2"/>
                <w:sz w:val="21"/>
                <w:szCs w:val="21"/>
              </w:rPr>
            </w:pPr>
            <w:r>
              <w:rPr>
                <w:rFonts w:hint="eastAsia" w:ascii="Times New Roman" w:hAnsi="Times New Roman" w:cs="宋体"/>
                <w:color w:val="auto"/>
                <w:kern w:val="2"/>
                <w:sz w:val="21"/>
                <w:szCs w:val="21"/>
              </w:rPr>
              <w:t>要素</w:t>
            </w:r>
          </w:p>
        </w:tc>
        <w:tc>
          <w:tcPr>
            <w:tcW w:w="1895" w:type="pct"/>
            <w:gridSpan w:val="2"/>
            <w:vAlign w:val="center"/>
          </w:tcPr>
          <w:p w14:paraId="4519F5B8">
            <w:pPr>
              <w:pStyle w:val="41"/>
              <w:adjustRightInd w:val="0"/>
              <w:snapToGrid w:val="0"/>
              <w:spacing w:before="0" w:beforeAutospacing="0" w:after="0" w:afterAutospacing="0"/>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施工期</w:t>
            </w:r>
          </w:p>
        </w:tc>
        <w:tc>
          <w:tcPr>
            <w:tcW w:w="1923" w:type="pct"/>
            <w:gridSpan w:val="2"/>
            <w:vAlign w:val="center"/>
          </w:tcPr>
          <w:p w14:paraId="2CB9E248">
            <w:pPr>
              <w:pStyle w:val="41"/>
              <w:adjustRightInd w:val="0"/>
              <w:snapToGrid w:val="0"/>
              <w:spacing w:before="0" w:beforeAutospacing="0" w:after="0" w:afterAutospacing="0"/>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运营期</w:t>
            </w:r>
          </w:p>
        </w:tc>
      </w:tr>
      <w:tr w14:paraId="42426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Merge w:val="continue"/>
          </w:tcPr>
          <w:p w14:paraId="5317E811">
            <w:pPr>
              <w:pStyle w:val="41"/>
              <w:adjustRightInd w:val="0"/>
              <w:snapToGrid w:val="0"/>
              <w:spacing w:before="0" w:beforeAutospacing="0" w:after="0" w:afterAutospacing="0"/>
              <w:ind w:firstLine="840"/>
              <w:jc w:val="center"/>
              <w:rPr>
                <w:rFonts w:ascii="Times New Roman" w:hAnsi="Times New Roman" w:cs="宋体"/>
                <w:color w:val="auto"/>
                <w:kern w:val="2"/>
                <w:sz w:val="21"/>
                <w:szCs w:val="21"/>
              </w:rPr>
            </w:pPr>
          </w:p>
        </w:tc>
        <w:tc>
          <w:tcPr>
            <w:tcW w:w="1099" w:type="pct"/>
            <w:vAlign w:val="center"/>
          </w:tcPr>
          <w:p w14:paraId="5A8FBAE8">
            <w:pPr>
              <w:pStyle w:val="41"/>
              <w:adjustRightInd w:val="0"/>
              <w:snapToGrid w:val="0"/>
              <w:spacing w:before="0" w:beforeAutospacing="0" w:after="0" w:afterAutospacing="0"/>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环境保护措施</w:t>
            </w:r>
          </w:p>
        </w:tc>
        <w:tc>
          <w:tcPr>
            <w:tcW w:w="795" w:type="pct"/>
            <w:vAlign w:val="center"/>
          </w:tcPr>
          <w:p w14:paraId="230465BD">
            <w:pPr>
              <w:pStyle w:val="41"/>
              <w:adjustRightInd w:val="0"/>
              <w:snapToGrid w:val="0"/>
              <w:spacing w:before="0" w:beforeAutospacing="0" w:after="0" w:afterAutospacing="0"/>
              <w:ind w:left="0" w:leftChars="0" w:right="0" w:rightChars="0" w:firstLine="0" w:firstLineChars="0"/>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验收要求</w:t>
            </w:r>
          </w:p>
        </w:tc>
        <w:tc>
          <w:tcPr>
            <w:tcW w:w="783" w:type="pct"/>
            <w:vAlign w:val="center"/>
          </w:tcPr>
          <w:p w14:paraId="0AC5767B">
            <w:pPr>
              <w:pStyle w:val="41"/>
              <w:adjustRightInd w:val="0"/>
              <w:snapToGrid w:val="0"/>
              <w:spacing w:before="0" w:beforeAutospacing="0" w:after="0" w:afterAutospacing="0"/>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环境保护措施</w:t>
            </w:r>
          </w:p>
        </w:tc>
        <w:tc>
          <w:tcPr>
            <w:tcW w:w="1140" w:type="pct"/>
            <w:vAlign w:val="center"/>
          </w:tcPr>
          <w:p w14:paraId="0E1FCBDE">
            <w:pPr>
              <w:pStyle w:val="41"/>
              <w:adjustRightInd w:val="0"/>
              <w:snapToGrid w:val="0"/>
              <w:spacing w:before="0" w:beforeAutospacing="0" w:after="0" w:afterAutospacing="0"/>
              <w:jc w:val="center"/>
              <w:rPr>
                <w:rFonts w:ascii="Times New Roman" w:hAnsi="Times New Roman" w:cs="宋体"/>
                <w:color w:val="auto"/>
                <w:kern w:val="2"/>
                <w:sz w:val="21"/>
                <w:szCs w:val="21"/>
              </w:rPr>
            </w:pPr>
            <w:r>
              <w:rPr>
                <w:rFonts w:hint="eastAsia" w:ascii="Times New Roman" w:hAnsi="Times New Roman" w:cs="宋体"/>
                <w:color w:val="auto"/>
                <w:kern w:val="2"/>
                <w:sz w:val="21"/>
                <w:szCs w:val="21"/>
              </w:rPr>
              <w:t>验收要求</w:t>
            </w:r>
          </w:p>
        </w:tc>
      </w:tr>
      <w:tr w14:paraId="3020E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7BBA1B8C">
            <w:pPr>
              <w:adjustRightInd w:val="0"/>
              <w:snapToGrid w:val="0"/>
              <w:jc w:val="center"/>
              <w:rPr>
                <w:rFonts w:cs="宋体"/>
                <w:color w:val="auto"/>
                <w:szCs w:val="21"/>
              </w:rPr>
            </w:pPr>
            <w:r>
              <w:rPr>
                <w:rFonts w:hint="eastAsia" w:cs="宋体"/>
                <w:color w:val="auto"/>
                <w:szCs w:val="21"/>
              </w:rPr>
              <w:t>陆生生态</w:t>
            </w:r>
          </w:p>
        </w:tc>
        <w:tc>
          <w:tcPr>
            <w:tcW w:w="1099" w:type="pct"/>
            <w:vAlign w:val="center"/>
          </w:tcPr>
          <w:p w14:paraId="1C186AFE">
            <w:pPr>
              <w:adjustRightInd w:val="0"/>
              <w:snapToGrid w:val="0"/>
              <w:rPr>
                <w:rFonts w:cs="宋体"/>
                <w:color w:val="auto"/>
                <w:szCs w:val="21"/>
              </w:rPr>
            </w:pPr>
            <w:r>
              <w:rPr>
                <w:rFonts w:hint="eastAsia" w:cs="宋体"/>
                <w:color w:val="auto"/>
                <w:szCs w:val="21"/>
              </w:rPr>
              <w:t>严格界定施工作业范围；加强施工管理；合理安排施工进度；采取植被恢复、绿化、水土保持等，恢复原有功能。</w:t>
            </w:r>
          </w:p>
        </w:tc>
        <w:tc>
          <w:tcPr>
            <w:tcW w:w="795" w:type="pct"/>
            <w:vAlign w:val="center"/>
          </w:tcPr>
          <w:p w14:paraId="782F97EA">
            <w:pPr>
              <w:adjustRightInd w:val="0"/>
              <w:snapToGrid w:val="0"/>
              <w:ind w:left="0" w:leftChars="0" w:right="0" w:rightChars="0" w:firstLine="0" w:firstLineChars="0"/>
              <w:jc w:val="center"/>
              <w:rPr>
                <w:rFonts w:cs="宋体"/>
                <w:color w:val="auto"/>
                <w:szCs w:val="21"/>
              </w:rPr>
            </w:pPr>
            <w:r>
              <w:rPr>
                <w:rFonts w:hint="eastAsia" w:cs="宋体"/>
                <w:color w:val="auto"/>
                <w:szCs w:val="21"/>
              </w:rPr>
              <w:t>调查落实情况</w:t>
            </w:r>
          </w:p>
        </w:tc>
        <w:tc>
          <w:tcPr>
            <w:tcW w:w="783" w:type="pct"/>
            <w:vAlign w:val="center"/>
          </w:tcPr>
          <w:p w14:paraId="3E4248FA">
            <w:pPr>
              <w:adjustRightInd w:val="0"/>
              <w:snapToGrid w:val="0"/>
              <w:jc w:val="center"/>
              <w:rPr>
                <w:rFonts w:cs="宋体"/>
                <w:color w:val="auto"/>
                <w:szCs w:val="21"/>
              </w:rPr>
            </w:pPr>
            <w:r>
              <w:rPr>
                <w:rFonts w:hint="eastAsia" w:cs="宋体"/>
                <w:color w:val="auto"/>
                <w:szCs w:val="21"/>
              </w:rPr>
              <w:t>/</w:t>
            </w:r>
          </w:p>
        </w:tc>
        <w:tc>
          <w:tcPr>
            <w:tcW w:w="1140" w:type="pct"/>
            <w:vAlign w:val="center"/>
          </w:tcPr>
          <w:p w14:paraId="5CF20770">
            <w:pPr>
              <w:adjustRightInd w:val="0"/>
              <w:snapToGrid w:val="0"/>
              <w:jc w:val="center"/>
              <w:rPr>
                <w:rFonts w:cs="宋体"/>
                <w:color w:val="auto"/>
                <w:szCs w:val="21"/>
              </w:rPr>
            </w:pPr>
            <w:r>
              <w:rPr>
                <w:rFonts w:hint="eastAsia" w:cs="宋体"/>
                <w:color w:val="auto"/>
                <w:szCs w:val="21"/>
              </w:rPr>
              <w:t>/</w:t>
            </w:r>
          </w:p>
        </w:tc>
      </w:tr>
      <w:tr w14:paraId="12CDD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12BE40A9">
            <w:pPr>
              <w:adjustRightInd w:val="0"/>
              <w:snapToGrid w:val="0"/>
              <w:jc w:val="center"/>
              <w:rPr>
                <w:rFonts w:cs="宋体"/>
                <w:color w:val="auto"/>
                <w:szCs w:val="21"/>
              </w:rPr>
            </w:pPr>
            <w:r>
              <w:rPr>
                <w:rFonts w:hint="eastAsia" w:cs="宋体"/>
                <w:color w:val="auto"/>
                <w:szCs w:val="21"/>
              </w:rPr>
              <w:t>水生生态</w:t>
            </w:r>
          </w:p>
        </w:tc>
        <w:tc>
          <w:tcPr>
            <w:tcW w:w="1099" w:type="pct"/>
            <w:vAlign w:val="center"/>
          </w:tcPr>
          <w:p w14:paraId="347A9D56">
            <w:pPr>
              <w:adjustRightInd w:val="0"/>
              <w:snapToGrid w:val="0"/>
              <w:rPr>
                <w:rFonts w:cs="宋体"/>
                <w:color w:val="auto"/>
                <w:szCs w:val="21"/>
              </w:rPr>
            </w:pPr>
            <w:r>
              <w:rPr>
                <w:rFonts w:hint="eastAsia" w:cs="宋体"/>
                <w:color w:val="auto"/>
                <w:szCs w:val="21"/>
              </w:rPr>
              <w:t>施工废水沉淀后回用，不外排；</w:t>
            </w:r>
            <w:r>
              <w:rPr>
                <w:rFonts w:hint="eastAsia" w:cs="宋体"/>
                <w:color w:val="auto"/>
                <w:szCs w:val="21"/>
                <w:lang w:val="en-US" w:eastAsia="zh-CN"/>
              </w:rPr>
              <w:t>施工期</w:t>
            </w:r>
            <w:r>
              <w:rPr>
                <w:rFonts w:hint="eastAsia" w:cs="宋体"/>
                <w:color w:val="auto"/>
                <w:szCs w:val="21"/>
              </w:rPr>
              <w:t>生活污水就近利用当地设施处理，对周边水环境影响不大</w:t>
            </w:r>
            <w:r>
              <w:rPr>
                <w:rFonts w:hint="eastAsia" w:cs="宋体"/>
                <w:color w:val="auto"/>
                <w:szCs w:val="21"/>
                <w:lang w:eastAsia="zh-CN"/>
              </w:rPr>
              <w:t>。</w:t>
            </w:r>
          </w:p>
        </w:tc>
        <w:tc>
          <w:tcPr>
            <w:tcW w:w="795" w:type="pct"/>
            <w:vAlign w:val="center"/>
          </w:tcPr>
          <w:p w14:paraId="0A102028">
            <w:pPr>
              <w:adjustRightInd w:val="0"/>
              <w:snapToGrid w:val="0"/>
              <w:ind w:left="0" w:leftChars="0" w:right="0" w:rightChars="0" w:firstLine="0" w:firstLineChars="0"/>
              <w:jc w:val="center"/>
              <w:rPr>
                <w:rFonts w:cs="宋体"/>
                <w:color w:val="auto"/>
                <w:szCs w:val="21"/>
              </w:rPr>
            </w:pPr>
            <w:r>
              <w:rPr>
                <w:rFonts w:hint="eastAsia" w:cs="宋体"/>
                <w:color w:val="auto"/>
                <w:szCs w:val="21"/>
              </w:rPr>
              <w:t>调查落实情况</w:t>
            </w:r>
          </w:p>
        </w:tc>
        <w:tc>
          <w:tcPr>
            <w:tcW w:w="783" w:type="pct"/>
            <w:vAlign w:val="center"/>
          </w:tcPr>
          <w:p w14:paraId="2333CBDD">
            <w:pPr>
              <w:adjustRightInd w:val="0"/>
              <w:snapToGrid w:val="0"/>
              <w:jc w:val="center"/>
              <w:rPr>
                <w:rFonts w:cs="宋体"/>
                <w:color w:val="auto"/>
                <w:szCs w:val="21"/>
              </w:rPr>
            </w:pPr>
            <w:r>
              <w:rPr>
                <w:rFonts w:hint="eastAsia" w:cs="宋体"/>
                <w:color w:val="auto"/>
                <w:szCs w:val="21"/>
              </w:rPr>
              <w:t>/</w:t>
            </w:r>
          </w:p>
        </w:tc>
        <w:tc>
          <w:tcPr>
            <w:tcW w:w="1140" w:type="pct"/>
            <w:vAlign w:val="center"/>
          </w:tcPr>
          <w:p w14:paraId="10279285">
            <w:pPr>
              <w:adjustRightInd w:val="0"/>
              <w:snapToGrid w:val="0"/>
              <w:jc w:val="center"/>
              <w:rPr>
                <w:rFonts w:cs="宋体"/>
                <w:color w:val="auto"/>
                <w:szCs w:val="21"/>
              </w:rPr>
            </w:pPr>
            <w:r>
              <w:rPr>
                <w:rFonts w:hint="eastAsia" w:cs="宋体"/>
                <w:color w:val="auto"/>
                <w:szCs w:val="21"/>
              </w:rPr>
              <w:t>/</w:t>
            </w:r>
          </w:p>
        </w:tc>
      </w:tr>
      <w:tr w14:paraId="7208AE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7C2FD724">
            <w:pPr>
              <w:adjustRightInd w:val="0"/>
              <w:snapToGrid w:val="0"/>
              <w:jc w:val="center"/>
              <w:rPr>
                <w:rFonts w:cs="宋体"/>
                <w:color w:val="auto"/>
                <w:szCs w:val="21"/>
              </w:rPr>
            </w:pPr>
            <w:r>
              <w:rPr>
                <w:rFonts w:hint="eastAsia" w:cs="宋体"/>
                <w:color w:val="auto"/>
                <w:szCs w:val="21"/>
              </w:rPr>
              <w:t>地表水环境</w:t>
            </w:r>
          </w:p>
        </w:tc>
        <w:tc>
          <w:tcPr>
            <w:tcW w:w="1099" w:type="pct"/>
            <w:vAlign w:val="center"/>
          </w:tcPr>
          <w:p w14:paraId="3C3A0E4B">
            <w:pPr>
              <w:adjustRightInd w:val="0"/>
              <w:snapToGrid w:val="0"/>
              <w:rPr>
                <w:rFonts w:cs="宋体"/>
                <w:color w:val="auto"/>
                <w:szCs w:val="21"/>
              </w:rPr>
            </w:pPr>
            <w:r>
              <w:rPr>
                <w:rFonts w:hint="eastAsia" w:cs="宋体"/>
                <w:color w:val="auto"/>
                <w:szCs w:val="21"/>
              </w:rPr>
              <w:t>施工废水沉淀处理后回用，不外排；施工人员生活污水就近利用当地设施处理</w:t>
            </w:r>
          </w:p>
        </w:tc>
        <w:tc>
          <w:tcPr>
            <w:tcW w:w="795" w:type="pct"/>
            <w:vAlign w:val="center"/>
          </w:tcPr>
          <w:p w14:paraId="47332A4C">
            <w:pPr>
              <w:adjustRightInd w:val="0"/>
              <w:snapToGrid w:val="0"/>
              <w:ind w:left="0" w:leftChars="0" w:right="0" w:rightChars="0" w:firstLine="0" w:firstLineChars="0"/>
              <w:jc w:val="center"/>
              <w:rPr>
                <w:rFonts w:cs="宋体"/>
                <w:color w:val="auto"/>
                <w:szCs w:val="21"/>
              </w:rPr>
            </w:pPr>
            <w:r>
              <w:rPr>
                <w:rFonts w:hint="eastAsia" w:cs="宋体"/>
                <w:color w:val="auto"/>
                <w:szCs w:val="21"/>
              </w:rPr>
              <w:t>调查落实情况</w:t>
            </w:r>
          </w:p>
        </w:tc>
        <w:tc>
          <w:tcPr>
            <w:tcW w:w="783" w:type="pct"/>
            <w:vAlign w:val="center"/>
          </w:tcPr>
          <w:p w14:paraId="779F3F1C">
            <w:pPr>
              <w:keepNext w:val="0"/>
              <w:keepLines w:val="0"/>
              <w:pageBreakBefore w:val="0"/>
              <w:kinsoku/>
              <w:wordWrap/>
              <w:overflowPunct/>
              <w:topLinePunct w:val="0"/>
              <w:bidi w:val="0"/>
              <w:adjustRightInd/>
              <w:snapToGrid/>
              <w:spacing w:line="240" w:lineRule="auto"/>
              <w:ind w:firstLine="0" w:firstLineChars="0"/>
              <w:jc w:val="both"/>
              <w:textAlignment w:val="auto"/>
              <w:rPr>
                <w:rFonts w:cs="宋体"/>
                <w:color w:val="auto"/>
                <w:szCs w:val="21"/>
              </w:rPr>
            </w:pPr>
            <w:r>
              <w:rPr>
                <w:color w:val="auto"/>
                <w:sz w:val="21"/>
                <w:szCs w:val="21"/>
                <w:highlight w:val="none"/>
              </w:rPr>
              <w:t>生活污水</w:t>
            </w:r>
            <w:r>
              <w:rPr>
                <w:rFonts w:hint="default"/>
                <w:color w:val="auto"/>
                <w:szCs w:val="21"/>
                <w:highlight w:val="none"/>
              </w:rPr>
              <w:t>经化粪池处理后</w:t>
            </w:r>
            <w:r>
              <w:rPr>
                <w:rFonts w:hint="eastAsia" w:cs="宋体"/>
                <w:color w:val="auto"/>
                <w:kern w:val="0"/>
                <w:szCs w:val="21"/>
                <w:lang w:val="en-US" w:eastAsia="zh-CN"/>
              </w:rPr>
              <w:t>定期对化粪池进行清理外运施肥</w:t>
            </w:r>
            <w:r>
              <w:rPr>
                <w:rFonts w:hint="default"/>
                <w:color w:val="auto"/>
                <w:szCs w:val="21"/>
                <w:highlight w:val="none"/>
              </w:rPr>
              <w:t>。</w:t>
            </w:r>
          </w:p>
        </w:tc>
        <w:tc>
          <w:tcPr>
            <w:tcW w:w="1140" w:type="pct"/>
            <w:vAlign w:val="center"/>
          </w:tcPr>
          <w:p w14:paraId="66B13A9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cs="宋体"/>
                <w:color w:val="auto"/>
                <w:szCs w:val="21"/>
              </w:rPr>
            </w:pPr>
            <w:r>
              <w:rPr>
                <w:color w:val="auto"/>
                <w:sz w:val="21"/>
                <w:szCs w:val="21"/>
                <w:highlight w:val="none"/>
              </w:rPr>
              <w:t>无废水外排，对周边环境影响不明显</w:t>
            </w:r>
            <w:r>
              <w:rPr>
                <w:rFonts w:hint="eastAsia"/>
                <w:color w:val="auto"/>
                <w:sz w:val="21"/>
                <w:szCs w:val="21"/>
                <w:highlight w:val="none"/>
                <w:lang w:eastAsia="zh-CN"/>
              </w:rPr>
              <w:t>。</w:t>
            </w:r>
          </w:p>
        </w:tc>
      </w:tr>
      <w:tr w14:paraId="0BB0B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1134FE08">
            <w:pPr>
              <w:adjustRightInd w:val="0"/>
              <w:snapToGrid w:val="0"/>
              <w:jc w:val="center"/>
              <w:rPr>
                <w:rFonts w:cs="宋体"/>
                <w:color w:val="auto"/>
                <w:szCs w:val="21"/>
              </w:rPr>
            </w:pPr>
            <w:r>
              <w:rPr>
                <w:rFonts w:hint="eastAsia" w:cs="宋体"/>
                <w:color w:val="auto"/>
                <w:szCs w:val="21"/>
              </w:rPr>
              <w:t>地下水及土壤环境</w:t>
            </w:r>
          </w:p>
        </w:tc>
        <w:tc>
          <w:tcPr>
            <w:tcW w:w="1099" w:type="pct"/>
            <w:vAlign w:val="center"/>
          </w:tcPr>
          <w:p w14:paraId="2ECABBEA">
            <w:pPr>
              <w:adjustRightInd w:val="0"/>
              <w:snapToGrid w:val="0"/>
              <w:jc w:val="center"/>
              <w:rPr>
                <w:rFonts w:cs="宋体"/>
                <w:color w:val="auto"/>
                <w:szCs w:val="21"/>
              </w:rPr>
            </w:pPr>
            <w:r>
              <w:rPr>
                <w:rFonts w:hint="eastAsia" w:cs="宋体"/>
                <w:color w:val="auto"/>
                <w:szCs w:val="21"/>
              </w:rPr>
              <w:t>/</w:t>
            </w:r>
          </w:p>
        </w:tc>
        <w:tc>
          <w:tcPr>
            <w:tcW w:w="795" w:type="pct"/>
            <w:vAlign w:val="center"/>
          </w:tcPr>
          <w:p w14:paraId="7BE19826">
            <w:pPr>
              <w:adjustRightInd w:val="0"/>
              <w:snapToGrid w:val="0"/>
              <w:ind w:left="0" w:leftChars="0" w:right="0" w:rightChars="0" w:firstLine="0" w:firstLineChars="0"/>
              <w:jc w:val="center"/>
              <w:rPr>
                <w:rFonts w:cs="宋体"/>
                <w:color w:val="auto"/>
                <w:szCs w:val="21"/>
              </w:rPr>
            </w:pPr>
            <w:r>
              <w:rPr>
                <w:rFonts w:hint="eastAsia" w:cs="宋体"/>
                <w:color w:val="auto"/>
                <w:szCs w:val="21"/>
              </w:rPr>
              <w:t>/</w:t>
            </w:r>
          </w:p>
        </w:tc>
        <w:tc>
          <w:tcPr>
            <w:tcW w:w="783" w:type="pct"/>
            <w:vAlign w:val="center"/>
          </w:tcPr>
          <w:p w14:paraId="53A68AE2">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集装箱堆场地面硬化防渗</w:t>
            </w:r>
          </w:p>
        </w:tc>
        <w:tc>
          <w:tcPr>
            <w:tcW w:w="1140" w:type="pct"/>
            <w:vAlign w:val="center"/>
          </w:tcPr>
          <w:p w14:paraId="43797036">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对地下水及土壤影响不大</w:t>
            </w:r>
          </w:p>
        </w:tc>
      </w:tr>
      <w:tr w14:paraId="74BBD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59FC4EE6">
            <w:pPr>
              <w:adjustRightInd w:val="0"/>
              <w:snapToGrid w:val="0"/>
              <w:jc w:val="center"/>
              <w:rPr>
                <w:rFonts w:cs="宋体"/>
                <w:color w:val="auto"/>
                <w:szCs w:val="21"/>
              </w:rPr>
            </w:pPr>
            <w:r>
              <w:rPr>
                <w:rFonts w:hint="eastAsia" w:cs="宋体"/>
                <w:color w:val="auto"/>
                <w:szCs w:val="21"/>
              </w:rPr>
              <w:t>声环境</w:t>
            </w:r>
          </w:p>
        </w:tc>
        <w:tc>
          <w:tcPr>
            <w:tcW w:w="1099" w:type="pct"/>
            <w:vAlign w:val="center"/>
          </w:tcPr>
          <w:p w14:paraId="67028F3D">
            <w:pPr>
              <w:adjustRightInd w:val="0"/>
              <w:snapToGrid w:val="0"/>
              <w:rPr>
                <w:rFonts w:cs="宋体"/>
                <w:color w:val="auto"/>
                <w:szCs w:val="21"/>
              </w:rPr>
            </w:pPr>
            <w:r>
              <w:rPr>
                <w:rFonts w:hint="eastAsia" w:cs="宋体"/>
                <w:color w:val="auto"/>
                <w:szCs w:val="21"/>
              </w:rPr>
              <w:t>合理布局施工现场，安排施工作业时间，选用低噪声设备；加强进出车辆管理等</w:t>
            </w:r>
          </w:p>
        </w:tc>
        <w:tc>
          <w:tcPr>
            <w:tcW w:w="795" w:type="pct"/>
            <w:vAlign w:val="center"/>
          </w:tcPr>
          <w:p w14:paraId="3CA7EB7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cs="宋体"/>
                <w:color w:val="auto"/>
                <w:szCs w:val="21"/>
              </w:rPr>
            </w:pPr>
            <w:r>
              <w:rPr>
                <w:rFonts w:hint="eastAsia" w:cs="宋体"/>
                <w:color w:val="auto"/>
                <w:szCs w:val="21"/>
              </w:rPr>
              <w:t>满足《</w:t>
            </w:r>
            <w:r>
              <w:rPr>
                <w:rFonts w:hint="eastAsia" w:cs="宋体"/>
                <w:color w:val="auto"/>
                <w:szCs w:val="21"/>
                <w:lang w:val="en-US" w:eastAsia="zh-CN"/>
              </w:rPr>
              <w:t>建筑施工噪声排放标</w:t>
            </w:r>
            <w:r>
              <w:rPr>
                <w:rFonts w:hint="eastAsia" w:cs="宋体"/>
                <w:color w:val="auto"/>
                <w:szCs w:val="21"/>
              </w:rPr>
              <w:t>准》（GB12523-</w:t>
            </w:r>
            <w:r>
              <w:rPr>
                <w:rFonts w:hint="eastAsia" w:cs="宋体"/>
                <w:color w:val="auto"/>
                <w:szCs w:val="21"/>
                <w:lang w:val="en-US" w:eastAsia="zh-CN"/>
              </w:rPr>
              <w:t>2025</w:t>
            </w:r>
            <w:r>
              <w:rPr>
                <w:rFonts w:hint="eastAsia" w:cs="宋体"/>
                <w:color w:val="auto"/>
                <w:szCs w:val="21"/>
              </w:rPr>
              <w:t>）</w:t>
            </w:r>
          </w:p>
        </w:tc>
        <w:tc>
          <w:tcPr>
            <w:tcW w:w="783" w:type="pct"/>
            <w:vAlign w:val="center"/>
          </w:tcPr>
          <w:p w14:paraId="08F8A674">
            <w:pPr>
              <w:adjustRightInd w:val="0"/>
              <w:snapToGrid w:val="0"/>
              <w:rPr>
                <w:rFonts w:cs="宋体"/>
                <w:color w:val="auto"/>
                <w:szCs w:val="21"/>
              </w:rPr>
            </w:pPr>
            <w:r>
              <w:rPr>
                <w:rFonts w:hint="eastAsia" w:cs="宋体"/>
                <w:color w:val="auto"/>
                <w:szCs w:val="21"/>
              </w:rPr>
              <w:t>绿化、加强维护管理等</w:t>
            </w:r>
          </w:p>
        </w:tc>
        <w:tc>
          <w:tcPr>
            <w:tcW w:w="1140" w:type="pct"/>
            <w:vAlign w:val="center"/>
          </w:tcPr>
          <w:p w14:paraId="01E22882">
            <w:pPr>
              <w:adjustRightInd w:val="0"/>
              <w:snapToGrid w:val="0"/>
              <w:rPr>
                <w:rFonts w:hint="eastAsia" w:eastAsia="宋体" w:cs="宋体"/>
                <w:color w:val="auto"/>
                <w:szCs w:val="21"/>
                <w:lang w:eastAsia="zh-CN"/>
              </w:rPr>
            </w:pPr>
            <w:r>
              <w:rPr>
                <w:rFonts w:hint="eastAsia" w:cs="宋体"/>
                <w:color w:val="auto"/>
                <w:sz w:val="21"/>
                <w:szCs w:val="21"/>
              </w:rPr>
              <w:t>满足《铁路边界噪声限值及其测量方法》（GB12525-90）及其修改单</w:t>
            </w:r>
            <w:r>
              <w:rPr>
                <w:rFonts w:hint="eastAsia" w:cs="宋体"/>
                <w:color w:val="auto"/>
                <w:sz w:val="21"/>
                <w:szCs w:val="21"/>
                <w:lang w:eastAsia="zh-CN"/>
              </w:rPr>
              <w:t>和</w:t>
            </w:r>
            <w:r>
              <w:rPr>
                <w:rFonts w:hint="eastAsia" w:ascii="宋体" w:hAnsi="宋体" w:eastAsia="宋体" w:cs="宋体"/>
                <w:color w:val="auto"/>
                <w:kern w:val="0"/>
                <w:sz w:val="21"/>
                <w:szCs w:val="21"/>
                <w:lang w:val="en-US" w:eastAsia="zh-CN" w:bidi="ar"/>
              </w:rPr>
              <w:t>《工业企业厂界环境噪声排放标准》（</w:t>
            </w:r>
            <w:r>
              <w:rPr>
                <w:rFonts w:hint="default" w:ascii="Times New Roman" w:hAnsi="Times New Roman" w:eastAsia="宋体" w:cs="Times New Roman"/>
                <w:color w:val="auto"/>
                <w:kern w:val="0"/>
                <w:sz w:val="21"/>
                <w:szCs w:val="21"/>
                <w:lang w:val="en-US" w:eastAsia="zh-CN" w:bidi="ar"/>
              </w:rPr>
              <w:t>GB12348-2008</w:t>
            </w:r>
            <w:r>
              <w:rPr>
                <w:rFonts w:hint="eastAsia" w:ascii="宋体" w:hAnsi="宋体" w:eastAsia="宋体" w:cs="宋体"/>
                <w:color w:val="auto"/>
                <w:kern w:val="0"/>
                <w:sz w:val="21"/>
                <w:szCs w:val="21"/>
                <w:lang w:val="en-US" w:eastAsia="zh-CN" w:bidi="ar"/>
              </w:rPr>
              <w:t>）</w:t>
            </w:r>
            <w:r>
              <w:rPr>
                <w:rFonts w:hint="default" w:ascii="Times New Roman" w:hAnsi="Times New Roman" w:cs="Times New Roman"/>
                <w:color w:val="auto"/>
                <w:kern w:val="0"/>
                <w:sz w:val="21"/>
                <w:szCs w:val="21"/>
                <w:lang w:val="en-US" w:eastAsia="zh-CN" w:bidi="ar"/>
              </w:rPr>
              <w:t>4类</w:t>
            </w:r>
          </w:p>
        </w:tc>
      </w:tr>
      <w:tr w14:paraId="41FF5C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54A11FD8">
            <w:pPr>
              <w:adjustRightInd w:val="0"/>
              <w:snapToGrid w:val="0"/>
              <w:jc w:val="center"/>
              <w:rPr>
                <w:rFonts w:cs="宋体"/>
                <w:color w:val="auto"/>
                <w:szCs w:val="21"/>
              </w:rPr>
            </w:pPr>
            <w:r>
              <w:rPr>
                <w:rFonts w:hint="eastAsia" w:cs="宋体"/>
                <w:color w:val="auto"/>
                <w:szCs w:val="21"/>
              </w:rPr>
              <w:t>振动</w:t>
            </w:r>
          </w:p>
        </w:tc>
        <w:tc>
          <w:tcPr>
            <w:tcW w:w="1099" w:type="pct"/>
            <w:vAlign w:val="center"/>
          </w:tcPr>
          <w:p w14:paraId="348DEF19">
            <w:pPr>
              <w:adjustRightInd w:val="0"/>
              <w:snapToGrid w:val="0"/>
              <w:jc w:val="center"/>
              <w:rPr>
                <w:rFonts w:cs="宋体"/>
                <w:color w:val="auto"/>
                <w:szCs w:val="21"/>
              </w:rPr>
            </w:pPr>
            <w:r>
              <w:rPr>
                <w:rFonts w:hint="eastAsia" w:cs="宋体"/>
                <w:color w:val="auto"/>
                <w:szCs w:val="21"/>
              </w:rPr>
              <w:t>/</w:t>
            </w:r>
          </w:p>
        </w:tc>
        <w:tc>
          <w:tcPr>
            <w:tcW w:w="795" w:type="pct"/>
            <w:vAlign w:val="center"/>
          </w:tcPr>
          <w:p w14:paraId="107A1E70">
            <w:pPr>
              <w:adjustRightInd w:val="0"/>
              <w:snapToGrid w:val="0"/>
              <w:ind w:left="0" w:leftChars="0" w:right="0" w:rightChars="0" w:firstLine="0" w:firstLineChars="0"/>
              <w:jc w:val="center"/>
              <w:rPr>
                <w:rFonts w:cs="宋体"/>
                <w:color w:val="auto"/>
                <w:szCs w:val="21"/>
              </w:rPr>
            </w:pPr>
            <w:r>
              <w:rPr>
                <w:rFonts w:hint="eastAsia" w:cs="宋体"/>
                <w:color w:val="auto"/>
                <w:szCs w:val="21"/>
              </w:rPr>
              <w:t>/</w:t>
            </w:r>
          </w:p>
        </w:tc>
        <w:tc>
          <w:tcPr>
            <w:tcW w:w="783" w:type="pct"/>
            <w:vAlign w:val="center"/>
          </w:tcPr>
          <w:p w14:paraId="0BDDF1B7">
            <w:pPr>
              <w:adjustRightInd w:val="0"/>
              <w:snapToGrid w:val="0"/>
              <w:jc w:val="center"/>
              <w:rPr>
                <w:rFonts w:cs="宋体"/>
                <w:color w:val="auto"/>
                <w:szCs w:val="21"/>
              </w:rPr>
            </w:pPr>
            <w:r>
              <w:rPr>
                <w:rFonts w:hint="eastAsia" w:cs="宋体"/>
                <w:color w:val="auto"/>
                <w:szCs w:val="21"/>
              </w:rPr>
              <w:t>轨道结构减振</w:t>
            </w:r>
          </w:p>
        </w:tc>
        <w:tc>
          <w:tcPr>
            <w:tcW w:w="1140" w:type="pct"/>
            <w:vAlign w:val="center"/>
          </w:tcPr>
          <w:p w14:paraId="5DFFD46A">
            <w:pPr>
              <w:adjustRightInd w:val="0"/>
              <w:snapToGrid w:val="0"/>
              <w:jc w:val="center"/>
              <w:rPr>
                <w:rFonts w:cs="宋体"/>
                <w:color w:val="auto"/>
                <w:szCs w:val="21"/>
              </w:rPr>
            </w:pPr>
            <w:r>
              <w:rPr>
                <w:rFonts w:hint="eastAsia" w:cs="宋体"/>
                <w:color w:val="auto"/>
                <w:szCs w:val="21"/>
              </w:rPr>
              <w:t>/</w:t>
            </w:r>
          </w:p>
        </w:tc>
      </w:tr>
      <w:tr w14:paraId="59749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0ACEE6A4">
            <w:pPr>
              <w:adjustRightInd w:val="0"/>
              <w:snapToGrid w:val="0"/>
              <w:jc w:val="center"/>
              <w:rPr>
                <w:rFonts w:cs="宋体"/>
                <w:color w:val="auto"/>
                <w:szCs w:val="21"/>
              </w:rPr>
            </w:pPr>
            <w:r>
              <w:rPr>
                <w:rFonts w:hint="eastAsia" w:cs="宋体"/>
                <w:color w:val="auto"/>
                <w:szCs w:val="21"/>
              </w:rPr>
              <w:t>大气环境</w:t>
            </w:r>
          </w:p>
        </w:tc>
        <w:tc>
          <w:tcPr>
            <w:tcW w:w="1099" w:type="pct"/>
            <w:vAlign w:val="center"/>
          </w:tcPr>
          <w:p w14:paraId="69B98D0A">
            <w:pPr>
              <w:adjustRightInd w:val="0"/>
              <w:snapToGrid w:val="0"/>
              <w:rPr>
                <w:rFonts w:cs="宋体"/>
                <w:color w:val="auto"/>
                <w:szCs w:val="21"/>
              </w:rPr>
            </w:pPr>
            <w:r>
              <w:rPr>
                <w:rFonts w:hint="eastAsia" w:cs="宋体"/>
                <w:color w:val="auto"/>
                <w:szCs w:val="21"/>
              </w:rPr>
              <w:t>洒水抑尘、围挡、有效覆盖措施；使用符合国家标准的车辆和设备，定期维护保养等</w:t>
            </w:r>
          </w:p>
        </w:tc>
        <w:tc>
          <w:tcPr>
            <w:tcW w:w="795" w:type="pct"/>
            <w:vAlign w:val="center"/>
          </w:tcPr>
          <w:p w14:paraId="4DCED0ED">
            <w:pPr>
              <w:adjustRightInd w:val="0"/>
              <w:snapToGrid w:val="0"/>
              <w:ind w:left="0" w:leftChars="0" w:right="0" w:rightChars="0" w:firstLine="0" w:firstLineChars="0"/>
              <w:jc w:val="center"/>
              <w:rPr>
                <w:rFonts w:cs="宋体"/>
                <w:color w:val="auto"/>
                <w:szCs w:val="21"/>
              </w:rPr>
            </w:pPr>
            <w:r>
              <w:rPr>
                <w:rFonts w:hint="eastAsia" w:cs="宋体"/>
                <w:color w:val="auto"/>
                <w:szCs w:val="21"/>
              </w:rPr>
              <w:t>满足《大气污染物综合排放标准》（GB16297-1996）无组织排放监控浓度限值要求</w:t>
            </w:r>
          </w:p>
        </w:tc>
        <w:tc>
          <w:tcPr>
            <w:tcW w:w="783" w:type="pct"/>
            <w:vAlign w:val="center"/>
          </w:tcPr>
          <w:p w14:paraId="2F60B554">
            <w:pPr>
              <w:adjustRightInd w:val="0"/>
              <w:snapToGrid w:val="0"/>
              <w:rPr>
                <w:rFonts w:hint="eastAsia" w:eastAsia="宋体" w:cs="宋体"/>
                <w:color w:val="auto"/>
                <w:szCs w:val="21"/>
                <w:lang w:eastAsia="zh-CN"/>
              </w:rPr>
            </w:pPr>
            <w:r>
              <w:rPr>
                <w:rFonts w:hint="eastAsia" w:cs="宋体"/>
                <w:color w:val="auto"/>
                <w:szCs w:val="21"/>
                <w:lang w:val="en-US" w:eastAsia="zh-CN"/>
              </w:rPr>
              <w:t>地面硬化、</w:t>
            </w:r>
            <w:r>
              <w:rPr>
                <w:rFonts w:hint="eastAsia" w:cs="宋体"/>
                <w:color w:val="auto"/>
                <w:szCs w:val="21"/>
              </w:rPr>
              <w:t>洒水抑尘</w:t>
            </w:r>
            <w:r>
              <w:rPr>
                <w:rFonts w:hint="eastAsia" w:cs="宋体"/>
                <w:color w:val="auto"/>
                <w:szCs w:val="21"/>
                <w:lang w:eastAsia="zh-CN"/>
              </w:rPr>
              <w:t>、</w:t>
            </w:r>
            <w:r>
              <w:rPr>
                <w:rFonts w:hint="eastAsia" w:cs="宋体"/>
                <w:color w:val="auto"/>
                <w:szCs w:val="21"/>
              </w:rPr>
              <w:t>使用符合国家标准的车辆和设备，定期维护保养等</w:t>
            </w:r>
          </w:p>
        </w:tc>
        <w:tc>
          <w:tcPr>
            <w:tcW w:w="1140" w:type="pct"/>
            <w:vAlign w:val="center"/>
          </w:tcPr>
          <w:p w14:paraId="21847180">
            <w:pPr>
              <w:adjustRightInd w:val="0"/>
              <w:snapToGrid w:val="0"/>
              <w:rPr>
                <w:rFonts w:hint="eastAsia"/>
                <w:color w:val="auto"/>
                <w:lang w:val="en-US" w:eastAsia="zh-CN"/>
              </w:rPr>
            </w:pPr>
            <w:r>
              <w:rPr>
                <w:rFonts w:hint="eastAsia"/>
                <w:color w:val="auto"/>
                <w:lang w:val="en-US" w:eastAsia="zh-CN"/>
              </w:rPr>
              <w:t>内燃机废气执行《铁路内燃机车及其发动机排气污染物排放限值及测量方法（中国第一阶段）》中表2排放限值；</w:t>
            </w:r>
          </w:p>
          <w:p w14:paraId="0E854284">
            <w:pPr>
              <w:adjustRightInd w:val="0"/>
              <w:snapToGrid w:val="0"/>
              <w:rPr>
                <w:rFonts w:hint="eastAsia"/>
                <w:color w:val="auto"/>
                <w:lang w:val="en-US" w:eastAsia="zh-CN"/>
              </w:rPr>
            </w:pPr>
            <w:r>
              <w:rPr>
                <w:rFonts w:hint="eastAsia"/>
                <w:color w:val="auto"/>
                <w:lang w:val="en-US" w:eastAsia="zh-CN"/>
              </w:rPr>
              <w:t>道路运输扬尘、装卸扬尘、运输和装卸设备废气</w:t>
            </w:r>
          </w:p>
          <w:p w14:paraId="3457B731">
            <w:pPr>
              <w:adjustRightInd w:val="0"/>
              <w:snapToGrid w:val="0"/>
              <w:rPr>
                <w:rFonts w:cs="宋体"/>
                <w:color w:val="auto"/>
                <w:szCs w:val="21"/>
              </w:rPr>
            </w:pPr>
            <w:r>
              <w:rPr>
                <w:rFonts w:hint="eastAsia" w:cs="宋体"/>
                <w:color w:val="auto"/>
                <w:szCs w:val="21"/>
                <w:lang w:val="en-US" w:eastAsia="zh-CN"/>
              </w:rPr>
              <w:t>执行</w:t>
            </w:r>
            <w:r>
              <w:rPr>
                <w:rFonts w:hint="default" w:cs="宋体"/>
                <w:color w:val="auto"/>
                <w:szCs w:val="21"/>
              </w:rPr>
              <w:t>《大气污染物综合排放标准》(GB16297-1996)中表2无组织排放监控浓度限值</w:t>
            </w:r>
          </w:p>
        </w:tc>
      </w:tr>
      <w:tr w14:paraId="17BEF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12465F82">
            <w:pPr>
              <w:adjustRightInd w:val="0"/>
              <w:snapToGrid w:val="0"/>
              <w:jc w:val="center"/>
              <w:rPr>
                <w:rFonts w:cs="宋体"/>
                <w:color w:val="auto"/>
                <w:szCs w:val="21"/>
              </w:rPr>
            </w:pPr>
            <w:r>
              <w:rPr>
                <w:rFonts w:hint="eastAsia" w:cs="宋体"/>
                <w:color w:val="auto"/>
                <w:szCs w:val="21"/>
              </w:rPr>
              <w:t>固体废物</w:t>
            </w:r>
          </w:p>
        </w:tc>
        <w:tc>
          <w:tcPr>
            <w:tcW w:w="1099" w:type="pct"/>
            <w:vAlign w:val="center"/>
          </w:tcPr>
          <w:p w14:paraId="3C71CBBB">
            <w:pPr>
              <w:adjustRightInd w:val="0"/>
              <w:snapToGrid w:val="0"/>
              <w:rPr>
                <w:rFonts w:cs="宋体"/>
                <w:color w:val="auto"/>
                <w:szCs w:val="21"/>
              </w:rPr>
            </w:pPr>
            <w:r>
              <w:rPr>
                <w:rFonts w:hint="eastAsia" w:cs="宋体"/>
                <w:color w:val="auto"/>
                <w:szCs w:val="21"/>
              </w:rPr>
              <w:t>建筑垃圾可回收利用的部分统一回收后外卖给废品收购站综合利用，不可回收利用的，集中收集后运至市政部门指定地点消纳处理；生活垃圾经由环卫部门清运处理</w:t>
            </w:r>
          </w:p>
        </w:tc>
        <w:tc>
          <w:tcPr>
            <w:tcW w:w="795" w:type="pct"/>
            <w:vAlign w:val="center"/>
          </w:tcPr>
          <w:p w14:paraId="2115F5A5">
            <w:pPr>
              <w:adjustRightInd w:val="0"/>
              <w:snapToGrid w:val="0"/>
              <w:rPr>
                <w:rFonts w:cs="宋体"/>
                <w:color w:val="auto"/>
                <w:szCs w:val="21"/>
              </w:rPr>
            </w:pPr>
            <w:r>
              <w:rPr>
                <w:rFonts w:hint="eastAsia" w:cs="宋体"/>
                <w:color w:val="auto"/>
                <w:szCs w:val="21"/>
              </w:rPr>
              <w:t>调查落实情况</w:t>
            </w:r>
          </w:p>
        </w:tc>
        <w:tc>
          <w:tcPr>
            <w:tcW w:w="783" w:type="pct"/>
            <w:vAlign w:val="center"/>
          </w:tcPr>
          <w:p w14:paraId="295DB3EF">
            <w:pPr>
              <w:adjustRightInd w:val="0"/>
              <w:snapToGrid w:val="0"/>
              <w:jc w:val="center"/>
              <w:rPr>
                <w:rFonts w:cs="宋体"/>
                <w:color w:val="auto"/>
                <w:szCs w:val="21"/>
              </w:rPr>
            </w:pPr>
            <w:r>
              <w:rPr>
                <w:rFonts w:hint="eastAsia" w:cs="宋体"/>
                <w:color w:val="auto"/>
                <w:szCs w:val="21"/>
              </w:rPr>
              <w:t>生活垃圾经由环卫部门清运处理</w:t>
            </w:r>
          </w:p>
        </w:tc>
        <w:tc>
          <w:tcPr>
            <w:tcW w:w="1140" w:type="pct"/>
            <w:vAlign w:val="center"/>
          </w:tcPr>
          <w:p w14:paraId="63988ACE">
            <w:pPr>
              <w:adjustRightInd w:val="0"/>
              <w:snapToGrid w:val="0"/>
              <w:jc w:val="center"/>
              <w:rPr>
                <w:rFonts w:cs="宋体"/>
                <w:color w:val="auto"/>
                <w:szCs w:val="21"/>
              </w:rPr>
            </w:pPr>
            <w:r>
              <w:rPr>
                <w:color w:val="auto"/>
                <w:kern w:val="0"/>
                <w:sz w:val="21"/>
                <w:szCs w:val="21"/>
                <w:highlight w:val="none"/>
                <w:lang w:bidi="ar"/>
              </w:rPr>
              <w:t>符合环保有关要求，对周围环境不会造成影响</w:t>
            </w:r>
            <w:r>
              <w:rPr>
                <w:rFonts w:hint="eastAsia"/>
                <w:color w:val="auto"/>
                <w:kern w:val="0"/>
                <w:sz w:val="21"/>
                <w:szCs w:val="21"/>
                <w:highlight w:val="none"/>
                <w:lang w:eastAsia="zh-CN" w:bidi="ar"/>
              </w:rPr>
              <w:t>。</w:t>
            </w:r>
          </w:p>
        </w:tc>
      </w:tr>
      <w:tr w14:paraId="02CAA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6E58F9A7">
            <w:pPr>
              <w:adjustRightInd w:val="0"/>
              <w:snapToGrid w:val="0"/>
              <w:jc w:val="center"/>
              <w:rPr>
                <w:rFonts w:cs="宋体"/>
                <w:color w:val="auto"/>
                <w:szCs w:val="21"/>
              </w:rPr>
            </w:pPr>
            <w:r>
              <w:rPr>
                <w:rFonts w:hint="eastAsia" w:cs="宋体"/>
                <w:color w:val="auto"/>
                <w:szCs w:val="21"/>
              </w:rPr>
              <w:t>电磁环境</w:t>
            </w:r>
          </w:p>
        </w:tc>
        <w:tc>
          <w:tcPr>
            <w:tcW w:w="1099" w:type="pct"/>
            <w:vAlign w:val="center"/>
          </w:tcPr>
          <w:p w14:paraId="12825E27">
            <w:pPr>
              <w:adjustRightInd w:val="0"/>
              <w:snapToGrid w:val="0"/>
              <w:jc w:val="center"/>
              <w:rPr>
                <w:rFonts w:cs="宋体"/>
                <w:color w:val="auto"/>
                <w:szCs w:val="21"/>
              </w:rPr>
            </w:pPr>
            <w:r>
              <w:rPr>
                <w:rFonts w:hint="eastAsia" w:cs="宋体"/>
                <w:color w:val="auto"/>
                <w:szCs w:val="21"/>
              </w:rPr>
              <w:t>/</w:t>
            </w:r>
          </w:p>
        </w:tc>
        <w:tc>
          <w:tcPr>
            <w:tcW w:w="795" w:type="pct"/>
            <w:vAlign w:val="center"/>
          </w:tcPr>
          <w:p w14:paraId="40DA5718">
            <w:pPr>
              <w:adjustRightInd w:val="0"/>
              <w:snapToGrid w:val="0"/>
              <w:jc w:val="center"/>
              <w:rPr>
                <w:rFonts w:cs="宋体"/>
                <w:color w:val="auto"/>
                <w:szCs w:val="21"/>
              </w:rPr>
            </w:pPr>
            <w:r>
              <w:rPr>
                <w:rFonts w:hint="eastAsia" w:cs="宋体"/>
                <w:color w:val="auto"/>
                <w:szCs w:val="21"/>
              </w:rPr>
              <w:t>/</w:t>
            </w:r>
          </w:p>
        </w:tc>
        <w:tc>
          <w:tcPr>
            <w:tcW w:w="783" w:type="pct"/>
            <w:vAlign w:val="center"/>
          </w:tcPr>
          <w:p w14:paraId="490CA9E0">
            <w:pPr>
              <w:adjustRightInd w:val="0"/>
              <w:snapToGrid w:val="0"/>
              <w:jc w:val="center"/>
              <w:rPr>
                <w:rFonts w:cs="宋体"/>
                <w:color w:val="auto"/>
                <w:szCs w:val="21"/>
              </w:rPr>
            </w:pPr>
            <w:r>
              <w:rPr>
                <w:rFonts w:hint="eastAsia" w:cs="宋体"/>
                <w:color w:val="auto"/>
                <w:szCs w:val="21"/>
              </w:rPr>
              <w:t>/</w:t>
            </w:r>
          </w:p>
        </w:tc>
        <w:tc>
          <w:tcPr>
            <w:tcW w:w="1140" w:type="pct"/>
            <w:vAlign w:val="center"/>
          </w:tcPr>
          <w:p w14:paraId="1BF0956D">
            <w:pPr>
              <w:adjustRightInd w:val="0"/>
              <w:snapToGrid w:val="0"/>
              <w:jc w:val="center"/>
              <w:rPr>
                <w:rFonts w:cs="宋体"/>
                <w:color w:val="auto"/>
                <w:szCs w:val="21"/>
              </w:rPr>
            </w:pPr>
            <w:r>
              <w:rPr>
                <w:rFonts w:hint="eastAsia" w:cs="宋体"/>
                <w:color w:val="auto"/>
                <w:szCs w:val="21"/>
              </w:rPr>
              <w:t>/</w:t>
            </w:r>
          </w:p>
        </w:tc>
      </w:tr>
      <w:tr w14:paraId="1691BD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6CBBF238">
            <w:pPr>
              <w:adjustRightInd w:val="0"/>
              <w:snapToGrid w:val="0"/>
              <w:jc w:val="center"/>
              <w:rPr>
                <w:rFonts w:cs="宋体"/>
                <w:color w:val="auto"/>
                <w:szCs w:val="21"/>
              </w:rPr>
            </w:pPr>
            <w:r>
              <w:rPr>
                <w:rFonts w:hint="eastAsia" w:cs="宋体"/>
                <w:color w:val="auto"/>
                <w:szCs w:val="21"/>
              </w:rPr>
              <w:t>环境风险</w:t>
            </w:r>
          </w:p>
        </w:tc>
        <w:tc>
          <w:tcPr>
            <w:tcW w:w="1099" w:type="pct"/>
            <w:vAlign w:val="center"/>
          </w:tcPr>
          <w:p w14:paraId="1C3303E9">
            <w:pPr>
              <w:adjustRightInd w:val="0"/>
              <w:snapToGrid w:val="0"/>
              <w:jc w:val="center"/>
              <w:rPr>
                <w:rFonts w:cs="宋体"/>
                <w:color w:val="auto"/>
                <w:szCs w:val="21"/>
              </w:rPr>
            </w:pPr>
            <w:r>
              <w:rPr>
                <w:rFonts w:hint="eastAsia"/>
                <w:color w:val="auto"/>
              </w:rPr>
              <w:t>/</w:t>
            </w:r>
          </w:p>
        </w:tc>
        <w:tc>
          <w:tcPr>
            <w:tcW w:w="795" w:type="pct"/>
            <w:vAlign w:val="center"/>
          </w:tcPr>
          <w:p w14:paraId="15533C3D">
            <w:pPr>
              <w:adjustRightInd w:val="0"/>
              <w:snapToGrid w:val="0"/>
              <w:jc w:val="center"/>
              <w:rPr>
                <w:rFonts w:cs="宋体"/>
                <w:color w:val="auto"/>
                <w:szCs w:val="21"/>
              </w:rPr>
            </w:pPr>
            <w:r>
              <w:rPr>
                <w:rFonts w:hint="eastAsia" w:cs="宋体"/>
                <w:color w:val="auto"/>
                <w:szCs w:val="21"/>
              </w:rPr>
              <w:t>/</w:t>
            </w:r>
          </w:p>
        </w:tc>
        <w:tc>
          <w:tcPr>
            <w:tcW w:w="783" w:type="pct"/>
            <w:vAlign w:val="center"/>
          </w:tcPr>
          <w:p w14:paraId="400620C2">
            <w:pPr>
              <w:adjustRightInd w:val="0"/>
              <w:snapToGrid w:val="0"/>
              <w:jc w:val="center"/>
              <w:rPr>
                <w:rFonts w:hint="eastAsia" w:eastAsia="宋体" w:cs="宋体"/>
                <w:color w:val="auto"/>
                <w:szCs w:val="21"/>
                <w:lang w:eastAsia="zh-CN"/>
              </w:rPr>
            </w:pPr>
            <w:r>
              <w:rPr>
                <w:rFonts w:hint="eastAsia" w:cs="宋体"/>
                <w:color w:val="auto"/>
                <w:szCs w:val="21"/>
                <w:lang w:val="en-US" w:eastAsia="zh-CN"/>
              </w:rPr>
              <w:t>项目到发货物在贮存时采取相应的防火措施</w:t>
            </w:r>
          </w:p>
        </w:tc>
        <w:tc>
          <w:tcPr>
            <w:tcW w:w="1140" w:type="pct"/>
            <w:vAlign w:val="center"/>
          </w:tcPr>
          <w:p w14:paraId="6C09B822">
            <w:pPr>
              <w:adjustRightInd w:val="0"/>
              <w:snapToGrid w:val="0"/>
              <w:jc w:val="center"/>
              <w:rPr>
                <w:rFonts w:hint="default" w:eastAsia="宋体" w:cs="宋体"/>
                <w:color w:val="auto"/>
                <w:szCs w:val="21"/>
                <w:lang w:val="en-US" w:eastAsia="zh-CN"/>
              </w:rPr>
            </w:pPr>
            <w:r>
              <w:rPr>
                <w:rFonts w:hint="eastAsia" w:cs="宋体"/>
                <w:color w:val="auto"/>
                <w:szCs w:val="21"/>
                <w:lang w:val="en-US" w:eastAsia="zh-CN"/>
              </w:rPr>
              <w:t>/</w:t>
            </w:r>
          </w:p>
        </w:tc>
      </w:tr>
      <w:tr w14:paraId="4FFE0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4B84936F">
            <w:pPr>
              <w:adjustRightInd w:val="0"/>
              <w:snapToGrid w:val="0"/>
              <w:jc w:val="center"/>
              <w:rPr>
                <w:rFonts w:cs="宋体"/>
                <w:color w:val="auto"/>
                <w:szCs w:val="21"/>
              </w:rPr>
            </w:pPr>
            <w:r>
              <w:rPr>
                <w:rFonts w:hint="eastAsia" w:cs="宋体"/>
                <w:color w:val="auto"/>
                <w:szCs w:val="21"/>
              </w:rPr>
              <w:t>环境监测</w:t>
            </w:r>
          </w:p>
        </w:tc>
        <w:tc>
          <w:tcPr>
            <w:tcW w:w="1099" w:type="pct"/>
            <w:vAlign w:val="center"/>
          </w:tcPr>
          <w:p w14:paraId="5906679C">
            <w:pPr>
              <w:adjustRightInd w:val="0"/>
              <w:snapToGrid w:val="0"/>
              <w:jc w:val="center"/>
              <w:rPr>
                <w:rFonts w:cs="宋体"/>
                <w:color w:val="auto"/>
                <w:szCs w:val="21"/>
              </w:rPr>
            </w:pPr>
            <w:r>
              <w:rPr>
                <w:rFonts w:hint="eastAsia"/>
                <w:color w:val="auto"/>
              </w:rPr>
              <w:t>/</w:t>
            </w:r>
          </w:p>
        </w:tc>
        <w:tc>
          <w:tcPr>
            <w:tcW w:w="795" w:type="pct"/>
            <w:vAlign w:val="center"/>
          </w:tcPr>
          <w:p w14:paraId="4EAB403D">
            <w:pPr>
              <w:adjustRightInd w:val="0"/>
              <w:snapToGrid w:val="0"/>
              <w:jc w:val="center"/>
              <w:rPr>
                <w:rFonts w:cs="宋体"/>
                <w:color w:val="auto"/>
                <w:szCs w:val="21"/>
              </w:rPr>
            </w:pPr>
            <w:r>
              <w:rPr>
                <w:rFonts w:hint="eastAsia"/>
                <w:color w:val="auto"/>
              </w:rPr>
              <w:t>/</w:t>
            </w:r>
          </w:p>
        </w:tc>
        <w:tc>
          <w:tcPr>
            <w:tcW w:w="783" w:type="pct"/>
            <w:vAlign w:val="center"/>
          </w:tcPr>
          <w:p w14:paraId="688B1A83">
            <w:pPr>
              <w:adjustRightInd w:val="0"/>
              <w:snapToGrid w:val="0"/>
              <w:jc w:val="center"/>
              <w:rPr>
                <w:rFonts w:cs="宋体"/>
                <w:color w:val="auto"/>
                <w:szCs w:val="21"/>
              </w:rPr>
            </w:pPr>
            <w:r>
              <w:rPr>
                <w:rFonts w:hint="default" w:ascii="Times New Roman" w:hAnsi="Times New Roman" w:eastAsia="宋体" w:cs="Times New Roman"/>
                <w:color w:val="auto"/>
                <w:sz w:val="21"/>
                <w:szCs w:val="21"/>
                <w:highlight w:val="none"/>
              </w:rPr>
              <w:t>按报告表监测计划进行</w:t>
            </w:r>
          </w:p>
        </w:tc>
        <w:tc>
          <w:tcPr>
            <w:tcW w:w="1140" w:type="pct"/>
            <w:vAlign w:val="center"/>
          </w:tcPr>
          <w:p w14:paraId="45F6F8A2">
            <w:pPr>
              <w:adjustRightInd w:val="0"/>
              <w:snapToGrid w:val="0"/>
              <w:jc w:val="center"/>
              <w:rPr>
                <w:rFonts w:cs="宋体"/>
                <w:color w:val="auto"/>
                <w:szCs w:val="21"/>
              </w:rPr>
            </w:pPr>
            <w:r>
              <w:rPr>
                <w:rFonts w:hint="default" w:ascii="Times New Roman" w:hAnsi="Times New Roman" w:eastAsia="宋体" w:cs="Times New Roman"/>
                <w:color w:val="auto"/>
                <w:spacing w:val="0"/>
                <w:sz w:val="21"/>
                <w:szCs w:val="21"/>
                <w:highlight w:val="none"/>
              </w:rPr>
              <w:t>环境监测按照《排污单位自行监测技术指南 总则》（HJ819-2017）进行。</w:t>
            </w:r>
          </w:p>
        </w:tc>
      </w:tr>
      <w:tr w14:paraId="5B5C8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1" w:type="pct"/>
            <w:vAlign w:val="center"/>
          </w:tcPr>
          <w:p w14:paraId="6C193BD3">
            <w:pPr>
              <w:adjustRightInd w:val="0"/>
              <w:snapToGrid w:val="0"/>
              <w:jc w:val="center"/>
              <w:rPr>
                <w:rFonts w:cs="宋体"/>
                <w:color w:val="auto"/>
                <w:szCs w:val="21"/>
              </w:rPr>
            </w:pPr>
            <w:r>
              <w:rPr>
                <w:rFonts w:hint="eastAsia" w:cs="宋体"/>
                <w:color w:val="auto"/>
                <w:szCs w:val="21"/>
              </w:rPr>
              <w:t>其他</w:t>
            </w:r>
          </w:p>
        </w:tc>
        <w:tc>
          <w:tcPr>
            <w:tcW w:w="1099" w:type="pct"/>
            <w:vAlign w:val="center"/>
          </w:tcPr>
          <w:p w14:paraId="5BF194B2">
            <w:pPr>
              <w:adjustRightInd w:val="0"/>
              <w:snapToGrid w:val="0"/>
              <w:jc w:val="center"/>
              <w:rPr>
                <w:rFonts w:cs="宋体"/>
                <w:color w:val="auto"/>
                <w:szCs w:val="21"/>
              </w:rPr>
            </w:pPr>
            <w:r>
              <w:rPr>
                <w:rFonts w:hint="eastAsia" w:cs="宋体"/>
                <w:color w:val="auto"/>
                <w:szCs w:val="21"/>
              </w:rPr>
              <w:t>/</w:t>
            </w:r>
          </w:p>
        </w:tc>
        <w:tc>
          <w:tcPr>
            <w:tcW w:w="795" w:type="pct"/>
            <w:vAlign w:val="center"/>
          </w:tcPr>
          <w:p w14:paraId="61EBD492">
            <w:pPr>
              <w:adjustRightInd w:val="0"/>
              <w:snapToGrid w:val="0"/>
              <w:jc w:val="center"/>
              <w:rPr>
                <w:rFonts w:cs="宋体"/>
                <w:color w:val="auto"/>
                <w:szCs w:val="21"/>
              </w:rPr>
            </w:pPr>
            <w:r>
              <w:rPr>
                <w:rFonts w:hint="eastAsia" w:cs="宋体"/>
                <w:color w:val="auto"/>
                <w:szCs w:val="21"/>
              </w:rPr>
              <w:t>/</w:t>
            </w:r>
          </w:p>
        </w:tc>
        <w:tc>
          <w:tcPr>
            <w:tcW w:w="783" w:type="pct"/>
            <w:vAlign w:val="center"/>
          </w:tcPr>
          <w:p w14:paraId="44FC4CA6">
            <w:pPr>
              <w:adjustRightInd w:val="0"/>
              <w:snapToGrid w:val="0"/>
              <w:jc w:val="center"/>
              <w:rPr>
                <w:rFonts w:cs="宋体"/>
                <w:color w:val="auto"/>
                <w:szCs w:val="21"/>
              </w:rPr>
            </w:pPr>
            <w:r>
              <w:rPr>
                <w:rFonts w:hint="eastAsia" w:cs="宋体"/>
                <w:color w:val="auto"/>
                <w:szCs w:val="21"/>
              </w:rPr>
              <w:t>/</w:t>
            </w:r>
          </w:p>
        </w:tc>
        <w:tc>
          <w:tcPr>
            <w:tcW w:w="1140" w:type="pct"/>
            <w:vAlign w:val="center"/>
          </w:tcPr>
          <w:p w14:paraId="4F5249A5">
            <w:pPr>
              <w:adjustRightInd w:val="0"/>
              <w:snapToGrid w:val="0"/>
              <w:jc w:val="center"/>
              <w:rPr>
                <w:rFonts w:cs="宋体"/>
                <w:color w:val="auto"/>
                <w:szCs w:val="21"/>
              </w:rPr>
            </w:pPr>
            <w:r>
              <w:rPr>
                <w:rFonts w:hint="eastAsia" w:cs="宋体"/>
                <w:color w:val="auto"/>
                <w:szCs w:val="21"/>
              </w:rPr>
              <w:t>/</w:t>
            </w:r>
          </w:p>
        </w:tc>
      </w:tr>
    </w:tbl>
    <w:p w14:paraId="79A34890">
      <w:pPr>
        <w:pStyle w:val="41"/>
        <w:jc w:val="center"/>
        <w:rPr>
          <w:rFonts w:ascii="Times New Roman" w:hAnsi="Times New Roman"/>
          <w:snapToGrid w:val="0"/>
          <w:color w:val="auto"/>
          <w:sz w:val="30"/>
          <w:szCs w:val="30"/>
        </w:rPr>
      </w:pPr>
    </w:p>
    <w:p w14:paraId="0D9EA7B3">
      <w:pPr>
        <w:pStyle w:val="4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snapToGrid w:val="0"/>
          <w:color w:val="auto"/>
          <w:sz w:val="30"/>
          <w:szCs w:val="30"/>
        </w:rPr>
      </w:pPr>
      <w:r>
        <w:rPr>
          <w:rFonts w:ascii="Times New Roman" w:hAnsi="Times New Roman"/>
          <w:snapToGrid w:val="0"/>
          <w:color w:val="auto"/>
          <w:sz w:val="30"/>
          <w:szCs w:val="30"/>
        </w:rPr>
        <w:br w:type="page"/>
      </w:r>
      <w:bookmarkStart w:id="17" w:name="_Toc141432018"/>
      <w:r>
        <w:rPr>
          <w:rFonts w:hint="eastAsia" w:ascii="Times New Roman" w:hAnsi="Times New Roman"/>
          <w:snapToGrid w:val="0"/>
          <w:color w:val="auto"/>
          <w:sz w:val="30"/>
          <w:szCs w:val="30"/>
        </w:rPr>
        <w:t>七、结论</w:t>
      </w:r>
      <w:bookmarkEnd w:id="17"/>
    </w:p>
    <w:tbl>
      <w:tblPr>
        <w:tblStyle w:val="46"/>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0865B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vAlign w:val="top"/>
          </w:tcPr>
          <w:p w14:paraId="6E118156">
            <w:pPr>
              <w:adjustRightInd w:val="0"/>
              <w:snapToGrid w:val="0"/>
              <w:spacing w:line="360" w:lineRule="auto"/>
              <w:ind w:firstLine="480" w:firstLineChars="200"/>
              <w:jc w:val="both"/>
              <w:rPr>
                <w:rFonts w:cs="宋体"/>
                <w:color w:val="auto"/>
                <w:sz w:val="24"/>
              </w:rPr>
            </w:pPr>
            <w:r>
              <w:rPr>
                <w:rFonts w:hint="eastAsia" w:cs="宋体"/>
                <w:color w:val="auto"/>
                <w:sz w:val="24"/>
              </w:rPr>
              <w:t>项目的建设有利于</w:t>
            </w:r>
            <w:r>
              <w:rPr>
                <w:rFonts w:hint="eastAsia" w:cs="宋体"/>
                <w:color w:val="auto"/>
                <w:sz w:val="24"/>
                <w:lang w:val="en-US" w:eastAsia="zh-CN"/>
              </w:rPr>
              <w:t>为</w:t>
            </w:r>
            <w:r>
              <w:rPr>
                <w:rFonts w:hint="eastAsia" w:cs="宋体"/>
                <w:color w:val="auto"/>
                <w:sz w:val="24"/>
              </w:rPr>
              <w:t>北部湾防城港企沙工业区</w:t>
            </w:r>
            <w:r>
              <w:rPr>
                <w:rFonts w:hint="eastAsia" w:cs="宋体"/>
                <w:color w:val="auto"/>
                <w:sz w:val="24"/>
                <w:lang w:val="en-US" w:eastAsia="zh-CN"/>
              </w:rPr>
              <w:t>产品</w:t>
            </w:r>
            <w:r>
              <w:rPr>
                <w:rFonts w:hint="eastAsia" w:cs="宋体"/>
                <w:color w:val="auto"/>
                <w:sz w:val="24"/>
              </w:rPr>
              <w:t>提供广阔的供销网络和便捷的海铁、公铁多式联运交通运输网络，以提高物流效率、降低物流成本、增强综合竞争力、加快经济发展。项目建设不可避免地会对周围环境产生一定的不利影响，施工期主要表现为工程占地对生态环境的影响以及噪声、废水、扬尘造成的噪声污染、水污染和扬尘空气环境污染，运营期主要表现为铁路噪声</w:t>
            </w:r>
            <w:r>
              <w:rPr>
                <w:rFonts w:hint="eastAsia" w:cs="宋体"/>
                <w:color w:val="auto"/>
                <w:sz w:val="24"/>
                <w:lang w:eastAsia="zh-CN"/>
              </w:rPr>
              <w:t>、</w:t>
            </w:r>
            <w:r>
              <w:rPr>
                <w:rFonts w:hint="eastAsia" w:cs="宋体"/>
                <w:color w:val="auto"/>
                <w:sz w:val="24"/>
                <w:lang w:val="en-US" w:eastAsia="zh-CN"/>
              </w:rPr>
              <w:t>机械设备废气等</w:t>
            </w:r>
            <w:r>
              <w:rPr>
                <w:rFonts w:hint="eastAsia" w:cs="宋体"/>
                <w:color w:val="auto"/>
                <w:sz w:val="24"/>
              </w:rPr>
              <w:t>影响。项目在建设和运营过程切实做好“三同时”工作，认真落实评价中提出的生态环境保护和恢复措施、污染防治措施、事故</w:t>
            </w:r>
            <w:r>
              <w:rPr>
                <w:rFonts w:hint="eastAsia" w:cs="宋体"/>
                <w:color w:val="auto"/>
                <w:sz w:val="24"/>
                <w:lang w:val="en-US" w:eastAsia="zh-CN"/>
              </w:rPr>
              <w:t>防范</w:t>
            </w:r>
            <w:r>
              <w:rPr>
                <w:rFonts w:hint="eastAsia" w:cs="宋体"/>
                <w:color w:val="auto"/>
                <w:sz w:val="24"/>
              </w:rPr>
              <w:t>措施，可将项目对环境的不利影响降到最低程度，实现经济、社会和环境的可持续发展。因此，从环境保护的角度而言，项目的建设是可行的。</w:t>
            </w:r>
          </w:p>
        </w:tc>
      </w:tr>
    </w:tbl>
    <w:p w14:paraId="463445BE">
      <w:pPr>
        <w:pStyle w:val="41"/>
        <w:adjustRightInd w:val="0"/>
        <w:snapToGrid w:val="0"/>
        <w:spacing w:before="0" w:beforeAutospacing="0" w:after="0" w:afterAutospacing="0" w:line="648" w:lineRule="auto"/>
        <w:rPr>
          <w:rFonts w:ascii="Times New Roman" w:hAnsi="Times New Roman" w:cs="宋体"/>
          <w:color w:val="auto"/>
          <w:szCs w:val="21"/>
        </w:rPr>
        <w:sectPr>
          <w:pgSz w:w="11906" w:h="16838"/>
          <w:pgMar w:top="1440" w:right="1800" w:bottom="1440" w:left="1800" w:header="851" w:footer="1077" w:gutter="0"/>
          <w:cols w:space="720" w:num="1"/>
          <w:docGrid w:linePitch="312" w:charSpace="0"/>
        </w:sectPr>
      </w:pPr>
    </w:p>
    <w:p w14:paraId="733CABE2">
      <w:pPr>
        <w:pStyle w:val="41"/>
        <w:adjustRightInd w:val="0"/>
        <w:snapToGrid w:val="0"/>
        <w:spacing w:before="0" w:beforeAutospacing="0" w:after="0" w:afterAutospacing="0"/>
        <w:outlineLvl w:val="0"/>
        <w:rPr>
          <w:rFonts w:ascii="Times New Roman" w:hAnsi="Times New Roman"/>
          <w:snapToGrid w:val="0"/>
          <w:color w:val="auto"/>
          <w:sz w:val="32"/>
          <w:szCs w:val="32"/>
          <w:highlight w:val="none"/>
        </w:rPr>
      </w:pPr>
      <w:bookmarkStart w:id="18" w:name="_Toc66952923"/>
      <w:r>
        <w:rPr>
          <w:rFonts w:ascii="Times New Roman" w:hAnsi="Times New Roman"/>
          <w:snapToGrid w:val="0"/>
          <w:color w:val="auto"/>
          <w:sz w:val="32"/>
          <w:szCs w:val="32"/>
          <w:highlight w:val="none"/>
        </w:rPr>
        <w:t>附表</w:t>
      </w:r>
      <w:bookmarkEnd w:id="18"/>
      <w:r>
        <w:rPr>
          <w:rFonts w:ascii="Times New Roman" w:hAnsi="Times New Roman"/>
          <w:snapToGrid w:val="0"/>
          <w:color w:val="auto"/>
          <w:sz w:val="32"/>
          <w:szCs w:val="32"/>
          <w:highlight w:val="none"/>
        </w:rPr>
        <w:t>1</w:t>
      </w:r>
    </w:p>
    <w:p w14:paraId="2446FB18">
      <w:pPr>
        <w:pStyle w:val="41"/>
        <w:adjustRightInd w:val="0"/>
        <w:snapToGrid w:val="0"/>
        <w:spacing w:before="0" w:beforeAutospacing="0" w:after="0" w:afterAutospacing="0"/>
        <w:jc w:val="center"/>
        <w:outlineLvl w:val="0"/>
        <w:rPr>
          <w:rFonts w:ascii="Times New Roman" w:hAnsi="Times New Roman"/>
          <w:snapToGrid w:val="0"/>
          <w:color w:val="auto"/>
          <w:sz w:val="38"/>
          <w:szCs w:val="38"/>
          <w:highlight w:val="none"/>
        </w:rPr>
      </w:pPr>
      <w:r>
        <w:rPr>
          <w:rFonts w:ascii="Times New Roman" w:hAnsi="Times New Roman"/>
          <w:snapToGrid w:val="0"/>
          <w:color w:val="auto"/>
          <w:sz w:val="38"/>
          <w:szCs w:val="38"/>
          <w:highlight w:val="none"/>
        </w:rPr>
        <w:t>建设项目污染物排放量汇总表</w:t>
      </w:r>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66"/>
        <w:gridCol w:w="1552"/>
        <w:gridCol w:w="1276"/>
        <w:gridCol w:w="1701"/>
        <w:gridCol w:w="1559"/>
        <w:gridCol w:w="1362"/>
        <w:gridCol w:w="1738"/>
        <w:gridCol w:w="1446"/>
      </w:tblGrid>
      <w:tr w14:paraId="3451D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tcBorders>
              <w:tl2br w:val="single" w:color="auto" w:sz="4" w:space="0"/>
            </w:tcBorders>
            <w:noWrap w:val="0"/>
            <w:tcMar>
              <w:left w:w="28" w:type="dxa"/>
              <w:right w:w="28" w:type="dxa"/>
            </w:tcMar>
            <w:vAlign w:val="center"/>
          </w:tcPr>
          <w:p w14:paraId="552A26D7">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14:paraId="7E48E4EF">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1566" w:type="dxa"/>
            <w:noWrap w:val="0"/>
            <w:tcMar>
              <w:left w:w="28" w:type="dxa"/>
              <w:right w:w="28" w:type="dxa"/>
            </w:tcMar>
            <w:vAlign w:val="center"/>
          </w:tcPr>
          <w:p w14:paraId="5B7C008A">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552" w:type="dxa"/>
            <w:noWrap w:val="0"/>
            <w:tcMar>
              <w:left w:w="28" w:type="dxa"/>
              <w:right w:w="28" w:type="dxa"/>
            </w:tcMar>
            <w:vAlign w:val="center"/>
          </w:tcPr>
          <w:p w14:paraId="32B956A8">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756F4A10">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276" w:type="dxa"/>
            <w:noWrap w:val="0"/>
            <w:tcMar>
              <w:left w:w="28" w:type="dxa"/>
              <w:right w:w="28" w:type="dxa"/>
            </w:tcMar>
            <w:vAlign w:val="center"/>
          </w:tcPr>
          <w:p w14:paraId="24824805">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14:paraId="5623C167">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p>
          <w:p w14:paraId="0E95FCD8">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701" w:type="dxa"/>
            <w:noWrap w:val="0"/>
            <w:tcMar>
              <w:left w:w="28" w:type="dxa"/>
              <w:right w:w="28" w:type="dxa"/>
            </w:tcMar>
            <w:vAlign w:val="center"/>
          </w:tcPr>
          <w:p w14:paraId="630EB8D6">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14:paraId="45B43D82">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559" w:type="dxa"/>
            <w:noWrap w:val="0"/>
            <w:tcMar>
              <w:left w:w="28" w:type="dxa"/>
              <w:right w:w="28" w:type="dxa"/>
            </w:tcMar>
            <w:vAlign w:val="center"/>
          </w:tcPr>
          <w:p w14:paraId="3E912CDB">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14:paraId="63B053BE">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362" w:type="dxa"/>
            <w:noWrap w:val="0"/>
            <w:tcMar>
              <w:left w:w="28" w:type="dxa"/>
              <w:right w:w="28" w:type="dxa"/>
            </w:tcMar>
            <w:vAlign w:val="center"/>
          </w:tcPr>
          <w:p w14:paraId="456DC5D8">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14:paraId="7F93C477">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1738" w:type="dxa"/>
            <w:noWrap w:val="0"/>
            <w:tcMar>
              <w:left w:w="28" w:type="dxa"/>
              <w:right w:w="28" w:type="dxa"/>
            </w:tcMar>
            <w:vAlign w:val="center"/>
          </w:tcPr>
          <w:p w14:paraId="6D867BE3">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w:t>
            </w:r>
          </w:p>
          <w:p w14:paraId="02D495C8">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1446" w:type="dxa"/>
            <w:noWrap w:val="0"/>
            <w:tcMar>
              <w:left w:w="28" w:type="dxa"/>
              <w:right w:w="28" w:type="dxa"/>
            </w:tcMar>
            <w:vAlign w:val="center"/>
          </w:tcPr>
          <w:p w14:paraId="0C5BD919">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p>
          <w:p w14:paraId="11ACFF2C">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14:paraId="3572B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noWrap w:val="0"/>
            <w:vAlign w:val="center"/>
          </w:tcPr>
          <w:p w14:paraId="5A328A8D">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eastAsia"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rPr>
              <w:t>废气</w:t>
            </w:r>
            <w:r>
              <w:rPr>
                <w:rFonts w:hint="eastAsia" w:ascii="Times New Roman" w:hAnsi="Times New Roman" w:cs="Times New Roman"/>
                <w:snapToGrid w:val="0"/>
                <w:color w:val="auto"/>
                <w:kern w:val="21"/>
                <w:sz w:val="21"/>
                <w:szCs w:val="21"/>
                <w:highlight w:val="none"/>
                <w:lang w:eastAsia="zh-CN"/>
              </w:rPr>
              <w:t>（</w:t>
            </w:r>
            <w:r>
              <w:rPr>
                <w:rFonts w:hint="eastAsia" w:ascii="Times New Roman" w:hAnsi="Times New Roman" w:cs="Times New Roman"/>
                <w:snapToGrid w:val="0"/>
                <w:color w:val="auto"/>
                <w:kern w:val="21"/>
                <w:sz w:val="21"/>
                <w:szCs w:val="21"/>
                <w:highlight w:val="none"/>
                <w:lang w:val="en-US" w:eastAsia="zh-CN"/>
              </w:rPr>
              <w:t>排放量为远期排放量</w:t>
            </w:r>
            <w:r>
              <w:rPr>
                <w:rFonts w:hint="eastAsia" w:ascii="Times New Roman" w:hAnsi="Times New Roman" w:cs="Times New Roman"/>
                <w:snapToGrid w:val="0"/>
                <w:color w:val="auto"/>
                <w:kern w:val="21"/>
                <w:sz w:val="21"/>
                <w:szCs w:val="21"/>
                <w:highlight w:val="none"/>
                <w:lang w:eastAsia="zh-CN"/>
              </w:rPr>
              <w:t>）</w:t>
            </w:r>
          </w:p>
        </w:tc>
        <w:tc>
          <w:tcPr>
            <w:tcW w:w="1566" w:type="dxa"/>
            <w:shd w:val="clear" w:color="auto" w:fill="auto"/>
            <w:noWrap w:val="0"/>
            <w:vAlign w:val="center"/>
          </w:tcPr>
          <w:p w14:paraId="095F9312">
            <w:pPr>
              <w:pStyle w:val="352"/>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eastAsia="zh-CN"/>
              </w:rPr>
              <w:t>颗粒物</w:t>
            </w:r>
          </w:p>
        </w:tc>
        <w:tc>
          <w:tcPr>
            <w:tcW w:w="1552" w:type="dxa"/>
            <w:noWrap w:val="0"/>
            <w:vAlign w:val="center"/>
          </w:tcPr>
          <w:p w14:paraId="24D61DE8">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276" w:type="dxa"/>
            <w:noWrap w:val="0"/>
            <w:vAlign w:val="center"/>
          </w:tcPr>
          <w:p w14:paraId="108B29A6">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701" w:type="dxa"/>
            <w:noWrap w:val="0"/>
            <w:vAlign w:val="center"/>
          </w:tcPr>
          <w:p w14:paraId="23BC9CBE">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559" w:type="dxa"/>
            <w:shd w:val="clear" w:color="auto" w:fill="auto"/>
            <w:noWrap w:val="0"/>
            <w:vAlign w:val="center"/>
          </w:tcPr>
          <w:p w14:paraId="399E4AE9">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0.02</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362" w:type="dxa"/>
            <w:noWrap w:val="0"/>
            <w:vAlign w:val="center"/>
          </w:tcPr>
          <w:p w14:paraId="492C17E8">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color w:val="auto"/>
                <w:kern w:val="0"/>
                <w:sz w:val="21"/>
                <w:szCs w:val="21"/>
                <w:highlight w:val="none"/>
                <w:u w:val="none" w:color="auto"/>
                <w:lang w:val="en-US" w:eastAsia="zh-CN" w:bidi="ar-SA"/>
              </w:rPr>
              <w:t>0</w:t>
            </w:r>
          </w:p>
        </w:tc>
        <w:tc>
          <w:tcPr>
            <w:tcW w:w="1738" w:type="dxa"/>
            <w:shd w:val="clear" w:color="auto" w:fill="auto"/>
            <w:noWrap w:val="0"/>
            <w:vAlign w:val="center"/>
          </w:tcPr>
          <w:p w14:paraId="01FA50F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446" w:type="dxa"/>
            <w:shd w:val="clear" w:color="auto" w:fill="auto"/>
            <w:noWrap w:val="0"/>
            <w:vAlign w:val="center"/>
          </w:tcPr>
          <w:p w14:paraId="78054F3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0.02</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009DC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7AA95C17">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566" w:type="dxa"/>
            <w:shd w:val="clear" w:color="auto" w:fill="auto"/>
            <w:noWrap w:val="0"/>
            <w:vAlign w:val="center"/>
          </w:tcPr>
          <w:p w14:paraId="3F44ACA4">
            <w:pPr>
              <w:pStyle w:val="352"/>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CO</w:t>
            </w:r>
          </w:p>
        </w:tc>
        <w:tc>
          <w:tcPr>
            <w:tcW w:w="1552" w:type="dxa"/>
            <w:noWrap w:val="0"/>
            <w:vAlign w:val="center"/>
          </w:tcPr>
          <w:p w14:paraId="084C2E8E">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6" w:type="dxa"/>
            <w:noWrap w:val="0"/>
            <w:vAlign w:val="center"/>
          </w:tcPr>
          <w:p w14:paraId="19FFCDEB">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01" w:type="dxa"/>
            <w:noWrap w:val="0"/>
            <w:vAlign w:val="center"/>
          </w:tcPr>
          <w:p w14:paraId="46BE796A">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9" w:type="dxa"/>
            <w:shd w:val="clear" w:color="auto" w:fill="auto"/>
            <w:noWrap w:val="0"/>
            <w:vAlign w:val="center"/>
          </w:tcPr>
          <w:p w14:paraId="4AF940F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34</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362" w:type="dxa"/>
            <w:noWrap w:val="0"/>
            <w:vAlign w:val="center"/>
          </w:tcPr>
          <w:p w14:paraId="176A5CCC">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0</w:t>
            </w:r>
          </w:p>
        </w:tc>
        <w:tc>
          <w:tcPr>
            <w:tcW w:w="1738" w:type="dxa"/>
            <w:shd w:val="clear" w:color="auto" w:fill="auto"/>
            <w:noWrap w:val="0"/>
            <w:vAlign w:val="center"/>
          </w:tcPr>
          <w:p w14:paraId="5CAC7FC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34</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446" w:type="dxa"/>
            <w:shd w:val="clear" w:color="auto" w:fill="auto"/>
            <w:noWrap w:val="0"/>
            <w:vAlign w:val="center"/>
          </w:tcPr>
          <w:p w14:paraId="03DD634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34</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181C2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25825F7B">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566" w:type="dxa"/>
            <w:shd w:val="clear" w:color="auto" w:fill="auto"/>
            <w:noWrap w:val="0"/>
            <w:vAlign w:val="center"/>
          </w:tcPr>
          <w:p w14:paraId="2C5E9158">
            <w:pPr>
              <w:pStyle w:val="352"/>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cs="Times New Roman"/>
                <w:color w:val="auto"/>
                <w:sz w:val="21"/>
                <w:szCs w:val="21"/>
                <w:vertAlign w:val="baseline"/>
                <w:lang w:val="en-US" w:eastAsia="zh-CN"/>
              </w:rPr>
              <w:t>NO</w:t>
            </w:r>
            <w:r>
              <w:rPr>
                <w:rFonts w:hint="default" w:ascii="Times New Roman" w:hAnsi="Times New Roman" w:cs="Times New Roman"/>
                <w:color w:val="auto"/>
                <w:sz w:val="21"/>
                <w:szCs w:val="21"/>
                <w:vertAlign w:val="subscript"/>
                <w:lang w:val="en-US" w:eastAsia="zh-CN"/>
              </w:rPr>
              <w:t>X</w:t>
            </w:r>
          </w:p>
        </w:tc>
        <w:tc>
          <w:tcPr>
            <w:tcW w:w="1552" w:type="dxa"/>
            <w:noWrap w:val="0"/>
            <w:vAlign w:val="center"/>
          </w:tcPr>
          <w:p w14:paraId="40D3CA12">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6" w:type="dxa"/>
            <w:noWrap w:val="0"/>
            <w:vAlign w:val="center"/>
          </w:tcPr>
          <w:p w14:paraId="5181D7A1">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01" w:type="dxa"/>
            <w:noWrap w:val="0"/>
            <w:vAlign w:val="center"/>
          </w:tcPr>
          <w:p w14:paraId="5317301E">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9" w:type="dxa"/>
            <w:shd w:val="clear" w:color="auto" w:fill="auto"/>
            <w:noWrap w:val="0"/>
            <w:vAlign w:val="center"/>
          </w:tcPr>
          <w:p w14:paraId="1002FEB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362" w:type="dxa"/>
            <w:noWrap w:val="0"/>
            <w:vAlign w:val="center"/>
          </w:tcPr>
          <w:p w14:paraId="635A5826">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0</w:t>
            </w:r>
          </w:p>
        </w:tc>
        <w:tc>
          <w:tcPr>
            <w:tcW w:w="1738" w:type="dxa"/>
            <w:shd w:val="clear" w:color="auto" w:fill="auto"/>
            <w:noWrap w:val="0"/>
            <w:vAlign w:val="center"/>
          </w:tcPr>
          <w:p w14:paraId="0BA820D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446" w:type="dxa"/>
            <w:shd w:val="clear" w:color="auto" w:fill="auto"/>
            <w:noWrap w:val="0"/>
            <w:vAlign w:val="center"/>
          </w:tcPr>
          <w:p w14:paraId="5C9A532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4AD11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4C61AD7A">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566" w:type="dxa"/>
            <w:shd w:val="clear" w:color="auto" w:fill="auto"/>
            <w:noWrap w:val="0"/>
            <w:vAlign w:val="center"/>
          </w:tcPr>
          <w:p w14:paraId="643AA270">
            <w:pPr>
              <w:pStyle w:val="352"/>
              <w:spacing w:line="240" w:lineRule="auto"/>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HC</w:t>
            </w:r>
          </w:p>
        </w:tc>
        <w:tc>
          <w:tcPr>
            <w:tcW w:w="1552" w:type="dxa"/>
            <w:noWrap w:val="0"/>
            <w:vAlign w:val="center"/>
          </w:tcPr>
          <w:p w14:paraId="7C69F2F6">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276" w:type="dxa"/>
            <w:noWrap w:val="0"/>
            <w:vAlign w:val="center"/>
          </w:tcPr>
          <w:p w14:paraId="480FA7FA">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01" w:type="dxa"/>
            <w:noWrap w:val="0"/>
            <w:vAlign w:val="center"/>
          </w:tcPr>
          <w:p w14:paraId="69E6D975">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9" w:type="dxa"/>
            <w:shd w:val="clear" w:color="auto" w:fill="auto"/>
            <w:noWrap w:val="0"/>
            <w:vAlign w:val="center"/>
          </w:tcPr>
          <w:p w14:paraId="42E017D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49</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362" w:type="dxa"/>
            <w:noWrap w:val="0"/>
            <w:vAlign w:val="center"/>
          </w:tcPr>
          <w:p w14:paraId="081420A3">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0</w:t>
            </w:r>
          </w:p>
        </w:tc>
        <w:tc>
          <w:tcPr>
            <w:tcW w:w="1738" w:type="dxa"/>
            <w:shd w:val="clear" w:color="auto" w:fill="auto"/>
            <w:noWrap w:val="0"/>
            <w:vAlign w:val="center"/>
          </w:tcPr>
          <w:p w14:paraId="5E18A6C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49</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446" w:type="dxa"/>
            <w:shd w:val="clear" w:color="auto" w:fill="auto"/>
            <w:noWrap w:val="0"/>
            <w:vAlign w:val="center"/>
          </w:tcPr>
          <w:p w14:paraId="6DC96CF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49</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14:paraId="769A2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restart"/>
            <w:noWrap w:val="0"/>
            <w:vAlign w:val="center"/>
          </w:tcPr>
          <w:p w14:paraId="5FCF3895">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1566" w:type="dxa"/>
            <w:noWrap w:val="0"/>
            <w:vAlign w:val="center"/>
          </w:tcPr>
          <w:p w14:paraId="3D40B901">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BOD</w:t>
            </w:r>
            <w:r>
              <w:rPr>
                <w:rFonts w:hint="default" w:ascii="Times New Roman" w:hAnsi="Times New Roman" w:eastAsia="宋体" w:cs="Times New Roman"/>
                <w:snapToGrid w:val="0"/>
                <w:color w:val="auto"/>
                <w:kern w:val="21"/>
                <w:sz w:val="21"/>
                <w:szCs w:val="21"/>
                <w:highlight w:val="none"/>
                <w:vertAlign w:val="subscript"/>
                <w:lang w:val="en-US" w:eastAsia="zh-CN"/>
              </w:rPr>
              <w:t>5</w:t>
            </w:r>
          </w:p>
        </w:tc>
        <w:tc>
          <w:tcPr>
            <w:tcW w:w="1552" w:type="dxa"/>
            <w:noWrap w:val="0"/>
            <w:vAlign w:val="center"/>
          </w:tcPr>
          <w:p w14:paraId="5E388527">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1276" w:type="dxa"/>
            <w:noWrap w:val="0"/>
            <w:vAlign w:val="center"/>
          </w:tcPr>
          <w:p w14:paraId="25FF6BF5">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701" w:type="dxa"/>
            <w:noWrap w:val="0"/>
            <w:vAlign w:val="center"/>
          </w:tcPr>
          <w:p w14:paraId="5A2FE79D">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559" w:type="dxa"/>
            <w:noWrap w:val="0"/>
            <w:vAlign w:val="center"/>
          </w:tcPr>
          <w:p w14:paraId="518258AC">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0</w:t>
            </w:r>
          </w:p>
        </w:tc>
        <w:tc>
          <w:tcPr>
            <w:tcW w:w="1362" w:type="dxa"/>
            <w:noWrap w:val="0"/>
            <w:vAlign w:val="center"/>
          </w:tcPr>
          <w:p w14:paraId="15AFE934">
            <w:pPr>
              <w:keepNext w:val="0"/>
              <w:keepLines w:val="0"/>
              <w:pageBreakBefore w:val="0"/>
              <w:widowControl/>
              <w:kinsoku/>
              <w:wordWrap/>
              <w:overflowPunct/>
              <w:topLinePunct w:val="0"/>
              <w:autoSpaceDE/>
              <w:autoSpaceDN/>
              <w:bidi w:val="0"/>
              <w:ind w:firstLine="0" w:firstLineChars="0"/>
              <w:contextualSpacing/>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0</w:t>
            </w:r>
          </w:p>
        </w:tc>
        <w:tc>
          <w:tcPr>
            <w:tcW w:w="1738" w:type="dxa"/>
            <w:noWrap w:val="0"/>
            <w:vAlign w:val="center"/>
          </w:tcPr>
          <w:p w14:paraId="0F1E7900">
            <w:pPr>
              <w:pStyle w:val="72"/>
              <w:keepNext w:val="0"/>
              <w:keepLines w:val="0"/>
              <w:pageBreakBefore w:val="0"/>
              <w:widowControl/>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0</w:t>
            </w:r>
          </w:p>
        </w:tc>
        <w:tc>
          <w:tcPr>
            <w:tcW w:w="1446" w:type="dxa"/>
            <w:noWrap w:val="0"/>
            <w:vAlign w:val="center"/>
          </w:tcPr>
          <w:p w14:paraId="5D4A5B1F">
            <w:pPr>
              <w:pStyle w:val="72"/>
              <w:keepNext w:val="0"/>
              <w:keepLines w:val="0"/>
              <w:pageBreakBefore w:val="0"/>
              <w:widowControl/>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0</w:t>
            </w:r>
          </w:p>
        </w:tc>
      </w:tr>
      <w:tr w14:paraId="7747C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vMerge w:val="continue"/>
            <w:noWrap w:val="0"/>
            <w:vAlign w:val="center"/>
          </w:tcPr>
          <w:p w14:paraId="7AD9C619">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566" w:type="dxa"/>
            <w:noWrap w:val="0"/>
            <w:vAlign w:val="center"/>
          </w:tcPr>
          <w:p w14:paraId="366DCABF">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CODcr</w:t>
            </w:r>
          </w:p>
        </w:tc>
        <w:tc>
          <w:tcPr>
            <w:tcW w:w="1552" w:type="dxa"/>
            <w:noWrap w:val="0"/>
            <w:vAlign w:val="center"/>
          </w:tcPr>
          <w:p w14:paraId="1A87CF1F">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sz w:val="21"/>
                <w:szCs w:val="21"/>
                <w:highlight w:val="none"/>
              </w:rPr>
              <w:t>/</w:t>
            </w:r>
          </w:p>
        </w:tc>
        <w:tc>
          <w:tcPr>
            <w:tcW w:w="1276" w:type="dxa"/>
            <w:noWrap w:val="0"/>
            <w:vAlign w:val="center"/>
          </w:tcPr>
          <w:p w14:paraId="60224434">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701" w:type="dxa"/>
            <w:noWrap w:val="0"/>
            <w:vAlign w:val="center"/>
          </w:tcPr>
          <w:p w14:paraId="6C79B082">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559" w:type="dxa"/>
            <w:noWrap w:val="0"/>
            <w:vAlign w:val="center"/>
          </w:tcPr>
          <w:p w14:paraId="192B7ECA">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0</w:t>
            </w:r>
          </w:p>
        </w:tc>
        <w:tc>
          <w:tcPr>
            <w:tcW w:w="1362" w:type="dxa"/>
            <w:noWrap w:val="0"/>
            <w:vAlign w:val="center"/>
          </w:tcPr>
          <w:p w14:paraId="31A2AC07">
            <w:pPr>
              <w:keepNext w:val="0"/>
              <w:keepLines w:val="0"/>
              <w:pageBreakBefore w:val="0"/>
              <w:widowControl/>
              <w:kinsoku/>
              <w:wordWrap/>
              <w:overflowPunct/>
              <w:topLinePunct w:val="0"/>
              <w:autoSpaceDE/>
              <w:autoSpaceDN/>
              <w:bidi w:val="0"/>
              <w:ind w:firstLine="0" w:firstLineChars="0"/>
              <w:contextualSpacing/>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0</w:t>
            </w:r>
          </w:p>
        </w:tc>
        <w:tc>
          <w:tcPr>
            <w:tcW w:w="1738" w:type="dxa"/>
            <w:noWrap w:val="0"/>
            <w:vAlign w:val="center"/>
          </w:tcPr>
          <w:p w14:paraId="7C025E34">
            <w:pPr>
              <w:pStyle w:val="72"/>
              <w:keepNext w:val="0"/>
              <w:keepLines w:val="0"/>
              <w:pageBreakBefore w:val="0"/>
              <w:widowControl/>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0</w:t>
            </w:r>
          </w:p>
        </w:tc>
        <w:tc>
          <w:tcPr>
            <w:tcW w:w="1446" w:type="dxa"/>
            <w:noWrap w:val="0"/>
            <w:vAlign w:val="center"/>
          </w:tcPr>
          <w:p w14:paraId="6C5CF5F1">
            <w:pPr>
              <w:pStyle w:val="72"/>
              <w:keepNext w:val="0"/>
              <w:keepLines w:val="0"/>
              <w:pageBreakBefore w:val="0"/>
              <w:widowControl/>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0</w:t>
            </w:r>
          </w:p>
        </w:tc>
      </w:tr>
      <w:tr w14:paraId="4ACFD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noWrap w:val="0"/>
            <w:vAlign w:val="center"/>
          </w:tcPr>
          <w:p w14:paraId="21124BB7">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w:t>
            </w:r>
          </w:p>
          <w:p w14:paraId="74C121A4">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固体废物</w:t>
            </w:r>
          </w:p>
        </w:tc>
        <w:tc>
          <w:tcPr>
            <w:tcW w:w="1566" w:type="dxa"/>
            <w:noWrap w:val="0"/>
            <w:vAlign w:val="center"/>
          </w:tcPr>
          <w:p w14:paraId="77CFD4FF">
            <w:pPr>
              <w:keepNext w:val="0"/>
              <w:keepLines w:val="0"/>
              <w:pageBreakBefore w:val="0"/>
              <w:widowControl/>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rPr>
              <w:t>/</w:t>
            </w:r>
          </w:p>
        </w:tc>
        <w:tc>
          <w:tcPr>
            <w:tcW w:w="1552" w:type="dxa"/>
            <w:shd w:val="clear" w:color="auto" w:fill="auto"/>
            <w:noWrap w:val="0"/>
            <w:vAlign w:val="center"/>
          </w:tcPr>
          <w:p w14:paraId="7BC5127B">
            <w:pPr>
              <w:keepNext w:val="0"/>
              <w:keepLines w:val="0"/>
              <w:pageBreakBefore w:val="0"/>
              <w:widowControl/>
              <w:kinsoku/>
              <w:wordWrap/>
              <w:overflowPunct/>
              <w:topLinePunct w:val="0"/>
              <w:autoSpaceDE/>
              <w:autoSpaceDN/>
              <w:bidi w:val="0"/>
              <w:ind w:firstLine="0" w:firstLineChars="0"/>
              <w:jc w:val="center"/>
              <w:textAlignment w:val="auto"/>
              <w:rPr>
                <w:rFonts w:hint="eastAsia"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rPr>
              <w:t>/</w:t>
            </w:r>
          </w:p>
        </w:tc>
        <w:tc>
          <w:tcPr>
            <w:tcW w:w="1276" w:type="dxa"/>
            <w:noWrap w:val="0"/>
            <w:vAlign w:val="center"/>
          </w:tcPr>
          <w:p w14:paraId="15132B42">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01" w:type="dxa"/>
            <w:noWrap w:val="0"/>
            <w:vAlign w:val="center"/>
          </w:tcPr>
          <w:p w14:paraId="762D29D3">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59" w:type="dxa"/>
            <w:noWrap w:val="0"/>
            <w:vAlign w:val="center"/>
          </w:tcPr>
          <w:p w14:paraId="30469878">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rPr>
              <w:t>/</w:t>
            </w:r>
          </w:p>
        </w:tc>
        <w:tc>
          <w:tcPr>
            <w:tcW w:w="1362" w:type="dxa"/>
            <w:noWrap w:val="0"/>
            <w:vAlign w:val="center"/>
          </w:tcPr>
          <w:p w14:paraId="00CD214C">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rPr>
              <w:t>/</w:t>
            </w:r>
          </w:p>
        </w:tc>
        <w:tc>
          <w:tcPr>
            <w:tcW w:w="1738" w:type="dxa"/>
            <w:noWrap w:val="0"/>
            <w:vAlign w:val="center"/>
          </w:tcPr>
          <w:p w14:paraId="0619017E">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rPr>
              <w:t>/</w:t>
            </w:r>
          </w:p>
        </w:tc>
        <w:tc>
          <w:tcPr>
            <w:tcW w:w="1446" w:type="dxa"/>
            <w:noWrap w:val="0"/>
            <w:vAlign w:val="center"/>
          </w:tcPr>
          <w:p w14:paraId="006D5BAB">
            <w:pPr>
              <w:keepNext w:val="0"/>
              <w:keepLines w:val="0"/>
              <w:pageBreakBefore w:val="0"/>
              <w:widowControl/>
              <w:kinsoku/>
              <w:wordWrap/>
              <w:overflowPunct/>
              <w:topLinePunct w:val="0"/>
              <w:autoSpaceDE/>
              <w:autoSpaceDN/>
              <w:bidi w:val="0"/>
              <w:ind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rPr>
              <w:t>/</w:t>
            </w:r>
          </w:p>
        </w:tc>
      </w:tr>
      <w:tr w14:paraId="28EA9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8" w:type="dxa"/>
            <w:noWrap w:val="0"/>
            <w:vAlign w:val="center"/>
          </w:tcPr>
          <w:p w14:paraId="5363847D">
            <w:pPr>
              <w:pStyle w:val="72"/>
              <w:keepNext w:val="0"/>
              <w:keepLines w:val="0"/>
              <w:pageBreakBefore w:val="0"/>
              <w:widowControl/>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1566" w:type="dxa"/>
            <w:noWrap w:val="0"/>
            <w:vAlign w:val="center"/>
          </w:tcPr>
          <w:p w14:paraId="000623B1">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552" w:type="dxa"/>
            <w:noWrap w:val="0"/>
            <w:vAlign w:val="center"/>
          </w:tcPr>
          <w:p w14:paraId="7C6FE7C3">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276" w:type="dxa"/>
            <w:noWrap w:val="0"/>
            <w:vAlign w:val="center"/>
          </w:tcPr>
          <w:p w14:paraId="7B928F62">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701" w:type="dxa"/>
            <w:noWrap w:val="0"/>
            <w:vAlign w:val="center"/>
          </w:tcPr>
          <w:p w14:paraId="2065A289">
            <w:pPr>
              <w:keepNext w:val="0"/>
              <w:keepLines w:val="0"/>
              <w:pageBreakBefore w:val="0"/>
              <w:widowControl/>
              <w:kinsoku/>
              <w:wordWrap/>
              <w:overflowPunct/>
              <w:topLinePunct w:val="0"/>
              <w:autoSpaceDE/>
              <w:autoSpaceDN/>
              <w:bidi w:val="0"/>
              <w:ind w:firstLine="0" w:firstLineChars="0"/>
              <w:contextualSpacing/>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w:t>
            </w:r>
          </w:p>
        </w:tc>
        <w:tc>
          <w:tcPr>
            <w:tcW w:w="1559" w:type="dxa"/>
            <w:noWrap w:val="0"/>
            <w:vAlign w:val="center"/>
          </w:tcPr>
          <w:p w14:paraId="66CE57CA">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rPr>
              <w:t>/</w:t>
            </w:r>
          </w:p>
        </w:tc>
        <w:tc>
          <w:tcPr>
            <w:tcW w:w="1362" w:type="dxa"/>
            <w:noWrap w:val="0"/>
            <w:vAlign w:val="center"/>
          </w:tcPr>
          <w:p w14:paraId="2CA85D37">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rPr>
              <w:t>/</w:t>
            </w:r>
          </w:p>
        </w:tc>
        <w:tc>
          <w:tcPr>
            <w:tcW w:w="1738" w:type="dxa"/>
            <w:noWrap w:val="0"/>
            <w:vAlign w:val="center"/>
          </w:tcPr>
          <w:p w14:paraId="3B873509">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rPr>
              <w:t>/</w:t>
            </w:r>
          </w:p>
        </w:tc>
        <w:tc>
          <w:tcPr>
            <w:tcW w:w="1446" w:type="dxa"/>
            <w:noWrap w:val="0"/>
            <w:vAlign w:val="center"/>
          </w:tcPr>
          <w:p w14:paraId="71003155">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rPr>
              <w:t>/</w:t>
            </w:r>
          </w:p>
        </w:tc>
      </w:tr>
    </w:tbl>
    <w:p w14:paraId="0A4A8D16">
      <w:pPr>
        <w:pStyle w:val="72"/>
        <w:spacing w:before="192" w:beforeLines="80" w:after="24"/>
        <w:ind w:left="0" w:leftChars="0" w:firstLine="0" w:firstLineChars="0"/>
        <w:jc w:val="left"/>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21"/>
          <w:highlight w:val="none"/>
        </w:rPr>
        <w:t>注：</w:t>
      </w:r>
      <w:r>
        <w:rPr>
          <w:rFonts w:hint="default" w:ascii="Times New Roman" w:hAnsi="Times New Roman" w:eastAsia="宋体" w:cs="Times New Roman"/>
          <w:snapToGrid w:val="0"/>
          <w:color w:val="auto"/>
          <w:spacing w:val="-16"/>
          <w:kern w:val="21"/>
          <w:highlight w:val="none"/>
        </w:rPr>
        <w:fldChar w:fldCharType="begin"/>
      </w:r>
      <w:r>
        <w:rPr>
          <w:rFonts w:hint="default" w:ascii="Times New Roman" w:hAnsi="Times New Roman" w:eastAsia="宋体" w:cs="Times New Roman"/>
          <w:snapToGrid w:val="0"/>
          <w:color w:val="auto"/>
          <w:spacing w:val="-16"/>
          <w:kern w:val="21"/>
          <w:highlight w:val="none"/>
        </w:rPr>
        <w:instrText xml:space="preserve"> = 6 \* GB3 \* MERGEFORMAT </w:instrText>
      </w:r>
      <w:r>
        <w:rPr>
          <w:rFonts w:hint="default" w:ascii="Times New Roman" w:hAnsi="Times New Roman" w:eastAsia="宋体" w:cs="Times New Roman"/>
          <w:snapToGrid w:val="0"/>
          <w:color w:val="auto"/>
          <w:spacing w:val="-16"/>
          <w:kern w:val="21"/>
          <w:highlight w:val="none"/>
        </w:rPr>
        <w:fldChar w:fldCharType="separate"/>
      </w:r>
      <w:r>
        <w:rPr>
          <w:rFonts w:hint="default" w:ascii="Times New Roman" w:hAnsi="Times New Roman" w:eastAsia="宋体" w:cs="Times New Roman"/>
          <w:color w:val="auto"/>
          <w:highlight w:val="none"/>
        </w:rPr>
        <w:t>⑥</w:t>
      </w:r>
      <w:r>
        <w:rPr>
          <w:rFonts w:hint="default" w:ascii="Times New Roman" w:hAnsi="Times New Roman" w:eastAsia="宋体" w:cs="Times New Roman"/>
          <w:snapToGrid w:val="0"/>
          <w:color w:val="auto"/>
          <w:spacing w:val="-16"/>
          <w:kern w:val="21"/>
          <w:highlight w:val="none"/>
        </w:rPr>
        <w:fldChar w:fldCharType="end"/>
      </w:r>
      <w:r>
        <w:rPr>
          <w:rFonts w:hint="default" w:ascii="Times New Roman" w:hAnsi="Times New Roman" w:eastAsia="宋体" w:cs="Times New Roman"/>
          <w:snapToGrid w:val="0"/>
          <w:color w:val="auto"/>
          <w:spacing w:val="-1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1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①</w:t>
      </w:r>
      <w:r>
        <w:rPr>
          <w:rFonts w:hint="default" w:ascii="Times New Roman" w:hAnsi="Times New Roman" w:eastAsia="宋体" w:cs="Times New Roman"/>
          <w:snapToGrid w:val="0"/>
          <w:color w:val="auto"/>
          <w:spacing w:val="-6"/>
          <w:kern w:val="21"/>
          <w:highlight w:val="none"/>
        </w:rPr>
        <w:fldChar w:fldCharType="end"/>
      </w:r>
      <w:r>
        <w:rPr>
          <w:rFonts w:hint="default" w:ascii="Times New Roman" w:hAnsi="Times New Roman" w:eastAsia="宋体" w:cs="Times New Roman"/>
          <w:snapToGrid w:val="0"/>
          <w:color w:val="auto"/>
          <w:spacing w:val="-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3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③</w:t>
      </w:r>
      <w:r>
        <w:rPr>
          <w:rFonts w:hint="default" w:ascii="Times New Roman" w:hAnsi="Times New Roman" w:eastAsia="宋体" w:cs="Times New Roman"/>
          <w:snapToGrid w:val="0"/>
          <w:color w:val="auto"/>
          <w:spacing w:val="-6"/>
          <w:kern w:val="21"/>
          <w:highlight w:val="none"/>
        </w:rPr>
        <w:fldChar w:fldCharType="end"/>
      </w:r>
      <w:r>
        <w:rPr>
          <w:rFonts w:hint="default" w:ascii="Times New Roman" w:hAnsi="Times New Roman" w:eastAsia="宋体" w:cs="Times New Roman"/>
          <w:snapToGrid w:val="0"/>
          <w:color w:val="auto"/>
          <w:spacing w:val="-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4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④</w:t>
      </w:r>
      <w:r>
        <w:rPr>
          <w:rFonts w:hint="default" w:ascii="Times New Roman" w:hAnsi="Times New Roman" w:eastAsia="宋体" w:cs="Times New Roman"/>
          <w:snapToGrid w:val="0"/>
          <w:color w:val="auto"/>
          <w:spacing w:val="-6"/>
          <w:kern w:val="21"/>
          <w:highlight w:val="none"/>
        </w:rPr>
        <w:fldChar w:fldCharType="end"/>
      </w:r>
      <w:r>
        <w:rPr>
          <w:rFonts w:hint="default" w:ascii="Times New Roman" w:hAnsi="Times New Roman" w:eastAsia="宋体" w:cs="Times New Roman"/>
          <w:snapToGrid w:val="0"/>
          <w:color w:val="auto"/>
          <w:spacing w:val="-6"/>
          <w:kern w:val="21"/>
          <w:highlight w:val="none"/>
        </w:rPr>
        <w:t>-</w:t>
      </w:r>
      <w:r>
        <w:rPr>
          <w:rFonts w:hint="default" w:ascii="Times New Roman" w:hAnsi="Times New Roman" w:eastAsia="宋体" w:cs="Times New Roman"/>
          <w:snapToGrid w:val="0"/>
          <w:color w:val="auto"/>
          <w:spacing w:val="-16"/>
          <w:kern w:val="21"/>
          <w:highlight w:val="none"/>
        </w:rPr>
        <w:fldChar w:fldCharType="begin"/>
      </w:r>
      <w:r>
        <w:rPr>
          <w:rFonts w:hint="default" w:ascii="Times New Roman" w:hAnsi="Times New Roman" w:eastAsia="宋体" w:cs="Times New Roman"/>
          <w:snapToGrid w:val="0"/>
          <w:color w:val="auto"/>
          <w:spacing w:val="-16"/>
          <w:kern w:val="21"/>
          <w:highlight w:val="none"/>
        </w:rPr>
        <w:instrText xml:space="preserve"> = 5 \* GB3 \* MERGEFORMAT </w:instrText>
      </w:r>
      <w:r>
        <w:rPr>
          <w:rFonts w:hint="default" w:ascii="Times New Roman" w:hAnsi="Times New Roman" w:eastAsia="宋体" w:cs="Times New Roman"/>
          <w:snapToGrid w:val="0"/>
          <w:color w:val="auto"/>
          <w:spacing w:val="-16"/>
          <w:kern w:val="21"/>
          <w:highlight w:val="none"/>
        </w:rPr>
        <w:fldChar w:fldCharType="separate"/>
      </w:r>
      <w:r>
        <w:rPr>
          <w:rFonts w:hint="default" w:ascii="Times New Roman" w:hAnsi="Times New Roman" w:eastAsia="宋体" w:cs="Times New Roman"/>
          <w:color w:val="auto"/>
          <w:highlight w:val="none"/>
        </w:rPr>
        <w:t>⑤</w:t>
      </w:r>
      <w:r>
        <w:rPr>
          <w:rFonts w:hint="default" w:ascii="Times New Roman" w:hAnsi="Times New Roman" w:eastAsia="宋体" w:cs="Times New Roman"/>
          <w:snapToGrid w:val="0"/>
          <w:color w:val="auto"/>
          <w:spacing w:val="-16"/>
          <w:kern w:val="21"/>
          <w:highlight w:val="none"/>
        </w:rPr>
        <w:fldChar w:fldCharType="end"/>
      </w:r>
      <w:r>
        <w:rPr>
          <w:rFonts w:hint="default" w:ascii="Times New Roman" w:hAnsi="Times New Roman" w:eastAsia="宋体" w:cs="Times New Roman"/>
          <w:snapToGrid w:val="0"/>
          <w:color w:val="auto"/>
          <w:spacing w:val="-1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7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⑦</w:t>
      </w:r>
      <w:r>
        <w:rPr>
          <w:rFonts w:hint="default" w:ascii="Times New Roman" w:hAnsi="Times New Roman" w:eastAsia="宋体" w:cs="Times New Roman"/>
          <w:snapToGrid w:val="0"/>
          <w:color w:val="auto"/>
          <w:spacing w:val="-6"/>
          <w:kern w:val="21"/>
          <w:highlight w:val="none"/>
        </w:rPr>
        <w:fldChar w:fldCharType="end"/>
      </w:r>
      <w:r>
        <w:rPr>
          <w:rFonts w:hint="default" w:ascii="Times New Roman" w:hAnsi="Times New Roman" w:eastAsia="宋体" w:cs="Times New Roman"/>
          <w:snapToGrid w:val="0"/>
          <w:color w:val="auto"/>
          <w:spacing w:val="-6"/>
          <w:kern w:val="21"/>
          <w:highlight w:val="none"/>
        </w:rPr>
        <w:t>=</w:t>
      </w:r>
      <w:r>
        <w:rPr>
          <w:rFonts w:hint="default" w:ascii="Times New Roman" w:hAnsi="Times New Roman" w:eastAsia="宋体" w:cs="Times New Roman"/>
          <w:snapToGrid w:val="0"/>
          <w:color w:val="auto"/>
          <w:spacing w:val="-16"/>
          <w:kern w:val="21"/>
          <w:highlight w:val="none"/>
        </w:rPr>
        <w:fldChar w:fldCharType="begin"/>
      </w:r>
      <w:r>
        <w:rPr>
          <w:rFonts w:hint="default" w:ascii="Times New Roman" w:hAnsi="Times New Roman" w:eastAsia="宋体" w:cs="Times New Roman"/>
          <w:snapToGrid w:val="0"/>
          <w:color w:val="auto"/>
          <w:spacing w:val="-16"/>
          <w:kern w:val="21"/>
          <w:highlight w:val="none"/>
        </w:rPr>
        <w:instrText xml:space="preserve"> = 6 \* GB3 \* MERGEFORMAT </w:instrText>
      </w:r>
      <w:r>
        <w:rPr>
          <w:rFonts w:hint="default" w:ascii="Times New Roman" w:hAnsi="Times New Roman" w:eastAsia="宋体" w:cs="Times New Roman"/>
          <w:snapToGrid w:val="0"/>
          <w:color w:val="auto"/>
          <w:spacing w:val="-16"/>
          <w:kern w:val="21"/>
          <w:highlight w:val="none"/>
        </w:rPr>
        <w:fldChar w:fldCharType="separate"/>
      </w:r>
      <w:r>
        <w:rPr>
          <w:rFonts w:hint="default" w:ascii="Times New Roman" w:hAnsi="Times New Roman" w:eastAsia="宋体" w:cs="Times New Roman"/>
          <w:color w:val="auto"/>
          <w:highlight w:val="none"/>
        </w:rPr>
        <w:t>⑥</w:t>
      </w:r>
      <w:r>
        <w:rPr>
          <w:rFonts w:hint="default" w:ascii="Times New Roman" w:hAnsi="Times New Roman" w:eastAsia="宋体" w:cs="Times New Roman"/>
          <w:snapToGrid w:val="0"/>
          <w:color w:val="auto"/>
          <w:spacing w:val="-16"/>
          <w:kern w:val="21"/>
          <w:highlight w:val="none"/>
        </w:rPr>
        <w:fldChar w:fldCharType="end"/>
      </w:r>
      <w:r>
        <w:rPr>
          <w:rFonts w:hint="default" w:ascii="Times New Roman" w:hAnsi="Times New Roman" w:eastAsia="宋体" w:cs="Times New Roman"/>
          <w:snapToGrid w:val="0"/>
          <w:color w:val="auto"/>
          <w:spacing w:val="-16"/>
          <w:kern w:val="21"/>
          <w:highlight w:val="none"/>
        </w:rPr>
        <w:t>-</w:t>
      </w:r>
      <w:r>
        <w:rPr>
          <w:rFonts w:hint="default" w:ascii="Times New Roman" w:hAnsi="Times New Roman" w:eastAsia="宋体" w:cs="Times New Roman"/>
          <w:snapToGrid w:val="0"/>
          <w:color w:val="auto"/>
          <w:spacing w:val="-6"/>
          <w:kern w:val="21"/>
          <w:highlight w:val="none"/>
        </w:rPr>
        <w:fldChar w:fldCharType="begin"/>
      </w:r>
      <w:r>
        <w:rPr>
          <w:rFonts w:hint="default" w:ascii="Times New Roman" w:hAnsi="Times New Roman" w:eastAsia="宋体" w:cs="Times New Roman"/>
          <w:snapToGrid w:val="0"/>
          <w:color w:val="auto"/>
          <w:spacing w:val="-6"/>
          <w:kern w:val="21"/>
          <w:highlight w:val="none"/>
        </w:rPr>
        <w:instrText xml:space="preserve"> = 1 \* GB3 \* MERGEFORMAT </w:instrText>
      </w:r>
      <w:r>
        <w:rPr>
          <w:rFonts w:hint="default" w:ascii="Times New Roman" w:hAnsi="Times New Roman" w:eastAsia="宋体" w:cs="Times New Roman"/>
          <w:snapToGrid w:val="0"/>
          <w:color w:val="auto"/>
          <w:spacing w:val="-6"/>
          <w:kern w:val="21"/>
          <w:highlight w:val="none"/>
        </w:rPr>
        <w:fldChar w:fldCharType="separate"/>
      </w:r>
      <w:r>
        <w:rPr>
          <w:rFonts w:hint="default" w:ascii="Times New Roman" w:hAnsi="Times New Roman" w:eastAsia="宋体" w:cs="Times New Roman"/>
          <w:color w:val="auto"/>
          <w:highlight w:val="none"/>
        </w:rPr>
        <w:t>①</w:t>
      </w:r>
      <w:r>
        <w:rPr>
          <w:rFonts w:hint="default" w:ascii="Times New Roman" w:hAnsi="Times New Roman" w:eastAsia="宋体" w:cs="Times New Roman"/>
          <w:snapToGrid w:val="0"/>
          <w:color w:val="auto"/>
          <w:spacing w:val="-6"/>
          <w:kern w:val="21"/>
          <w:highlight w:val="none"/>
        </w:rPr>
        <w:fldChar w:fldCharType="end"/>
      </w:r>
    </w:p>
    <w:p w14:paraId="19FE3F73">
      <w:pPr>
        <w:pStyle w:val="24"/>
        <w:rPr>
          <w:color w:val="auto"/>
          <w:highlight w:val="none"/>
        </w:rPr>
      </w:pPr>
    </w:p>
    <w:p w14:paraId="207B5146">
      <w:pPr>
        <w:pStyle w:val="41"/>
        <w:adjustRightInd w:val="0"/>
        <w:snapToGrid w:val="0"/>
        <w:spacing w:before="0" w:beforeAutospacing="0" w:after="0" w:afterAutospacing="0" w:line="648" w:lineRule="auto"/>
        <w:rPr>
          <w:rFonts w:ascii="Times New Roman" w:hAnsi="Times New Roman" w:cs="宋体"/>
          <w:color w:val="auto"/>
          <w:szCs w:val="21"/>
        </w:rPr>
      </w:pPr>
    </w:p>
    <w:p w14:paraId="09B53739">
      <w:pPr>
        <w:rPr>
          <w:color w:val="auto"/>
        </w:rPr>
      </w:pPr>
    </w:p>
    <w:p w14:paraId="5D0EF151">
      <w:pPr>
        <w:rPr>
          <w:color w:val="auto"/>
        </w:rPr>
      </w:pPr>
    </w:p>
    <w:p w14:paraId="251A31F6">
      <w:pPr>
        <w:rPr>
          <w:color w:val="auto"/>
        </w:rPr>
      </w:pPr>
    </w:p>
    <w:p w14:paraId="4A96ABCB">
      <w:pPr>
        <w:rPr>
          <w:color w:val="auto"/>
        </w:rPr>
      </w:pPr>
    </w:p>
    <w:sectPr>
      <w:pgSz w:w="16838" w:h="11906" w:orient="landscape"/>
      <w:pgMar w:top="1800" w:right="1440" w:bottom="1800" w:left="144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汉鼎简书宋">
    <w:altName w:val="宋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新宋体-18030">
    <w:altName w:val="微软雅黑"/>
    <w:panose1 w:val="02010609060101010101"/>
    <w:charset w:val="86"/>
    <w:family w:val="auto"/>
    <w:pitch w:val="default"/>
    <w:sig w:usb0="00000000" w:usb1="00000000" w:usb2="000A005E"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華康細圓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67206">
    <w:pPr>
      <w:pStyle w:val="2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994142"/>
    </w:sdtPr>
    <w:sdtContent>
      <w:p w14:paraId="4F0D387D">
        <w:pPr>
          <w:pStyle w:val="27"/>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269AB">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84CF0">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2AFD4">
    <w:pPr>
      <w:pStyle w:val="2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14800">
    <w:pPr>
      <w:pStyle w:val="2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E43E1">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8CFCE0"/>
    <w:multiLevelType w:val="singleLevel"/>
    <w:tmpl w:val="448CFCE0"/>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BiZmZmOGI5ZWQ3ODZiOTcyZDgwM2ZkMTljODJlNWEifQ=="/>
  </w:docVars>
  <w:rsids>
    <w:rsidRoot w:val="00A14947"/>
    <w:rsid w:val="00001CED"/>
    <w:rsid w:val="00001E67"/>
    <w:rsid w:val="00003CD8"/>
    <w:rsid w:val="00014965"/>
    <w:rsid w:val="0001523A"/>
    <w:rsid w:val="00016ECB"/>
    <w:rsid w:val="000269F6"/>
    <w:rsid w:val="00031939"/>
    <w:rsid w:val="00032D25"/>
    <w:rsid w:val="00050643"/>
    <w:rsid w:val="0005219D"/>
    <w:rsid w:val="0005568F"/>
    <w:rsid w:val="00055C54"/>
    <w:rsid w:val="000578C9"/>
    <w:rsid w:val="0006153D"/>
    <w:rsid w:val="00061B1F"/>
    <w:rsid w:val="00062FF7"/>
    <w:rsid w:val="000664DB"/>
    <w:rsid w:val="00067FC0"/>
    <w:rsid w:val="0007035A"/>
    <w:rsid w:val="0007127D"/>
    <w:rsid w:val="00071AE5"/>
    <w:rsid w:val="00071C1C"/>
    <w:rsid w:val="00074783"/>
    <w:rsid w:val="000801E0"/>
    <w:rsid w:val="00081068"/>
    <w:rsid w:val="00082A29"/>
    <w:rsid w:val="0008331D"/>
    <w:rsid w:val="00083C18"/>
    <w:rsid w:val="00084FF8"/>
    <w:rsid w:val="000914ED"/>
    <w:rsid w:val="00092899"/>
    <w:rsid w:val="000A178E"/>
    <w:rsid w:val="000A38AB"/>
    <w:rsid w:val="000A557E"/>
    <w:rsid w:val="000B058F"/>
    <w:rsid w:val="000B15C3"/>
    <w:rsid w:val="000B5223"/>
    <w:rsid w:val="000B693F"/>
    <w:rsid w:val="000C09AC"/>
    <w:rsid w:val="000C0A63"/>
    <w:rsid w:val="000C1D21"/>
    <w:rsid w:val="000C437E"/>
    <w:rsid w:val="000C6846"/>
    <w:rsid w:val="000D39FF"/>
    <w:rsid w:val="000D418A"/>
    <w:rsid w:val="000E0E3B"/>
    <w:rsid w:val="000E5F16"/>
    <w:rsid w:val="000E6536"/>
    <w:rsid w:val="000F4452"/>
    <w:rsid w:val="000F6DA1"/>
    <w:rsid w:val="000F6FB8"/>
    <w:rsid w:val="000F701B"/>
    <w:rsid w:val="000F702B"/>
    <w:rsid w:val="00102C9F"/>
    <w:rsid w:val="001056A0"/>
    <w:rsid w:val="001060DA"/>
    <w:rsid w:val="001072AF"/>
    <w:rsid w:val="00114F6A"/>
    <w:rsid w:val="00115279"/>
    <w:rsid w:val="001152B8"/>
    <w:rsid w:val="00117459"/>
    <w:rsid w:val="0011749A"/>
    <w:rsid w:val="00127A68"/>
    <w:rsid w:val="00136A46"/>
    <w:rsid w:val="00140B13"/>
    <w:rsid w:val="00141B68"/>
    <w:rsid w:val="001421B3"/>
    <w:rsid w:val="001466DA"/>
    <w:rsid w:val="00154DE1"/>
    <w:rsid w:val="00155B40"/>
    <w:rsid w:val="00157435"/>
    <w:rsid w:val="00163EEA"/>
    <w:rsid w:val="00167A07"/>
    <w:rsid w:val="0017046A"/>
    <w:rsid w:val="001704A3"/>
    <w:rsid w:val="001737E7"/>
    <w:rsid w:val="00173E98"/>
    <w:rsid w:val="0017504D"/>
    <w:rsid w:val="00177422"/>
    <w:rsid w:val="00184F10"/>
    <w:rsid w:val="00185546"/>
    <w:rsid w:val="0018740B"/>
    <w:rsid w:val="001913FF"/>
    <w:rsid w:val="0019146B"/>
    <w:rsid w:val="00192345"/>
    <w:rsid w:val="00194398"/>
    <w:rsid w:val="001A7D2A"/>
    <w:rsid w:val="001B574C"/>
    <w:rsid w:val="001C0538"/>
    <w:rsid w:val="001C0AF9"/>
    <w:rsid w:val="001C155A"/>
    <w:rsid w:val="001C48C0"/>
    <w:rsid w:val="001D25CE"/>
    <w:rsid w:val="001D6726"/>
    <w:rsid w:val="001D78DF"/>
    <w:rsid w:val="001E2FCF"/>
    <w:rsid w:val="001F202C"/>
    <w:rsid w:val="001F3347"/>
    <w:rsid w:val="001F4440"/>
    <w:rsid w:val="001F69E4"/>
    <w:rsid w:val="002012D2"/>
    <w:rsid w:val="00206A65"/>
    <w:rsid w:val="002122AB"/>
    <w:rsid w:val="00212D31"/>
    <w:rsid w:val="002130C7"/>
    <w:rsid w:val="002218A8"/>
    <w:rsid w:val="0022306D"/>
    <w:rsid w:val="00226574"/>
    <w:rsid w:val="002268AA"/>
    <w:rsid w:val="002278EC"/>
    <w:rsid w:val="002357C7"/>
    <w:rsid w:val="002367C4"/>
    <w:rsid w:val="0025288F"/>
    <w:rsid w:val="00254E26"/>
    <w:rsid w:val="0025679E"/>
    <w:rsid w:val="00260C68"/>
    <w:rsid w:val="00261C57"/>
    <w:rsid w:val="002648B0"/>
    <w:rsid w:val="002653E0"/>
    <w:rsid w:val="00270F3B"/>
    <w:rsid w:val="00275271"/>
    <w:rsid w:val="0027535E"/>
    <w:rsid w:val="00275AA6"/>
    <w:rsid w:val="002807D5"/>
    <w:rsid w:val="00282CCD"/>
    <w:rsid w:val="00282E1E"/>
    <w:rsid w:val="002A168C"/>
    <w:rsid w:val="002A1F1F"/>
    <w:rsid w:val="002A2C48"/>
    <w:rsid w:val="002A3EED"/>
    <w:rsid w:val="002A4A39"/>
    <w:rsid w:val="002A4BB9"/>
    <w:rsid w:val="002A5A17"/>
    <w:rsid w:val="002A6425"/>
    <w:rsid w:val="002B31FE"/>
    <w:rsid w:val="002B49E2"/>
    <w:rsid w:val="002B53D8"/>
    <w:rsid w:val="002B7B00"/>
    <w:rsid w:val="002B7C44"/>
    <w:rsid w:val="002C1388"/>
    <w:rsid w:val="002C3862"/>
    <w:rsid w:val="002C3C6A"/>
    <w:rsid w:val="002C5837"/>
    <w:rsid w:val="002D40BF"/>
    <w:rsid w:val="002D42DB"/>
    <w:rsid w:val="002E1F3A"/>
    <w:rsid w:val="002E298A"/>
    <w:rsid w:val="002E3FF3"/>
    <w:rsid w:val="002F02A4"/>
    <w:rsid w:val="002F272B"/>
    <w:rsid w:val="002F458E"/>
    <w:rsid w:val="002F4EE8"/>
    <w:rsid w:val="002F6F05"/>
    <w:rsid w:val="002F7C6D"/>
    <w:rsid w:val="003027E4"/>
    <w:rsid w:val="0030332C"/>
    <w:rsid w:val="00306998"/>
    <w:rsid w:val="00311F32"/>
    <w:rsid w:val="00312296"/>
    <w:rsid w:val="0031340E"/>
    <w:rsid w:val="00316464"/>
    <w:rsid w:val="00316F66"/>
    <w:rsid w:val="0032073A"/>
    <w:rsid w:val="00321D8E"/>
    <w:rsid w:val="003335B1"/>
    <w:rsid w:val="00334996"/>
    <w:rsid w:val="00336969"/>
    <w:rsid w:val="003369C7"/>
    <w:rsid w:val="00336C52"/>
    <w:rsid w:val="00336F6C"/>
    <w:rsid w:val="00337C45"/>
    <w:rsid w:val="00341B3E"/>
    <w:rsid w:val="00341B42"/>
    <w:rsid w:val="00345154"/>
    <w:rsid w:val="0034560E"/>
    <w:rsid w:val="00346159"/>
    <w:rsid w:val="00347477"/>
    <w:rsid w:val="00350523"/>
    <w:rsid w:val="003511D3"/>
    <w:rsid w:val="00352975"/>
    <w:rsid w:val="00352C46"/>
    <w:rsid w:val="00356868"/>
    <w:rsid w:val="0036485B"/>
    <w:rsid w:val="00365F96"/>
    <w:rsid w:val="00373B0D"/>
    <w:rsid w:val="00376988"/>
    <w:rsid w:val="00376AB3"/>
    <w:rsid w:val="00376E90"/>
    <w:rsid w:val="00381A72"/>
    <w:rsid w:val="00384A97"/>
    <w:rsid w:val="00385825"/>
    <w:rsid w:val="00390CA5"/>
    <w:rsid w:val="0039489D"/>
    <w:rsid w:val="003A1948"/>
    <w:rsid w:val="003A72F0"/>
    <w:rsid w:val="003B0554"/>
    <w:rsid w:val="003B152A"/>
    <w:rsid w:val="003B36F4"/>
    <w:rsid w:val="003B3C21"/>
    <w:rsid w:val="003B545B"/>
    <w:rsid w:val="003B6DF1"/>
    <w:rsid w:val="003B76DD"/>
    <w:rsid w:val="003C4886"/>
    <w:rsid w:val="003D0471"/>
    <w:rsid w:val="003D3EE9"/>
    <w:rsid w:val="003E7681"/>
    <w:rsid w:val="003F0809"/>
    <w:rsid w:val="003F611C"/>
    <w:rsid w:val="003F755C"/>
    <w:rsid w:val="00406F01"/>
    <w:rsid w:val="0041196D"/>
    <w:rsid w:val="00411B36"/>
    <w:rsid w:val="004121D7"/>
    <w:rsid w:val="004160B1"/>
    <w:rsid w:val="00416D50"/>
    <w:rsid w:val="00417772"/>
    <w:rsid w:val="00420E6A"/>
    <w:rsid w:val="004257B9"/>
    <w:rsid w:val="004334FD"/>
    <w:rsid w:val="00433CA9"/>
    <w:rsid w:val="00434B26"/>
    <w:rsid w:val="0043521D"/>
    <w:rsid w:val="00435D5A"/>
    <w:rsid w:val="00436367"/>
    <w:rsid w:val="00441A89"/>
    <w:rsid w:val="00442024"/>
    <w:rsid w:val="0044254C"/>
    <w:rsid w:val="00443F6A"/>
    <w:rsid w:val="004451BC"/>
    <w:rsid w:val="00450A17"/>
    <w:rsid w:val="00451FD3"/>
    <w:rsid w:val="004555FE"/>
    <w:rsid w:val="00455AF5"/>
    <w:rsid w:val="00455C98"/>
    <w:rsid w:val="00460942"/>
    <w:rsid w:val="00466321"/>
    <w:rsid w:val="00466A45"/>
    <w:rsid w:val="004672AF"/>
    <w:rsid w:val="004727B0"/>
    <w:rsid w:val="00472B5E"/>
    <w:rsid w:val="0047473E"/>
    <w:rsid w:val="00480247"/>
    <w:rsid w:val="0048081D"/>
    <w:rsid w:val="0048117E"/>
    <w:rsid w:val="00484CBA"/>
    <w:rsid w:val="0048545E"/>
    <w:rsid w:val="004855F6"/>
    <w:rsid w:val="00486F0C"/>
    <w:rsid w:val="0049232D"/>
    <w:rsid w:val="00494670"/>
    <w:rsid w:val="00496AB6"/>
    <w:rsid w:val="004A0EB4"/>
    <w:rsid w:val="004A18B3"/>
    <w:rsid w:val="004A3823"/>
    <w:rsid w:val="004A4FA1"/>
    <w:rsid w:val="004A59BB"/>
    <w:rsid w:val="004B2ADC"/>
    <w:rsid w:val="004B43A3"/>
    <w:rsid w:val="004B4C49"/>
    <w:rsid w:val="004B58A5"/>
    <w:rsid w:val="004B63D9"/>
    <w:rsid w:val="004C0882"/>
    <w:rsid w:val="004C45BE"/>
    <w:rsid w:val="004C55BE"/>
    <w:rsid w:val="004D1CDF"/>
    <w:rsid w:val="004E0CF6"/>
    <w:rsid w:val="004E4196"/>
    <w:rsid w:val="004E5B30"/>
    <w:rsid w:val="004F0779"/>
    <w:rsid w:val="004F1230"/>
    <w:rsid w:val="004F173F"/>
    <w:rsid w:val="004F177C"/>
    <w:rsid w:val="004F2DCE"/>
    <w:rsid w:val="004F3A3C"/>
    <w:rsid w:val="004F498F"/>
    <w:rsid w:val="005010CA"/>
    <w:rsid w:val="005039CB"/>
    <w:rsid w:val="00503A40"/>
    <w:rsid w:val="00503D01"/>
    <w:rsid w:val="00504DEA"/>
    <w:rsid w:val="0050558F"/>
    <w:rsid w:val="005057E0"/>
    <w:rsid w:val="00506286"/>
    <w:rsid w:val="00510813"/>
    <w:rsid w:val="00511DE0"/>
    <w:rsid w:val="00517F02"/>
    <w:rsid w:val="0052048E"/>
    <w:rsid w:val="00524547"/>
    <w:rsid w:val="005258A2"/>
    <w:rsid w:val="00530F7C"/>
    <w:rsid w:val="00531DC2"/>
    <w:rsid w:val="00532412"/>
    <w:rsid w:val="005338DB"/>
    <w:rsid w:val="00534567"/>
    <w:rsid w:val="00534F43"/>
    <w:rsid w:val="00535A84"/>
    <w:rsid w:val="00536889"/>
    <w:rsid w:val="0054036D"/>
    <w:rsid w:val="00542E07"/>
    <w:rsid w:val="00554A7B"/>
    <w:rsid w:val="0055572C"/>
    <w:rsid w:val="0056064F"/>
    <w:rsid w:val="00561375"/>
    <w:rsid w:val="00561B84"/>
    <w:rsid w:val="005630A3"/>
    <w:rsid w:val="00566E43"/>
    <w:rsid w:val="00570A3B"/>
    <w:rsid w:val="00571D98"/>
    <w:rsid w:val="005720AE"/>
    <w:rsid w:val="00577381"/>
    <w:rsid w:val="0058030D"/>
    <w:rsid w:val="00582045"/>
    <w:rsid w:val="00590AE3"/>
    <w:rsid w:val="005918F1"/>
    <w:rsid w:val="00592666"/>
    <w:rsid w:val="00597A0F"/>
    <w:rsid w:val="005A06B7"/>
    <w:rsid w:val="005A1759"/>
    <w:rsid w:val="005A789C"/>
    <w:rsid w:val="005A792D"/>
    <w:rsid w:val="005B1410"/>
    <w:rsid w:val="005B1B9A"/>
    <w:rsid w:val="005B5B82"/>
    <w:rsid w:val="005C0451"/>
    <w:rsid w:val="005C149A"/>
    <w:rsid w:val="005D0369"/>
    <w:rsid w:val="005D53FE"/>
    <w:rsid w:val="005D7886"/>
    <w:rsid w:val="005D7A0F"/>
    <w:rsid w:val="005E0438"/>
    <w:rsid w:val="005E1791"/>
    <w:rsid w:val="005E1CA6"/>
    <w:rsid w:val="005E2484"/>
    <w:rsid w:val="005E2749"/>
    <w:rsid w:val="005E2CE6"/>
    <w:rsid w:val="005E6324"/>
    <w:rsid w:val="005E77BB"/>
    <w:rsid w:val="005E7ED0"/>
    <w:rsid w:val="005F228B"/>
    <w:rsid w:val="005F29CD"/>
    <w:rsid w:val="005F43B6"/>
    <w:rsid w:val="005F4DFB"/>
    <w:rsid w:val="005F6CC0"/>
    <w:rsid w:val="00603E5B"/>
    <w:rsid w:val="006042A1"/>
    <w:rsid w:val="00604BC8"/>
    <w:rsid w:val="00605CC2"/>
    <w:rsid w:val="0061560A"/>
    <w:rsid w:val="00615B4C"/>
    <w:rsid w:val="00615B5D"/>
    <w:rsid w:val="0062096D"/>
    <w:rsid w:val="00621351"/>
    <w:rsid w:val="0062146F"/>
    <w:rsid w:val="006244F8"/>
    <w:rsid w:val="00627795"/>
    <w:rsid w:val="006343AF"/>
    <w:rsid w:val="0063634A"/>
    <w:rsid w:val="0064250D"/>
    <w:rsid w:val="0064529F"/>
    <w:rsid w:val="0065153B"/>
    <w:rsid w:val="006535EB"/>
    <w:rsid w:val="0065458E"/>
    <w:rsid w:val="00657EAD"/>
    <w:rsid w:val="00663016"/>
    <w:rsid w:val="0067242F"/>
    <w:rsid w:val="00674605"/>
    <w:rsid w:val="006748B8"/>
    <w:rsid w:val="00680248"/>
    <w:rsid w:val="0068158A"/>
    <w:rsid w:val="00682D11"/>
    <w:rsid w:val="0068535B"/>
    <w:rsid w:val="0068550B"/>
    <w:rsid w:val="00685E64"/>
    <w:rsid w:val="0068736E"/>
    <w:rsid w:val="0069290A"/>
    <w:rsid w:val="00697032"/>
    <w:rsid w:val="006975AC"/>
    <w:rsid w:val="006A15FB"/>
    <w:rsid w:val="006A1C13"/>
    <w:rsid w:val="006A72BF"/>
    <w:rsid w:val="006B109B"/>
    <w:rsid w:val="006B2907"/>
    <w:rsid w:val="006B332A"/>
    <w:rsid w:val="006B33BD"/>
    <w:rsid w:val="006C3F75"/>
    <w:rsid w:val="006C78F2"/>
    <w:rsid w:val="006D170E"/>
    <w:rsid w:val="006E06AF"/>
    <w:rsid w:val="006F1789"/>
    <w:rsid w:val="00704BE6"/>
    <w:rsid w:val="00706C5D"/>
    <w:rsid w:val="00707B2B"/>
    <w:rsid w:val="007118E6"/>
    <w:rsid w:val="007163E5"/>
    <w:rsid w:val="007225C9"/>
    <w:rsid w:val="0072684E"/>
    <w:rsid w:val="00735CD7"/>
    <w:rsid w:val="00754034"/>
    <w:rsid w:val="00754BF1"/>
    <w:rsid w:val="00755A30"/>
    <w:rsid w:val="00755E1C"/>
    <w:rsid w:val="00756556"/>
    <w:rsid w:val="0076132B"/>
    <w:rsid w:val="00761786"/>
    <w:rsid w:val="007623AE"/>
    <w:rsid w:val="00762750"/>
    <w:rsid w:val="00764A42"/>
    <w:rsid w:val="0077064E"/>
    <w:rsid w:val="00770B19"/>
    <w:rsid w:val="00774FA0"/>
    <w:rsid w:val="00775CFE"/>
    <w:rsid w:val="00776620"/>
    <w:rsid w:val="00777B6D"/>
    <w:rsid w:val="00782340"/>
    <w:rsid w:val="00784855"/>
    <w:rsid w:val="00784F39"/>
    <w:rsid w:val="0078545C"/>
    <w:rsid w:val="007906C4"/>
    <w:rsid w:val="00790CAA"/>
    <w:rsid w:val="00793E3C"/>
    <w:rsid w:val="007940EA"/>
    <w:rsid w:val="007963D7"/>
    <w:rsid w:val="007967E8"/>
    <w:rsid w:val="007A63F2"/>
    <w:rsid w:val="007A6BF9"/>
    <w:rsid w:val="007B5678"/>
    <w:rsid w:val="007B68DE"/>
    <w:rsid w:val="007C1857"/>
    <w:rsid w:val="007C514F"/>
    <w:rsid w:val="007C7F9F"/>
    <w:rsid w:val="007D0783"/>
    <w:rsid w:val="007D0F95"/>
    <w:rsid w:val="007D4853"/>
    <w:rsid w:val="007D4BFB"/>
    <w:rsid w:val="007D7ECB"/>
    <w:rsid w:val="007E25A1"/>
    <w:rsid w:val="007E30CF"/>
    <w:rsid w:val="007E4BD2"/>
    <w:rsid w:val="007E7145"/>
    <w:rsid w:val="007E797E"/>
    <w:rsid w:val="007F3916"/>
    <w:rsid w:val="007F48AB"/>
    <w:rsid w:val="007F6DB0"/>
    <w:rsid w:val="00801179"/>
    <w:rsid w:val="00802479"/>
    <w:rsid w:val="00802975"/>
    <w:rsid w:val="00805372"/>
    <w:rsid w:val="00805B7B"/>
    <w:rsid w:val="008063DC"/>
    <w:rsid w:val="0081293E"/>
    <w:rsid w:val="00814EBA"/>
    <w:rsid w:val="00814FFB"/>
    <w:rsid w:val="00820568"/>
    <w:rsid w:val="0082759E"/>
    <w:rsid w:val="00831A80"/>
    <w:rsid w:val="008332C8"/>
    <w:rsid w:val="00833743"/>
    <w:rsid w:val="008340A4"/>
    <w:rsid w:val="00836799"/>
    <w:rsid w:val="00837028"/>
    <w:rsid w:val="00837131"/>
    <w:rsid w:val="00845F57"/>
    <w:rsid w:val="008521E0"/>
    <w:rsid w:val="008525B0"/>
    <w:rsid w:val="00860DAF"/>
    <w:rsid w:val="0086497B"/>
    <w:rsid w:val="00867CBC"/>
    <w:rsid w:val="00872A5F"/>
    <w:rsid w:val="00873E98"/>
    <w:rsid w:val="00874D8B"/>
    <w:rsid w:val="00876C30"/>
    <w:rsid w:val="00877017"/>
    <w:rsid w:val="008773C0"/>
    <w:rsid w:val="00877F9E"/>
    <w:rsid w:val="00880364"/>
    <w:rsid w:val="008843DC"/>
    <w:rsid w:val="008868F1"/>
    <w:rsid w:val="00886C4C"/>
    <w:rsid w:val="0088711C"/>
    <w:rsid w:val="008923E7"/>
    <w:rsid w:val="00892CFD"/>
    <w:rsid w:val="00892ECF"/>
    <w:rsid w:val="00892F06"/>
    <w:rsid w:val="00894285"/>
    <w:rsid w:val="008A40AE"/>
    <w:rsid w:val="008A4E19"/>
    <w:rsid w:val="008A5F22"/>
    <w:rsid w:val="008A67C5"/>
    <w:rsid w:val="008B22E1"/>
    <w:rsid w:val="008B3C78"/>
    <w:rsid w:val="008B406F"/>
    <w:rsid w:val="008B4AE9"/>
    <w:rsid w:val="008B77B0"/>
    <w:rsid w:val="008C2177"/>
    <w:rsid w:val="008C30AD"/>
    <w:rsid w:val="008C7446"/>
    <w:rsid w:val="008D068E"/>
    <w:rsid w:val="008D0D0A"/>
    <w:rsid w:val="008D0F7A"/>
    <w:rsid w:val="008D3839"/>
    <w:rsid w:val="008D631A"/>
    <w:rsid w:val="008D63BE"/>
    <w:rsid w:val="008E0CFF"/>
    <w:rsid w:val="008E3C92"/>
    <w:rsid w:val="008E5D6B"/>
    <w:rsid w:val="008E689B"/>
    <w:rsid w:val="008E76F0"/>
    <w:rsid w:val="008F0134"/>
    <w:rsid w:val="008F15FE"/>
    <w:rsid w:val="008F2A94"/>
    <w:rsid w:val="008F3B1E"/>
    <w:rsid w:val="008F5187"/>
    <w:rsid w:val="008F5591"/>
    <w:rsid w:val="008F709C"/>
    <w:rsid w:val="0090312B"/>
    <w:rsid w:val="00904656"/>
    <w:rsid w:val="00904961"/>
    <w:rsid w:val="0091736D"/>
    <w:rsid w:val="0092750C"/>
    <w:rsid w:val="00931001"/>
    <w:rsid w:val="00931863"/>
    <w:rsid w:val="00933307"/>
    <w:rsid w:val="00933524"/>
    <w:rsid w:val="009339EC"/>
    <w:rsid w:val="00936FDF"/>
    <w:rsid w:val="00941AB8"/>
    <w:rsid w:val="0094278D"/>
    <w:rsid w:val="0094564A"/>
    <w:rsid w:val="009502AB"/>
    <w:rsid w:val="0095308A"/>
    <w:rsid w:val="00955AEE"/>
    <w:rsid w:val="00955D0D"/>
    <w:rsid w:val="00956F14"/>
    <w:rsid w:val="00960B1A"/>
    <w:rsid w:val="009620FD"/>
    <w:rsid w:val="0096247A"/>
    <w:rsid w:val="00965F4B"/>
    <w:rsid w:val="009708EE"/>
    <w:rsid w:val="00970F8A"/>
    <w:rsid w:val="00971FB5"/>
    <w:rsid w:val="00972C44"/>
    <w:rsid w:val="00972D2A"/>
    <w:rsid w:val="00975CC5"/>
    <w:rsid w:val="00976328"/>
    <w:rsid w:val="00976B4E"/>
    <w:rsid w:val="00982001"/>
    <w:rsid w:val="00984458"/>
    <w:rsid w:val="00985283"/>
    <w:rsid w:val="00987322"/>
    <w:rsid w:val="009A0F3B"/>
    <w:rsid w:val="009A23EA"/>
    <w:rsid w:val="009A72C7"/>
    <w:rsid w:val="009B0897"/>
    <w:rsid w:val="009B21A9"/>
    <w:rsid w:val="009B44E4"/>
    <w:rsid w:val="009C7D8E"/>
    <w:rsid w:val="009D0198"/>
    <w:rsid w:val="009D0852"/>
    <w:rsid w:val="009D1FBF"/>
    <w:rsid w:val="009E04DA"/>
    <w:rsid w:val="009E386A"/>
    <w:rsid w:val="009E399C"/>
    <w:rsid w:val="009E43C1"/>
    <w:rsid w:val="009E7E95"/>
    <w:rsid w:val="009F116F"/>
    <w:rsid w:val="009F329E"/>
    <w:rsid w:val="009F7ED3"/>
    <w:rsid w:val="00A010A8"/>
    <w:rsid w:val="00A018C3"/>
    <w:rsid w:val="00A03607"/>
    <w:rsid w:val="00A047FF"/>
    <w:rsid w:val="00A04FEF"/>
    <w:rsid w:val="00A10C36"/>
    <w:rsid w:val="00A118F0"/>
    <w:rsid w:val="00A122CD"/>
    <w:rsid w:val="00A12A32"/>
    <w:rsid w:val="00A14248"/>
    <w:rsid w:val="00A14947"/>
    <w:rsid w:val="00A156FA"/>
    <w:rsid w:val="00A214CC"/>
    <w:rsid w:val="00A23DC5"/>
    <w:rsid w:val="00A25564"/>
    <w:rsid w:val="00A277BB"/>
    <w:rsid w:val="00A34028"/>
    <w:rsid w:val="00A35568"/>
    <w:rsid w:val="00A358A1"/>
    <w:rsid w:val="00A35B1E"/>
    <w:rsid w:val="00A37056"/>
    <w:rsid w:val="00A4273F"/>
    <w:rsid w:val="00A4358F"/>
    <w:rsid w:val="00A46F67"/>
    <w:rsid w:val="00A506EF"/>
    <w:rsid w:val="00A54AA1"/>
    <w:rsid w:val="00A568FF"/>
    <w:rsid w:val="00A56BBF"/>
    <w:rsid w:val="00A61496"/>
    <w:rsid w:val="00A61833"/>
    <w:rsid w:val="00A61C94"/>
    <w:rsid w:val="00A624C6"/>
    <w:rsid w:val="00A63CEC"/>
    <w:rsid w:val="00A7031E"/>
    <w:rsid w:val="00A728B1"/>
    <w:rsid w:val="00A731AD"/>
    <w:rsid w:val="00A74E5C"/>
    <w:rsid w:val="00A763DE"/>
    <w:rsid w:val="00A76A7D"/>
    <w:rsid w:val="00A779A4"/>
    <w:rsid w:val="00A803D6"/>
    <w:rsid w:val="00A81282"/>
    <w:rsid w:val="00A835C7"/>
    <w:rsid w:val="00A8713F"/>
    <w:rsid w:val="00A91167"/>
    <w:rsid w:val="00A9171C"/>
    <w:rsid w:val="00A92FFD"/>
    <w:rsid w:val="00A95975"/>
    <w:rsid w:val="00A9708D"/>
    <w:rsid w:val="00AA22CC"/>
    <w:rsid w:val="00AA2C17"/>
    <w:rsid w:val="00AA4172"/>
    <w:rsid w:val="00AB1914"/>
    <w:rsid w:val="00AB5330"/>
    <w:rsid w:val="00AB7747"/>
    <w:rsid w:val="00AC2532"/>
    <w:rsid w:val="00AC6E74"/>
    <w:rsid w:val="00AC72E4"/>
    <w:rsid w:val="00AC7D5D"/>
    <w:rsid w:val="00AD1507"/>
    <w:rsid w:val="00AD5A70"/>
    <w:rsid w:val="00AD738B"/>
    <w:rsid w:val="00AE1BF4"/>
    <w:rsid w:val="00AE5D97"/>
    <w:rsid w:val="00AE6794"/>
    <w:rsid w:val="00AF1931"/>
    <w:rsid w:val="00AF4633"/>
    <w:rsid w:val="00AF54EC"/>
    <w:rsid w:val="00B00BFE"/>
    <w:rsid w:val="00B01110"/>
    <w:rsid w:val="00B02262"/>
    <w:rsid w:val="00B03CEC"/>
    <w:rsid w:val="00B05B0C"/>
    <w:rsid w:val="00B07E77"/>
    <w:rsid w:val="00B1209F"/>
    <w:rsid w:val="00B12AD0"/>
    <w:rsid w:val="00B139F2"/>
    <w:rsid w:val="00B1503E"/>
    <w:rsid w:val="00B22757"/>
    <w:rsid w:val="00B22B6A"/>
    <w:rsid w:val="00B24F30"/>
    <w:rsid w:val="00B31ABF"/>
    <w:rsid w:val="00B335AE"/>
    <w:rsid w:val="00B33B6A"/>
    <w:rsid w:val="00B37906"/>
    <w:rsid w:val="00B37CE1"/>
    <w:rsid w:val="00B40ACF"/>
    <w:rsid w:val="00B44C6B"/>
    <w:rsid w:val="00B46BAA"/>
    <w:rsid w:val="00B46C2A"/>
    <w:rsid w:val="00B50B5F"/>
    <w:rsid w:val="00B54128"/>
    <w:rsid w:val="00B55826"/>
    <w:rsid w:val="00B60426"/>
    <w:rsid w:val="00B622DD"/>
    <w:rsid w:val="00B63522"/>
    <w:rsid w:val="00B67CEC"/>
    <w:rsid w:val="00B742F9"/>
    <w:rsid w:val="00B74F22"/>
    <w:rsid w:val="00B75D07"/>
    <w:rsid w:val="00B76F1D"/>
    <w:rsid w:val="00B8108C"/>
    <w:rsid w:val="00B92A19"/>
    <w:rsid w:val="00B938AF"/>
    <w:rsid w:val="00B94CC3"/>
    <w:rsid w:val="00B95087"/>
    <w:rsid w:val="00B9544C"/>
    <w:rsid w:val="00BA00CA"/>
    <w:rsid w:val="00BA20A1"/>
    <w:rsid w:val="00BA29E9"/>
    <w:rsid w:val="00BB1B9E"/>
    <w:rsid w:val="00BB3618"/>
    <w:rsid w:val="00BB4B73"/>
    <w:rsid w:val="00BB7618"/>
    <w:rsid w:val="00BC0C9E"/>
    <w:rsid w:val="00BC32DC"/>
    <w:rsid w:val="00BC5420"/>
    <w:rsid w:val="00BD1B51"/>
    <w:rsid w:val="00BD47F6"/>
    <w:rsid w:val="00BE312D"/>
    <w:rsid w:val="00BE3FCA"/>
    <w:rsid w:val="00BE4BCD"/>
    <w:rsid w:val="00BE6C67"/>
    <w:rsid w:val="00BE777A"/>
    <w:rsid w:val="00BF0950"/>
    <w:rsid w:val="00BF5798"/>
    <w:rsid w:val="00C000AA"/>
    <w:rsid w:val="00C05719"/>
    <w:rsid w:val="00C10578"/>
    <w:rsid w:val="00C10CF4"/>
    <w:rsid w:val="00C125ED"/>
    <w:rsid w:val="00C17D62"/>
    <w:rsid w:val="00C20B95"/>
    <w:rsid w:val="00C21FDC"/>
    <w:rsid w:val="00C22B9D"/>
    <w:rsid w:val="00C23BAB"/>
    <w:rsid w:val="00C24EE7"/>
    <w:rsid w:val="00C2596A"/>
    <w:rsid w:val="00C271BE"/>
    <w:rsid w:val="00C27425"/>
    <w:rsid w:val="00C328FE"/>
    <w:rsid w:val="00C33A05"/>
    <w:rsid w:val="00C3783A"/>
    <w:rsid w:val="00C42500"/>
    <w:rsid w:val="00C4326C"/>
    <w:rsid w:val="00C438A4"/>
    <w:rsid w:val="00C4409D"/>
    <w:rsid w:val="00C455BE"/>
    <w:rsid w:val="00C51E5F"/>
    <w:rsid w:val="00C52F8F"/>
    <w:rsid w:val="00C54C6B"/>
    <w:rsid w:val="00C5774F"/>
    <w:rsid w:val="00C577FE"/>
    <w:rsid w:val="00C61E4B"/>
    <w:rsid w:val="00C62E3A"/>
    <w:rsid w:val="00C64503"/>
    <w:rsid w:val="00C64A1F"/>
    <w:rsid w:val="00C64BFF"/>
    <w:rsid w:val="00C763C9"/>
    <w:rsid w:val="00C77787"/>
    <w:rsid w:val="00C80057"/>
    <w:rsid w:val="00C82530"/>
    <w:rsid w:val="00C82C79"/>
    <w:rsid w:val="00C83E5A"/>
    <w:rsid w:val="00C84753"/>
    <w:rsid w:val="00C91611"/>
    <w:rsid w:val="00C92798"/>
    <w:rsid w:val="00CA3585"/>
    <w:rsid w:val="00CA3D5A"/>
    <w:rsid w:val="00CA4C7C"/>
    <w:rsid w:val="00CB0183"/>
    <w:rsid w:val="00CB1EA3"/>
    <w:rsid w:val="00CB552C"/>
    <w:rsid w:val="00CB66DA"/>
    <w:rsid w:val="00CB6A9E"/>
    <w:rsid w:val="00CC6181"/>
    <w:rsid w:val="00CD2BCD"/>
    <w:rsid w:val="00CD36AA"/>
    <w:rsid w:val="00CD3791"/>
    <w:rsid w:val="00CD65B0"/>
    <w:rsid w:val="00CE020D"/>
    <w:rsid w:val="00CE02CD"/>
    <w:rsid w:val="00CE10E9"/>
    <w:rsid w:val="00CF7E67"/>
    <w:rsid w:val="00D0072E"/>
    <w:rsid w:val="00D1339B"/>
    <w:rsid w:val="00D15727"/>
    <w:rsid w:val="00D16332"/>
    <w:rsid w:val="00D163B5"/>
    <w:rsid w:val="00D24972"/>
    <w:rsid w:val="00D2515E"/>
    <w:rsid w:val="00D308ED"/>
    <w:rsid w:val="00D3096D"/>
    <w:rsid w:val="00D30CFF"/>
    <w:rsid w:val="00D33ACE"/>
    <w:rsid w:val="00D51653"/>
    <w:rsid w:val="00D56178"/>
    <w:rsid w:val="00D56CF0"/>
    <w:rsid w:val="00D56F5C"/>
    <w:rsid w:val="00D704B1"/>
    <w:rsid w:val="00D70B63"/>
    <w:rsid w:val="00D72B92"/>
    <w:rsid w:val="00D72ED4"/>
    <w:rsid w:val="00D73F61"/>
    <w:rsid w:val="00D754C0"/>
    <w:rsid w:val="00D776A2"/>
    <w:rsid w:val="00D801C4"/>
    <w:rsid w:val="00D80A08"/>
    <w:rsid w:val="00D82F37"/>
    <w:rsid w:val="00D83FCB"/>
    <w:rsid w:val="00D84F50"/>
    <w:rsid w:val="00D85180"/>
    <w:rsid w:val="00D877F0"/>
    <w:rsid w:val="00D90836"/>
    <w:rsid w:val="00D92EDB"/>
    <w:rsid w:val="00D93B32"/>
    <w:rsid w:val="00D95896"/>
    <w:rsid w:val="00D95CC6"/>
    <w:rsid w:val="00DA2DA3"/>
    <w:rsid w:val="00DA35A2"/>
    <w:rsid w:val="00DA4358"/>
    <w:rsid w:val="00DA517A"/>
    <w:rsid w:val="00DA6615"/>
    <w:rsid w:val="00DA76AE"/>
    <w:rsid w:val="00DB181E"/>
    <w:rsid w:val="00DB1C7A"/>
    <w:rsid w:val="00DB2983"/>
    <w:rsid w:val="00DB343D"/>
    <w:rsid w:val="00DB452D"/>
    <w:rsid w:val="00DB5579"/>
    <w:rsid w:val="00DB5CFE"/>
    <w:rsid w:val="00DC72A6"/>
    <w:rsid w:val="00DD0DC7"/>
    <w:rsid w:val="00DD2113"/>
    <w:rsid w:val="00DD265E"/>
    <w:rsid w:val="00DD4D46"/>
    <w:rsid w:val="00DE04D9"/>
    <w:rsid w:val="00DE6422"/>
    <w:rsid w:val="00DF1930"/>
    <w:rsid w:val="00DF514A"/>
    <w:rsid w:val="00E0358D"/>
    <w:rsid w:val="00E05A1C"/>
    <w:rsid w:val="00E06327"/>
    <w:rsid w:val="00E12A44"/>
    <w:rsid w:val="00E2064B"/>
    <w:rsid w:val="00E2087F"/>
    <w:rsid w:val="00E25239"/>
    <w:rsid w:val="00E265B1"/>
    <w:rsid w:val="00E275B0"/>
    <w:rsid w:val="00E412D0"/>
    <w:rsid w:val="00E43209"/>
    <w:rsid w:val="00E47395"/>
    <w:rsid w:val="00E47CDB"/>
    <w:rsid w:val="00E508F2"/>
    <w:rsid w:val="00E566BC"/>
    <w:rsid w:val="00E56D48"/>
    <w:rsid w:val="00E60982"/>
    <w:rsid w:val="00E60C8D"/>
    <w:rsid w:val="00E6162F"/>
    <w:rsid w:val="00E6311B"/>
    <w:rsid w:val="00E65D97"/>
    <w:rsid w:val="00E6674B"/>
    <w:rsid w:val="00E67EFD"/>
    <w:rsid w:val="00E702DC"/>
    <w:rsid w:val="00E70DFE"/>
    <w:rsid w:val="00E71FFB"/>
    <w:rsid w:val="00E76D1D"/>
    <w:rsid w:val="00E806F8"/>
    <w:rsid w:val="00E815C0"/>
    <w:rsid w:val="00E87752"/>
    <w:rsid w:val="00E8793B"/>
    <w:rsid w:val="00E90F81"/>
    <w:rsid w:val="00E91A6D"/>
    <w:rsid w:val="00E9242D"/>
    <w:rsid w:val="00EA0B8A"/>
    <w:rsid w:val="00EA3B31"/>
    <w:rsid w:val="00EA78E0"/>
    <w:rsid w:val="00EB041C"/>
    <w:rsid w:val="00EB1BC8"/>
    <w:rsid w:val="00EC5874"/>
    <w:rsid w:val="00EC5D06"/>
    <w:rsid w:val="00ED192D"/>
    <w:rsid w:val="00ED30B4"/>
    <w:rsid w:val="00ED31F5"/>
    <w:rsid w:val="00ED7AEE"/>
    <w:rsid w:val="00EE11DB"/>
    <w:rsid w:val="00EF2759"/>
    <w:rsid w:val="00EF45EB"/>
    <w:rsid w:val="00EF5099"/>
    <w:rsid w:val="00EF5E33"/>
    <w:rsid w:val="00F00075"/>
    <w:rsid w:val="00F06B05"/>
    <w:rsid w:val="00F07822"/>
    <w:rsid w:val="00F15C95"/>
    <w:rsid w:val="00F22341"/>
    <w:rsid w:val="00F22985"/>
    <w:rsid w:val="00F241AB"/>
    <w:rsid w:val="00F25547"/>
    <w:rsid w:val="00F31382"/>
    <w:rsid w:val="00F35426"/>
    <w:rsid w:val="00F35829"/>
    <w:rsid w:val="00F42571"/>
    <w:rsid w:val="00F42868"/>
    <w:rsid w:val="00F45141"/>
    <w:rsid w:val="00F465A7"/>
    <w:rsid w:val="00F5085A"/>
    <w:rsid w:val="00F50B7C"/>
    <w:rsid w:val="00F5202D"/>
    <w:rsid w:val="00F52CF6"/>
    <w:rsid w:val="00F5391D"/>
    <w:rsid w:val="00F54496"/>
    <w:rsid w:val="00F55732"/>
    <w:rsid w:val="00F57733"/>
    <w:rsid w:val="00F61097"/>
    <w:rsid w:val="00F65423"/>
    <w:rsid w:val="00F708C8"/>
    <w:rsid w:val="00F72140"/>
    <w:rsid w:val="00F74345"/>
    <w:rsid w:val="00F74441"/>
    <w:rsid w:val="00F77F30"/>
    <w:rsid w:val="00F82589"/>
    <w:rsid w:val="00F82B19"/>
    <w:rsid w:val="00F864AB"/>
    <w:rsid w:val="00F906B9"/>
    <w:rsid w:val="00F90AA7"/>
    <w:rsid w:val="00F9212D"/>
    <w:rsid w:val="00F93271"/>
    <w:rsid w:val="00F97390"/>
    <w:rsid w:val="00FA11D2"/>
    <w:rsid w:val="00FA301A"/>
    <w:rsid w:val="00FA406A"/>
    <w:rsid w:val="00FA5CB6"/>
    <w:rsid w:val="00FB0F78"/>
    <w:rsid w:val="00FB55BC"/>
    <w:rsid w:val="00FB6C98"/>
    <w:rsid w:val="00FC0EE8"/>
    <w:rsid w:val="00FC38F7"/>
    <w:rsid w:val="00FC4941"/>
    <w:rsid w:val="00FC4D26"/>
    <w:rsid w:val="00FC66AC"/>
    <w:rsid w:val="00FD18F4"/>
    <w:rsid w:val="00FD51DC"/>
    <w:rsid w:val="00FD74B4"/>
    <w:rsid w:val="00FD7719"/>
    <w:rsid w:val="00FE17DC"/>
    <w:rsid w:val="00FE1E9E"/>
    <w:rsid w:val="00FE5364"/>
    <w:rsid w:val="00FF4DE6"/>
    <w:rsid w:val="00FF6FCE"/>
    <w:rsid w:val="00FF7518"/>
    <w:rsid w:val="00FF7FD8"/>
    <w:rsid w:val="011B380C"/>
    <w:rsid w:val="012940B2"/>
    <w:rsid w:val="014223F5"/>
    <w:rsid w:val="014E572B"/>
    <w:rsid w:val="018D6BD7"/>
    <w:rsid w:val="01AB4D16"/>
    <w:rsid w:val="01ED12EF"/>
    <w:rsid w:val="01FB0DD5"/>
    <w:rsid w:val="02137BE3"/>
    <w:rsid w:val="022D1862"/>
    <w:rsid w:val="02C124C7"/>
    <w:rsid w:val="033D1F0F"/>
    <w:rsid w:val="04244F1F"/>
    <w:rsid w:val="0444124D"/>
    <w:rsid w:val="049A19BE"/>
    <w:rsid w:val="04CC3695"/>
    <w:rsid w:val="04F24652"/>
    <w:rsid w:val="051850AD"/>
    <w:rsid w:val="05304992"/>
    <w:rsid w:val="05742AC8"/>
    <w:rsid w:val="061C6935"/>
    <w:rsid w:val="06352F05"/>
    <w:rsid w:val="063E7D85"/>
    <w:rsid w:val="06AB1D6D"/>
    <w:rsid w:val="06C57CBA"/>
    <w:rsid w:val="070875E0"/>
    <w:rsid w:val="071D63ED"/>
    <w:rsid w:val="07293586"/>
    <w:rsid w:val="07295285"/>
    <w:rsid w:val="07770C56"/>
    <w:rsid w:val="08214CF0"/>
    <w:rsid w:val="08CB0CA3"/>
    <w:rsid w:val="090214D5"/>
    <w:rsid w:val="092217DD"/>
    <w:rsid w:val="093A7294"/>
    <w:rsid w:val="09531693"/>
    <w:rsid w:val="09640540"/>
    <w:rsid w:val="09DE0291"/>
    <w:rsid w:val="0A347ACD"/>
    <w:rsid w:val="0A9458FA"/>
    <w:rsid w:val="0A960591"/>
    <w:rsid w:val="0AD77D88"/>
    <w:rsid w:val="0B3E65CF"/>
    <w:rsid w:val="0B6A52A5"/>
    <w:rsid w:val="0BD27BF6"/>
    <w:rsid w:val="0BDF05C2"/>
    <w:rsid w:val="0C7875BF"/>
    <w:rsid w:val="0C94250A"/>
    <w:rsid w:val="0C9B7065"/>
    <w:rsid w:val="0CAB59D7"/>
    <w:rsid w:val="0D645222"/>
    <w:rsid w:val="0E110D06"/>
    <w:rsid w:val="0E217DD5"/>
    <w:rsid w:val="0E8872EF"/>
    <w:rsid w:val="0F13775A"/>
    <w:rsid w:val="0F230FC2"/>
    <w:rsid w:val="0F2B34D3"/>
    <w:rsid w:val="0F9A112B"/>
    <w:rsid w:val="0FA66950"/>
    <w:rsid w:val="106D2F64"/>
    <w:rsid w:val="10B63710"/>
    <w:rsid w:val="111C2F7A"/>
    <w:rsid w:val="113013DE"/>
    <w:rsid w:val="121A098C"/>
    <w:rsid w:val="122B06C2"/>
    <w:rsid w:val="123D2321"/>
    <w:rsid w:val="12A87617"/>
    <w:rsid w:val="13951726"/>
    <w:rsid w:val="14396509"/>
    <w:rsid w:val="1447165C"/>
    <w:rsid w:val="147B4BCC"/>
    <w:rsid w:val="1515648B"/>
    <w:rsid w:val="1525751A"/>
    <w:rsid w:val="15A1317C"/>
    <w:rsid w:val="15D84C47"/>
    <w:rsid w:val="16182E99"/>
    <w:rsid w:val="172508E3"/>
    <w:rsid w:val="17735226"/>
    <w:rsid w:val="18BF3C55"/>
    <w:rsid w:val="191F61C3"/>
    <w:rsid w:val="1A1C66C0"/>
    <w:rsid w:val="1A24475C"/>
    <w:rsid w:val="1A42393B"/>
    <w:rsid w:val="1A5F124B"/>
    <w:rsid w:val="1AC531BF"/>
    <w:rsid w:val="1B046F80"/>
    <w:rsid w:val="1B3267B5"/>
    <w:rsid w:val="1BC25DC8"/>
    <w:rsid w:val="1BD06DE1"/>
    <w:rsid w:val="1C5E7925"/>
    <w:rsid w:val="1C887FC8"/>
    <w:rsid w:val="1D5F6196"/>
    <w:rsid w:val="1D6132A5"/>
    <w:rsid w:val="1D8E56D5"/>
    <w:rsid w:val="1E7A43DA"/>
    <w:rsid w:val="1EB277FE"/>
    <w:rsid w:val="1F195B69"/>
    <w:rsid w:val="1FB1427A"/>
    <w:rsid w:val="1FE7539E"/>
    <w:rsid w:val="20963CB8"/>
    <w:rsid w:val="20A67928"/>
    <w:rsid w:val="20B07FB6"/>
    <w:rsid w:val="20CB348F"/>
    <w:rsid w:val="213B74B1"/>
    <w:rsid w:val="215A2310"/>
    <w:rsid w:val="21730623"/>
    <w:rsid w:val="21DE318A"/>
    <w:rsid w:val="21EF5B80"/>
    <w:rsid w:val="21FA151A"/>
    <w:rsid w:val="22117BFE"/>
    <w:rsid w:val="222C69EF"/>
    <w:rsid w:val="22576990"/>
    <w:rsid w:val="229C4EAB"/>
    <w:rsid w:val="22DE582E"/>
    <w:rsid w:val="232618D8"/>
    <w:rsid w:val="23C574F0"/>
    <w:rsid w:val="245A5852"/>
    <w:rsid w:val="24966872"/>
    <w:rsid w:val="252D53FE"/>
    <w:rsid w:val="25EC2D81"/>
    <w:rsid w:val="264528BD"/>
    <w:rsid w:val="266D4CF0"/>
    <w:rsid w:val="27556E4D"/>
    <w:rsid w:val="27A14D8A"/>
    <w:rsid w:val="27D15DD1"/>
    <w:rsid w:val="28A76295"/>
    <w:rsid w:val="28D4409C"/>
    <w:rsid w:val="28D6009E"/>
    <w:rsid w:val="29206EB8"/>
    <w:rsid w:val="297C7CAF"/>
    <w:rsid w:val="299033C5"/>
    <w:rsid w:val="29E325E0"/>
    <w:rsid w:val="2A452503"/>
    <w:rsid w:val="2A547687"/>
    <w:rsid w:val="2AAA6FD1"/>
    <w:rsid w:val="2B3E3CDE"/>
    <w:rsid w:val="2BA936A8"/>
    <w:rsid w:val="2C315A5A"/>
    <w:rsid w:val="2D9E56F5"/>
    <w:rsid w:val="2DFB165F"/>
    <w:rsid w:val="2E2E452C"/>
    <w:rsid w:val="2E312AA7"/>
    <w:rsid w:val="2E667F96"/>
    <w:rsid w:val="2E8226AB"/>
    <w:rsid w:val="2F523B94"/>
    <w:rsid w:val="2F832C79"/>
    <w:rsid w:val="2FEF2D58"/>
    <w:rsid w:val="2FF43D8C"/>
    <w:rsid w:val="300F2EF2"/>
    <w:rsid w:val="30580BC9"/>
    <w:rsid w:val="30A56B20"/>
    <w:rsid w:val="30AE2B11"/>
    <w:rsid w:val="30CC2E3D"/>
    <w:rsid w:val="311E2ED7"/>
    <w:rsid w:val="315C449C"/>
    <w:rsid w:val="316A34F7"/>
    <w:rsid w:val="31835397"/>
    <w:rsid w:val="31B82709"/>
    <w:rsid w:val="32400B34"/>
    <w:rsid w:val="329E6876"/>
    <w:rsid w:val="339B6850"/>
    <w:rsid w:val="33AF5A2C"/>
    <w:rsid w:val="33C51903"/>
    <w:rsid w:val="33D934D4"/>
    <w:rsid w:val="33DF4673"/>
    <w:rsid w:val="33FE2F6A"/>
    <w:rsid w:val="340622ED"/>
    <w:rsid w:val="34E55D02"/>
    <w:rsid w:val="35761CB4"/>
    <w:rsid w:val="36074A7F"/>
    <w:rsid w:val="36923549"/>
    <w:rsid w:val="36A01C22"/>
    <w:rsid w:val="36B75FBF"/>
    <w:rsid w:val="36CA0716"/>
    <w:rsid w:val="36F72AFB"/>
    <w:rsid w:val="36FB4891"/>
    <w:rsid w:val="37405B09"/>
    <w:rsid w:val="37CD55EE"/>
    <w:rsid w:val="38354873"/>
    <w:rsid w:val="386E450E"/>
    <w:rsid w:val="38E63979"/>
    <w:rsid w:val="38EE7FCC"/>
    <w:rsid w:val="38F12CD3"/>
    <w:rsid w:val="38F94775"/>
    <w:rsid w:val="392971ED"/>
    <w:rsid w:val="3A5311DC"/>
    <w:rsid w:val="3AD2595A"/>
    <w:rsid w:val="3AE157E3"/>
    <w:rsid w:val="3AEF20E7"/>
    <w:rsid w:val="3B3763D1"/>
    <w:rsid w:val="3C3F2833"/>
    <w:rsid w:val="3CDA245A"/>
    <w:rsid w:val="3CEE0A37"/>
    <w:rsid w:val="3D2508BF"/>
    <w:rsid w:val="3D3726E6"/>
    <w:rsid w:val="3DBE7B13"/>
    <w:rsid w:val="3DE1331C"/>
    <w:rsid w:val="3DFC407A"/>
    <w:rsid w:val="3E1D0244"/>
    <w:rsid w:val="3F660E74"/>
    <w:rsid w:val="3F9041D7"/>
    <w:rsid w:val="3FF701DF"/>
    <w:rsid w:val="40245C9F"/>
    <w:rsid w:val="4025433E"/>
    <w:rsid w:val="407A6407"/>
    <w:rsid w:val="409F7A9C"/>
    <w:rsid w:val="41AD24EB"/>
    <w:rsid w:val="41CC2DBB"/>
    <w:rsid w:val="41CC34B7"/>
    <w:rsid w:val="41D30636"/>
    <w:rsid w:val="41EF1A42"/>
    <w:rsid w:val="423A3BCC"/>
    <w:rsid w:val="425041BA"/>
    <w:rsid w:val="42773A9C"/>
    <w:rsid w:val="42B17978"/>
    <w:rsid w:val="42D1547F"/>
    <w:rsid w:val="433A6FE6"/>
    <w:rsid w:val="4350713C"/>
    <w:rsid w:val="436653E0"/>
    <w:rsid w:val="436E4BF3"/>
    <w:rsid w:val="437A71A7"/>
    <w:rsid w:val="439367F3"/>
    <w:rsid w:val="441A3C67"/>
    <w:rsid w:val="44CD14E0"/>
    <w:rsid w:val="453B60C2"/>
    <w:rsid w:val="458946E9"/>
    <w:rsid w:val="46D955A7"/>
    <w:rsid w:val="47133957"/>
    <w:rsid w:val="4726123B"/>
    <w:rsid w:val="4779329E"/>
    <w:rsid w:val="47A07E0C"/>
    <w:rsid w:val="483005FB"/>
    <w:rsid w:val="4870272E"/>
    <w:rsid w:val="48C1658C"/>
    <w:rsid w:val="48EB621C"/>
    <w:rsid w:val="49634005"/>
    <w:rsid w:val="49D625E3"/>
    <w:rsid w:val="49DC7715"/>
    <w:rsid w:val="4A023139"/>
    <w:rsid w:val="4A10746E"/>
    <w:rsid w:val="4A197217"/>
    <w:rsid w:val="4A7B576F"/>
    <w:rsid w:val="4AAF2318"/>
    <w:rsid w:val="4ABF641E"/>
    <w:rsid w:val="4B1A6945"/>
    <w:rsid w:val="4B337B71"/>
    <w:rsid w:val="4B5D6832"/>
    <w:rsid w:val="4B8E5B3A"/>
    <w:rsid w:val="4C4A0649"/>
    <w:rsid w:val="4CA37CC7"/>
    <w:rsid w:val="4CE470D3"/>
    <w:rsid w:val="4DAD7878"/>
    <w:rsid w:val="4DEC4FB0"/>
    <w:rsid w:val="4E075D8A"/>
    <w:rsid w:val="4E1E16D4"/>
    <w:rsid w:val="4E4A1F71"/>
    <w:rsid w:val="4EAF38A5"/>
    <w:rsid w:val="4EEF024F"/>
    <w:rsid w:val="4FC62A8C"/>
    <w:rsid w:val="4FE20F0D"/>
    <w:rsid w:val="50504C4B"/>
    <w:rsid w:val="50531E89"/>
    <w:rsid w:val="509C6E7C"/>
    <w:rsid w:val="50A5313B"/>
    <w:rsid w:val="514214DC"/>
    <w:rsid w:val="5162104E"/>
    <w:rsid w:val="51CE0F8F"/>
    <w:rsid w:val="51D72D0C"/>
    <w:rsid w:val="51E36034"/>
    <w:rsid w:val="521D51D3"/>
    <w:rsid w:val="527B10A0"/>
    <w:rsid w:val="52EC33C3"/>
    <w:rsid w:val="53925212"/>
    <w:rsid w:val="53A039CC"/>
    <w:rsid w:val="53A1505A"/>
    <w:rsid w:val="53EE6BC1"/>
    <w:rsid w:val="54063E08"/>
    <w:rsid w:val="542A1C14"/>
    <w:rsid w:val="543437E8"/>
    <w:rsid w:val="54722618"/>
    <w:rsid w:val="549B417A"/>
    <w:rsid w:val="54A10090"/>
    <w:rsid w:val="55220B92"/>
    <w:rsid w:val="559B174B"/>
    <w:rsid w:val="55CE0CF4"/>
    <w:rsid w:val="55E31EEE"/>
    <w:rsid w:val="56350AD7"/>
    <w:rsid w:val="56B22A9C"/>
    <w:rsid w:val="56DA6CB5"/>
    <w:rsid w:val="57004E21"/>
    <w:rsid w:val="574439B3"/>
    <w:rsid w:val="57B10AB4"/>
    <w:rsid w:val="57B72A76"/>
    <w:rsid w:val="57BF48A4"/>
    <w:rsid w:val="582B3A67"/>
    <w:rsid w:val="5A3C747D"/>
    <w:rsid w:val="5A7A69B8"/>
    <w:rsid w:val="5A8F6BF2"/>
    <w:rsid w:val="5ABE2233"/>
    <w:rsid w:val="5B276D18"/>
    <w:rsid w:val="5BCF0CCF"/>
    <w:rsid w:val="5BDF5D95"/>
    <w:rsid w:val="5C6479B7"/>
    <w:rsid w:val="5C657D24"/>
    <w:rsid w:val="5D18041E"/>
    <w:rsid w:val="5D2156A9"/>
    <w:rsid w:val="5D923B16"/>
    <w:rsid w:val="5DF87A0F"/>
    <w:rsid w:val="5EA83F26"/>
    <w:rsid w:val="5EF4711F"/>
    <w:rsid w:val="5F1A2B43"/>
    <w:rsid w:val="5F517BED"/>
    <w:rsid w:val="5FB837BB"/>
    <w:rsid w:val="60167839"/>
    <w:rsid w:val="610C1BD4"/>
    <w:rsid w:val="61334250"/>
    <w:rsid w:val="61602A32"/>
    <w:rsid w:val="61763B23"/>
    <w:rsid w:val="62364782"/>
    <w:rsid w:val="623A5DC4"/>
    <w:rsid w:val="62C4480F"/>
    <w:rsid w:val="62DA435A"/>
    <w:rsid w:val="62DA5CD3"/>
    <w:rsid w:val="633311AA"/>
    <w:rsid w:val="635F31EF"/>
    <w:rsid w:val="63C17558"/>
    <w:rsid w:val="63C36387"/>
    <w:rsid w:val="63D40BE9"/>
    <w:rsid w:val="63E0211F"/>
    <w:rsid w:val="63E8362C"/>
    <w:rsid w:val="640976D4"/>
    <w:rsid w:val="64724786"/>
    <w:rsid w:val="647E5F7D"/>
    <w:rsid w:val="65373578"/>
    <w:rsid w:val="662C595D"/>
    <w:rsid w:val="66CD39FC"/>
    <w:rsid w:val="673F2C7A"/>
    <w:rsid w:val="6742768C"/>
    <w:rsid w:val="681F6961"/>
    <w:rsid w:val="683910D7"/>
    <w:rsid w:val="68610A2F"/>
    <w:rsid w:val="68805514"/>
    <w:rsid w:val="68CF7246"/>
    <w:rsid w:val="68DE3682"/>
    <w:rsid w:val="694E2071"/>
    <w:rsid w:val="697A3B33"/>
    <w:rsid w:val="69926A05"/>
    <w:rsid w:val="699E2456"/>
    <w:rsid w:val="6A0F3732"/>
    <w:rsid w:val="6B322639"/>
    <w:rsid w:val="6B327361"/>
    <w:rsid w:val="6B597051"/>
    <w:rsid w:val="6BA64292"/>
    <w:rsid w:val="6BC22E2C"/>
    <w:rsid w:val="6C636C38"/>
    <w:rsid w:val="6C953C26"/>
    <w:rsid w:val="6CF936F3"/>
    <w:rsid w:val="6CFA1CDB"/>
    <w:rsid w:val="6D074A91"/>
    <w:rsid w:val="6D182B3C"/>
    <w:rsid w:val="6DB34098"/>
    <w:rsid w:val="6DB545B6"/>
    <w:rsid w:val="6E4375A0"/>
    <w:rsid w:val="6E514CED"/>
    <w:rsid w:val="6E79491A"/>
    <w:rsid w:val="6EB563D5"/>
    <w:rsid w:val="6EE52C8E"/>
    <w:rsid w:val="6F225983"/>
    <w:rsid w:val="6F502086"/>
    <w:rsid w:val="6F5546CE"/>
    <w:rsid w:val="6FD42CB7"/>
    <w:rsid w:val="6FE470FB"/>
    <w:rsid w:val="6FFC5590"/>
    <w:rsid w:val="70047504"/>
    <w:rsid w:val="70301DA3"/>
    <w:rsid w:val="706D1DD0"/>
    <w:rsid w:val="70856B87"/>
    <w:rsid w:val="70A20EE0"/>
    <w:rsid w:val="70D527EE"/>
    <w:rsid w:val="70D57A03"/>
    <w:rsid w:val="71141580"/>
    <w:rsid w:val="715B5300"/>
    <w:rsid w:val="715D46F2"/>
    <w:rsid w:val="715F4BD7"/>
    <w:rsid w:val="7196015D"/>
    <w:rsid w:val="71D27F8A"/>
    <w:rsid w:val="71F744C6"/>
    <w:rsid w:val="71F960CF"/>
    <w:rsid w:val="723A3B35"/>
    <w:rsid w:val="731F5D5E"/>
    <w:rsid w:val="741E793C"/>
    <w:rsid w:val="7532397A"/>
    <w:rsid w:val="7567457A"/>
    <w:rsid w:val="758D75E2"/>
    <w:rsid w:val="75CE592E"/>
    <w:rsid w:val="75ED6880"/>
    <w:rsid w:val="76782532"/>
    <w:rsid w:val="771F0CBB"/>
    <w:rsid w:val="774E6AEC"/>
    <w:rsid w:val="77603DB6"/>
    <w:rsid w:val="77762421"/>
    <w:rsid w:val="77E31CC1"/>
    <w:rsid w:val="780F09F4"/>
    <w:rsid w:val="781933C5"/>
    <w:rsid w:val="785A53EF"/>
    <w:rsid w:val="789C4F47"/>
    <w:rsid w:val="78A90480"/>
    <w:rsid w:val="793737AE"/>
    <w:rsid w:val="79811327"/>
    <w:rsid w:val="79AE27CB"/>
    <w:rsid w:val="7A364017"/>
    <w:rsid w:val="7A8265E1"/>
    <w:rsid w:val="7AF70F60"/>
    <w:rsid w:val="7B181DE8"/>
    <w:rsid w:val="7B686D42"/>
    <w:rsid w:val="7B841746"/>
    <w:rsid w:val="7D0239FF"/>
    <w:rsid w:val="7D5E40CD"/>
    <w:rsid w:val="7D693BED"/>
    <w:rsid w:val="7E0968D7"/>
    <w:rsid w:val="7E18255F"/>
    <w:rsid w:val="7E25696F"/>
    <w:rsid w:val="7E527FC0"/>
    <w:rsid w:val="7E725B75"/>
    <w:rsid w:val="7E9C15B9"/>
    <w:rsid w:val="7F0B46F6"/>
    <w:rsid w:val="7F617CE1"/>
    <w:rsid w:val="7FE47E50"/>
    <w:rsid w:val="7FE66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ocked="1"/>
    <w:lsdException w:qFormat="1" w:uiPriority="0" w:semiHidden="0" w:name="heading 3" w:locked="1"/>
    <w:lsdException w:qFormat="1" w:uiPriority="9"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sdException w:qFormat="1"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ocked="1"/>
    <w:lsdException w:qFormat="1" w:unhideWhenUsed="0" w:uiPriority="20" w:semiHidden="0" w:name="Emphasis" w:locked="1"/>
    <w:lsdException w:qFormat="1"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1"/>
    <w:qFormat/>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78"/>
    <w:qFormat/>
    <w:locked/>
    <w:uiPriority w:val="9"/>
    <w:pPr>
      <w:keepNext/>
      <w:keepLines/>
      <w:spacing w:line="540" w:lineRule="exact"/>
      <w:ind w:firstLine="200" w:firstLineChars="200"/>
      <w:outlineLvl w:val="1"/>
    </w:pPr>
    <w:rPr>
      <w:rFonts w:ascii="宋体" w:hAnsi="宋体" w:eastAsia="黑体"/>
      <w:bCs/>
      <w:color w:val="000066"/>
      <w:kern w:val="0"/>
      <w:sz w:val="28"/>
      <w:szCs w:val="32"/>
    </w:rPr>
  </w:style>
  <w:style w:type="paragraph" w:styleId="7">
    <w:name w:val="heading 3"/>
    <w:basedOn w:val="1"/>
    <w:next w:val="1"/>
    <w:link w:val="77"/>
    <w:unhideWhenUsed/>
    <w:qFormat/>
    <w:locked/>
    <w:uiPriority w:val="0"/>
    <w:pPr>
      <w:keepNext/>
      <w:keepLines/>
      <w:spacing w:before="260" w:after="260" w:line="416" w:lineRule="auto"/>
      <w:outlineLvl w:val="2"/>
    </w:pPr>
    <w:rPr>
      <w:b/>
      <w:bCs/>
      <w:sz w:val="32"/>
      <w:szCs w:val="32"/>
    </w:rPr>
  </w:style>
  <w:style w:type="paragraph" w:styleId="8">
    <w:name w:val="heading 4"/>
    <w:basedOn w:val="1"/>
    <w:next w:val="1"/>
    <w:link w:val="79"/>
    <w:unhideWhenUsed/>
    <w:qFormat/>
    <w:locked/>
    <w:uiPriority w:val="9"/>
    <w:pPr>
      <w:keepNext/>
      <w:keepLines/>
      <w:spacing w:before="280" w:after="290" w:line="376" w:lineRule="atLeast"/>
      <w:ind w:firstLine="200" w:firstLineChars="200"/>
      <w:outlineLvl w:val="3"/>
    </w:pPr>
    <w:rPr>
      <w:rFonts w:ascii="等线 Light" w:hAnsi="等线 Light" w:eastAsia="等线 Light"/>
      <w:b/>
      <w:bCs/>
      <w:kern w:val="0"/>
      <w:sz w:val="28"/>
      <w:szCs w:val="28"/>
    </w:rPr>
  </w:style>
  <w:style w:type="paragraph" w:styleId="9">
    <w:name w:val="heading 5"/>
    <w:basedOn w:val="1"/>
    <w:next w:val="1"/>
    <w:link w:val="80"/>
    <w:qFormat/>
    <w:locked/>
    <w:uiPriority w:val="0"/>
    <w:pPr>
      <w:keepNext/>
      <w:keepLines/>
      <w:spacing w:before="280" w:after="290" w:line="376" w:lineRule="auto"/>
      <w:ind w:left="482" w:firstLine="560" w:firstLineChars="200"/>
      <w:outlineLvl w:val="4"/>
    </w:pPr>
    <w:rPr>
      <w:sz w:val="18"/>
      <w:szCs w:val="18"/>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66"/>
    <w:qFormat/>
    <w:uiPriority w:val="0"/>
    <w:pPr>
      <w:ind w:firstLine="420" w:firstLineChars="200"/>
    </w:pPr>
    <w:rPr>
      <w:sz w:val="28"/>
      <w:szCs w:val="28"/>
    </w:rPr>
  </w:style>
  <w:style w:type="paragraph" w:styleId="3">
    <w:name w:val="Body Text Indent"/>
    <w:basedOn w:val="1"/>
    <w:next w:val="4"/>
    <w:link w:val="74"/>
    <w:qFormat/>
    <w:uiPriority w:val="0"/>
    <w:pPr>
      <w:spacing w:after="120"/>
      <w:ind w:left="420" w:leftChars="200"/>
    </w:pPr>
  </w:style>
  <w:style w:type="paragraph" w:customStyle="1" w:styleId="4">
    <w:name w:val="样式 正文文本缩进 + 行距: 1.5 倍行距"/>
    <w:basedOn w:val="3"/>
    <w:qFormat/>
    <w:uiPriority w:val="0"/>
    <w:pPr>
      <w:tabs>
        <w:tab w:val="left" w:pos="3600"/>
      </w:tabs>
      <w:spacing w:after="120" w:line="360" w:lineRule="auto"/>
      <w:ind w:left="90" w:leftChars="32" w:firstLine="560" w:firstLineChars="200"/>
    </w:pPr>
    <w:rPr>
      <w:rFonts w:cs="宋体"/>
    </w:rPr>
  </w:style>
  <w:style w:type="paragraph" w:styleId="10">
    <w:name w:val="toc 7"/>
    <w:basedOn w:val="1"/>
    <w:next w:val="1"/>
    <w:qFormat/>
    <w:locked/>
    <w:uiPriority w:val="39"/>
    <w:pPr>
      <w:spacing w:line="540" w:lineRule="exact"/>
      <w:ind w:left="2520" w:leftChars="1200" w:firstLine="200" w:firstLineChars="200"/>
    </w:pPr>
  </w:style>
  <w:style w:type="paragraph" w:styleId="11">
    <w:name w:val="Normal Indent"/>
    <w:basedOn w:val="1"/>
    <w:next w:val="1"/>
    <w:qFormat/>
    <w:uiPriority w:val="0"/>
    <w:pPr>
      <w:spacing w:line="540" w:lineRule="exact"/>
      <w:ind w:firstLine="420" w:firstLineChars="200"/>
    </w:pPr>
    <w:rPr>
      <w:rFonts w:ascii="宋体" w:hAnsi="Courier New"/>
      <w:kern w:val="0"/>
      <w:sz w:val="28"/>
      <w:szCs w:val="20"/>
    </w:rPr>
  </w:style>
  <w:style w:type="paragraph" w:styleId="12">
    <w:name w:val="caption"/>
    <w:basedOn w:val="1"/>
    <w:next w:val="1"/>
    <w:unhideWhenUsed/>
    <w:qFormat/>
    <w:locked/>
    <w:uiPriority w:val="0"/>
    <w:rPr>
      <w:rFonts w:ascii="Cambria" w:hAnsi="Cambria" w:eastAsia="黑体"/>
      <w:kern w:val="0"/>
      <w:sz w:val="20"/>
      <w:szCs w:val="20"/>
    </w:rPr>
  </w:style>
  <w:style w:type="paragraph" w:styleId="13">
    <w:name w:val="Document Map"/>
    <w:basedOn w:val="1"/>
    <w:link w:val="90"/>
    <w:autoRedefine/>
    <w:unhideWhenUsed/>
    <w:qFormat/>
    <w:uiPriority w:val="99"/>
    <w:pPr>
      <w:spacing w:line="540" w:lineRule="exact"/>
      <w:ind w:firstLine="200" w:firstLineChars="200"/>
    </w:pPr>
    <w:rPr>
      <w:rFonts w:ascii="宋体"/>
      <w:kern w:val="0"/>
      <w:sz w:val="18"/>
      <w:szCs w:val="18"/>
    </w:rPr>
  </w:style>
  <w:style w:type="paragraph" w:styleId="14">
    <w:name w:val="annotation text"/>
    <w:basedOn w:val="1"/>
    <w:link w:val="64"/>
    <w:semiHidden/>
    <w:qFormat/>
    <w:uiPriority w:val="99"/>
    <w:pPr>
      <w:jc w:val="left"/>
    </w:pPr>
    <w:rPr>
      <w:kern w:val="0"/>
      <w:sz w:val="20"/>
    </w:rPr>
  </w:style>
  <w:style w:type="paragraph" w:styleId="15">
    <w:name w:val="Body Text 3"/>
    <w:basedOn w:val="1"/>
    <w:qFormat/>
    <w:uiPriority w:val="0"/>
    <w:pPr>
      <w:spacing w:line="240" w:lineRule="auto"/>
      <w:ind w:firstLine="0" w:firstLineChars="0"/>
      <w:jc w:val="center"/>
    </w:pPr>
    <w:rPr>
      <w:sz w:val="21"/>
    </w:rPr>
  </w:style>
  <w:style w:type="paragraph" w:styleId="16">
    <w:name w:val="Body Text"/>
    <w:basedOn w:val="1"/>
    <w:link w:val="67"/>
    <w:qFormat/>
    <w:uiPriority w:val="99"/>
    <w:pPr>
      <w:widowControl/>
      <w:snapToGrid w:val="0"/>
      <w:spacing w:before="60" w:after="160" w:line="259" w:lineRule="auto"/>
      <w:ind w:right="113"/>
    </w:pPr>
    <w:rPr>
      <w:kern w:val="0"/>
      <w:sz w:val="18"/>
      <w:szCs w:val="18"/>
    </w:rPr>
  </w:style>
  <w:style w:type="paragraph" w:styleId="17">
    <w:name w:val="List 2"/>
    <w:basedOn w:val="1"/>
    <w:qFormat/>
    <w:uiPriority w:val="0"/>
    <w:pPr>
      <w:ind w:left="840" w:hanging="420"/>
    </w:pPr>
  </w:style>
  <w:style w:type="paragraph" w:styleId="18">
    <w:name w:val="Block Text"/>
    <w:basedOn w:val="1"/>
    <w:qFormat/>
    <w:uiPriority w:val="0"/>
    <w:pPr>
      <w:spacing w:line="540" w:lineRule="exact"/>
      <w:ind w:left="420" w:leftChars="200" w:right="-512" w:rightChars="-244" w:firstLine="560" w:firstLineChars="200"/>
      <w:jc w:val="left"/>
    </w:pPr>
    <w:rPr>
      <w:rFonts w:ascii="仿宋_GB2312" w:eastAsia="仿宋_GB2312"/>
      <w:sz w:val="28"/>
    </w:rPr>
  </w:style>
  <w:style w:type="paragraph" w:styleId="19">
    <w:name w:val="toc 5"/>
    <w:basedOn w:val="1"/>
    <w:next w:val="1"/>
    <w:qFormat/>
    <w:locked/>
    <w:uiPriority w:val="39"/>
    <w:pPr>
      <w:spacing w:line="540" w:lineRule="exact"/>
      <w:ind w:left="1680" w:leftChars="800" w:firstLine="200" w:firstLineChars="200"/>
    </w:pPr>
  </w:style>
  <w:style w:type="paragraph" w:styleId="20">
    <w:name w:val="toc 3"/>
    <w:basedOn w:val="1"/>
    <w:next w:val="1"/>
    <w:autoRedefine/>
    <w:qFormat/>
    <w:locked/>
    <w:uiPriority w:val="39"/>
    <w:pPr>
      <w:ind w:left="200" w:leftChars="200" w:firstLine="200" w:firstLineChars="200"/>
    </w:pPr>
    <w:rPr>
      <w:rFonts w:eastAsia="楷体_GB2312"/>
      <w:kern w:val="0"/>
      <w:sz w:val="28"/>
      <w:szCs w:val="28"/>
    </w:rPr>
  </w:style>
  <w:style w:type="paragraph" w:styleId="21">
    <w:name w:val="Plain Text"/>
    <w:basedOn w:val="1"/>
    <w:link w:val="83"/>
    <w:qFormat/>
    <w:uiPriority w:val="99"/>
    <w:pPr>
      <w:spacing w:line="540" w:lineRule="exact"/>
      <w:ind w:firstLine="200" w:firstLineChars="200"/>
    </w:pPr>
    <w:rPr>
      <w:rFonts w:ascii="宋体" w:hAnsi="Courier New"/>
      <w:sz w:val="28"/>
      <w:szCs w:val="21"/>
    </w:rPr>
  </w:style>
  <w:style w:type="paragraph" w:styleId="22">
    <w:name w:val="toc 8"/>
    <w:basedOn w:val="1"/>
    <w:next w:val="1"/>
    <w:autoRedefine/>
    <w:qFormat/>
    <w:locked/>
    <w:uiPriority w:val="39"/>
    <w:pPr>
      <w:spacing w:line="540" w:lineRule="exact"/>
      <w:ind w:left="2940" w:leftChars="1400" w:firstLine="200" w:firstLineChars="200"/>
    </w:pPr>
  </w:style>
  <w:style w:type="paragraph" w:styleId="23">
    <w:name w:val="Date"/>
    <w:basedOn w:val="1"/>
    <w:next w:val="1"/>
    <w:link w:val="69"/>
    <w:qFormat/>
    <w:uiPriority w:val="0"/>
    <w:pPr>
      <w:ind w:left="100" w:leftChars="2500"/>
    </w:pPr>
    <w:rPr>
      <w:kern w:val="0"/>
      <w:sz w:val="20"/>
    </w:rPr>
  </w:style>
  <w:style w:type="paragraph" w:styleId="24">
    <w:name w:val="Body Text Indent 2"/>
    <w:basedOn w:val="1"/>
    <w:next w:val="1"/>
    <w:link w:val="142"/>
    <w:qFormat/>
    <w:uiPriority w:val="0"/>
    <w:pPr>
      <w:spacing w:after="120" w:line="480" w:lineRule="auto"/>
      <w:ind w:left="420" w:leftChars="200" w:firstLine="200" w:firstLineChars="200"/>
    </w:pPr>
    <w:rPr>
      <w:sz w:val="28"/>
      <w:szCs w:val="28"/>
    </w:rPr>
  </w:style>
  <w:style w:type="paragraph" w:styleId="25">
    <w:name w:val="endnote text"/>
    <w:basedOn w:val="1"/>
    <w:link w:val="256"/>
    <w:autoRedefine/>
    <w:qFormat/>
    <w:uiPriority w:val="0"/>
    <w:pPr>
      <w:snapToGrid w:val="0"/>
      <w:spacing w:line="540" w:lineRule="exact"/>
      <w:jc w:val="left"/>
    </w:pPr>
    <w:rPr>
      <w:sz w:val="28"/>
      <w:szCs w:val="28"/>
    </w:rPr>
  </w:style>
  <w:style w:type="paragraph" w:styleId="26">
    <w:name w:val="Balloon Text"/>
    <w:basedOn w:val="1"/>
    <w:link w:val="73"/>
    <w:semiHidden/>
    <w:qFormat/>
    <w:uiPriority w:val="99"/>
    <w:rPr>
      <w:sz w:val="18"/>
      <w:szCs w:val="18"/>
    </w:rPr>
  </w:style>
  <w:style w:type="paragraph" w:styleId="27">
    <w:name w:val="footer"/>
    <w:basedOn w:val="1"/>
    <w:link w:val="66"/>
    <w:autoRedefine/>
    <w:qFormat/>
    <w:uiPriority w:val="99"/>
    <w:pPr>
      <w:tabs>
        <w:tab w:val="center" w:pos="4153"/>
        <w:tab w:val="right" w:pos="8306"/>
      </w:tabs>
      <w:snapToGrid w:val="0"/>
      <w:jc w:val="left"/>
    </w:pPr>
    <w:rPr>
      <w:sz w:val="18"/>
      <w:szCs w:val="18"/>
    </w:rPr>
  </w:style>
  <w:style w:type="paragraph" w:styleId="28">
    <w:name w:val="header"/>
    <w:basedOn w:val="1"/>
    <w:link w:val="62"/>
    <w:autoRedefine/>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locked/>
    <w:uiPriority w:val="39"/>
  </w:style>
  <w:style w:type="paragraph" w:styleId="30">
    <w:name w:val="toc 4"/>
    <w:basedOn w:val="1"/>
    <w:next w:val="1"/>
    <w:qFormat/>
    <w:locked/>
    <w:uiPriority w:val="39"/>
    <w:pPr>
      <w:spacing w:line="540" w:lineRule="exact"/>
      <w:ind w:left="1260" w:leftChars="600" w:firstLine="200" w:firstLineChars="200"/>
    </w:pPr>
  </w:style>
  <w:style w:type="paragraph" w:styleId="31">
    <w:name w:val="index heading"/>
    <w:basedOn w:val="1"/>
    <w:next w:val="1"/>
    <w:qFormat/>
    <w:uiPriority w:val="0"/>
    <w:pPr>
      <w:spacing w:line="540" w:lineRule="exact"/>
      <w:ind w:firstLine="200" w:firstLineChars="200"/>
    </w:pPr>
    <w:rPr>
      <w:rFonts w:ascii="Arial" w:hAnsi="Arial" w:cs="Arial"/>
      <w:b/>
      <w:bCs/>
    </w:rPr>
  </w:style>
  <w:style w:type="paragraph" w:styleId="32">
    <w:name w:val="Subtitle"/>
    <w:basedOn w:val="7"/>
    <w:next w:val="1"/>
    <w:link w:val="100"/>
    <w:qFormat/>
    <w:locked/>
    <w:uiPriority w:val="11"/>
    <w:pPr>
      <w:snapToGrid w:val="0"/>
      <w:spacing w:before="0" w:after="0" w:line="540" w:lineRule="exact"/>
      <w:ind w:firstLine="200" w:firstLineChars="200"/>
      <w:jc w:val="left"/>
    </w:pPr>
    <w:rPr>
      <w:rFonts w:eastAsia="楷体_GB2312"/>
      <w:bCs w:val="0"/>
      <w:kern w:val="28"/>
      <w:sz w:val="28"/>
    </w:rPr>
  </w:style>
  <w:style w:type="paragraph" w:styleId="33">
    <w:name w:val="List"/>
    <w:basedOn w:val="1"/>
    <w:qFormat/>
    <w:uiPriority w:val="0"/>
    <w:pPr>
      <w:widowControl/>
      <w:tabs>
        <w:tab w:val="left" w:pos="353"/>
        <w:tab w:val="left" w:pos="744"/>
        <w:tab w:val="left" w:pos="1000"/>
      </w:tabs>
      <w:adjustRightInd w:val="0"/>
      <w:snapToGrid w:val="0"/>
      <w:spacing w:line="540" w:lineRule="exact"/>
      <w:ind w:firstLine="200" w:firstLineChars="200"/>
      <w:jc w:val="center"/>
      <w:outlineLvl w:val="6"/>
    </w:pPr>
    <w:rPr>
      <w:rFonts w:ascii="宋体" w:hAnsi="宋体" w:cs="宋体"/>
      <w:spacing w:val="-6"/>
      <w:kern w:val="0"/>
      <w:szCs w:val="21"/>
    </w:rPr>
  </w:style>
  <w:style w:type="paragraph" w:styleId="34">
    <w:name w:val="footnote text"/>
    <w:basedOn w:val="1"/>
    <w:link w:val="251"/>
    <w:qFormat/>
    <w:uiPriority w:val="0"/>
    <w:pPr>
      <w:snapToGrid w:val="0"/>
      <w:spacing w:line="540" w:lineRule="exact"/>
      <w:jc w:val="left"/>
    </w:pPr>
    <w:rPr>
      <w:sz w:val="18"/>
      <w:szCs w:val="18"/>
    </w:rPr>
  </w:style>
  <w:style w:type="paragraph" w:styleId="35">
    <w:name w:val="toc 6"/>
    <w:basedOn w:val="1"/>
    <w:next w:val="1"/>
    <w:qFormat/>
    <w:locked/>
    <w:uiPriority w:val="39"/>
    <w:pPr>
      <w:spacing w:line="540" w:lineRule="exact"/>
      <w:ind w:left="2100" w:leftChars="1000" w:firstLine="200" w:firstLineChars="200"/>
    </w:pPr>
  </w:style>
  <w:style w:type="paragraph" w:styleId="36">
    <w:name w:val="Body Text Indent 3"/>
    <w:basedOn w:val="1"/>
    <w:link w:val="258"/>
    <w:autoRedefine/>
    <w:qFormat/>
    <w:uiPriority w:val="0"/>
    <w:pPr>
      <w:spacing w:after="120" w:line="540" w:lineRule="exact"/>
      <w:ind w:left="420" w:leftChars="200" w:firstLine="200" w:firstLineChars="200"/>
    </w:pPr>
    <w:rPr>
      <w:sz w:val="16"/>
      <w:szCs w:val="16"/>
    </w:rPr>
  </w:style>
  <w:style w:type="paragraph" w:styleId="37">
    <w:name w:val="toc 2"/>
    <w:basedOn w:val="1"/>
    <w:next w:val="1"/>
    <w:qFormat/>
    <w:locked/>
    <w:uiPriority w:val="39"/>
    <w:pPr>
      <w:spacing w:line="540" w:lineRule="exact"/>
      <w:ind w:left="200" w:leftChars="200"/>
    </w:pPr>
    <w:rPr>
      <w:rFonts w:eastAsia="黑体"/>
      <w:kern w:val="0"/>
      <w:sz w:val="28"/>
      <w:szCs w:val="28"/>
    </w:rPr>
  </w:style>
  <w:style w:type="paragraph" w:styleId="38">
    <w:name w:val="toc 9"/>
    <w:basedOn w:val="1"/>
    <w:next w:val="1"/>
    <w:autoRedefine/>
    <w:qFormat/>
    <w:locked/>
    <w:uiPriority w:val="39"/>
    <w:pPr>
      <w:spacing w:line="540" w:lineRule="exact"/>
      <w:ind w:left="3360" w:leftChars="1600" w:firstLine="200" w:firstLineChars="200"/>
    </w:pPr>
  </w:style>
  <w:style w:type="paragraph" w:styleId="39">
    <w:name w:val="Body Text 2"/>
    <w:basedOn w:val="1"/>
    <w:link w:val="245"/>
    <w:qFormat/>
    <w:uiPriority w:val="0"/>
    <w:pPr>
      <w:spacing w:after="120" w:line="480" w:lineRule="auto"/>
    </w:pPr>
    <w:rPr>
      <w:sz w:val="28"/>
      <w:szCs w:val="28"/>
    </w:rPr>
  </w:style>
  <w:style w:type="paragraph" w:styleId="40">
    <w:name w:val="HTML Preformatted"/>
    <w:basedOn w:val="1"/>
    <w:link w:val="247"/>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exact"/>
      <w:jc w:val="left"/>
    </w:pPr>
    <w:rPr>
      <w:rFonts w:ascii="宋体" w:hAnsi="宋体"/>
      <w:kern w:val="0"/>
      <w:sz w:val="24"/>
    </w:rPr>
  </w:style>
  <w:style w:type="paragraph" w:styleId="41">
    <w:name w:val="Normal (Web)"/>
    <w:basedOn w:val="1"/>
    <w:next w:val="1"/>
    <w:link w:val="61"/>
    <w:autoRedefine/>
    <w:qFormat/>
    <w:uiPriority w:val="99"/>
    <w:pPr>
      <w:widowControl/>
      <w:spacing w:before="100" w:beforeAutospacing="1" w:after="100" w:afterAutospacing="1"/>
      <w:jc w:val="left"/>
    </w:pPr>
    <w:rPr>
      <w:rFonts w:ascii="宋体" w:hAnsi="宋体"/>
      <w:kern w:val="0"/>
      <w:sz w:val="24"/>
    </w:rPr>
  </w:style>
  <w:style w:type="paragraph" w:styleId="42">
    <w:name w:val="index 1"/>
    <w:basedOn w:val="1"/>
    <w:next w:val="1"/>
    <w:autoRedefine/>
    <w:unhideWhenUsed/>
    <w:qFormat/>
    <w:uiPriority w:val="0"/>
    <w:pPr>
      <w:spacing w:line="540" w:lineRule="exact"/>
      <w:ind w:firstLine="200" w:firstLineChars="200"/>
    </w:pPr>
    <w:rPr>
      <w:kern w:val="0"/>
      <w:sz w:val="28"/>
      <w:szCs w:val="28"/>
    </w:rPr>
  </w:style>
  <w:style w:type="paragraph" w:styleId="43">
    <w:name w:val="Title"/>
    <w:basedOn w:val="1"/>
    <w:next w:val="1"/>
    <w:link w:val="91"/>
    <w:autoRedefine/>
    <w:qFormat/>
    <w:locked/>
    <w:uiPriority w:val="10"/>
    <w:pPr>
      <w:spacing w:line="540" w:lineRule="exact"/>
      <w:ind w:firstLine="200" w:firstLineChars="200"/>
      <w:outlineLvl w:val="3"/>
    </w:pPr>
    <w:rPr>
      <w:b/>
      <w:bCs/>
      <w:kern w:val="0"/>
      <w:sz w:val="28"/>
      <w:szCs w:val="32"/>
    </w:rPr>
  </w:style>
  <w:style w:type="paragraph" w:styleId="44">
    <w:name w:val="annotation subject"/>
    <w:basedOn w:val="14"/>
    <w:next w:val="14"/>
    <w:link w:val="63"/>
    <w:autoRedefine/>
    <w:semiHidden/>
    <w:qFormat/>
    <w:uiPriority w:val="99"/>
    <w:rPr>
      <w:b/>
      <w:bCs/>
    </w:rPr>
  </w:style>
  <w:style w:type="paragraph" w:styleId="45">
    <w:name w:val="Body Text First Indent"/>
    <w:basedOn w:val="16"/>
    <w:link w:val="155"/>
    <w:qFormat/>
    <w:uiPriority w:val="0"/>
    <w:pPr>
      <w:widowControl w:val="0"/>
      <w:snapToGrid/>
      <w:spacing w:before="0" w:after="120" w:line="540" w:lineRule="exact"/>
      <w:ind w:right="0" w:firstLine="420" w:firstLineChars="100"/>
    </w:pPr>
    <w:rPr>
      <w:kern w:val="2"/>
      <w:sz w:val="28"/>
      <w:szCs w:val="28"/>
    </w:rPr>
  </w:style>
  <w:style w:type="table" w:styleId="47">
    <w:name w:val="Table Grid"/>
    <w:basedOn w:val="4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autoRedefine/>
    <w:qFormat/>
    <w:locked/>
    <w:uiPriority w:val="0"/>
    <w:rPr>
      <w:b/>
      <w:bCs/>
    </w:rPr>
  </w:style>
  <w:style w:type="character" w:styleId="50">
    <w:name w:val="endnote reference"/>
    <w:qFormat/>
    <w:uiPriority w:val="0"/>
    <w:rPr>
      <w:vertAlign w:val="superscript"/>
    </w:rPr>
  </w:style>
  <w:style w:type="character" w:styleId="51">
    <w:name w:val="page number"/>
    <w:basedOn w:val="48"/>
    <w:qFormat/>
    <w:uiPriority w:val="0"/>
  </w:style>
  <w:style w:type="character" w:styleId="52">
    <w:name w:val="FollowedHyperlink"/>
    <w:qFormat/>
    <w:uiPriority w:val="99"/>
    <w:rPr>
      <w:color w:val="800080"/>
      <w:u w:val="single"/>
    </w:rPr>
  </w:style>
  <w:style w:type="character" w:styleId="53">
    <w:name w:val="Emphasis"/>
    <w:qFormat/>
    <w:locked/>
    <w:uiPriority w:val="20"/>
    <w:rPr>
      <w:color w:val="CC0000"/>
    </w:rPr>
  </w:style>
  <w:style w:type="character" w:styleId="54">
    <w:name w:val="Hyperlink"/>
    <w:basedOn w:val="48"/>
    <w:unhideWhenUsed/>
    <w:qFormat/>
    <w:uiPriority w:val="99"/>
    <w:rPr>
      <w:color w:val="0563C1" w:themeColor="hyperlink"/>
      <w:u w:val="single"/>
      <w14:textFill>
        <w14:solidFill>
          <w14:schemeClr w14:val="hlink"/>
        </w14:solidFill>
      </w14:textFill>
    </w:rPr>
  </w:style>
  <w:style w:type="character" w:styleId="55">
    <w:name w:val="annotation reference"/>
    <w:basedOn w:val="48"/>
    <w:qFormat/>
    <w:uiPriority w:val="99"/>
    <w:rPr>
      <w:sz w:val="21"/>
    </w:rPr>
  </w:style>
  <w:style w:type="character" w:styleId="56">
    <w:name w:val="footnote reference"/>
    <w:qFormat/>
    <w:uiPriority w:val="0"/>
    <w:rPr>
      <w:vertAlign w:val="superscript"/>
    </w:rPr>
  </w:style>
  <w:style w:type="paragraph" w:customStyle="1" w:styleId="57">
    <w:name w:val="Default"/>
    <w:basedOn w:val="58"/>
    <w:next w:val="5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纯文本1"/>
    <w:qFormat/>
    <w:uiPriority w:val="0"/>
    <w:pPr>
      <w:widowControl w:val="0"/>
      <w:jc w:val="both"/>
      <w:textAlignment w:val="baseline"/>
    </w:pPr>
    <w:rPr>
      <w:rFonts w:ascii="宋体" w:hAnsi="Courier New" w:eastAsia="宋体" w:cs="Times New Roman"/>
      <w:kern w:val="2"/>
      <w:sz w:val="21"/>
      <w:szCs w:val="24"/>
      <w:lang w:val="en-US" w:eastAsia="zh-CN" w:bidi="ar-SA"/>
    </w:rPr>
  </w:style>
  <w:style w:type="paragraph" w:customStyle="1" w:styleId="59">
    <w:name w:val="正文文字 6"/>
    <w:next w:val="1"/>
    <w:qFormat/>
    <w:uiPriority w:val="0"/>
    <w:pPr>
      <w:widowControl w:val="0"/>
      <w:spacing w:line="600" w:lineRule="exact"/>
      <w:ind w:left="240"/>
      <w:jc w:val="both"/>
    </w:pPr>
    <w:rPr>
      <w:rFonts w:ascii="宋体" w:hAnsi="Times New Roman" w:eastAsia="宋体" w:cs="Times New Roman"/>
      <w:b/>
      <w:bCs/>
      <w:kern w:val="2"/>
      <w:sz w:val="32"/>
      <w:szCs w:val="32"/>
      <w:lang w:val="en-US" w:eastAsia="zh-CN" w:bidi="ar-SA"/>
    </w:rPr>
  </w:style>
  <w:style w:type="character" w:customStyle="1" w:styleId="60">
    <w:name w:val="普通(网站) Char"/>
    <w:qFormat/>
    <w:locked/>
    <w:uiPriority w:val="0"/>
    <w:rPr>
      <w:rFonts w:ascii="宋体" w:hAnsi="宋体" w:eastAsia="宋体"/>
      <w:sz w:val="24"/>
    </w:rPr>
  </w:style>
  <w:style w:type="character" w:customStyle="1" w:styleId="61">
    <w:name w:val="普通(网站) 字符"/>
    <w:link w:val="41"/>
    <w:qFormat/>
    <w:locked/>
    <w:uiPriority w:val="0"/>
    <w:rPr>
      <w:rFonts w:ascii="宋体" w:hAnsi="宋体" w:eastAsia="宋体"/>
      <w:sz w:val="24"/>
    </w:rPr>
  </w:style>
  <w:style w:type="character" w:customStyle="1" w:styleId="62">
    <w:name w:val="页眉 字符"/>
    <w:basedOn w:val="48"/>
    <w:link w:val="28"/>
    <w:qFormat/>
    <w:locked/>
    <w:uiPriority w:val="99"/>
    <w:rPr>
      <w:rFonts w:cs="Times New Roman"/>
      <w:sz w:val="18"/>
      <w:szCs w:val="18"/>
    </w:rPr>
  </w:style>
  <w:style w:type="character" w:customStyle="1" w:styleId="63">
    <w:name w:val="批注主题 字符"/>
    <w:basedOn w:val="64"/>
    <w:link w:val="44"/>
    <w:semiHidden/>
    <w:qFormat/>
    <w:locked/>
    <w:uiPriority w:val="99"/>
    <w:rPr>
      <w:rFonts w:ascii="Times New Roman" w:hAnsi="Times New Roman" w:eastAsia="宋体" w:cs="Times New Roman"/>
      <w:b/>
      <w:bCs/>
      <w:kern w:val="2"/>
      <w:sz w:val="24"/>
      <w:szCs w:val="24"/>
    </w:rPr>
  </w:style>
  <w:style w:type="character" w:customStyle="1" w:styleId="64">
    <w:name w:val="批注文字 字符"/>
    <w:link w:val="14"/>
    <w:qFormat/>
    <w:locked/>
    <w:uiPriority w:val="99"/>
    <w:rPr>
      <w:rFonts w:ascii="Times New Roman" w:hAnsi="Times New Roman" w:eastAsia="宋体"/>
      <w:sz w:val="24"/>
    </w:rPr>
  </w:style>
  <w:style w:type="character" w:customStyle="1" w:styleId="65">
    <w:name w:val="正文文本 字符1"/>
    <w:basedOn w:val="48"/>
    <w:semiHidden/>
    <w:qFormat/>
    <w:uiPriority w:val="0"/>
    <w:rPr>
      <w:rFonts w:ascii="Times New Roman" w:hAnsi="Times New Roman" w:eastAsia="宋体" w:cs="Times New Roman"/>
      <w:sz w:val="24"/>
      <w:szCs w:val="24"/>
    </w:rPr>
  </w:style>
  <w:style w:type="character" w:customStyle="1" w:styleId="66">
    <w:name w:val="页脚 字符"/>
    <w:basedOn w:val="48"/>
    <w:link w:val="27"/>
    <w:qFormat/>
    <w:locked/>
    <w:uiPriority w:val="99"/>
    <w:rPr>
      <w:rFonts w:cs="Times New Roman"/>
      <w:sz w:val="18"/>
      <w:szCs w:val="18"/>
    </w:rPr>
  </w:style>
  <w:style w:type="character" w:customStyle="1" w:styleId="67">
    <w:name w:val="正文文本 字符"/>
    <w:link w:val="16"/>
    <w:qFormat/>
    <w:locked/>
    <w:uiPriority w:val="99"/>
    <w:rPr>
      <w:sz w:val="18"/>
    </w:rPr>
  </w:style>
  <w:style w:type="character" w:customStyle="1" w:styleId="68">
    <w:name w:val="批注文字 字符1"/>
    <w:basedOn w:val="48"/>
    <w:semiHidden/>
    <w:qFormat/>
    <w:uiPriority w:val="0"/>
    <w:rPr>
      <w:rFonts w:ascii="Times New Roman" w:hAnsi="Times New Roman" w:eastAsia="宋体" w:cs="Times New Roman"/>
      <w:sz w:val="24"/>
      <w:szCs w:val="24"/>
    </w:rPr>
  </w:style>
  <w:style w:type="character" w:customStyle="1" w:styleId="69">
    <w:name w:val="日期 字符1"/>
    <w:link w:val="23"/>
    <w:qFormat/>
    <w:locked/>
    <w:uiPriority w:val="0"/>
    <w:rPr>
      <w:rFonts w:ascii="Times New Roman" w:hAnsi="Times New Roman" w:eastAsia="宋体"/>
      <w:sz w:val="24"/>
    </w:rPr>
  </w:style>
  <w:style w:type="character" w:customStyle="1" w:styleId="70">
    <w:name w:val="日期 字符"/>
    <w:basedOn w:val="48"/>
    <w:qFormat/>
    <w:uiPriority w:val="0"/>
    <w:rPr>
      <w:rFonts w:ascii="Times New Roman" w:hAnsi="Times New Roman" w:eastAsia="宋体" w:cs="Times New Roman"/>
      <w:sz w:val="24"/>
      <w:szCs w:val="24"/>
    </w:rPr>
  </w:style>
  <w:style w:type="character" w:customStyle="1" w:styleId="71">
    <w:name w:val="表格 Char"/>
    <w:link w:val="72"/>
    <w:qFormat/>
    <w:locked/>
    <w:uiPriority w:val="0"/>
    <w:rPr>
      <w:rFonts w:ascii="宋体"/>
      <w:sz w:val="21"/>
    </w:rPr>
  </w:style>
  <w:style w:type="paragraph" w:customStyle="1" w:styleId="72">
    <w:name w:val="表格"/>
    <w:basedOn w:val="33"/>
    <w:next w:val="1"/>
    <w:link w:val="71"/>
    <w:qFormat/>
    <w:uiPriority w:val="0"/>
    <w:pPr>
      <w:adjustRightInd w:val="0"/>
      <w:snapToGrid w:val="0"/>
      <w:spacing w:beforeLines="10" w:afterLines="10" w:line="259" w:lineRule="auto"/>
      <w:jc w:val="center"/>
    </w:pPr>
    <w:rPr>
      <w:rFonts w:ascii="宋体"/>
      <w:kern w:val="0"/>
      <w:sz w:val="20"/>
      <w:szCs w:val="21"/>
    </w:rPr>
  </w:style>
  <w:style w:type="character" w:customStyle="1" w:styleId="73">
    <w:name w:val="批注框文本 字符"/>
    <w:basedOn w:val="48"/>
    <w:link w:val="26"/>
    <w:semiHidden/>
    <w:qFormat/>
    <w:locked/>
    <w:uiPriority w:val="99"/>
    <w:rPr>
      <w:rFonts w:ascii="Times New Roman" w:hAnsi="Times New Roman" w:eastAsia="宋体" w:cs="Times New Roman"/>
      <w:sz w:val="18"/>
      <w:szCs w:val="18"/>
    </w:rPr>
  </w:style>
  <w:style w:type="character" w:customStyle="1" w:styleId="74">
    <w:name w:val="正文文本缩进 字符"/>
    <w:basedOn w:val="48"/>
    <w:link w:val="3"/>
    <w:qFormat/>
    <w:locked/>
    <w:uiPriority w:val="0"/>
    <w:rPr>
      <w:rFonts w:ascii="Times New Roman" w:hAnsi="Times New Roman" w:eastAsia="宋体" w:cs="Times New Roman"/>
      <w:sz w:val="24"/>
      <w:szCs w:val="24"/>
    </w:rPr>
  </w:style>
  <w:style w:type="paragraph" w:customStyle="1" w:styleId="7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6">
    <w:name w:val="TOC 标题1"/>
    <w:basedOn w:val="5"/>
    <w:next w:val="1"/>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77">
    <w:name w:val="标题 3 字符"/>
    <w:basedOn w:val="48"/>
    <w:link w:val="7"/>
    <w:qFormat/>
    <w:uiPriority w:val="0"/>
    <w:rPr>
      <w:b/>
      <w:bCs/>
      <w:kern w:val="2"/>
      <w:sz w:val="32"/>
      <w:szCs w:val="32"/>
    </w:rPr>
  </w:style>
  <w:style w:type="character" w:customStyle="1" w:styleId="78">
    <w:name w:val="标题 2 字符"/>
    <w:basedOn w:val="48"/>
    <w:link w:val="6"/>
    <w:qFormat/>
    <w:uiPriority w:val="9"/>
    <w:rPr>
      <w:rFonts w:ascii="宋体" w:hAnsi="宋体" w:eastAsia="黑体"/>
      <w:bCs/>
      <w:color w:val="000066"/>
      <w:sz w:val="28"/>
      <w:szCs w:val="32"/>
    </w:rPr>
  </w:style>
  <w:style w:type="character" w:customStyle="1" w:styleId="79">
    <w:name w:val="标题 4 字符"/>
    <w:basedOn w:val="48"/>
    <w:link w:val="8"/>
    <w:qFormat/>
    <w:uiPriority w:val="9"/>
    <w:rPr>
      <w:rFonts w:ascii="等线 Light" w:hAnsi="等线 Light" w:eastAsia="等线 Light"/>
      <w:b/>
      <w:bCs/>
      <w:sz w:val="28"/>
      <w:szCs w:val="28"/>
    </w:rPr>
  </w:style>
  <w:style w:type="character" w:customStyle="1" w:styleId="80">
    <w:name w:val="标题 5 字符"/>
    <w:basedOn w:val="48"/>
    <w:link w:val="9"/>
    <w:qFormat/>
    <w:uiPriority w:val="0"/>
    <w:rPr>
      <w:kern w:val="2"/>
      <w:sz w:val="18"/>
      <w:szCs w:val="18"/>
    </w:rPr>
  </w:style>
  <w:style w:type="character" w:customStyle="1" w:styleId="81">
    <w:name w:val="标题 1 字符"/>
    <w:basedOn w:val="48"/>
    <w:link w:val="5"/>
    <w:qFormat/>
    <w:uiPriority w:val="9"/>
    <w:rPr>
      <w:rFonts w:eastAsia="黑体"/>
      <w:b/>
      <w:bCs/>
      <w:color w:val="000000"/>
      <w:kern w:val="44"/>
      <w:sz w:val="30"/>
      <w:szCs w:val="30"/>
    </w:rPr>
  </w:style>
  <w:style w:type="paragraph" w:customStyle="1" w:styleId="82">
    <w:name w:val="示意图2"/>
    <w:basedOn w:val="1"/>
    <w:qFormat/>
    <w:uiPriority w:val="0"/>
    <w:pPr>
      <w:adjustRightInd w:val="0"/>
      <w:snapToGrid w:val="0"/>
      <w:spacing w:line="360" w:lineRule="auto"/>
      <w:ind w:firstLine="200" w:firstLineChars="200"/>
      <w:jc w:val="left"/>
      <w:textAlignment w:val="baseline"/>
    </w:pPr>
    <w:rPr>
      <w:rFonts w:ascii="宋体" w:hAnsi="宋体" w:cs="宋体"/>
      <w:bCs/>
      <w:kern w:val="0"/>
      <w:sz w:val="24"/>
    </w:rPr>
  </w:style>
  <w:style w:type="character" w:customStyle="1" w:styleId="83">
    <w:name w:val="纯文本 字符"/>
    <w:basedOn w:val="48"/>
    <w:link w:val="21"/>
    <w:qFormat/>
    <w:uiPriority w:val="99"/>
    <w:rPr>
      <w:rFonts w:ascii="宋体" w:hAnsi="Courier New"/>
      <w:kern w:val="2"/>
      <w:sz w:val="28"/>
      <w:szCs w:val="21"/>
    </w:rPr>
  </w:style>
  <w:style w:type="paragraph" w:customStyle="1" w:styleId="84">
    <w:name w:val="1 Char Char Char Char Char Char Char Char Char Char"/>
    <w:basedOn w:val="1"/>
    <w:qFormat/>
    <w:uiPriority w:val="0"/>
    <w:pPr>
      <w:spacing w:line="540" w:lineRule="exact"/>
      <w:ind w:firstLine="200" w:firstLineChars="200"/>
    </w:pPr>
    <w:rPr>
      <w:kern w:val="0"/>
      <w:sz w:val="28"/>
      <w:szCs w:val="28"/>
    </w:rPr>
  </w:style>
  <w:style w:type="paragraph" w:customStyle="1" w:styleId="85">
    <w:name w:val="样式 四号 自动设置 行距: 1.5 倍行距"/>
    <w:basedOn w:val="1"/>
    <w:qFormat/>
    <w:uiPriority w:val="0"/>
    <w:pPr>
      <w:adjustRightInd w:val="0"/>
      <w:snapToGrid w:val="0"/>
      <w:spacing w:line="540" w:lineRule="exact"/>
      <w:ind w:firstLine="560" w:firstLineChars="200"/>
      <w:textAlignment w:val="baseline"/>
    </w:pPr>
    <w:rPr>
      <w:rFonts w:hAnsi="宋体"/>
      <w:bCs/>
      <w:kern w:val="0"/>
      <w:sz w:val="28"/>
      <w:szCs w:val="20"/>
    </w:rPr>
  </w:style>
  <w:style w:type="paragraph" w:customStyle="1" w:styleId="86">
    <w:name w:val="p0"/>
    <w:basedOn w:val="1"/>
    <w:qFormat/>
    <w:uiPriority w:val="0"/>
    <w:pPr>
      <w:widowControl/>
      <w:spacing w:line="540" w:lineRule="exact"/>
      <w:ind w:firstLine="200" w:firstLineChars="200"/>
    </w:pPr>
    <w:rPr>
      <w:kern w:val="0"/>
      <w:szCs w:val="21"/>
    </w:rPr>
  </w:style>
  <w:style w:type="paragraph" w:customStyle="1" w:styleId="87">
    <w:name w:val="样式3"/>
    <w:basedOn w:val="1"/>
    <w:qFormat/>
    <w:uiPriority w:val="0"/>
    <w:pPr>
      <w:spacing w:line="540" w:lineRule="exact"/>
      <w:ind w:firstLine="567" w:firstLineChars="200"/>
    </w:pPr>
    <w:rPr>
      <w:kern w:val="0"/>
      <w:sz w:val="28"/>
      <w:szCs w:val="20"/>
    </w:rPr>
  </w:style>
  <w:style w:type="paragraph" w:customStyle="1" w:styleId="88">
    <w:name w:val="样式 样式 四号 自动设置 行距: 1.5 倍行距 + 首行缩进:  2 字符1"/>
    <w:basedOn w:val="85"/>
    <w:qFormat/>
    <w:uiPriority w:val="0"/>
  </w:style>
  <w:style w:type="paragraph" w:customStyle="1" w:styleId="89">
    <w:name w:val="正文样式 1.75 字行"/>
    <w:basedOn w:val="1"/>
    <w:qFormat/>
    <w:uiPriority w:val="0"/>
    <w:pPr>
      <w:snapToGrid w:val="0"/>
      <w:spacing w:line="500" w:lineRule="exact"/>
      <w:ind w:firstLine="560" w:firstLineChars="200"/>
    </w:pPr>
    <w:rPr>
      <w:rFonts w:ascii="宋体" w:hAnsi="宋体" w:cs="宋体"/>
      <w:kern w:val="0"/>
      <w:sz w:val="28"/>
      <w:szCs w:val="20"/>
    </w:rPr>
  </w:style>
  <w:style w:type="character" w:customStyle="1" w:styleId="90">
    <w:name w:val="文档结构图 字符"/>
    <w:basedOn w:val="48"/>
    <w:link w:val="13"/>
    <w:qFormat/>
    <w:uiPriority w:val="99"/>
    <w:rPr>
      <w:rFonts w:ascii="宋体"/>
      <w:sz w:val="18"/>
      <w:szCs w:val="18"/>
    </w:rPr>
  </w:style>
  <w:style w:type="character" w:customStyle="1" w:styleId="91">
    <w:name w:val="标题 字符"/>
    <w:basedOn w:val="48"/>
    <w:link w:val="43"/>
    <w:qFormat/>
    <w:uiPriority w:val="10"/>
    <w:rPr>
      <w:b/>
      <w:bCs/>
      <w:sz w:val="28"/>
      <w:szCs w:val="32"/>
    </w:rPr>
  </w:style>
  <w:style w:type="paragraph" w:customStyle="1" w:styleId="92">
    <w:name w:val="表名"/>
    <w:basedOn w:val="21"/>
    <w:link w:val="241"/>
    <w:qFormat/>
    <w:uiPriority w:val="0"/>
    <w:pPr>
      <w:ind w:firstLine="0" w:firstLineChars="0"/>
      <w:jc w:val="center"/>
    </w:pPr>
    <w:rPr>
      <w:rFonts w:ascii="Times New Roman" w:hAnsi="Times New Roman" w:eastAsia="黑体"/>
      <w:color w:val="000099"/>
      <w:sz w:val="24"/>
    </w:rPr>
  </w:style>
  <w:style w:type="paragraph" w:customStyle="1" w:styleId="93">
    <w:name w:val="表格内容"/>
    <w:basedOn w:val="92"/>
    <w:qFormat/>
    <w:uiPriority w:val="0"/>
    <w:pPr>
      <w:spacing w:line="240" w:lineRule="exact"/>
    </w:pPr>
    <w:rPr>
      <w:rFonts w:eastAsia="宋体"/>
      <w:color w:val="auto"/>
      <w:sz w:val="21"/>
    </w:rPr>
  </w:style>
  <w:style w:type="paragraph" w:customStyle="1" w:styleId="94">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5">
    <w:name w:val="Char Char Char Char Char Char"/>
    <w:basedOn w:val="13"/>
    <w:qFormat/>
    <w:uiPriority w:val="0"/>
    <w:pPr>
      <w:widowControl/>
      <w:shd w:val="clear" w:color="auto" w:fill="000080"/>
      <w:adjustRightInd w:val="0"/>
      <w:spacing w:line="436" w:lineRule="exact"/>
      <w:ind w:left="357" w:firstLine="0" w:firstLineChars="0"/>
      <w:jc w:val="left"/>
      <w:outlineLvl w:val="3"/>
    </w:pPr>
    <w:rPr>
      <w:rFonts w:ascii="Tahoma" w:hAnsi="Tahoma"/>
      <w:b/>
      <w:sz w:val="24"/>
      <w:szCs w:val="20"/>
    </w:rPr>
  </w:style>
  <w:style w:type="paragraph" w:customStyle="1" w:styleId="96">
    <w:name w:val="Char Char 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97">
    <w:name w:val="Char"/>
    <w:basedOn w:val="1"/>
    <w:next w:val="1"/>
    <w:qFormat/>
    <w:uiPriority w:val="0"/>
    <w:pPr>
      <w:spacing w:line="360" w:lineRule="auto"/>
      <w:ind w:firstLine="200" w:firstLineChars="200"/>
    </w:pPr>
    <w:rPr>
      <w:rFonts w:ascii="宋体" w:hAnsi="宋体" w:eastAsia="汉鼎简书宋" w:cs="宋体"/>
      <w:kern w:val="0"/>
      <w:sz w:val="24"/>
    </w:rPr>
  </w:style>
  <w:style w:type="paragraph" w:customStyle="1" w:styleId="98">
    <w:name w:val="6-正文"/>
    <w:basedOn w:val="1"/>
    <w:qFormat/>
    <w:uiPriority w:val="0"/>
    <w:rPr>
      <w:kern w:val="0"/>
      <w:szCs w:val="28"/>
    </w:rPr>
  </w:style>
  <w:style w:type="table" w:customStyle="1" w:styleId="99">
    <w:name w:val="网格型1"/>
    <w:basedOn w:val="4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00">
    <w:name w:val="副标题 字符"/>
    <w:basedOn w:val="48"/>
    <w:link w:val="32"/>
    <w:qFormat/>
    <w:uiPriority w:val="11"/>
    <w:rPr>
      <w:rFonts w:eastAsia="楷体_GB2312"/>
      <w:b/>
      <w:kern w:val="28"/>
      <w:sz w:val="28"/>
      <w:szCs w:val="32"/>
    </w:rPr>
  </w:style>
  <w:style w:type="paragraph" w:customStyle="1" w:styleId="101">
    <w:name w:val="表格名称 居中"/>
    <w:basedOn w:val="1"/>
    <w:qFormat/>
    <w:uiPriority w:val="0"/>
    <w:pPr>
      <w:adjustRightInd w:val="0"/>
      <w:snapToGrid w:val="0"/>
      <w:spacing w:line="560" w:lineRule="exact"/>
      <w:jc w:val="center"/>
    </w:pPr>
    <w:rPr>
      <w:rFonts w:ascii="宋体" w:hAnsi="宋体"/>
      <w:b/>
      <w:kern w:val="0"/>
      <w:sz w:val="24"/>
    </w:rPr>
  </w:style>
  <w:style w:type="character" w:customStyle="1" w:styleId="102">
    <w:name w:val="正文文本样式 Char"/>
    <w:link w:val="103"/>
    <w:qFormat/>
    <w:uiPriority w:val="0"/>
    <w:rPr>
      <w:rFonts w:ascii="宋体" w:hAnsi="宋体" w:cs="宋体"/>
      <w:kern w:val="2"/>
      <w:sz w:val="28"/>
      <w:szCs w:val="21"/>
    </w:rPr>
  </w:style>
  <w:style w:type="paragraph" w:customStyle="1" w:styleId="103">
    <w:name w:val="正文文本样式"/>
    <w:basedOn w:val="21"/>
    <w:link w:val="102"/>
    <w:qFormat/>
    <w:uiPriority w:val="0"/>
    <w:pPr>
      <w:adjustRightInd w:val="0"/>
      <w:snapToGrid w:val="0"/>
      <w:spacing w:line="560" w:lineRule="exact"/>
      <w:ind w:firstLine="560"/>
      <w:textAlignment w:val="center"/>
    </w:pPr>
    <w:rPr>
      <w:rFonts w:hAnsi="宋体" w:cs="宋体"/>
    </w:rPr>
  </w:style>
  <w:style w:type="character" w:customStyle="1" w:styleId="104">
    <w:name w:val="正 文 1 Char Char Char Char Char1"/>
    <w:qFormat/>
    <w:uiPriority w:val="0"/>
    <w:rPr>
      <w:rFonts w:ascii="宋体" w:hAnsi="Courier New" w:cs="Courier New"/>
      <w:kern w:val="2"/>
      <w:sz w:val="21"/>
      <w:szCs w:val="21"/>
    </w:rPr>
  </w:style>
  <w:style w:type="paragraph" w:customStyle="1" w:styleId="105">
    <w:name w:val="样式 宋体 四号 段前: 5 磅 段后: 5 磅 行距: 1.5 倍行距"/>
    <w:basedOn w:val="1"/>
    <w:qFormat/>
    <w:uiPriority w:val="0"/>
    <w:pPr>
      <w:spacing w:line="360" w:lineRule="auto"/>
      <w:ind w:firstLine="200" w:firstLineChars="200"/>
    </w:pPr>
    <w:rPr>
      <w:rFonts w:ascii="宋体" w:hAnsi="宋体" w:cs="宋体"/>
      <w:kern w:val="0"/>
      <w:sz w:val="28"/>
      <w:szCs w:val="20"/>
    </w:rPr>
  </w:style>
  <w:style w:type="character" w:customStyle="1" w:styleId="106">
    <w:name w:val="正文 + 黑色 Char"/>
    <w:link w:val="107"/>
    <w:qFormat/>
    <w:uiPriority w:val="0"/>
    <w:rPr>
      <w:kern w:val="2"/>
      <w:sz w:val="28"/>
      <w:szCs w:val="28"/>
    </w:rPr>
  </w:style>
  <w:style w:type="paragraph" w:customStyle="1" w:styleId="107">
    <w:name w:val="正文 + 黑色"/>
    <w:basedOn w:val="1"/>
    <w:link w:val="106"/>
    <w:qFormat/>
    <w:uiPriority w:val="0"/>
    <w:pPr>
      <w:snapToGrid w:val="0"/>
      <w:spacing w:line="560" w:lineRule="exact"/>
      <w:ind w:firstLine="560" w:firstLineChars="200"/>
      <w:jc w:val="left"/>
    </w:pPr>
    <w:rPr>
      <w:sz w:val="28"/>
      <w:szCs w:val="28"/>
    </w:rPr>
  </w:style>
  <w:style w:type="paragraph" w:customStyle="1" w:styleId="108">
    <w:name w:val="正文，四宋"/>
    <w:basedOn w:val="1"/>
    <w:qFormat/>
    <w:uiPriority w:val="0"/>
    <w:pPr>
      <w:spacing w:line="460" w:lineRule="exact"/>
      <w:ind w:firstLine="567"/>
      <w:outlineLvl w:val="4"/>
    </w:pPr>
    <w:rPr>
      <w:kern w:val="0"/>
      <w:sz w:val="28"/>
      <w:szCs w:val="20"/>
    </w:rPr>
  </w:style>
  <w:style w:type="character" w:customStyle="1" w:styleId="109">
    <w:name w:val="页脚 Char"/>
    <w:qFormat/>
    <w:uiPriority w:val="99"/>
    <w:rPr>
      <w:kern w:val="2"/>
      <w:sz w:val="18"/>
      <w:szCs w:val="28"/>
    </w:rPr>
  </w:style>
  <w:style w:type="paragraph" w:customStyle="1" w:styleId="110">
    <w:name w:val="L正文"/>
    <w:basedOn w:val="1"/>
    <w:link w:val="111"/>
    <w:qFormat/>
    <w:uiPriority w:val="0"/>
    <w:pPr>
      <w:widowControl/>
      <w:ind w:firstLine="200" w:firstLineChars="200"/>
      <w:jc w:val="left"/>
    </w:pPr>
    <w:rPr>
      <w:color w:val="000000"/>
      <w:sz w:val="28"/>
      <w:szCs w:val="28"/>
      <w:lang w:val="zh-CN" w:eastAsia="en-US" w:bidi="en-US"/>
    </w:rPr>
  </w:style>
  <w:style w:type="character" w:customStyle="1" w:styleId="111">
    <w:name w:val="L正文 Char"/>
    <w:link w:val="110"/>
    <w:qFormat/>
    <w:uiPriority w:val="0"/>
    <w:rPr>
      <w:color w:val="000000"/>
      <w:kern w:val="2"/>
      <w:sz w:val="28"/>
      <w:szCs w:val="28"/>
      <w:lang w:val="zh-CN" w:eastAsia="en-US" w:bidi="en-US"/>
    </w:rPr>
  </w:style>
  <w:style w:type="paragraph" w:styleId="112">
    <w:name w:val="List Paragraph"/>
    <w:basedOn w:val="1"/>
    <w:qFormat/>
    <w:uiPriority w:val="34"/>
    <w:pPr>
      <w:spacing w:line="540" w:lineRule="exact"/>
      <w:ind w:firstLine="420" w:firstLineChars="200"/>
    </w:pPr>
    <w:rPr>
      <w:kern w:val="0"/>
      <w:sz w:val="28"/>
      <w:szCs w:val="28"/>
    </w:rPr>
  </w:style>
  <w:style w:type="paragraph" w:customStyle="1" w:styleId="113">
    <w:name w:val="列出段落1"/>
    <w:basedOn w:val="1"/>
    <w:qFormat/>
    <w:uiPriority w:val="0"/>
    <w:pPr>
      <w:ind w:firstLine="420" w:firstLineChars="200"/>
    </w:pPr>
    <w:rPr>
      <w:rFonts w:ascii="Calibri" w:hAnsi="Calibri" w:cs="Calibri"/>
      <w:szCs w:val="21"/>
    </w:rPr>
  </w:style>
  <w:style w:type="paragraph" w:customStyle="1" w:styleId="114">
    <w:name w:val="一般正文 + 首行缩进:  2 字符 Char"/>
    <w:basedOn w:val="1"/>
    <w:qFormat/>
    <w:uiPriority w:val="0"/>
    <w:pPr>
      <w:adjustRightInd w:val="0"/>
      <w:snapToGrid w:val="0"/>
      <w:spacing w:beforeLines="20" w:after="100" w:afterAutospacing="1" w:line="324" w:lineRule="auto"/>
      <w:ind w:firstLine="200" w:firstLineChars="200"/>
    </w:pPr>
    <w:rPr>
      <w:rFonts w:ascii="宋体" w:hAnsi="宋体" w:cs="宋体"/>
      <w:color w:val="000000"/>
      <w:kern w:val="0"/>
      <w:sz w:val="26"/>
      <w:szCs w:val="26"/>
    </w:rPr>
  </w:style>
  <w:style w:type="character" w:customStyle="1" w:styleId="115">
    <w:name w:val="篇 Char"/>
    <w:qFormat/>
    <w:uiPriority w:val="0"/>
    <w:rPr>
      <w:rFonts w:ascii="黑体" w:eastAsia="黑体"/>
      <w:b/>
      <w:bCs/>
      <w:color w:val="000080"/>
      <w:kern w:val="44"/>
      <w:sz w:val="32"/>
      <w:szCs w:val="44"/>
      <w:lang w:val="en-US" w:eastAsia="zh-CN" w:bidi="ar-SA"/>
    </w:rPr>
  </w:style>
  <w:style w:type="character" w:customStyle="1" w:styleId="116">
    <w:name w:val="2 headline Char1"/>
    <w:qFormat/>
    <w:uiPriority w:val="0"/>
    <w:rPr>
      <w:rFonts w:ascii="Arial" w:hAnsi="Arial" w:eastAsia="黑体"/>
      <w:bCs/>
      <w:color w:val="000080"/>
      <w:kern w:val="2"/>
      <w:sz w:val="28"/>
      <w:szCs w:val="32"/>
      <w:lang w:val="en-US" w:eastAsia="zh-CN" w:bidi="ar-SA"/>
    </w:rPr>
  </w:style>
  <w:style w:type="character" w:customStyle="1" w:styleId="117">
    <w:name w:val="3 bullet Char"/>
    <w:qFormat/>
    <w:uiPriority w:val="0"/>
    <w:rPr>
      <w:rFonts w:ascii="楷体_GB2312" w:eastAsia="楷体_GB2312"/>
      <w:b/>
      <w:bCs/>
      <w:kern w:val="2"/>
      <w:sz w:val="28"/>
      <w:szCs w:val="32"/>
      <w:lang w:val="en-US" w:eastAsia="zh-CN" w:bidi="ar-SA"/>
    </w:rPr>
  </w:style>
  <w:style w:type="character" w:customStyle="1" w:styleId="118">
    <w:name w:val="普通文字 Char2"/>
    <w:qFormat/>
    <w:uiPriority w:val="0"/>
    <w:rPr>
      <w:rFonts w:ascii="宋体" w:hAnsi="Courier New" w:eastAsia="宋体" w:cs="Courier New"/>
      <w:sz w:val="28"/>
      <w:szCs w:val="28"/>
      <w:lang w:val="en-US" w:eastAsia="zh-CN" w:bidi="ar-SA"/>
    </w:rPr>
  </w:style>
  <w:style w:type="character" w:customStyle="1" w:styleId="119">
    <w:name w:val="Char Char6"/>
    <w:qFormat/>
    <w:uiPriority w:val="0"/>
    <w:rPr>
      <w:rFonts w:eastAsia="宋体"/>
      <w:kern w:val="2"/>
      <w:sz w:val="18"/>
      <w:szCs w:val="18"/>
      <w:lang w:val="en-US" w:eastAsia="zh-CN" w:bidi="ar-SA"/>
    </w:rPr>
  </w:style>
  <w:style w:type="character" w:customStyle="1" w:styleId="120">
    <w:name w:val="页眉 Char Char Char1"/>
    <w:qFormat/>
    <w:uiPriority w:val="0"/>
    <w:rPr>
      <w:rFonts w:eastAsia="宋体"/>
      <w:kern w:val="2"/>
      <w:sz w:val="18"/>
      <w:szCs w:val="18"/>
      <w:lang w:val="en-US" w:eastAsia="zh-CN" w:bidi="ar-SA"/>
    </w:rPr>
  </w:style>
  <w:style w:type="paragraph" w:customStyle="1" w:styleId="121">
    <w:name w:val="样式2"/>
    <w:basedOn w:val="31"/>
    <w:qFormat/>
    <w:uiPriority w:val="0"/>
    <w:pPr>
      <w:outlineLvl w:val="0"/>
    </w:pPr>
    <w:rPr>
      <w:rFonts w:ascii="华文中宋" w:hAnsi="华文中宋" w:eastAsia="华文中宋"/>
      <w:sz w:val="28"/>
    </w:rPr>
  </w:style>
  <w:style w:type="character" w:customStyle="1" w:styleId="122">
    <w:name w:val="d11"/>
    <w:qFormat/>
    <w:uiPriority w:val="0"/>
    <w:rPr>
      <w:sz w:val="18"/>
      <w:szCs w:val="18"/>
    </w:rPr>
  </w:style>
  <w:style w:type="paragraph" w:customStyle="1" w:styleId="123">
    <w:name w:val="正文一"/>
    <w:basedOn w:val="1"/>
    <w:qFormat/>
    <w:uiPriority w:val="0"/>
    <w:pPr>
      <w:spacing w:line="540" w:lineRule="exact"/>
      <w:ind w:firstLine="200" w:firstLineChars="200"/>
    </w:pPr>
    <w:rPr>
      <w:sz w:val="28"/>
      <w:szCs w:val="28"/>
    </w:rPr>
  </w:style>
  <w:style w:type="character" w:customStyle="1" w:styleId="124">
    <w:name w:val="Char Char4"/>
    <w:semiHidden/>
    <w:qFormat/>
    <w:uiPriority w:val="0"/>
    <w:rPr>
      <w:rFonts w:eastAsia="宋体"/>
      <w:kern w:val="2"/>
      <w:sz w:val="28"/>
      <w:szCs w:val="28"/>
      <w:lang w:val="en-US" w:eastAsia="zh-CN" w:bidi="ar-SA"/>
    </w:rPr>
  </w:style>
  <w:style w:type="character" w:customStyle="1" w:styleId="125">
    <w:name w:val="Char Char Char Char Char Char Char Char Char Char Char Char Char Char Char Char Char Char Char Char Char Char Char Char Char Char Char Char Char Char Char Char Char Char Char Char Char Char Char Char Char Char Char Char Char Char Char Char Char Char  C"/>
    <w:qFormat/>
    <w:uiPriority w:val="0"/>
    <w:rPr>
      <w:rFonts w:ascii="宋体" w:hAnsi="Courier New" w:eastAsia="宋体" w:cs="宋体"/>
      <w:kern w:val="2"/>
      <w:sz w:val="28"/>
      <w:szCs w:val="28"/>
      <w:lang w:val="en-US" w:eastAsia="zh-CN" w:bidi="ar-SA"/>
    </w:rPr>
  </w:style>
  <w:style w:type="character" w:customStyle="1" w:styleId="126">
    <w:name w:val="Char Char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宋体" w:hAnsi="Courier New" w:eastAsia="宋体" w:cs="宋体"/>
      <w:kern w:val="2"/>
      <w:sz w:val="21"/>
      <w:szCs w:val="21"/>
      <w:lang w:val="en-US" w:eastAsia="zh-CN" w:bidi="ar-SA"/>
    </w:rPr>
  </w:style>
  <w:style w:type="character" w:customStyle="1" w:styleId="127">
    <w:name w:val="正文（首行缩进两字） Char Char"/>
    <w:qFormat/>
    <w:uiPriority w:val="0"/>
    <w:rPr>
      <w:rFonts w:eastAsia="仿宋_GB2312"/>
      <w:spacing w:val="6"/>
      <w:sz w:val="24"/>
      <w:lang w:val="en-US" w:eastAsia="zh-CN" w:bidi="ar-SA"/>
    </w:rPr>
  </w:style>
  <w:style w:type="paragraph" w:customStyle="1" w:styleId="128">
    <w:name w:val="表格，五宋"/>
    <w:qFormat/>
    <w:uiPriority w:val="0"/>
    <w:pPr>
      <w:keepNext/>
      <w:widowControl w:val="0"/>
      <w:snapToGrid w:val="0"/>
      <w:spacing w:line="320" w:lineRule="exact"/>
      <w:jc w:val="both"/>
    </w:pPr>
    <w:rPr>
      <w:rFonts w:ascii="Times New Roman" w:hAnsi="Times New Roman" w:eastAsia="宋体" w:cs="Times New Roman"/>
      <w:snapToGrid w:val="0"/>
      <w:kern w:val="2"/>
      <w:sz w:val="21"/>
      <w:lang w:val="en-US" w:eastAsia="zh-CN" w:bidi="ar-SA"/>
    </w:rPr>
  </w:style>
  <w:style w:type="paragraph" w:customStyle="1" w:styleId="129">
    <w:name w:val="Char Char Char1 Char"/>
    <w:basedOn w:val="13"/>
    <w:qFormat/>
    <w:uiPriority w:val="0"/>
    <w:pPr>
      <w:shd w:val="clear" w:color="auto" w:fill="000080"/>
      <w:adjustRightInd w:val="0"/>
      <w:spacing w:line="436" w:lineRule="exact"/>
      <w:ind w:left="357"/>
      <w:jc w:val="left"/>
      <w:outlineLvl w:val="3"/>
    </w:pPr>
    <w:rPr>
      <w:rFonts w:ascii="Tahoma" w:hAnsi="Tahoma"/>
      <w:b/>
      <w:kern w:val="2"/>
      <w:sz w:val="24"/>
      <w:szCs w:val="28"/>
    </w:rPr>
  </w:style>
  <w:style w:type="paragraph" w:customStyle="1" w:styleId="130">
    <w:name w:val="Char Char Char Char Char Char Char Char Char1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131">
    <w:name w:val="0"/>
    <w:basedOn w:val="1"/>
    <w:qFormat/>
    <w:uiPriority w:val="0"/>
    <w:pPr>
      <w:widowControl/>
      <w:snapToGrid w:val="0"/>
      <w:spacing w:line="365" w:lineRule="atLeast"/>
      <w:ind w:left="1" w:firstLine="200" w:firstLineChars="200"/>
      <w:textAlignment w:val="bottom"/>
    </w:pPr>
    <w:rPr>
      <w:kern w:val="0"/>
      <w:sz w:val="20"/>
      <w:szCs w:val="20"/>
    </w:rPr>
  </w:style>
  <w:style w:type="paragraph" w:customStyle="1" w:styleId="132">
    <w:name w:val="正文1"/>
    <w:link w:val="240"/>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33">
    <w:name w:val="Char Char Char Char Char Char Char"/>
    <w:basedOn w:val="1"/>
    <w:qFormat/>
    <w:uiPriority w:val="0"/>
    <w:pPr>
      <w:widowControl/>
      <w:spacing w:after="160" w:line="240" w:lineRule="exact"/>
      <w:ind w:firstLine="200" w:firstLineChars="200"/>
      <w:jc w:val="left"/>
    </w:pPr>
    <w:rPr>
      <w:rFonts w:ascii="Verdana" w:hAnsi="Verdana" w:eastAsia="仿宋_GB2312" w:cs="宋体"/>
      <w:color w:val="FF0000"/>
      <w:kern w:val="0"/>
      <w:sz w:val="30"/>
      <w:szCs w:val="30"/>
      <w:lang w:eastAsia="en-US"/>
    </w:rPr>
  </w:style>
  <w:style w:type="paragraph" w:customStyle="1" w:styleId="134">
    <w:name w:val="Indent 2"/>
    <w:basedOn w:val="1"/>
    <w:qFormat/>
    <w:uiPriority w:val="0"/>
    <w:pPr>
      <w:widowControl/>
      <w:tabs>
        <w:tab w:val="left" w:pos="720"/>
        <w:tab w:val="left" w:pos="1440"/>
        <w:tab w:val="left" w:pos="2160"/>
        <w:tab w:val="left" w:pos="2880"/>
      </w:tabs>
      <w:spacing w:line="540" w:lineRule="exact"/>
      <w:ind w:firstLine="587" w:firstLineChars="200"/>
    </w:pPr>
    <w:rPr>
      <w:b/>
      <w:kern w:val="0"/>
      <w:sz w:val="28"/>
      <w:szCs w:val="28"/>
    </w:rPr>
  </w:style>
  <w:style w:type="paragraph" w:customStyle="1" w:styleId="135">
    <w:name w:val="xl22"/>
    <w:basedOn w:val="1"/>
    <w:qFormat/>
    <w:uiPriority w:val="0"/>
    <w:pPr>
      <w:widowControl/>
      <w:spacing w:before="100" w:beforeAutospacing="1" w:after="100" w:afterAutospacing="1" w:line="540" w:lineRule="exact"/>
      <w:ind w:firstLine="200" w:firstLineChars="200"/>
      <w:jc w:val="center"/>
    </w:pPr>
    <w:rPr>
      <w:rFonts w:ascii="Arial Unicode MS" w:hAnsi="Arial Unicode MS" w:eastAsia="Arial Unicode MS" w:cs="Arial Unicode MS"/>
      <w:kern w:val="0"/>
      <w:sz w:val="28"/>
    </w:rPr>
  </w:style>
  <w:style w:type="paragraph" w:customStyle="1" w:styleId="136">
    <w:name w:val="王 正文四号 首缩1cm"/>
    <w:basedOn w:val="1"/>
    <w:qFormat/>
    <w:uiPriority w:val="0"/>
    <w:pPr>
      <w:spacing w:line="540" w:lineRule="exact"/>
      <w:ind w:firstLine="585" w:firstLineChars="200"/>
    </w:pPr>
    <w:rPr>
      <w:sz w:val="28"/>
      <w:szCs w:val="28"/>
    </w:rPr>
  </w:style>
  <w:style w:type="paragraph" w:customStyle="1" w:styleId="137">
    <w:name w:val="王 正文 四宋"/>
    <w:basedOn w:val="1"/>
    <w:qFormat/>
    <w:uiPriority w:val="0"/>
    <w:pPr>
      <w:spacing w:line="540" w:lineRule="exact"/>
      <w:ind w:firstLine="567" w:firstLineChars="200"/>
    </w:pPr>
    <w:rPr>
      <w:sz w:val="28"/>
      <w:szCs w:val="28"/>
    </w:rPr>
  </w:style>
  <w:style w:type="character" w:customStyle="1" w:styleId="138">
    <w:name w:val="王 正文 四宋 Char"/>
    <w:qFormat/>
    <w:uiPriority w:val="0"/>
    <w:rPr>
      <w:rFonts w:eastAsia="宋体"/>
      <w:kern w:val="2"/>
      <w:sz w:val="28"/>
      <w:szCs w:val="28"/>
      <w:lang w:val="en-US" w:eastAsia="zh-CN" w:bidi="ar-SA"/>
    </w:rPr>
  </w:style>
  <w:style w:type="paragraph" w:customStyle="1" w:styleId="139">
    <w:name w:val="Char Char Char Char"/>
    <w:basedOn w:val="13"/>
    <w:qFormat/>
    <w:uiPriority w:val="0"/>
    <w:pPr>
      <w:shd w:val="clear" w:color="auto" w:fill="000080"/>
      <w:adjustRightInd w:val="0"/>
      <w:spacing w:line="436" w:lineRule="exact"/>
      <w:ind w:left="357"/>
      <w:jc w:val="left"/>
      <w:outlineLvl w:val="3"/>
    </w:pPr>
    <w:rPr>
      <w:rFonts w:ascii="Tahoma" w:hAnsi="Tahoma"/>
      <w:b/>
      <w:kern w:val="2"/>
      <w:sz w:val="24"/>
      <w:szCs w:val="24"/>
    </w:rPr>
  </w:style>
  <w:style w:type="character" w:customStyle="1" w:styleId="140">
    <w:name w:val="Char Char2"/>
    <w:semiHidden/>
    <w:qFormat/>
    <w:uiPriority w:val="0"/>
    <w:rPr>
      <w:rFonts w:eastAsia="宋体"/>
      <w:kern w:val="2"/>
      <w:sz w:val="28"/>
      <w:lang w:val="en-US" w:eastAsia="zh-CN" w:bidi="ar-SA"/>
    </w:rPr>
  </w:style>
  <w:style w:type="paragraph" w:customStyle="1" w:styleId="141">
    <w:name w:val="表名，13黑"/>
    <w:qFormat/>
    <w:uiPriority w:val="0"/>
    <w:pPr>
      <w:widowControl w:val="0"/>
      <w:ind w:firstLine="420"/>
      <w:jc w:val="right"/>
    </w:pPr>
    <w:rPr>
      <w:rFonts w:ascii="Times New Roman" w:hAnsi="Times New Roman" w:eastAsia="黑体" w:cs="Times New Roman"/>
      <w:kern w:val="2"/>
      <w:sz w:val="28"/>
      <w:lang w:val="en-US" w:eastAsia="zh-CN" w:bidi="ar-SA"/>
    </w:rPr>
  </w:style>
  <w:style w:type="character" w:customStyle="1" w:styleId="142">
    <w:name w:val="正文文本缩进 2 字符"/>
    <w:basedOn w:val="48"/>
    <w:link w:val="24"/>
    <w:qFormat/>
    <w:uiPriority w:val="0"/>
    <w:rPr>
      <w:kern w:val="2"/>
      <w:sz w:val="28"/>
      <w:szCs w:val="28"/>
    </w:rPr>
  </w:style>
  <w:style w:type="character" w:customStyle="1" w:styleId="143">
    <w:name w:val="正文文字缩进 2 Char Char"/>
    <w:qFormat/>
    <w:uiPriority w:val="0"/>
    <w:rPr>
      <w:rFonts w:eastAsia="宋体"/>
      <w:kern w:val="2"/>
      <w:sz w:val="28"/>
      <w:szCs w:val="28"/>
      <w:lang w:val="en-US" w:eastAsia="zh-CN" w:bidi="ar-SA"/>
    </w:rPr>
  </w:style>
  <w:style w:type="paragraph" w:customStyle="1" w:styleId="144">
    <w:name w:val="表格  五号"/>
    <w:basedOn w:val="1"/>
    <w:qFormat/>
    <w:uiPriority w:val="0"/>
    <w:pPr>
      <w:adjustRightInd w:val="0"/>
      <w:snapToGrid w:val="0"/>
      <w:spacing w:line="540" w:lineRule="exact"/>
      <w:ind w:firstLine="200" w:firstLineChars="200"/>
      <w:jc w:val="center"/>
    </w:pPr>
  </w:style>
  <w:style w:type="paragraph" w:customStyle="1" w:styleId="145">
    <w:name w:val="列表1"/>
    <w:basedOn w:val="33"/>
    <w:qFormat/>
    <w:uiPriority w:val="0"/>
  </w:style>
  <w:style w:type="paragraph" w:customStyle="1" w:styleId="146">
    <w:name w:val="表格注释"/>
    <w:basedOn w:val="1"/>
    <w:qFormat/>
    <w:uiPriority w:val="0"/>
    <w:pPr>
      <w:spacing w:line="540" w:lineRule="exact"/>
      <w:ind w:firstLine="200" w:firstLineChars="200"/>
      <w:jc w:val="left"/>
      <w:textAlignment w:val="top"/>
      <w:outlineLvl w:val="2"/>
    </w:pPr>
    <w:rPr>
      <w:kern w:val="18"/>
      <w:sz w:val="18"/>
    </w:rPr>
  </w:style>
  <w:style w:type="character" w:customStyle="1" w:styleId="147">
    <w:name w:val="正文文本缩进 3 字符"/>
    <w:basedOn w:val="48"/>
    <w:qFormat/>
    <w:uiPriority w:val="99"/>
    <w:rPr>
      <w:kern w:val="2"/>
      <w:sz w:val="16"/>
      <w:szCs w:val="16"/>
    </w:rPr>
  </w:style>
  <w:style w:type="character" w:customStyle="1" w:styleId="148">
    <w:name w:val="Char Char1"/>
    <w:semiHidden/>
    <w:qFormat/>
    <w:uiPriority w:val="0"/>
    <w:rPr>
      <w:rFonts w:eastAsia="宋体"/>
      <w:kern w:val="2"/>
      <w:sz w:val="16"/>
      <w:szCs w:val="16"/>
      <w:lang w:val="en-US" w:eastAsia="zh-CN" w:bidi="ar-SA"/>
    </w:rPr>
  </w:style>
  <w:style w:type="paragraph" w:customStyle="1" w:styleId="149">
    <w:name w:val="xl26"/>
    <w:basedOn w:val="1"/>
    <w:qFormat/>
    <w:uiPriority w:val="0"/>
    <w:pPr>
      <w:widowControl/>
      <w:pBdr>
        <w:left w:val="single" w:color="auto" w:sz="4" w:space="0"/>
        <w:right w:val="single" w:color="auto" w:sz="4" w:space="0"/>
      </w:pBdr>
      <w:spacing w:before="100" w:beforeAutospacing="1" w:after="100" w:afterAutospacing="1" w:line="540" w:lineRule="exact"/>
      <w:ind w:firstLine="200" w:firstLineChars="200"/>
      <w:jc w:val="center"/>
      <w:textAlignment w:val="center"/>
    </w:pPr>
    <w:rPr>
      <w:rFonts w:ascii="Arial Unicode MS" w:hAnsi="Arial Unicode MS" w:eastAsia="Arial Unicode MS"/>
      <w:kern w:val="0"/>
      <w:szCs w:val="21"/>
    </w:rPr>
  </w:style>
  <w:style w:type="paragraph" w:customStyle="1" w:styleId="150">
    <w:name w:val="样式 首行缩进:  2 字符 行距: 固定值 26 磅 Char Char Char"/>
    <w:basedOn w:val="1"/>
    <w:qFormat/>
    <w:uiPriority w:val="0"/>
    <w:pPr>
      <w:spacing w:line="500" w:lineRule="exact"/>
      <w:ind w:firstLine="200" w:firstLineChars="200"/>
    </w:pPr>
    <w:rPr>
      <w:sz w:val="28"/>
    </w:rPr>
  </w:style>
  <w:style w:type="paragraph" w:customStyle="1" w:styleId="151">
    <w:name w:val="一 节"/>
    <w:basedOn w:val="21"/>
    <w:next w:val="21"/>
    <w:qFormat/>
    <w:uiPriority w:val="0"/>
    <w:pPr>
      <w:outlineLvl w:val="1"/>
    </w:pPr>
    <w:rPr>
      <w:rFonts w:ascii="Times New Roman" w:hAnsi="Times New Roman" w:eastAsia="黑体" w:cs="Courier New"/>
      <w:kern w:val="0"/>
      <w:szCs w:val="28"/>
    </w:rPr>
  </w:style>
  <w:style w:type="character" w:customStyle="1" w:styleId="152">
    <w:name w:val="一 节 Char"/>
    <w:qFormat/>
    <w:uiPriority w:val="0"/>
    <w:rPr>
      <w:rFonts w:eastAsia="黑体" w:cs="Courier New"/>
      <w:sz w:val="28"/>
      <w:szCs w:val="28"/>
      <w:lang w:val="en-US" w:eastAsia="zh-CN" w:bidi="ar-SA"/>
    </w:rPr>
  </w:style>
  <w:style w:type="paragraph" w:customStyle="1" w:styleId="153">
    <w:name w:val="1 款"/>
    <w:basedOn w:val="21"/>
    <w:next w:val="21"/>
    <w:qFormat/>
    <w:uiPriority w:val="0"/>
    <w:rPr>
      <w:rFonts w:cs="Courier New"/>
      <w:b/>
      <w:kern w:val="0"/>
      <w:szCs w:val="28"/>
    </w:rPr>
  </w:style>
  <w:style w:type="paragraph" w:customStyle="1" w:styleId="154">
    <w:name w:val="Char Char Char"/>
    <w:basedOn w:val="13"/>
    <w:qFormat/>
    <w:uiPriority w:val="0"/>
    <w:pPr>
      <w:shd w:val="clear" w:color="auto" w:fill="000080"/>
      <w:adjustRightInd w:val="0"/>
      <w:spacing w:line="436" w:lineRule="exact"/>
      <w:ind w:left="357" w:leftChars="200"/>
      <w:jc w:val="left"/>
      <w:outlineLvl w:val="3"/>
    </w:pPr>
    <w:rPr>
      <w:rFonts w:ascii="Tahoma" w:hAnsi="Tahoma"/>
      <w:b/>
      <w:kern w:val="2"/>
      <w:sz w:val="24"/>
      <w:szCs w:val="24"/>
    </w:rPr>
  </w:style>
  <w:style w:type="character" w:customStyle="1" w:styleId="155">
    <w:name w:val="正文文本首行缩进 字符"/>
    <w:basedOn w:val="67"/>
    <w:link w:val="45"/>
    <w:qFormat/>
    <w:uiPriority w:val="0"/>
    <w:rPr>
      <w:kern w:val="2"/>
      <w:sz w:val="28"/>
      <w:szCs w:val="28"/>
    </w:rPr>
  </w:style>
  <w:style w:type="character" w:customStyle="1" w:styleId="156">
    <w:name w:val="已访问的超链接1"/>
    <w:qFormat/>
    <w:uiPriority w:val="0"/>
    <w:rPr>
      <w:color w:val="800080"/>
      <w:u w:val="single"/>
    </w:rPr>
  </w:style>
  <w:style w:type="paragraph" w:customStyle="1" w:styleId="157">
    <w:name w:val="表内文字"/>
    <w:basedOn w:val="1"/>
    <w:qFormat/>
    <w:uiPriority w:val="0"/>
    <w:pPr>
      <w:adjustRightInd w:val="0"/>
      <w:spacing w:before="80" w:line="240" w:lineRule="atLeast"/>
      <w:ind w:firstLine="200" w:firstLineChars="200"/>
      <w:jc w:val="center"/>
      <w:textAlignment w:val="baseline"/>
    </w:pPr>
    <w:rPr>
      <w:kern w:val="0"/>
      <w:szCs w:val="20"/>
    </w:rPr>
  </w:style>
  <w:style w:type="character" w:customStyle="1" w:styleId="158">
    <w:name w:val="页眉 Char Char Char8"/>
    <w:qFormat/>
    <w:uiPriority w:val="0"/>
    <w:rPr>
      <w:rFonts w:eastAsia="宋体"/>
      <w:kern w:val="2"/>
      <w:sz w:val="18"/>
      <w:szCs w:val="18"/>
      <w:lang w:val="en-US" w:eastAsia="zh-CN" w:bidi="ar-SA"/>
    </w:rPr>
  </w:style>
  <w:style w:type="character" w:customStyle="1" w:styleId="159">
    <w:name w:val="页眉2"/>
    <w:qFormat/>
    <w:uiPriority w:val="0"/>
    <w:rPr>
      <w:rFonts w:eastAsia="宋体"/>
      <w:kern w:val="2"/>
      <w:sz w:val="18"/>
      <w:lang w:val="en-US" w:eastAsia="zh-CN" w:bidi="ar-SA"/>
    </w:rPr>
  </w:style>
  <w:style w:type="paragraph" w:customStyle="1" w:styleId="160">
    <w:name w:val="修改删除"/>
    <w:basedOn w:val="1"/>
    <w:qFormat/>
    <w:uiPriority w:val="0"/>
    <w:pPr>
      <w:widowControl/>
      <w:adjustRightInd w:val="0"/>
      <w:snapToGrid w:val="0"/>
      <w:spacing w:line="540" w:lineRule="exact"/>
      <w:ind w:firstLine="560" w:firstLineChars="200"/>
    </w:pPr>
    <w:rPr>
      <w:dstrike/>
      <w:color w:val="0000FF"/>
      <w:sz w:val="28"/>
      <w:szCs w:val="28"/>
    </w:rPr>
  </w:style>
  <w:style w:type="character" w:customStyle="1" w:styleId="161">
    <w:name w:val="修改删除 Char"/>
    <w:qFormat/>
    <w:uiPriority w:val="0"/>
    <w:rPr>
      <w:rFonts w:eastAsia="宋体"/>
      <w:dstrike/>
      <w:color w:val="0000FF"/>
      <w:kern w:val="2"/>
      <w:sz w:val="28"/>
      <w:szCs w:val="28"/>
      <w:lang w:val="en-US" w:eastAsia="zh-CN" w:bidi="ar-SA"/>
    </w:rPr>
  </w:style>
  <w:style w:type="paragraph" w:customStyle="1" w:styleId="162">
    <w:name w:val="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63">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line="540" w:lineRule="exact"/>
      <w:ind w:firstLine="200" w:firstLineChars="200"/>
      <w:jc w:val="center"/>
      <w:textAlignment w:val="center"/>
    </w:pPr>
    <w:rPr>
      <w:rFonts w:hint="eastAsia" w:ascii="仿宋_GB2312" w:hAnsi="Arial Unicode MS" w:eastAsia="仿宋_GB2312" w:cs="Arial Unicode MS"/>
      <w:kern w:val="0"/>
      <w:szCs w:val="21"/>
    </w:rPr>
  </w:style>
  <w:style w:type="paragraph" w:customStyle="1" w:styleId="164">
    <w:name w:val="表格对中正文"/>
    <w:basedOn w:val="1"/>
    <w:qFormat/>
    <w:uiPriority w:val="0"/>
    <w:pPr>
      <w:snapToGrid w:val="0"/>
      <w:spacing w:beforeLines="10" w:afterLines="10" w:line="540" w:lineRule="exact"/>
      <w:ind w:firstLine="200" w:firstLineChars="200"/>
      <w:jc w:val="center"/>
    </w:pPr>
    <w:rPr>
      <w:kern w:val="0"/>
      <w:szCs w:val="28"/>
    </w:rPr>
  </w:style>
  <w:style w:type="character" w:customStyle="1" w:styleId="165">
    <w:name w:val="表格对中正文 Char"/>
    <w:qFormat/>
    <w:uiPriority w:val="0"/>
    <w:rPr>
      <w:rFonts w:eastAsia="宋体"/>
      <w:sz w:val="21"/>
      <w:szCs w:val="28"/>
      <w:lang w:val="en-US" w:eastAsia="zh-CN" w:bidi="ar-SA"/>
    </w:rPr>
  </w:style>
  <w:style w:type="character" w:customStyle="1" w:styleId="166">
    <w:name w:val="正文文本首行缩进 2 字符"/>
    <w:basedOn w:val="74"/>
    <w:link w:val="2"/>
    <w:qFormat/>
    <w:uiPriority w:val="0"/>
    <w:rPr>
      <w:rFonts w:ascii="Times New Roman" w:hAnsi="Times New Roman" w:eastAsia="宋体" w:cs="Times New Roman"/>
      <w:kern w:val="2"/>
      <w:sz w:val="28"/>
      <w:szCs w:val="28"/>
    </w:rPr>
  </w:style>
  <w:style w:type="paragraph" w:customStyle="1" w:styleId="167">
    <w:name w:val="Char1 Char Char Char Char Char Char Char Char Char Char Char Char"/>
    <w:basedOn w:val="13"/>
    <w:qFormat/>
    <w:uiPriority w:val="0"/>
    <w:pPr>
      <w:shd w:val="clear" w:color="auto" w:fill="000080"/>
      <w:adjustRightInd w:val="0"/>
      <w:spacing w:line="436" w:lineRule="exact"/>
      <w:ind w:left="357"/>
      <w:jc w:val="left"/>
      <w:outlineLvl w:val="3"/>
    </w:pPr>
    <w:rPr>
      <w:rFonts w:ascii="Tahoma" w:hAnsi="Tahoma"/>
      <w:b/>
      <w:kern w:val="28"/>
      <w:sz w:val="24"/>
      <w:szCs w:val="28"/>
    </w:rPr>
  </w:style>
  <w:style w:type="character" w:customStyle="1" w:styleId="168">
    <w:name w:val="Char Char5"/>
    <w:qFormat/>
    <w:uiPriority w:val="0"/>
    <w:rPr>
      <w:rFonts w:ascii="Cambria" w:hAnsi="Cambria" w:eastAsia="黑体"/>
      <w:b/>
      <w:bCs/>
      <w:color w:val="060B70"/>
      <w:kern w:val="2"/>
      <w:sz w:val="28"/>
      <w:szCs w:val="32"/>
      <w:lang w:val="en-US" w:eastAsia="zh-CN" w:bidi="ar-SA"/>
    </w:rPr>
  </w:style>
  <w:style w:type="paragraph" w:customStyle="1" w:styleId="169">
    <w:name w:val="样式 小四 行距: 1.5 倍行距 首行缩进:  2 字符1"/>
    <w:basedOn w:val="1"/>
    <w:qFormat/>
    <w:uiPriority w:val="0"/>
    <w:pPr>
      <w:spacing w:line="360" w:lineRule="auto"/>
      <w:ind w:firstLine="200" w:firstLineChars="200"/>
    </w:pPr>
    <w:rPr>
      <w:rFonts w:cs="宋体"/>
      <w:sz w:val="24"/>
      <w:szCs w:val="20"/>
    </w:rPr>
  </w:style>
  <w:style w:type="paragraph" w:customStyle="1" w:styleId="170">
    <w:name w:val="内1"/>
    <w:basedOn w:val="1"/>
    <w:qFormat/>
    <w:uiPriority w:val="0"/>
    <w:pPr>
      <w:spacing w:line="540" w:lineRule="exact"/>
      <w:ind w:firstLine="200" w:firstLineChars="200"/>
    </w:pPr>
    <w:rPr>
      <w:rFonts w:ascii="宋体" w:hAnsi="宋体"/>
      <w:bCs/>
      <w:sz w:val="28"/>
      <w:szCs w:val="28"/>
    </w:rPr>
  </w:style>
  <w:style w:type="character" w:customStyle="1" w:styleId="171">
    <w:name w:val="内1 Char"/>
    <w:qFormat/>
    <w:uiPriority w:val="0"/>
    <w:rPr>
      <w:rFonts w:ascii="宋体" w:hAnsi="宋体" w:eastAsia="宋体"/>
      <w:bCs/>
      <w:kern w:val="2"/>
      <w:sz w:val="28"/>
      <w:szCs w:val="28"/>
      <w:lang w:val="en-US" w:eastAsia="zh-CN" w:bidi="ar-SA"/>
    </w:rPr>
  </w:style>
  <w:style w:type="paragraph" w:customStyle="1" w:styleId="172">
    <w:name w:val="表头"/>
    <w:basedOn w:val="1"/>
    <w:qFormat/>
    <w:uiPriority w:val="0"/>
    <w:pPr>
      <w:tabs>
        <w:tab w:val="left" w:pos="180"/>
      </w:tabs>
      <w:spacing w:line="540" w:lineRule="exact"/>
      <w:ind w:firstLine="200" w:firstLineChars="200"/>
      <w:jc w:val="right"/>
    </w:pPr>
    <w:rPr>
      <w:rFonts w:ascii="宋体" w:hAnsi="宋体"/>
      <w:b/>
      <w:color w:val="000000"/>
      <w:sz w:val="28"/>
      <w:szCs w:val="28"/>
    </w:rPr>
  </w:style>
  <w:style w:type="character" w:customStyle="1" w:styleId="173">
    <w:name w:val="表头 Char"/>
    <w:qFormat/>
    <w:uiPriority w:val="0"/>
    <w:rPr>
      <w:rFonts w:ascii="宋体" w:hAnsi="宋体" w:eastAsia="宋体"/>
      <w:b/>
      <w:color w:val="000000"/>
      <w:kern w:val="2"/>
      <w:sz w:val="28"/>
      <w:szCs w:val="28"/>
      <w:lang w:val="en-US" w:eastAsia="zh-CN" w:bidi="ar-SA"/>
    </w:rPr>
  </w:style>
  <w:style w:type="character" w:customStyle="1" w:styleId="174">
    <w:name w:val="2 headline Char"/>
    <w:autoRedefine/>
    <w:qFormat/>
    <w:uiPriority w:val="0"/>
    <w:rPr>
      <w:rFonts w:ascii="Arial" w:hAnsi="Arial" w:eastAsia="黑体" w:cs="Times New Roman"/>
      <w:b/>
      <w:bCs/>
      <w:sz w:val="32"/>
      <w:szCs w:val="32"/>
    </w:rPr>
  </w:style>
  <w:style w:type="character" w:customStyle="1" w:styleId="175">
    <w:name w:val="3 bullet Char1"/>
    <w:qFormat/>
    <w:uiPriority w:val="0"/>
    <w:rPr>
      <w:rFonts w:ascii="Arial" w:hAnsi="Arial" w:cs="Times New Roman"/>
      <w:spacing w:val="-6"/>
      <w:kern w:val="20"/>
      <w:sz w:val="18"/>
      <w:szCs w:val="20"/>
    </w:rPr>
  </w:style>
  <w:style w:type="paragraph" w:customStyle="1" w:styleId="176">
    <w:name w:val="表号"/>
    <w:basedOn w:val="1"/>
    <w:qFormat/>
    <w:uiPriority w:val="0"/>
    <w:pPr>
      <w:spacing w:line="540" w:lineRule="exact"/>
      <w:ind w:firstLine="200" w:firstLineChars="200"/>
    </w:pPr>
    <w:rPr>
      <w:rFonts w:ascii="宋体"/>
      <w:b/>
      <w:szCs w:val="21"/>
    </w:rPr>
  </w:style>
  <w:style w:type="character" w:customStyle="1" w:styleId="177">
    <w:name w:val="表号 Char"/>
    <w:qFormat/>
    <w:uiPriority w:val="0"/>
    <w:rPr>
      <w:rFonts w:ascii="宋体" w:eastAsia="宋体"/>
      <w:b/>
      <w:kern w:val="2"/>
      <w:sz w:val="21"/>
      <w:szCs w:val="21"/>
      <w:lang w:val="en-US" w:eastAsia="zh-CN" w:bidi="ar-SA"/>
    </w:rPr>
  </w:style>
  <w:style w:type="paragraph" w:customStyle="1" w:styleId="178">
    <w:name w:val="正文使用格式"/>
    <w:basedOn w:val="1"/>
    <w:qFormat/>
    <w:uiPriority w:val="0"/>
    <w:pPr>
      <w:spacing w:line="540" w:lineRule="exact"/>
      <w:ind w:firstLine="560" w:firstLineChars="200"/>
      <w:contextualSpacing/>
      <w:jc w:val="left"/>
    </w:pPr>
    <w:rPr>
      <w:rFonts w:hAnsi="宋体"/>
      <w:kern w:val="0"/>
      <w:sz w:val="28"/>
      <w:szCs w:val="28"/>
    </w:rPr>
  </w:style>
  <w:style w:type="paragraph" w:customStyle="1" w:styleId="179">
    <w:name w:val="一般正文"/>
    <w:basedOn w:val="1"/>
    <w:qFormat/>
    <w:uiPriority w:val="0"/>
    <w:pPr>
      <w:adjustRightInd w:val="0"/>
      <w:snapToGrid w:val="0"/>
      <w:spacing w:line="500" w:lineRule="exact"/>
      <w:ind w:firstLine="200" w:firstLineChars="200"/>
    </w:pPr>
    <w:rPr>
      <w:kern w:val="0"/>
      <w:sz w:val="28"/>
      <w:szCs w:val="28"/>
    </w:rPr>
  </w:style>
  <w:style w:type="paragraph" w:customStyle="1" w:styleId="180">
    <w:name w:val="标题5"/>
    <w:basedOn w:val="1"/>
    <w:autoRedefine/>
    <w:qFormat/>
    <w:uiPriority w:val="0"/>
    <w:pPr>
      <w:spacing w:line="360" w:lineRule="auto"/>
      <w:ind w:firstLine="480" w:firstLineChars="200"/>
    </w:pPr>
    <w:rPr>
      <w:color w:val="FF0000"/>
      <w:kern w:val="0"/>
      <w:sz w:val="24"/>
      <w:szCs w:val="28"/>
    </w:rPr>
  </w:style>
  <w:style w:type="paragraph" w:customStyle="1" w:styleId="181">
    <w:name w:val="样式 正文文字 + 首行缩进:  2 字符"/>
    <w:basedOn w:val="16"/>
    <w:qFormat/>
    <w:uiPriority w:val="0"/>
    <w:pPr>
      <w:widowControl w:val="0"/>
      <w:snapToGrid/>
      <w:spacing w:before="0" w:after="0" w:line="540" w:lineRule="exact"/>
      <w:ind w:right="0" w:firstLine="560" w:firstLineChars="200"/>
    </w:pPr>
    <w:rPr>
      <w:rFonts w:cs="宋体"/>
      <w:sz w:val="28"/>
      <w:szCs w:val="20"/>
    </w:rPr>
  </w:style>
  <w:style w:type="paragraph" w:customStyle="1" w:styleId="182">
    <w:name w:val="样式 宋体 12 磅 首行缩进:  2 字符"/>
    <w:basedOn w:val="1"/>
    <w:qFormat/>
    <w:uiPriority w:val="0"/>
    <w:pPr>
      <w:spacing w:line="500" w:lineRule="exact"/>
      <w:ind w:firstLine="200" w:firstLineChars="200"/>
    </w:pPr>
    <w:rPr>
      <w:rFonts w:ascii="宋体" w:hAnsi="宋体"/>
      <w:kern w:val="0"/>
      <w:sz w:val="28"/>
      <w:szCs w:val="20"/>
    </w:rPr>
  </w:style>
  <w:style w:type="paragraph" w:customStyle="1" w:styleId="183">
    <w:name w:val="样式 正文文字缩进 + 左侧:  0 厘米 段前: 0.5 行 段后: 0.5 行"/>
    <w:basedOn w:val="3"/>
    <w:qFormat/>
    <w:uiPriority w:val="0"/>
    <w:pPr>
      <w:spacing w:beforeLines="50" w:after="0" w:afterLines="50" w:line="360" w:lineRule="auto"/>
      <w:ind w:left="0" w:leftChars="0" w:firstLine="540" w:firstLineChars="257"/>
    </w:pPr>
    <w:rPr>
      <w:rFonts w:ascii="宋体" w:hAnsi="宋体"/>
    </w:rPr>
  </w:style>
  <w:style w:type="paragraph" w:customStyle="1" w:styleId="184">
    <w:name w:val="Char Char Char Char Char Char Char Char Char Char Char Char Char"/>
    <w:basedOn w:val="13"/>
    <w:qFormat/>
    <w:uiPriority w:val="0"/>
    <w:rPr>
      <w:kern w:val="2"/>
    </w:rPr>
  </w:style>
  <w:style w:type="paragraph" w:customStyle="1" w:styleId="185">
    <w:name w:val="样式 章一 + 段前: 1 行 段后: 1 行1"/>
    <w:basedOn w:val="1"/>
    <w:qFormat/>
    <w:uiPriority w:val="0"/>
    <w:pPr>
      <w:spacing w:beforeLines="50" w:afterLines="100" w:line="540" w:lineRule="exact"/>
      <w:ind w:firstLine="200" w:firstLineChars="200"/>
      <w:jc w:val="center"/>
    </w:pPr>
    <w:rPr>
      <w:rFonts w:eastAsia="黑体"/>
      <w:b/>
      <w:bCs/>
      <w:sz w:val="28"/>
      <w:szCs w:val="20"/>
    </w:rPr>
  </w:style>
  <w:style w:type="character" w:customStyle="1" w:styleId="186">
    <w:name w:val="Char Char"/>
    <w:semiHidden/>
    <w:qFormat/>
    <w:uiPriority w:val="0"/>
    <w:rPr>
      <w:sz w:val="28"/>
      <w:szCs w:val="28"/>
      <w:lang w:bidi="ar-SA"/>
    </w:rPr>
  </w:style>
  <w:style w:type="character" w:customStyle="1" w:styleId="187">
    <w:name w:val="普通文字 Char Char Char Char Char Char Char Char Char Char Char Char Char"/>
    <w:qFormat/>
    <w:uiPriority w:val="0"/>
    <w:rPr>
      <w:rFonts w:ascii="宋体" w:hAnsi="Courier New" w:eastAsia="宋体" w:cs="宋体"/>
      <w:kern w:val="2"/>
      <w:sz w:val="21"/>
      <w:szCs w:val="21"/>
      <w:lang w:val="en-US" w:eastAsia="zh-CN" w:bidi="ar-SA"/>
    </w:rPr>
  </w:style>
  <w:style w:type="character" w:customStyle="1" w:styleId="188">
    <w:name w:val="apple-style-span"/>
    <w:basedOn w:val="48"/>
    <w:qFormat/>
    <w:uiPriority w:val="0"/>
  </w:style>
  <w:style w:type="character" w:customStyle="1" w:styleId="189">
    <w:name w:val="apple-converted-space"/>
    <w:basedOn w:val="48"/>
    <w:qFormat/>
    <w:uiPriority w:val="0"/>
  </w:style>
  <w:style w:type="character" w:customStyle="1" w:styleId="190">
    <w:name w:val="tpc_content1"/>
    <w:qFormat/>
    <w:uiPriority w:val="0"/>
    <w:rPr>
      <w:rFonts w:eastAsia="宋体"/>
      <w:sz w:val="28"/>
      <w:szCs w:val="28"/>
      <w:lang w:val="en-US" w:eastAsia="zh-CN" w:bidi="ar-SA"/>
    </w:rPr>
  </w:style>
  <w:style w:type="paragraph" w:customStyle="1" w:styleId="191">
    <w:name w:val="正文格式"/>
    <w:basedOn w:val="1"/>
    <w:semiHidden/>
    <w:qFormat/>
    <w:uiPriority w:val="0"/>
    <w:pPr>
      <w:spacing w:line="540" w:lineRule="exact"/>
      <w:ind w:firstLine="200" w:firstLineChars="200"/>
    </w:pPr>
    <w:rPr>
      <w:rFonts w:ascii="宋体"/>
      <w:sz w:val="28"/>
      <w:szCs w:val="28"/>
    </w:rPr>
  </w:style>
  <w:style w:type="character" w:customStyle="1" w:styleId="192">
    <w:name w:val="正文格式 Char"/>
    <w:semiHidden/>
    <w:qFormat/>
    <w:uiPriority w:val="0"/>
    <w:rPr>
      <w:rFonts w:ascii="宋体" w:eastAsia="宋体"/>
      <w:kern w:val="2"/>
      <w:sz w:val="28"/>
      <w:szCs w:val="28"/>
      <w:lang w:val="en-US" w:eastAsia="zh-CN" w:bidi="ar-SA"/>
    </w:rPr>
  </w:style>
  <w:style w:type="paragraph" w:customStyle="1" w:styleId="193">
    <w:name w:val="内容"/>
    <w:basedOn w:val="1"/>
    <w:semiHidden/>
    <w:qFormat/>
    <w:uiPriority w:val="0"/>
    <w:pPr>
      <w:spacing w:line="540" w:lineRule="exact"/>
      <w:ind w:firstLine="200" w:firstLineChars="200"/>
    </w:pPr>
    <w:rPr>
      <w:rFonts w:ascii="宋体" w:hAnsi="宋体"/>
      <w:bCs/>
      <w:kern w:val="0"/>
      <w:sz w:val="28"/>
      <w:szCs w:val="28"/>
    </w:rPr>
  </w:style>
  <w:style w:type="character" w:customStyle="1" w:styleId="194">
    <w:name w:val="内容 Char"/>
    <w:semiHidden/>
    <w:qFormat/>
    <w:uiPriority w:val="0"/>
    <w:rPr>
      <w:rFonts w:ascii="宋体" w:hAnsi="宋体" w:eastAsia="宋体"/>
      <w:bCs/>
      <w:sz w:val="28"/>
      <w:szCs w:val="28"/>
      <w:lang w:val="en-US" w:eastAsia="zh-CN" w:bidi="ar-SA"/>
    </w:rPr>
  </w:style>
  <w:style w:type="paragraph" w:customStyle="1" w:styleId="195">
    <w:name w:val="标0"/>
    <w:basedOn w:val="1"/>
    <w:qFormat/>
    <w:uiPriority w:val="0"/>
    <w:pPr>
      <w:spacing w:beforeLines="50" w:afterLines="50" w:line="540" w:lineRule="exact"/>
      <w:ind w:firstLine="200" w:firstLineChars="200"/>
      <w:jc w:val="center"/>
      <w:outlineLvl w:val="0"/>
    </w:pPr>
    <w:rPr>
      <w:rFonts w:ascii="宋体" w:hAnsi="宋体" w:eastAsia="黑体"/>
      <w:sz w:val="32"/>
      <w:szCs w:val="32"/>
    </w:rPr>
  </w:style>
  <w:style w:type="paragraph" w:customStyle="1" w:styleId="196">
    <w:name w:val="样式 内1 + 黑色"/>
    <w:basedOn w:val="170"/>
    <w:semiHidden/>
    <w:qFormat/>
    <w:uiPriority w:val="0"/>
    <w:rPr>
      <w:bCs w:val="0"/>
    </w:rPr>
  </w:style>
  <w:style w:type="character" w:customStyle="1" w:styleId="197">
    <w:name w:val="样式 内1 + 黑色 Char"/>
    <w:semiHidden/>
    <w:qFormat/>
    <w:uiPriority w:val="0"/>
    <w:rPr>
      <w:rFonts w:ascii="宋体" w:hAnsi="宋体" w:eastAsia="宋体"/>
      <w:bCs/>
      <w:kern w:val="2"/>
      <w:sz w:val="28"/>
      <w:szCs w:val="28"/>
      <w:lang w:val="en-US" w:eastAsia="zh-CN" w:bidi="ar-SA"/>
    </w:rPr>
  </w:style>
  <w:style w:type="paragraph" w:customStyle="1" w:styleId="198">
    <w:name w:val="内容一"/>
    <w:basedOn w:val="1"/>
    <w:semiHidden/>
    <w:qFormat/>
    <w:uiPriority w:val="0"/>
    <w:pPr>
      <w:spacing w:line="540" w:lineRule="exact"/>
      <w:ind w:firstLine="560" w:firstLineChars="200"/>
      <w:contextualSpacing/>
    </w:pPr>
    <w:rPr>
      <w:rFonts w:ascii="宋体"/>
      <w:sz w:val="28"/>
      <w:szCs w:val="28"/>
    </w:rPr>
  </w:style>
  <w:style w:type="character" w:customStyle="1" w:styleId="199">
    <w:name w:val="内容一 Char"/>
    <w:semiHidden/>
    <w:qFormat/>
    <w:uiPriority w:val="0"/>
    <w:rPr>
      <w:rFonts w:ascii="宋体" w:eastAsia="宋体"/>
      <w:kern w:val="2"/>
      <w:sz w:val="28"/>
      <w:szCs w:val="28"/>
      <w:lang w:val="en-US" w:eastAsia="zh-CN" w:bidi="ar-SA"/>
    </w:rPr>
  </w:style>
  <w:style w:type="paragraph" w:customStyle="1" w:styleId="200">
    <w:name w:val="标1"/>
    <w:basedOn w:val="1"/>
    <w:qFormat/>
    <w:uiPriority w:val="0"/>
    <w:pPr>
      <w:spacing w:line="540" w:lineRule="exact"/>
      <w:ind w:firstLine="200" w:firstLineChars="200"/>
      <w:outlineLvl w:val="1"/>
    </w:pPr>
    <w:rPr>
      <w:rFonts w:ascii="宋体" w:hAnsi="宋体"/>
      <w:b/>
      <w:bCs/>
      <w:snapToGrid w:val="0"/>
      <w:color w:val="000000"/>
      <w:sz w:val="28"/>
      <w:szCs w:val="28"/>
    </w:rPr>
  </w:style>
  <w:style w:type="paragraph" w:customStyle="1" w:styleId="201">
    <w:name w:val="楷体（一）"/>
    <w:basedOn w:val="1"/>
    <w:semiHidden/>
    <w:qFormat/>
    <w:uiPriority w:val="0"/>
    <w:pPr>
      <w:spacing w:line="540" w:lineRule="exact"/>
      <w:ind w:firstLine="200" w:firstLineChars="200"/>
      <w:outlineLvl w:val="2"/>
    </w:pPr>
    <w:rPr>
      <w:rFonts w:ascii="楷体_GB2312" w:eastAsia="楷体_GB2312"/>
      <w:b/>
      <w:sz w:val="28"/>
      <w:szCs w:val="28"/>
    </w:rPr>
  </w:style>
  <w:style w:type="character" w:customStyle="1" w:styleId="202">
    <w:name w:val="楷体（一） Char"/>
    <w:semiHidden/>
    <w:qFormat/>
    <w:uiPriority w:val="0"/>
    <w:rPr>
      <w:rFonts w:ascii="楷体_GB2312" w:eastAsia="楷体_GB2312"/>
      <w:b/>
      <w:kern w:val="2"/>
      <w:sz w:val="28"/>
      <w:szCs w:val="28"/>
      <w:lang w:val="en-US" w:eastAsia="zh-CN" w:bidi="ar-SA"/>
    </w:rPr>
  </w:style>
  <w:style w:type="paragraph" w:customStyle="1" w:styleId="203">
    <w:name w:val="标3"/>
    <w:basedOn w:val="1"/>
    <w:qFormat/>
    <w:uiPriority w:val="0"/>
    <w:pPr>
      <w:spacing w:line="540" w:lineRule="exact"/>
      <w:ind w:firstLine="200" w:firstLineChars="200"/>
      <w:outlineLvl w:val="3"/>
    </w:pPr>
    <w:rPr>
      <w:rFonts w:ascii="宋体" w:hAnsi="宋体"/>
      <w:b/>
      <w:snapToGrid w:val="0"/>
      <w:color w:val="000000"/>
      <w:sz w:val="28"/>
      <w:szCs w:val="28"/>
    </w:rPr>
  </w:style>
  <w:style w:type="paragraph" w:customStyle="1" w:styleId="204">
    <w:name w:val="标2"/>
    <w:basedOn w:val="1"/>
    <w:qFormat/>
    <w:uiPriority w:val="0"/>
    <w:pPr>
      <w:spacing w:line="540" w:lineRule="exact"/>
      <w:ind w:firstLine="200" w:firstLineChars="200"/>
      <w:outlineLvl w:val="2"/>
    </w:pPr>
    <w:rPr>
      <w:rFonts w:ascii="楷体_GB2312" w:hAnsi="宋体" w:eastAsia="楷体_GB2312"/>
      <w:b/>
      <w:bCs/>
      <w:snapToGrid w:val="0"/>
      <w:color w:val="000000"/>
      <w:sz w:val="28"/>
      <w:szCs w:val="28"/>
    </w:rPr>
  </w:style>
  <w:style w:type="paragraph" w:customStyle="1" w:styleId="205">
    <w:name w:val="表注"/>
    <w:basedOn w:val="1"/>
    <w:qFormat/>
    <w:uiPriority w:val="0"/>
    <w:pPr>
      <w:spacing w:line="360" w:lineRule="exact"/>
      <w:ind w:firstLine="200" w:firstLineChars="200"/>
    </w:pPr>
    <w:rPr>
      <w:rFonts w:ascii="楷体_GB2312" w:hAnsi="宋体" w:eastAsia="楷体_GB2312" w:cs="宋体"/>
      <w:szCs w:val="20"/>
    </w:rPr>
  </w:style>
  <w:style w:type="paragraph" w:customStyle="1" w:styleId="206">
    <w:name w:val="Char1"/>
    <w:basedOn w:val="1"/>
    <w:qFormat/>
    <w:uiPriority w:val="0"/>
    <w:pPr>
      <w:widowControl/>
      <w:spacing w:after="160" w:line="240" w:lineRule="exact"/>
      <w:ind w:firstLine="200" w:firstLineChars="200"/>
      <w:jc w:val="left"/>
    </w:pPr>
    <w:rPr>
      <w:rFonts w:ascii="Verdana" w:hAnsi="Verdana" w:eastAsia="仿宋_GB2312"/>
      <w:kern w:val="0"/>
      <w:sz w:val="30"/>
      <w:szCs w:val="30"/>
      <w:lang w:eastAsia="en-US"/>
    </w:rPr>
  </w:style>
  <w:style w:type="paragraph" w:customStyle="1" w:styleId="207">
    <w:name w:val="正文样式"/>
    <w:basedOn w:val="1"/>
    <w:qFormat/>
    <w:uiPriority w:val="0"/>
    <w:pPr>
      <w:spacing w:line="540" w:lineRule="exact"/>
      <w:ind w:firstLine="540" w:firstLineChars="200"/>
    </w:pPr>
    <w:rPr>
      <w:rFonts w:ascii="宋体" w:hAnsi="宋体"/>
      <w:sz w:val="28"/>
      <w:szCs w:val="28"/>
    </w:rPr>
  </w:style>
  <w:style w:type="paragraph" w:customStyle="1" w:styleId="208">
    <w:name w:val="1、宋体"/>
    <w:basedOn w:val="1"/>
    <w:link w:val="209"/>
    <w:qFormat/>
    <w:uiPriority w:val="0"/>
    <w:pPr>
      <w:spacing w:line="540" w:lineRule="exact"/>
      <w:ind w:firstLine="200" w:firstLineChars="200"/>
      <w:outlineLvl w:val="3"/>
    </w:pPr>
    <w:rPr>
      <w:rFonts w:ascii="宋体" w:hAnsi="宋体"/>
      <w:b/>
      <w:kern w:val="28"/>
      <w:sz w:val="28"/>
      <w:szCs w:val="28"/>
    </w:rPr>
  </w:style>
  <w:style w:type="character" w:customStyle="1" w:styleId="209">
    <w:name w:val="1、宋体 Char"/>
    <w:link w:val="208"/>
    <w:qFormat/>
    <w:uiPriority w:val="0"/>
    <w:rPr>
      <w:rFonts w:ascii="宋体" w:hAnsi="宋体"/>
      <w:b/>
      <w:kern w:val="28"/>
      <w:sz w:val="28"/>
      <w:szCs w:val="28"/>
    </w:rPr>
  </w:style>
  <w:style w:type="paragraph" w:customStyle="1" w:styleId="210">
    <w:name w:val="Char2"/>
    <w:basedOn w:val="1"/>
    <w:qFormat/>
    <w:uiPriority w:val="0"/>
    <w:pPr>
      <w:widowControl/>
      <w:spacing w:after="160" w:line="240" w:lineRule="exact"/>
      <w:ind w:firstLine="200" w:firstLineChars="200"/>
      <w:jc w:val="left"/>
    </w:pPr>
    <w:rPr>
      <w:rFonts w:ascii="Verdana" w:hAnsi="Verdana" w:eastAsia="仿宋_GB2312"/>
      <w:kern w:val="0"/>
      <w:sz w:val="30"/>
      <w:szCs w:val="30"/>
      <w:lang w:eastAsia="en-US"/>
    </w:rPr>
  </w:style>
  <w:style w:type="paragraph" w:customStyle="1" w:styleId="211">
    <w:name w:val="正文部分"/>
    <w:basedOn w:val="1"/>
    <w:link w:val="212"/>
    <w:qFormat/>
    <w:uiPriority w:val="0"/>
    <w:pPr>
      <w:spacing w:line="540" w:lineRule="exact"/>
      <w:ind w:firstLine="200" w:firstLineChars="200"/>
    </w:pPr>
    <w:rPr>
      <w:rFonts w:ascii="宋体" w:hAnsi="宋体"/>
      <w:snapToGrid w:val="0"/>
      <w:sz w:val="28"/>
      <w:szCs w:val="28"/>
    </w:rPr>
  </w:style>
  <w:style w:type="character" w:customStyle="1" w:styleId="212">
    <w:name w:val="正文部分 Char"/>
    <w:link w:val="211"/>
    <w:qFormat/>
    <w:uiPriority w:val="0"/>
    <w:rPr>
      <w:rFonts w:ascii="宋体" w:hAnsi="宋体"/>
      <w:snapToGrid w:val="0"/>
      <w:kern w:val="2"/>
      <w:sz w:val="28"/>
      <w:szCs w:val="28"/>
    </w:rPr>
  </w:style>
  <w:style w:type="paragraph" w:customStyle="1" w:styleId="213">
    <w:name w:val="我的文章内容"/>
    <w:basedOn w:val="1"/>
    <w:link w:val="214"/>
    <w:qFormat/>
    <w:uiPriority w:val="0"/>
    <w:pPr>
      <w:spacing w:line="540" w:lineRule="exact"/>
      <w:ind w:firstLine="200" w:firstLineChars="200"/>
    </w:pPr>
    <w:rPr>
      <w:rFonts w:ascii="宋体"/>
      <w:kern w:val="28"/>
      <w:sz w:val="28"/>
      <w:szCs w:val="28"/>
    </w:rPr>
  </w:style>
  <w:style w:type="character" w:customStyle="1" w:styleId="214">
    <w:name w:val="我的文章内容 Char"/>
    <w:link w:val="213"/>
    <w:qFormat/>
    <w:uiPriority w:val="0"/>
    <w:rPr>
      <w:rFonts w:ascii="宋体"/>
      <w:kern w:val="28"/>
      <w:sz w:val="28"/>
      <w:szCs w:val="28"/>
    </w:rPr>
  </w:style>
  <w:style w:type="paragraph" w:customStyle="1" w:styleId="215">
    <w:name w:val="四级目录"/>
    <w:basedOn w:val="8"/>
    <w:qFormat/>
    <w:uiPriority w:val="0"/>
    <w:pPr>
      <w:spacing w:line="376" w:lineRule="auto"/>
      <w:ind w:firstLine="480"/>
    </w:pPr>
    <w:rPr>
      <w:rFonts w:ascii="Arial" w:hAnsi="Arial" w:eastAsia="黑体"/>
      <w:kern w:val="2"/>
    </w:rPr>
  </w:style>
  <w:style w:type="paragraph" w:customStyle="1" w:styleId="216">
    <w:name w:val="一级目录"/>
    <w:basedOn w:val="5"/>
    <w:qFormat/>
    <w:uiPriority w:val="0"/>
    <w:pPr>
      <w:keepLines/>
      <w:overflowPunct/>
      <w:adjustRightInd w:val="0"/>
      <w:spacing w:before="340" w:after="330" w:line="578" w:lineRule="auto"/>
      <w:ind w:left="0" w:firstLine="643" w:firstLineChars="200"/>
      <w:jc w:val="left"/>
    </w:pPr>
    <w:rPr>
      <w:rFonts w:eastAsia="宋体"/>
      <w:color w:val="auto"/>
      <w:sz w:val="40"/>
      <w:szCs w:val="44"/>
    </w:rPr>
  </w:style>
  <w:style w:type="paragraph" w:customStyle="1" w:styleId="217">
    <w:name w:val="二级目录"/>
    <w:basedOn w:val="6"/>
    <w:qFormat/>
    <w:uiPriority w:val="0"/>
    <w:pPr>
      <w:spacing w:before="260" w:after="260" w:line="415" w:lineRule="auto"/>
      <w:ind w:firstLine="0" w:firstLineChars="0"/>
      <w:outlineLvl w:val="0"/>
    </w:pPr>
    <w:rPr>
      <w:rFonts w:ascii="Times New Roman" w:hAnsi="Times New Roman" w:eastAsia="宋体"/>
      <w:color w:val="auto"/>
      <w:kern w:val="2"/>
      <w:sz w:val="30"/>
    </w:rPr>
  </w:style>
  <w:style w:type="paragraph" w:customStyle="1" w:styleId="218">
    <w:name w:val="三级目录"/>
    <w:basedOn w:val="7"/>
    <w:qFormat/>
    <w:uiPriority w:val="0"/>
    <w:pPr>
      <w:tabs>
        <w:tab w:val="left" w:pos="5110"/>
      </w:tabs>
      <w:spacing w:line="415" w:lineRule="auto"/>
      <w:jc w:val="center"/>
    </w:pPr>
    <w:rPr>
      <w:rFonts w:hAnsi="宋体"/>
      <w:sz w:val="36"/>
      <w:szCs w:val="36"/>
    </w:rPr>
  </w:style>
  <w:style w:type="paragraph" w:customStyle="1" w:styleId="219">
    <w:name w:val="章节"/>
    <w:basedOn w:val="43"/>
    <w:qFormat/>
    <w:uiPriority w:val="0"/>
    <w:pPr>
      <w:spacing w:before="240" w:after="60" w:line="240" w:lineRule="auto"/>
      <w:ind w:firstLine="480" w:firstLineChars="0"/>
      <w:jc w:val="center"/>
      <w:outlineLvl w:val="0"/>
    </w:pPr>
    <w:rPr>
      <w:rFonts w:ascii="Arial" w:hAnsi="Arial" w:cs="Arial"/>
      <w:kern w:val="2"/>
      <w:sz w:val="44"/>
    </w:rPr>
  </w:style>
  <w:style w:type="table" w:customStyle="1" w:styleId="220">
    <w:name w:val="网格型11"/>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1">
    <w:name w:val="样式 四号"/>
    <w:qFormat/>
    <w:uiPriority w:val="0"/>
    <w:rPr>
      <w:rFonts w:eastAsia="宋体"/>
      <w:sz w:val="28"/>
    </w:rPr>
  </w:style>
  <w:style w:type="paragraph" w:customStyle="1" w:styleId="222">
    <w:name w:val="xl63"/>
    <w:basedOn w:val="1"/>
    <w:qFormat/>
    <w:uiPriority w:val="0"/>
    <w:pPr>
      <w:widowControl/>
      <w:spacing w:before="100" w:beforeAutospacing="1" w:after="100" w:afterAutospacing="1" w:line="540" w:lineRule="exact"/>
      <w:ind w:firstLine="200" w:firstLineChars="200"/>
      <w:jc w:val="center"/>
    </w:pPr>
    <w:rPr>
      <w:rFonts w:eastAsia="Arial Unicode MS"/>
      <w:color w:val="000000"/>
      <w:kern w:val="0"/>
      <w:sz w:val="24"/>
    </w:rPr>
  </w:style>
  <w:style w:type="paragraph" w:customStyle="1" w:styleId="223">
    <w:name w:val="样式 样式 四号 自动设置 行距: 1.5 倍行距 + 首行缩进:  2 字符"/>
    <w:basedOn w:val="85"/>
    <w:qFormat/>
    <w:uiPriority w:val="0"/>
    <w:pPr>
      <w:spacing w:line="420" w:lineRule="auto"/>
      <w:ind w:firstLine="561" w:firstLineChars="0"/>
    </w:pPr>
    <w:rPr>
      <w:rFonts w:ascii="宋体" w:cs="宋体"/>
      <w:szCs w:val="28"/>
    </w:rPr>
  </w:style>
  <w:style w:type="paragraph" w:customStyle="1" w:styleId="224">
    <w:name w:val="样式 标题 2mystyle2style21题号 + 宋体 小三 非加粗 段前: 6 磅 段后: 0 磅 行距:... +......"/>
    <w:basedOn w:val="1"/>
    <w:qFormat/>
    <w:uiPriority w:val="0"/>
    <w:pPr>
      <w:adjustRightInd w:val="0"/>
      <w:snapToGrid w:val="0"/>
      <w:spacing w:beforeLines="100" w:line="420" w:lineRule="auto"/>
      <w:ind w:firstLine="601" w:firstLineChars="200"/>
      <w:textAlignment w:val="baseline"/>
      <w:outlineLvl w:val="1"/>
    </w:pPr>
    <w:rPr>
      <w:rFonts w:ascii="宋体" w:hAnsi="宋体" w:cs="宋体"/>
      <w:b/>
      <w:kern w:val="0"/>
      <w:sz w:val="30"/>
      <w:szCs w:val="30"/>
      <w:u w:color="000000"/>
    </w:rPr>
  </w:style>
  <w:style w:type="character" w:customStyle="1" w:styleId="225">
    <w:name w:val="highlight1"/>
    <w:qFormat/>
    <w:uiPriority w:val="0"/>
    <w:rPr>
      <w:sz w:val="28"/>
      <w:szCs w:val="28"/>
    </w:rPr>
  </w:style>
  <w:style w:type="paragraph" w:customStyle="1" w:styleId="226">
    <w:name w:val="1"/>
    <w:basedOn w:val="13"/>
    <w:qFormat/>
    <w:uiPriority w:val="0"/>
    <w:pPr>
      <w:shd w:val="clear" w:color="auto" w:fill="000080"/>
    </w:pPr>
    <w:rPr>
      <w:rFonts w:ascii="Tahoma" w:hAnsi="Tahoma"/>
      <w:kern w:val="2"/>
      <w:sz w:val="32"/>
      <w:szCs w:val="32"/>
    </w:rPr>
  </w:style>
  <w:style w:type="paragraph" w:customStyle="1" w:styleId="227">
    <w:name w:val="1级标题"/>
    <w:basedOn w:val="1"/>
    <w:link w:val="229"/>
    <w:qFormat/>
    <w:uiPriority w:val="0"/>
    <w:pPr>
      <w:spacing w:line="480" w:lineRule="auto"/>
      <w:jc w:val="center"/>
      <w:outlineLvl w:val="0"/>
    </w:pPr>
    <w:rPr>
      <w:b/>
      <w:color w:val="000099"/>
      <w:sz w:val="36"/>
      <w:szCs w:val="28"/>
    </w:rPr>
  </w:style>
  <w:style w:type="paragraph" w:customStyle="1" w:styleId="228">
    <w:name w:val="2级标题"/>
    <w:basedOn w:val="1"/>
    <w:next w:val="1"/>
    <w:link w:val="231"/>
    <w:qFormat/>
    <w:uiPriority w:val="0"/>
    <w:pPr>
      <w:spacing w:line="480" w:lineRule="auto"/>
      <w:ind w:firstLine="200" w:firstLineChars="200"/>
      <w:outlineLvl w:val="1"/>
    </w:pPr>
    <w:rPr>
      <w:rFonts w:ascii="黑体" w:eastAsia="黑体"/>
      <w:b/>
      <w:color w:val="000099"/>
      <w:sz w:val="30"/>
      <w:szCs w:val="28"/>
    </w:rPr>
  </w:style>
  <w:style w:type="character" w:customStyle="1" w:styleId="229">
    <w:name w:val="1级标题 字符"/>
    <w:link w:val="227"/>
    <w:qFormat/>
    <w:uiPriority w:val="0"/>
    <w:rPr>
      <w:b/>
      <w:color w:val="000099"/>
      <w:kern w:val="2"/>
      <w:sz w:val="36"/>
      <w:szCs w:val="28"/>
    </w:rPr>
  </w:style>
  <w:style w:type="paragraph" w:customStyle="1" w:styleId="230">
    <w:name w:val="3级标题"/>
    <w:basedOn w:val="1"/>
    <w:link w:val="233"/>
    <w:qFormat/>
    <w:uiPriority w:val="0"/>
    <w:pPr>
      <w:spacing w:line="540" w:lineRule="exact"/>
      <w:ind w:firstLine="200" w:firstLineChars="200"/>
      <w:outlineLvl w:val="2"/>
    </w:pPr>
    <w:rPr>
      <w:rFonts w:eastAsia="黑体"/>
      <w:color w:val="000099"/>
      <w:sz w:val="28"/>
      <w:szCs w:val="28"/>
    </w:rPr>
  </w:style>
  <w:style w:type="character" w:customStyle="1" w:styleId="231">
    <w:name w:val="2级标题 字符"/>
    <w:link w:val="228"/>
    <w:qFormat/>
    <w:uiPriority w:val="0"/>
    <w:rPr>
      <w:rFonts w:ascii="黑体" w:eastAsia="黑体"/>
      <w:b/>
      <w:color w:val="000099"/>
      <w:kern w:val="2"/>
      <w:sz w:val="30"/>
      <w:szCs w:val="28"/>
    </w:rPr>
  </w:style>
  <w:style w:type="character" w:customStyle="1" w:styleId="232">
    <w:name w:val="不明显强调1"/>
    <w:qFormat/>
    <w:uiPriority w:val="19"/>
    <w:rPr>
      <w:i/>
      <w:iCs/>
      <w:color w:val="404040"/>
    </w:rPr>
  </w:style>
  <w:style w:type="character" w:customStyle="1" w:styleId="233">
    <w:name w:val="3级标题 字符"/>
    <w:link w:val="230"/>
    <w:qFormat/>
    <w:uiPriority w:val="0"/>
    <w:rPr>
      <w:rFonts w:eastAsia="黑体"/>
      <w:color w:val="000099"/>
      <w:kern w:val="2"/>
      <w:sz w:val="28"/>
      <w:szCs w:val="28"/>
    </w:rPr>
  </w:style>
  <w:style w:type="paragraph" w:customStyle="1" w:styleId="234">
    <w:name w:val="4级标题"/>
    <w:basedOn w:val="1"/>
    <w:link w:val="236"/>
    <w:qFormat/>
    <w:uiPriority w:val="0"/>
    <w:pPr>
      <w:spacing w:line="540" w:lineRule="exact"/>
      <w:ind w:firstLine="200" w:firstLineChars="200"/>
      <w:outlineLvl w:val="3"/>
    </w:pPr>
    <w:rPr>
      <w:rFonts w:eastAsia="楷体"/>
      <w:b/>
      <w:sz w:val="28"/>
      <w:szCs w:val="26"/>
    </w:rPr>
  </w:style>
  <w:style w:type="paragraph" w:customStyle="1" w:styleId="235">
    <w:name w:val="表名图名"/>
    <w:basedOn w:val="1"/>
    <w:link w:val="237"/>
    <w:qFormat/>
    <w:uiPriority w:val="0"/>
    <w:pPr>
      <w:adjustRightInd w:val="0"/>
      <w:snapToGrid w:val="0"/>
      <w:jc w:val="center"/>
    </w:pPr>
    <w:rPr>
      <w:rFonts w:eastAsia="黑体"/>
      <w:sz w:val="24"/>
      <w:szCs w:val="21"/>
    </w:rPr>
  </w:style>
  <w:style w:type="character" w:customStyle="1" w:styleId="236">
    <w:name w:val="4级标题 字符"/>
    <w:link w:val="234"/>
    <w:qFormat/>
    <w:uiPriority w:val="0"/>
    <w:rPr>
      <w:rFonts w:eastAsia="楷体"/>
      <w:b/>
      <w:kern w:val="2"/>
      <w:sz w:val="28"/>
      <w:szCs w:val="26"/>
    </w:rPr>
  </w:style>
  <w:style w:type="character" w:customStyle="1" w:styleId="237">
    <w:name w:val="表名图名 字符"/>
    <w:link w:val="235"/>
    <w:qFormat/>
    <w:uiPriority w:val="0"/>
    <w:rPr>
      <w:rFonts w:eastAsia="黑体"/>
      <w:kern w:val="2"/>
      <w:sz w:val="24"/>
      <w:szCs w:val="21"/>
    </w:rPr>
  </w:style>
  <w:style w:type="paragraph" w:customStyle="1" w:styleId="238">
    <w:name w:val="表格111"/>
    <w:basedOn w:val="1"/>
    <w:link w:val="239"/>
    <w:qFormat/>
    <w:uiPriority w:val="0"/>
    <w:pPr>
      <w:spacing w:line="240" w:lineRule="exact"/>
      <w:jc w:val="center"/>
    </w:pPr>
    <w:rPr>
      <w:szCs w:val="21"/>
    </w:rPr>
  </w:style>
  <w:style w:type="character" w:customStyle="1" w:styleId="239">
    <w:name w:val="表格111 字符"/>
    <w:link w:val="238"/>
    <w:qFormat/>
    <w:uiPriority w:val="0"/>
    <w:rPr>
      <w:kern w:val="2"/>
      <w:sz w:val="21"/>
      <w:szCs w:val="21"/>
    </w:rPr>
  </w:style>
  <w:style w:type="character" w:customStyle="1" w:styleId="240">
    <w:name w:val="正文 Char"/>
    <w:link w:val="132"/>
    <w:qFormat/>
    <w:locked/>
    <w:uiPriority w:val="0"/>
    <w:rPr>
      <w:rFonts w:ascii="宋体"/>
      <w:sz w:val="24"/>
    </w:rPr>
  </w:style>
  <w:style w:type="character" w:customStyle="1" w:styleId="241">
    <w:name w:val="表名 字符"/>
    <w:link w:val="92"/>
    <w:qFormat/>
    <w:uiPriority w:val="0"/>
    <w:rPr>
      <w:rFonts w:eastAsia="黑体"/>
      <w:color w:val="000099"/>
      <w:kern w:val="2"/>
      <w:sz w:val="24"/>
      <w:szCs w:val="21"/>
    </w:rPr>
  </w:style>
  <w:style w:type="character" w:customStyle="1" w:styleId="242">
    <w:name w:val="标题 5 Char"/>
    <w:qFormat/>
    <w:uiPriority w:val="0"/>
    <w:rPr>
      <w:kern w:val="2"/>
      <w:sz w:val="28"/>
      <w:szCs w:val="18"/>
    </w:rPr>
  </w:style>
  <w:style w:type="paragraph" w:customStyle="1" w:styleId="243">
    <w:name w:val="正文2"/>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character" w:customStyle="1" w:styleId="244">
    <w:name w:val="正文文本 2 字符"/>
    <w:basedOn w:val="48"/>
    <w:qFormat/>
    <w:uiPriority w:val="99"/>
    <w:rPr>
      <w:kern w:val="2"/>
      <w:sz w:val="21"/>
      <w:szCs w:val="24"/>
    </w:rPr>
  </w:style>
  <w:style w:type="character" w:customStyle="1" w:styleId="245">
    <w:name w:val="正文文本 2 字符1"/>
    <w:link w:val="39"/>
    <w:qFormat/>
    <w:uiPriority w:val="0"/>
    <w:rPr>
      <w:kern w:val="2"/>
      <w:sz w:val="28"/>
      <w:szCs w:val="28"/>
    </w:rPr>
  </w:style>
  <w:style w:type="character" w:customStyle="1" w:styleId="246">
    <w:name w:val="HTML 预设格式 字符"/>
    <w:basedOn w:val="48"/>
    <w:qFormat/>
    <w:uiPriority w:val="99"/>
    <w:rPr>
      <w:rFonts w:ascii="Courier New" w:hAnsi="Courier New" w:cs="Courier New"/>
      <w:kern w:val="2"/>
    </w:rPr>
  </w:style>
  <w:style w:type="character" w:customStyle="1" w:styleId="247">
    <w:name w:val="HTML 预设格式 字符1"/>
    <w:link w:val="40"/>
    <w:qFormat/>
    <w:uiPriority w:val="0"/>
    <w:rPr>
      <w:rFonts w:ascii="宋体" w:hAnsi="宋体"/>
      <w:sz w:val="24"/>
      <w:szCs w:val="24"/>
    </w:rPr>
  </w:style>
  <w:style w:type="paragraph" w:customStyle="1" w:styleId="248">
    <w:name w:val="Char Char2 Char Char"/>
    <w:basedOn w:val="1"/>
    <w:qFormat/>
    <w:uiPriority w:val="0"/>
    <w:pPr>
      <w:spacing w:line="540" w:lineRule="exact"/>
    </w:pPr>
  </w:style>
  <w:style w:type="paragraph" w:customStyle="1" w:styleId="249">
    <w:name w:val="Char Char Char Char Char Char1"/>
    <w:basedOn w:val="1"/>
    <w:qFormat/>
    <w:uiPriority w:val="0"/>
    <w:pPr>
      <w:spacing w:line="540" w:lineRule="exact"/>
    </w:pPr>
  </w:style>
  <w:style w:type="character" w:customStyle="1" w:styleId="250">
    <w:name w:val="脚注文本 字符"/>
    <w:basedOn w:val="48"/>
    <w:qFormat/>
    <w:uiPriority w:val="99"/>
    <w:rPr>
      <w:kern w:val="2"/>
      <w:sz w:val="18"/>
      <w:szCs w:val="18"/>
    </w:rPr>
  </w:style>
  <w:style w:type="character" w:customStyle="1" w:styleId="251">
    <w:name w:val="脚注文本 字符1"/>
    <w:link w:val="34"/>
    <w:qFormat/>
    <w:uiPriority w:val="0"/>
    <w:rPr>
      <w:kern w:val="2"/>
      <w:sz w:val="18"/>
      <w:szCs w:val="18"/>
    </w:rPr>
  </w:style>
  <w:style w:type="paragraph" w:customStyle="1" w:styleId="252">
    <w:name w:val="Char Char2 Char Char Char Char Char Char1 Char Char Char Char Char Char Char"/>
    <w:basedOn w:val="1"/>
    <w:qFormat/>
    <w:uiPriority w:val="0"/>
    <w:pPr>
      <w:spacing w:line="360" w:lineRule="auto"/>
      <w:ind w:firstLine="200" w:firstLineChars="200"/>
    </w:pPr>
    <w:rPr>
      <w:rFonts w:ascii="宋体" w:hAnsi="宋体" w:cs="宋体"/>
      <w:sz w:val="24"/>
    </w:rPr>
  </w:style>
  <w:style w:type="paragraph" w:customStyle="1" w:styleId="253">
    <w:name w:val="Char Char2 Char Char Char Char Char Char Char"/>
    <w:basedOn w:val="1"/>
    <w:qFormat/>
    <w:uiPriority w:val="0"/>
    <w:pPr>
      <w:spacing w:line="360" w:lineRule="auto"/>
      <w:ind w:firstLine="200" w:firstLineChars="200"/>
    </w:pPr>
    <w:rPr>
      <w:rFonts w:ascii="宋体" w:hAnsi="宋体" w:cs="宋体"/>
      <w:sz w:val="24"/>
    </w:rPr>
  </w:style>
  <w:style w:type="character" w:customStyle="1" w:styleId="254">
    <w:name w:val="正文文本缩进 Char"/>
    <w:qFormat/>
    <w:uiPriority w:val="0"/>
    <w:rPr>
      <w:rFonts w:ascii="宋体" w:hAnsi="宋体"/>
      <w:kern w:val="2"/>
      <w:sz w:val="28"/>
      <w:szCs w:val="28"/>
    </w:rPr>
  </w:style>
  <w:style w:type="character" w:customStyle="1" w:styleId="255">
    <w:name w:val="尾注文本 字符"/>
    <w:basedOn w:val="48"/>
    <w:qFormat/>
    <w:uiPriority w:val="99"/>
    <w:rPr>
      <w:kern w:val="2"/>
      <w:sz w:val="21"/>
      <w:szCs w:val="24"/>
    </w:rPr>
  </w:style>
  <w:style w:type="character" w:customStyle="1" w:styleId="256">
    <w:name w:val="尾注文本 字符1"/>
    <w:link w:val="25"/>
    <w:qFormat/>
    <w:uiPriority w:val="0"/>
    <w:rPr>
      <w:kern w:val="2"/>
      <w:sz w:val="28"/>
      <w:szCs w:val="28"/>
    </w:rPr>
  </w:style>
  <w:style w:type="paragraph" w:customStyle="1" w:styleId="257">
    <w:name w:val="表头小四"/>
    <w:basedOn w:val="1"/>
    <w:qFormat/>
    <w:uiPriority w:val="0"/>
    <w:pPr>
      <w:spacing w:line="360" w:lineRule="auto"/>
      <w:ind w:firstLine="200" w:firstLineChars="200"/>
      <w:jc w:val="left"/>
    </w:pPr>
    <w:rPr>
      <w:rFonts w:ascii="宋体" w:hAnsi="宋体"/>
      <w:b/>
      <w:kern w:val="0"/>
      <w:sz w:val="24"/>
      <w:szCs w:val="28"/>
    </w:rPr>
  </w:style>
  <w:style w:type="character" w:customStyle="1" w:styleId="258">
    <w:name w:val="正文文本缩进 3 字符1"/>
    <w:link w:val="36"/>
    <w:qFormat/>
    <w:uiPriority w:val="0"/>
    <w:rPr>
      <w:kern w:val="2"/>
      <w:sz w:val="16"/>
      <w:szCs w:val="16"/>
    </w:rPr>
  </w:style>
  <w:style w:type="character" w:customStyle="1" w:styleId="259">
    <w:name w:val="正文（二）"/>
    <w:qFormat/>
    <w:uiPriority w:val="0"/>
    <w:rPr>
      <w:rFonts w:eastAsia="宋体"/>
      <w:kern w:val="0"/>
      <w:sz w:val="28"/>
    </w:rPr>
  </w:style>
  <w:style w:type="character" w:customStyle="1" w:styleId="260">
    <w:name w:val="正文文本_"/>
    <w:link w:val="261"/>
    <w:qFormat/>
    <w:uiPriority w:val="0"/>
    <w:rPr>
      <w:rFonts w:ascii="宋体" w:hAnsi="宋体"/>
      <w:sz w:val="16"/>
      <w:szCs w:val="16"/>
      <w:shd w:val="clear" w:color="auto" w:fill="FFFFFF"/>
    </w:rPr>
  </w:style>
  <w:style w:type="paragraph" w:customStyle="1" w:styleId="261">
    <w:name w:val="正文文本7"/>
    <w:basedOn w:val="1"/>
    <w:link w:val="260"/>
    <w:qFormat/>
    <w:uiPriority w:val="0"/>
    <w:pPr>
      <w:widowControl/>
      <w:shd w:val="clear" w:color="auto" w:fill="FFFFFF"/>
      <w:spacing w:line="0" w:lineRule="atLeast"/>
      <w:jc w:val="left"/>
    </w:pPr>
    <w:rPr>
      <w:rFonts w:ascii="宋体" w:hAnsi="宋体"/>
      <w:kern w:val="0"/>
      <w:sz w:val="16"/>
      <w:szCs w:val="16"/>
    </w:rPr>
  </w:style>
  <w:style w:type="character" w:customStyle="1" w:styleId="262">
    <w:name w:val="正文文本 (15)_"/>
    <w:link w:val="263"/>
    <w:qFormat/>
    <w:uiPriority w:val="0"/>
    <w:rPr>
      <w:rFonts w:ascii="宋体" w:hAnsi="宋体"/>
      <w:sz w:val="18"/>
      <w:szCs w:val="18"/>
      <w:shd w:val="clear" w:color="auto" w:fill="FFFFFF"/>
    </w:rPr>
  </w:style>
  <w:style w:type="paragraph" w:customStyle="1" w:styleId="263">
    <w:name w:val="正文文本 (15)"/>
    <w:basedOn w:val="1"/>
    <w:link w:val="262"/>
    <w:qFormat/>
    <w:uiPriority w:val="0"/>
    <w:pPr>
      <w:widowControl/>
      <w:shd w:val="clear" w:color="auto" w:fill="FFFFFF"/>
      <w:spacing w:line="0" w:lineRule="atLeast"/>
      <w:jc w:val="left"/>
    </w:pPr>
    <w:rPr>
      <w:rFonts w:ascii="宋体" w:hAnsi="宋体"/>
      <w:kern w:val="0"/>
      <w:sz w:val="18"/>
      <w:szCs w:val="18"/>
    </w:rPr>
  </w:style>
  <w:style w:type="character" w:customStyle="1" w:styleId="264">
    <w:name w:val="正文文本 (16)_"/>
    <w:link w:val="265"/>
    <w:qFormat/>
    <w:uiPriority w:val="0"/>
    <w:rPr>
      <w:rFonts w:ascii="宋体" w:hAnsi="宋体"/>
      <w:shd w:val="clear" w:color="auto" w:fill="FFFFFF"/>
    </w:rPr>
  </w:style>
  <w:style w:type="paragraph" w:customStyle="1" w:styleId="265">
    <w:name w:val="正文文本 (16)"/>
    <w:basedOn w:val="1"/>
    <w:link w:val="264"/>
    <w:qFormat/>
    <w:uiPriority w:val="0"/>
    <w:pPr>
      <w:widowControl/>
      <w:shd w:val="clear" w:color="auto" w:fill="FFFFFF"/>
      <w:spacing w:line="0" w:lineRule="atLeast"/>
      <w:jc w:val="left"/>
    </w:pPr>
    <w:rPr>
      <w:rFonts w:ascii="宋体" w:hAnsi="宋体"/>
      <w:kern w:val="0"/>
      <w:sz w:val="20"/>
      <w:szCs w:val="20"/>
    </w:rPr>
  </w:style>
  <w:style w:type="character" w:customStyle="1" w:styleId="266">
    <w:name w:val="正文文本 (17)_"/>
    <w:link w:val="267"/>
    <w:qFormat/>
    <w:uiPriority w:val="0"/>
    <w:rPr>
      <w:rFonts w:ascii="宋体" w:hAnsi="宋体"/>
      <w:shd w:val="clear" w:color="auto" w:fill="FFFFFF"/>
    </w:rPr>
  </w:style>
  <w:style w:type="paragraph" w:customStyle="1" w:styleId="267">
    <w:name w:val="正文文本 (17)"/>
    <w:basedOn w:val="1"/>
    <w:link w:val="266"/>
    <w:qFormat/>
    <w:uiPriority w:val="0"/>
    <w:pPr>
      <w:widowControl/>
      <w:shd w:val="clear" w:color="auto" w:fill="FFFFFF"/>
      <w:spacing w:line="0" w:lineRule="atLeast"/>
      <w:jc w:val="left"/>
    </w:pPr>
    <w:rPr>
      <w:rFonts w:ascii="宋体" w:hAnsi="宋体"/>
      <w:kern w:val="0"/>
      <w:sz w:val="20"/>
      <w:szCs w:val="20"/>
    </w:rPr>
  </w:style>
  <w:style w:type="character" w:customStyle="1" w:styleId="268">
    <w:name w:val="正文文本 (26)_"/>
    <w:link w:val="269"/>
    <w:qFormat/>
    <w:uiPriority w:val="0"/>
    <w:rPr>
      <w:rFonts w:ascii="宋体" w:hAnsi="宋体"/>
      <w:shd w:val="clear" w:color="auto" w:fill="FFFFFF"/>
    </w:rPr>
  </w:style>
  <w:style w:type="paragraph" w:customStyle="1" w:styleId="269">
    <w:name w:val="正文文本 (26)"/>
    <w:basedOn w:val="1"/>
    <w:link w:val="268"/>
    <w:qFormat/>
    <w:uiPriority w:val="0"/>
    <w:pPr>
      <w:widowControl/>
      <w:shd w:val="clear" w:color="auto" w:fill="FFFFFF"/>
      <w:spacing w:line="0" w:lineRule="atLeast"/>
      <w:jc w:val="left"/>
    </w:pPr>
    <w:rPr>
      <w:rFonts w:ascii="宋体" w:hAnsi="宋体"/>
      <w:kern w:val="0"/>
      <w:sz w:val="20"/>
      <w:szCs w:val="20"/>
    </w:rPr>
  </w:style>
  <w:style w:type="character" w:customStyle="1" w:styleId="270">
    <w:name w:val="正文文本 (14)_"/>
    <w:link w:val="271"/>
    <w:qFormat/>
    <w:uiPriority w:val="0"/>
    <w:rPr>
      <w:rFonts w:ascii="宋体" w:hAnsi="宋体"/>
      <w:shd w:val="clear" w:color="auto" w:fill="FFFFFF"/>
    </w:rPr>
  </w:style>
  <w:style w:type="paragraph" w:customStyle="1" w:styleId="271">
    <w:name w:val="正文文本 (14)"/>
    <w:basedOn w:val="1"/>
    <w:link w:val="270"/>
    <w:autoRedefine/>
    <w:qFormat/>
    <w:uiPriority w:val="0"/>
    <w:pPr>
      <w:widowControl/>
      <w:shd w:val="clear" w:color="auto" w:fill="FFFFFF"/>
      <w:spacing w:line="0" w:lineRule="atLeast"/>
      <w:jc w:val="left"/>
    </w:pPr>
    <w:rPr>
      <w:rFonts w:ascii="宋体" w:hAnsi="宋体"/>
      <w:kern w:val="0"/>
      <w:sz w:val="20"/>
      <w:szCs w:val="20"/>
    </w:rPr>
  </w:style>
  <w:style w:type="character" w:customStyle="1" w:styleId="272">
    <w:name w:val="正文文本1"/>
    <w:qFormat/>
    <w:uiPriority w:val="0"/>
    <w:rPr>
      <w:rFonts w:ascii="宋体" w:hAnsi="宋体"/>
      <w:spacing w:val="0"/>
      <w:sz w:val="16"/>
      <w:szCs w:val="16"/>
      <w:shd w:val="clear" w:color="auto" w:fill="FFFFFF"/>
    </w:rPr>
  </w:style>
  <w:style w:type="character" w:customStyle="1" w:styleId="273">
    <w:name w:val="正文文本 (28)"/>
    <w:qFormat/>
    <w:uiPriority w:val="0"/>
    <w:rPr>
      <w:rFonts w:ascii="宋体" w:hAnsi="宋体" w:eastAsia="宋体" w:cs="宋体"/>
      <w:spacing w:val="0"/>
      <w:sz w:val="16"/>
      <w:szCs w:val="16"/>
    </w:rPr>
  </w:style>
  <w:style w:type="character" w:customStyle="1" w:styleId="274">
    <w:name w:val="正文文本 (21)_"/>
    <w:link w:val="275"/>
    <w:qFormat/>
    <w:uiPriority w:val="0"/>
    <w:rPr>
      <w:rFonts w:ascii="宋体" w:hAnsi="宋体"/>
      <w:shd w:val="clear" w:color="auto" w:fill="FFFFFF"/>
    </w:rPr>
  </w:style>
  <w:style w:type="paragraph" w:customStyle="1" w:styleId="275">
    <w:name w:val="正文文本 (21)"/>
    <w:basedOn w:val="1"/>
    <w:link w:val="274"/>
    <w:qFormat/>
    <w:uiPriority w:val="0"/>
    <w:pPr>
      <w:widowControl/>
      <w:shd w:val="clear" w:color="auto" w:fill="FFFFFF"/>
      <w:spacing w:line="0" w:lineRule="atLeast"/>
      <w:jc w:val="left"/>
    </w:pPr>
    <w:rPr>
      <w:rFonts w:ascii="宋体" w:hAnsi="宋体"/>
      <w:kern w:val="0"/>
      <w:sz w:val="20"/>
      <w:szCs w:val="20"/>
    </w:rPr>
  </w:style>
  <w:style w:type="character" w:customStyle="1" w:styleId="276">
    <w:name w:val="正文文本 (27)_"/>
    <w:link w:val="277"/>
    <w:qFormat/>
    <w:uiPriority w:val="0"/>
    <w:rPr>
      <w:rFonts w:ascii="宋体" w:hAnsi="宋体"/>
      <w:shd w:val="clear" w:color="auto" w:fill="FFFFFF"/>
    </w:rPr>
  </w:style>
  <w:style w:type="paragraph" w:customStyle="1" w:styleId="277">
    <w:name w:val="正文文本 (27)"/>
    <w:basedOn w:val="1"/>
    <w:link w:val="276"/>
    <w:autoRedefine/>
    <w:qFormat/>
    <w:uiPriority w:val="0"/>
    <w:pPr>
      <w:widowControl/>
      <w:shd w:val="clear" w:color="auto" w:fill="FFFFFF"/>
      <w:spacing w:line="0" w:lineRule="atLeast"/>
      <w:jc w:val="left"/>
    </w:pPr>
    <w:rPr>
      <w:rFonts w:ascii="宋体" w:hAnsi="宋体"/>
      <w:kern w:val="0"/>
      <w:sz w:val="20"/>
      <w:szCs w:val="20"/>
    </w:rPr>
  </w:style>
  <w:style w:type="character" w:customStyle="1" w:styleId="278">
    <w:name w:val="正文文本 (22)_"/>
    <w:link w:val="279"/>
    <w:qFormat/>
    <w:uiPriority w:val="0"/>
    <w:rPr>
      <w:rFonts w:ascii="宋体" w:hAnsi="宋体"/>
      <w:shd w:val="clear" w:color="auto" w:fill="FFFFFF"/>
    </w:rPr>
  </w:style>
  <w:style w:type="paragraph" w:customStyle="1" w:styleId="279">
    <w:name w:val="正文文本 (22)"/>
    <w:basedOn w:val="1"/>
    <w:link w:val="278"/>
    <w:qFormat/>
    <w:uiPriority w:val="0"/>
    <w:pPr>
      <w:widowControl/>
      <w:shd w:val="clear" w:color="auto" w:fill="FFFFFF"/>
      <w:spacing w:line="0" w:lineRule="atLeast"/>
      <w:jc w:val="left"/>
    </w:pPr>
    <w:rPr>
      <w:rFonts w:ascii="宋体" w:hAnsi="宋体"/>
      <w:kern w:val="0"/>
      <w:sz w:val="20"/>
      <w:szCs w:val="20"/>
    </w:rPr>
  </w:style>
  <w:style w:type="character" w:customStyle="1" w:styleId="280">
    <w:name w:val="正文文本 (23)_"/>
    <w:link w:val="281"/>
    <w:qFormat/>
    <w:uiPriority w:val="0"/>
    <w:rPr>
      <w:rFonts w:ascii="宋体" w:hAnsi="宋体"/>
      <w:shd w:val="clear" w:color="auto" w:fill="FFFFFF"/>
    </w:rPr>
  </w:style>
  <w:style w:type="paragraph" w:customStyle="1" w:styleId="281">
    <w:name w:val="正文文本 (23)"/>
    <w:basedOn w:val="1"/>
    <w:link w:val="280"/>
    <w:qFormat/>
    <w:uiPriority w:val="0"/>
    <w:pPr>
      <w:widowControl/>
      <w:shd w:val="clear" w:color="auto" w:fill="FFFFFF"/>
      <w:spacing w:line="0" w:lineRule="atLeast"/>
      <w:jc w:val="left"/>
    </w:pPr>
    <w:rPr>
      <w:rFonts w:ascii="宋体" w:hAnsi="宋体"/>
      <w:kern w:val="0"/>
      <w:sz w:val="20"/>
      <w:szCs w:val="20"/>
    </w:rPr>
  </w:style>
  <w:style w:type="character" w:customStyle="1" w:styleId="282">
    <w:name w:val="正文文本 (12)_"/>
    <w:link w:val="283"/>
    <w:qFormat/>
    <w:uiPriority w:val="0"/>
    <w:rPr>
      <w:rFonts w:ascii="宋体" w:hAnsi="宋体"/>
      <w:shd w:val="clear" w:color="auto" w:fill="FFFFFF"/>
    </w:rPr>
  </w:style>
  <w:style w:type="paragraph" w:customStyle="1" w:styleId="283">
    <w:name w:val="正文文本 (12)"/>
    <w:basedOn w:val="1"/>
    <w:link w:val="282"/>
    <w:qFormat/>
    <w:uiPriority w:val="0"/>
    <w:pPr>
      <w:widowControl/>
      <w:shd w:val="clear" w:color="auto" w:fill="FFFFFF"/>
      <w:spacing w:line="0" w:lineRule="atLeast"/>
      <w:jc w:val="left"/>
    </w:pPr>
    <w:rPr>
      <w:rFonts w:ascii="宋体" w:hAnsi="宋体"/>
      <w:kern w:val="0"/>
      <w:sz w:val="20"/>
      <w:szCs w:val="20"/>
    </w:rPr>
  </w:style>
  <w:style w:type="character" w:customStyle="1" w:styleId="284">
    <w:name w:val="正文文本 (25)_"/>
    <w:link w:val="285"/>
    <w:qFormat/>
    <w:uiPriority w:val="0"/>
    <w:rPr>
      <w:rFonts w:ascii="宋体" w:hAnsi="宋体"/>
      <w:shd w:val="clear" w:color="auto" w:fill="FFFFFF"/>
    </w:rPr>
  </w:style>
  <w:style w:type="paragraph" w:customStyle="1" w:styleId="285">
    <w:name w:val="正文文本 (25)"/>
    <w:basedOn w:val="1"/>
    <w:link w:val="284"/>
    <w:qFormat/>
    <w:uiPriority w:val="0"/>
    <w:pPr>
      <w:widowControl/>
      <w:shd w:val="clear" w:color="auto" w:fill="FFFFFF"/>
      <w:spacing w:line="0" w:lineRule="atLeast"/>
      <w:jc w:val="left"/>
    </w:pPr>
    <w:rPr>
      <w:rFonts w:ascii="宋体" w:hAnsi="宋体"/>
      <w:kern w:val="0"/>
      <w:sz w:val="20"/>
      <w:szCs w:val="20"/>
    </w:rPr>
  </w:style>
  <w:style w:type="character" w:customStyle="1" w:styleId="286">
    <w:name w:val="正文文本 (13)_"/>
    <w:link w:val="287"/>
    <w:qFormat/>
    <w:uiPriority w:val="0"/>
    <w:rPr>
      <w:rFonts w:ascii="宋体" w:hAnsi="宋体"/>
      <w:shd w:val="clear" w:color="auto" w:fill="FFFFFF"/>
    </w:rPr>
  </w:style>
  <w:style w:type="paragraph" w:customStyle="1" w:styleId="287">
    <w:name w:val="正文文本 (13)"/>
    <w:basedOn w:val="1"/>
    <w:link w:val="286"/>
    <w:qFormat/>
    <w:uiPriority w:val="0"/>
    <w:pPr>
      <w:widowControl/>
      <w:shd w:val="clear" w:color="auto" w:fill="FFFFFF"/>
      <w:spacing w:line="0" w:lineRule="atLeast"/>
      <w:jc w:val="left"/>
    </w:pPr>
    <w:rPr>
      <w:rFonts w:ascii="宋体" w:hAnsi="宋体"/>
      <w:kern w:val="0"/>
      <w:sz w:val="20"/>
      <w:szCs w:val="20"/>
    </w:rPr>
  </w:style>
  <w:style w:type="character" w:customStyle="1" w:styleId="288">
    <w:name w:val="正文文本 (18)_"/>
    <w:link w:val="289"/>
    <w:qFormat/>
    <w:uiPriority w:val="0"/>
    <w:rPr>
      <w:rFonts w:ascii="宋体" w:hAnsi="宋体"/>
      <w:shd w:val="clear" w:color="auto" w:fill="FFFFFF"/>
    </w:rPr>
  </w:style>
  <w:style w:type="paragraph" w:customStyle="1" w:styleId="289">
    <w:name w:val="正文文本 (18)"/>
    <w:basedOn w:val="1"/>
    <w:link w:val="288"/>
    <w:qFormat/>
    <w:uiPriority w:val="0"/>
    <w:pPr>
      <w:widowControl/>
      <w:shd w:val="clear" w:color="auto" w:fill="FFFFFF"/>
      <w:spacing w:line="0" w:lineRule="atLeast"/>
      <w:jc w:val="left"/>
    </w:pPr>
    <w:rPr>
      <w:rFonts w:ascii="宋体" w:hAnsi="宋体"/>
      <w:kern w:val="0"/>
      <w:sz w:val="20"/>
      <w:szCs w:val="20"/>
    </w:rPr>
  </w:style>
  <w:style w:type="character" w:customStyle="1" w:styleId="290">
    <w:name w:val="正文文本 (24)_"/>
    <w:link w:val="291"/>
    <w:qFormat/>
    <w:uiPriority w:val="0"/>
    <w:rPr>
      <w:rFonts w:ascii="宋体" w:hAnsi="宋体"/>
      <w:shd w:val="clear" w:color="auto" w:fill="FFFFFF"/>
    </w:rPr>
  </w:style>
  <w:style w:type="paragraph" w:customStyle="1" w:styleId="291">
    <w:name w:val="正文文本 (24)"/>
    <w:basedOn w:val="1"/>
    <w:link w:val="290"/>
    <w:qFormat/>
    <w:uiPriority w:val="0"/>
    <w:pPr>
      <w:widowControl/>
      <w:shd w:val="clear" w:color="auto" w:fill="FFFFFF"/>
      <w:spacing w:line="0" w:lineRule="atLeast"/>
      <w:jc w:val="left"/>
    </w:pPr>
    <w:rPr>
      <w:rFonts w:ascii="宋体" w:hAnsi="宋体"/>
      <w:kern w:val="0"/>
      <w:sz w:val="20"/>
      <w:szCs w:val="20"/>
    </w:rPr>
  </w:style>
  <w:style w:type="character" w:customStyle="1" w:styleId="292">
    <w:name w:val="正文文本 (19)_"/>
    <w:link w:val="293"/>
    <w:qFormat/>
    <w:uiPriority w:val="0"/>
    <w:rPr>
      <w:rFonts w:ascii="宋体" w:hAnsi="宋体"/>
      <w:shd w:val="clear" w:color="auto" w:fill="FFFFFF"/>
    </w:rPr>
  </w:style>
  <w:style w:type="paragraph" w:customStyle="1" w:styleId="293">
    <w:name w:val="正文文本 (19)"/>
    <w:basedOn w:val="1"/>
    <w:link w:val="292"/>
    <w:qFormat/>
    <w:uiPriority w:val="0"/>
    <w:pPr>
      <w:widowControl/>
      <w:shd w:val="clear" w:color="auto" w:fill="FFFFFF"/>
      <w:spacing w:line="0" w:lineRule="atLeast"/>
      <w:jc w:val="left"/>
    </w:pPr>
    <w:rPr>
      <w:rFonts w:ascii="宋体" w:hAnsi="宋体"/>
      <w:kern w:val="0"/>
      <w:sz w:val="20"/>
      <w:szCs w:val="20"/>
    </w:rPr>
  </w:style>
  <w:style w:type="character" w:customStyle="1" w:styleId="294">
    <w:name w:val="正文文本 (20)_"/>
    <w:link w:val="295"/>
    <w:qFormat/>
    <w:uiPriority w:val="0"/>
    <w:rPr>
      <w:rFonts w:ascii="宋体" w:hAnsi="宋体"/>
      <w:shd w:val="clear" w:color="auto" w:fill="FFFFFF"/>
    </w:rPr>
  </w:style>
  <w:style w:type="paragraph" w:customStyle="1" w:styleId="295">
    <w:name w:val="正文文本 (20)"/>
    <w:basedOn w:val="1"/>
    <w:link w:val="294"/>
    <w:qFormat/>
    <w:uiPriority w:val="0"/>
    <w:pPr>
      <w:widowControl/>
      <w:shd w:val="clear" w:color="auto" w:fill="FFFFFF"/>
      <w:spacing w:line="0" w:lineRule="atLeast"/>
      <w:jc w:val="left"/>
    </w:pPr>
    <w:rPr>
      <w:rFonts w:ascii="宋体" w:hAnsi="宋体"/>
      <w:kern w:val="0"/>
      <w:sz w:val="20"/>
      <w:szCs w:val="20"/>
    </w:rPr>
  </w:style>
  <w:style w:type="character" w:customStyle="1" w:styleId="296">
    <w:name w:val="正文文本 (3)_"/>
    <w:link w:val="297"/>
    <w:qFormat/>
    <w:uiPriority w:val="0"/>
    <w:rPr>
      <w:rFonts w:ascii="宋体" w:hAnsi="宋体"/>
      <w:sz w:val="28"/>
      <w:szCs w:val="28"/>
      <w:shd w:val="clear" w:color="auto" w:fill="FFFFFF"/>
    </w:rPr>
  </w:style>
  <w:style w:type="paragraph" w:customStyle="1" w:styleId="297">
    <w:name w:val="正文文本 (3)"/>
    <w:basedOn w:val="1"/>
    <w:link w:val="296"/>
    <w:qFormat/>
    <w:uiPriority w:val="0"/>
    <w:pPr>
      <w:widowControl/>
      <w:shd w:val="clear" w:color="auto" w:fill="FFFFFF"/>
      <w:spacing w:before="960" w:after="1140" w:line="0" w:lineRule="atLeast"/>
      <w:jc w:val="center"/>
    </w:pPr>
    <w:rPr>
      <w:rFonts w:ascii="宋体" w:hAnsi="宋体"/>
      <w:kern w:val="0"/>
      <w:sz w:val="28"/>
      <w:szCs w:val="28"/>
    </w:rPr>
  </w:style>
  <w:style w:type="table" w:customStyle="1" w:styleId="298">
    <w:name w:val="Table Normal"/>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299">
    <w:name w:val="Table Paragraph"/>
    <w:basedOn w:val="1"/>
    <w:qFormat/>
    <w:uiPriority w:val="1"/>
    <w:pPr>
      <w:spacing w:line="540" w:lineRule="exact"/>
      <w:jc w:val="left"/>
    </w:pPr>
    <w:rPr>
      <w:rFonts w:ascii="Calibri" w:hAnsi="Calibri"/>
      <w:kern w:val="0"/>
      <w:sz w:val="22"/>
      <w:szCs w:val="22"/>
      <w:lang w:eastAsia="en-US"/>
    </w:rPr>
  </w:style>
  <w:style w:type="table" w:customStyle="1" w:styleId="300">
    <w:name w:val="样式1"/>
    <w:basedOn w:val="46"/>
    <w:qFormat/>
    <w:uiPriority w:val="0"/>
    <w:pPr>
      <w:jc w:val="center"/>
    </w:pPr>
    <w:tblPr>
      <w:tblBorders>
        <w:top w:val="single" w:color="008080" w:sz="12" w:space="0"/>
        <w:left w:val="single" w:color="008080" w:sz="12" w:space="0"/>
        <w:bottom w:val="single" w:color="008080" w:sz="12" w:space="0"/>
        <w:right w:val="single" w:color="008080" w:sz="12" w:space="0"/>
        <w:insideH w:val="single" w:color="008080" w:sz="6" w:space="0"/>
        <w:insideV w:val="single" w:color="008080" w:sz="6" w:space="0"/>
      </w:tblBorders>
    </w:tblPr>
    <w:tcPr>
      <w:vAlign w:val="center"/>
    </w:tcPr>
  </w:style>
  <w:style w:type="character" w:customStyle="1" w:styleId="301">
    <w:name w:val="未处理的提及1"/>
    <w:basedOn w:val="48"/>
    <w:semiHidden/>
    <w:unhideWhenUsed/>
    <w:qFormat/>
    <w:uiPriority w:val="99"/>
    <w:rPr>
      <w:color w:val="605E5C"/>
      <w:shd w:val="clear" w:color="auto" w:fill="E1DFDD"/>
    </w:rPr>
  </w:style>
  <w:style w:type="character" w:styleId="302">
    <w:name w:val="Placeholder Text"/>
    <w:basedOn w:val="48"/>
    <w:semiHidden/>
    <w:qFormat/>
    <w:uiPriority w:val="99"/>
    <w:rPr>
      <w:color w:val="808080"/>
    </w:rPr>
  </w:style>
  <w:style w:type="table" w:customStyle="1" w:styleId="303">
    <w:name w:val="表格·"/>
    <w:basedOn w:val="46"/>
    <w:qFormat/>
    <w:uiPriority w:val="99"/>
    <w:pPr>
      <w:adjustRightInd w:val="0"/>
      <w:snapToGrid w:val="0"/>
      <w:jc w:val="center"/>
    </w:pPr>
    <w:rPr>
      <w:kern w:val="2"/>
      <w:sz w:val="22"/>
      <w:szCs w:val="22"/>
    </w:rPr>
    <w:tblPr>
      <w:tblBorders>
        <w:top w:val="single" w:color="008080" w:sz="12" w:space="0"/>
        <w:left w:val="single" w:color="008080" w:sz="12" w:space="0"/>
        <w:bottom w:val="single" w:color="008080" w:sz="12" w:space="0"/>
        <w:right w:val="single" w:color="008080" w:sz="12" w:space="0"/>
        <w:insideH w:val="single" w:color="008080" w:sz="6" w:space="0"/>
        <w:insideV w:val="single" w:color="008080" w:sz="6" w:space="0"/>
      </w:tblBorders>
    </w:tblPr>
    <w:tcPr>
      <w:vAlign w:val="center"/>
    </w:tcPr>
    <w:tblStylePr w:type="firstRow">
      <w:rPr>
        <w:rFonts w:eastAsia="宋体"/>
        <w:sz w:val="21"/>
      </w:rPr>
      <w:tcPr>
        <w:tcBorders>
          <w:top w:val="single" w:color="008080" w:sz="12" w:space="0"/>
          <w:left w:val="single" w:color="008080" w:sz="12" w:space="0"/>
          <w:bottom w:val="single" w:color="008080" w:sz="6" w:space="0"/>
          <w:right w:val="single" w:color="008080" w:sz="12" w:space="0"/>
          <w:insideH w:val="nil"/>
          <w:insideV w:val="single" w:sz="6" w:space="0"/>
          <w:tl2br w:val="nil"/>
          <w:tr2bl w:val="nil"/>
        </w:tcBorders>
        <w:shd w:val="clear" w:color="auto" w:fill="CCFFFF"/>
      </w:tcPr>
    </w:tblStylePr>
  </w:style>
  <w:style w:type="paragraph" w:customStyle="1" w:styleId="304">
    <w:name w:val="1级标题2"/>
    <w:basedOn w:val="227"/>
    <w:link w:val="306"/>
    <w:qFormat/>
    <w:uiPriority w:val="0"/>
    <w:rPr>
      <w:rFonts w:ascii="黑体" w:hAnsi="黑体" w:eastAsia="黑体"/>
      <w:sz w:val="32"/>
    </w:rPr>
  </w:style>
  <w:style w:type="paragraph" w:customStyle="1" w:styleId="305">
    <w:name w:val="图名段后"/>
    <w:basedOn w:val="235"/>
    <w:link w:val="308"/>
    <w:autoRedefine/>
    <w:qFormat/>
    <w:uiPriority w:val="0"/>
    <w:pPr>
      <w:spacing w:after="259" w:afterLines="50"/>
    </w:pPr>
    <w:rPr>
      <w:color w:val="000099"/>
    </w:rPr>
  </w:style>
  <w:style w:type="character" w:customStyle="1" w:styleId="306">
    <w:name w:val="1级标题2 字符"/>
    <w:basedOn w:val="229"/>
    <w:link w:val="304"/>
    <w:qFormat/>
    <w:uiPriority w:val="0"/>
    <w:rPr>
      <w:rFonts w:ascii="黑体" w:hAnsi="黑体" w:eastAsia="黑体"/>
      <w:color w:val="000099"/>
      <w:kern w:val="2"/>
      <w:sz w:val="32"/>
      <w:szCs w:val="28"/>
    </w:rPr>
  </w:style>
  <w:style w:type="paragraph" w:customStyle="1" w:styleId="307">
    <w:name w:val="表名段前"/>
    <w:basedOn w:val="305"/>
    <w:link w:val="309"/>
    <w:qFormat/>
    <w:uiPriority w:val="0"/>
    <w:pPr>
      <w:spacing w:before="259" w:beforeLines="50" w:after="0" w:afterLines="0"/>
    </w:pPr>
  </w:style>
  <w:style w:type="character" w:customStyle="1" w:styleId="308">
    <w:name w:val="图名段后 字符"/>
    <w:basedOn w:val="237"/>
    <w:link w:val="305"/>
    <w:qFormat/>
    <w:uiPriority w:val="0"/>
    <w:rPr>
      <w:rFonts w:eastAsia="黑体"/>
      <w:color w:val="000099"/>
      <w:kern w:val="2"/>
      <w:sz w:val="24"/>
      <w:szCs w:val="21"/>
    </w:rPr>
  </w:style>
  <w:style w:type="character" w:customStyle="1" w:styleId="309">
    <w:name w:val="表名段前 字符"/>
    <w:basedOn w:val="308"/>
    <w:link w:val="307"/>
    <w:qFormat/>
    <w:uiPriority w:val="0"/>
    <w:rPr>
      <w:rFonts w:eastAsia="黑体"/>
      <w:color w:val="000099"/>
      <w:kern w:val="2"/>
      <w:sz w:val="24"/>
      <w:szCs w:val="21"/>
    </w:rPr>
  </w:style>
  <w:style w:type="paragraph" w:customStyle="1" w:styleId="31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11">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312">
    <w:name w:val="xl67"/>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13">
    <w:name w:val="xl68"/>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14">
    <w:name w:val="xl69"/>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15">
    <w:name w:val="xl70"/>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16">
    <w:name w:val="xl73"/>
    <w:basedOn w:val="1"/>
    <w:qFormat/>
    <w:uiPriority w:val="0"/>
    <w:pPr>
      <w:widowControl/>
      <w:spacing w:before="100" w:beforeAutospacing="1" w:after="100" w:afterAutospacing="1"/>
      <w:jc w:val="left"/>
    </w:pPr>
    <w:rPr>
      <w:rFonts w:ascii="宋体" w:hAnsi="宋体" w:cs="宋体"/>
      <w:b/>
      <w:bCs/>
      <w:color w:val="FF0000"/>
      <w:kern w:val="0"/>
      <w:sz w:val="24"/>
    </w:rPr>
  </w:style>
  <w:style w:type="paragraph" w:customStyle="1" w:styleId="317">
    <w:name w:val="xl74"/>
    <w:basedOn w:val="1"/>
    <w:qFormat/>
    <w:uiPriority w:val="0"/>
    <w:pPr>
      <w:widowControl/>
      <w:spacing w:before="100" w:beforeAutospacing="1" w:after="100" w:afterAutospacing="1"/>
      <w:jc w:val="center"/>
    </w:pPr>
    <w:rPr>
      <w:rFonts w:ascii="宋体" w:hAnsi="宋体" w:cs="宋体"/>
      <w:b/>
      <w:bCs/>
      <w:color w:val="FF0000"/>
      <w:kern w:val="0"/>
      <w:sz w:val="24"/>
    </w:rPr>
  </w:style>
  <w:style w:type="paragraph" w:customStyle="1" w:styleId="318">
    <w:name w:val="xl75"/>
    <w:basedOn w:val="1"/>
    <w:qFormat/>
    <w:uiPriority w:val="0"/>
    <w:pPr>
      <w:widowControl/>
      <w:spacing w:before="100" w:beforeAutospacing="1" w:after="100" w:afterAutospacing="1"/>
      <w:jc w:val="left"/>
    </w:pPr>
    <w:rPr>
      <w:rFonts w:ascii="宋体" w:hAnsi="宋体" w:cs="宋体"/>
      <w:b/>
      <w:bCs/>
      <w:color w:val="FF0000"/>
      <w:kern w:val="0"/>
      <w:sz w:val="24"/>
    </w:rPr>
  </w:style>
  <w:style w:type="paragraph" w:customStyle="1" w:styleId="319">
    <w:name w:val="xl76"/>
    <w:basedOn w:val="1"/>
    <w:qFormat/>
    <w:uiPriority w:val="0"/>
    <w:pPr>
      <w:widowControl/>
      <w:spacing w:before="100" w:beforeAutospacing="1" w:after="100" w:afterAutospacing="1"/>
      <w:jc w:val="left"/>
    </w:pPr>
    <w:rPr>
      <w:rFonts w:ascii="宋体" w:hAnsi="宋体" w:cs="宋体"/>
      <w:b/>
      <w:bCs/>
      <w:color w:val="FF0000"/>
      <w:kern w:val="0"/>
      <w:sz w:val="24"/>
    </w:rPr>
  </w:style>
  <w:style w:type="paragraph" w:customStyle="1" w:styleId="320">
    <w:name w:val="xl77"/>
    <w:basedOn w:val="1"/>
    <w:qFormat/>
    <w:uiPriority w:val="0"/>
    <w:pPr>
      <w:widowControl/>
      <w:spacing w:before="100" w:beforeAutospacing="1" w:after="100" w:afterAutospacing="1"/>
      <w:jc w:val="left"/>
    </w:pPr>
    <w:rPr>
      <w:rFonts w:ascii="宋体" w:hAnsi="宋体" w:cs="宋体"/>
      <w:kern w:val="0"/>
      <w:sz w:val="24"/>
    </w:rPr>
  </w:style>
  <w:style w:type="paragraph" w:customStyle="1" w:styleId="321">
    <w:name w:val="xl78"/>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22">
    <w:name w:val="xl79"/>
    <w:basedOn w:val="1"/>
    <w:qFormat/>
    <w:uiPriority w:val="0"/>
    <w:pPr>
      <w:widowControl/>
      <w:spacing w:before="100" w:beforeAutospacing="1" w:after="100" w:afterAutospacing="1"/>
      <w:jc w:val="left"/>
    </w:pPr>
    <w:rPr>
      <w:rFonts w:ascii="宋体" w:hAnsi="宋体" w:cs="宋体"/>
      <w:kern w:val="0"/>
      <w:sz w:val="24"/>
    </w:rPr>
  </w:style>
  <w:style w:type="paragraph" w:customStyle="1" w:styleId="323">
    <w:name w:val="xl80"/>
    <w:basedOn w:val="1"/>
    <w:qFormat/>
    <w:uiPriority w:val="0"/>
    <w:pPr>
      <w:widowControl/>
      <w:spacing w:before="100" w:beforeAutospacing="1" w:after="100" w:afterAutospacing="1"/>
      <w:jc w:val="left"/>
    </w:pPr>
    <w:rPr>
      <w:rFonts w:ascii="宋体" w:hAnsi="宋体" w:cs="宋体"/>
      <w:kern w:val="0"/>
      <w:sz w:val="24"/>
    </w:rPr>
  </w:style>
  <w:style w:type="paragraph" w:customStyle="1" w:styleId="324">
    <w:name w:val="xl81"/>
    <w:basedOn w:val="1"/>
    <w:qFormat/>
    <w:uiPriority w:val="0"/>
    <w:pPr>
      <w:widowControl/>
      <w:spacing w:before="100" w:beforeAutospacing="1" w:after="100" w:afterAutospacing="1"/>
      <w:jc w:val="center"/>
    </w:pPr>
    <w:rPr>
      <w:rFonts w:ascii="宋体" w:hAnsi="宋体" w:cs="宋体"/>
      <w:b/>
      <w:bCs/>
      <w:color w:val="FF0000"/>
      <w:kern w:val="0"/>
      <w:sz w:val="24"/>
    </w:rPr>
  </w:style>
  <w:style w:type="paragraph" w:customStyle="1" w:styleId="325">
    <w:name w:val="xl82"/>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2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7">
    <w:name w:val="xl84"/>
    <w:basedOn w:val="1"/>
    <w:qFormat/>
    <w:uiPriority w:val="0"/>
    <w:pPr>
      <w:widowControl/>
      <w:spacing w:before="100" w:beforeAutospacing="1" w:after="100" w:afterAutospacing="1"/>
      <w:jc w:val="left"/>
    </w:pPr>
    <w:rPr>
      <w:rFonts w:ascii="宋体" w:hAnsi="宋体" w:cs="宋体"/>
      <w:b/>
      <w:bCs/>
      <w:color w:val="FF0000"/>
      <w:kern w:val="0"/>
      <w:sz w:val="24"/>
    </w:rPr>
  </w:style>
  <w:style w:type="paragraph" w:customStyle="1" w:styleId="328">
    <w:name w:val="xl85"/>
    <w:basedOn w:val="1"/>
    <w:qFormat/>
    <w:uiPriority w:val="0"/>
    <w:pPr>
      <w:widowControl/>
      <w:shd w:val="clear" w:color="000000" w:fill="FFF2CC"/>
      <w:spacing w:before="100" w:beforeAutospacing="1" w:after="100" w:afterAutospacing="1"/>
      <w:jc w:val="left"/>
    </w:pPr>
    <w:rPr>
      <w:rFonts w:ascii="宋体" w:hAnsi="宋体" w:cs="宋体"/>
      <w:kern w:val="0"/>
      <w:sz w:val="24"/>
    </w:rPr>
  </w:style>
  <w:style w:type="paragraph" w:customStyle="1" w:styleId="329">
    <w:name w:val="xl86"/>
    <w:basedOn w:val="1"/>
    <w:qFormat/>
    <w:uiPriority w:val="0"/>
    <w:pPr>
      <w:widowControl/>
      <w:shd w:val="clear" w:color="000000" w:fill="FFF2CC"/>
      <w:spacing w:before="100" w:beforeAutospacing="1" w:after="100" w:afterAutospacing="1"/>
      <w:jc w:val="center"/>
    </w:pPr>
    <w:rPr>
      <w:rFonts w:ascii="宋体" w:hAnsi="宋体" w:cs="宋体"/>
      <w:kern w:val="0"/>
      <w:sz w:val="24"/>
    </w:rPr>
  </w:style>
  <w:style w:type="paragraph" w:customStyle="1" w:styleId="330">
    <w:name w:val="xl87"/>
    <w:basedOn w:val="1"/>
    <w:qFormat/>
    <w:uiPriority w:val="0"/>
    <w:pPr>
      <w:widowControl/>
      <w:shd w:val="clear" w:color="000000" w:fill="FFF2CC"/>
      <w:spacing w:before="100" w:beforeAutospacing="1" w:after="100" w:afterAutospacing="1"/>
      <w:jc w:val="center"/>
    </w:pPr>
    <w:rPr>
      <w:rFonts w:ascii="宋体" w:hAnsi="宋体" w:cs="宋体"/>
      <w:kern w:val="0"/>
      <w:sz w:val="24"/>
    </w:rPr>
  </w:style>
  <w:style w:type="paragraph" w:customStyle="1" w:styleId="331">
    <w:name w:val="xl88"/>
    <w:basedOn w:val="1"/>
    <w:qFormat/>
    <w:uiPriority w:val="0"/>
    <w:pPr>
      <w:widowControl/>
      <w:shd w:val="clear" w:color="000000" w:fill="FFF2CC"/>
      <w:spacing w:before="100" w:beforeAutospacing="1" w:after="100" w:afterAutospacing="1"/>
      <w:jc w:val="center"/>
    </w:pPr>
    <w:rPr>
      <w:rFonts w:ascii="宋体" w:hAnsi="宋体" w:cs="宋体"/>
      <w:kern w:val="0"/>
      <w:sz w:val="24"/>
    </w:rPr>
  </w:style>
  <w:style w:type="paragraph" w:customStyle="1" w:styleId="332">
    <w:name w:val="xl89"/>
    <w:basedOn w:val="1"/>
    <w:qFormat/>
    <w:uiPriority w:val="0"/>
    <w:pPr>
      <w:widowControl/>
      <w:shd w:val="clear" w:color="000000" w:fill="FFF2CC"/>
      <w:spacing w:before="100" w:beforeAutospacing="1" w:after="100" w:afterAutospacing="1"/>
      <w:jc w:val="left"/>
    </w:pPr>
    <w:rPr>
      <w:rFonts w:ascii="宋体" w:hAnsi="宋体" w:cs="宋体"/>
      <w:kern w:val="0"/>
      <w:sz w:val="24"/>
    </w:rPr>
  </w:style>
  <w:style w:type="paragraph" w:customStyle="1" w:styleId="333">
    <w:name w:val="xl90"/>
    <w:basedOn w:val="1"/>
    <w:qFormat/>
    <w:uiPriority w:val="0"/>
    <w:pPr>
      <w:widowControl/>
      <w:shd w:val="clear" w:color="000000" w:fill="FFF2CC"/>
      <w:spacing w:before="100" w:beforeAutospacing="1" w:after="100" w:afterAutospacing="1"/>
      <w:jc w:val="left"/>
    </w:pPr>
    <w:rPr>
      <w:rFonts w:ascii="宋体" w:hAnsi="宋体" w:cs="宋体"/>
      <w:kern w:val="0"/>
      <w:sz w:val="24"/>
    </w:rPr>
  </w:style>
  <w:style w:type="paragraph" w:customStyle="1" w:styleId="334">
    <w:name w:val="xl91"/>
    <w:basedOn w:val="1"/>
    <w:qFormat/>
    <w:uiPriority w:val="0"/>
    <w:pPr>
      <w:widowControl/>
      <w:spacing w:before="100" w:beforeAutospacing="1" w:after="100" w:afterAutospacing="1"/>
      <w:jc w:val="center"/>
    </w:pPr>
    <w:rPr>
      <w:rFonts w:ascii="宋体" w:hAnsi="宋体" w:cs="宋体"/>
      <w:b/>
      <w:bCs/>
      <w:color w:val="FF0000"/>
      <w:kern w:val="0"/>
      <w:sz w:val="24"/>
    </w:rPr>
  </w:style>
  <w:style w:type="paragraph" w:customStyle="1" w:styleId="335">
    <w:name w:val="xl92"/>
    <w:basedOn w:val="1"/>
    <w:qFormat/>
    <w:uiPriority w:val="0"/>
    <w:pPr>
      <w:widowControl/>
      <w:spacing w:before="100" w:beforeAutospacing="1" w:after="100" w:afterAutospacing="1"/>
      <w:jc w:val="left"/>
    </w:pPr>
    <w:rPr>
      <w:rFonts w:ascii="宋体" w:hAnsi="宋体" w:cs="宋体"/>
      <w:kern w:val="0"/>
      <w:sz w:val="24"/>
    </w:rPr>
  </w:style>
  <w:style w:type="paragraph" w:customStyle="1" w:styleId="336">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7">
    <w:name w:val="xl9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8">
    <w:name w:val="样式 标题 4 + 首行缩进:  0.99 厘米"/>
    <w:basedOn w:val="8"/>
    <w:qFormat/>
    <w:uiPriority w:val="0"/>
    <w:pPr>
      <w:snapToGrid w:val="0"/>
      <w:spacing w:before="0" w:after="0" w:line="540" w:lineRule="exact"/>
      <w:ind w:firstLine="561" w:firstLineChars="0"/>
    </w:pPr>
    <w:rPr>
      <w:rFonts w:ascii="Arial" w:hAnsi="Arial" w:eastAsia="宋体" w:cs="宋体"/>
      <w:b w:val="0"/>
      <w:kern w:val="2"/>
    </w:rPr>
  </w:style>
  <w:style w:type="paragraph" w:customStyle="1" w:styleId="339">
    <w:name w:val="正文111"/>
    <w:basedOn w:val="1"/>
    <w:link w:val="340"/>
    <w:qFormat/>
    <w:uiPriority w:val="0"/>
    <w:pPr>
      <w:ind w:firstLine="520" w:firstLineChars="200"/>
    </w:pPr>
    <w:rPr>
      <w:rFonts w:ascii="宋体" w:hAnsi="宋体"/>
      <w:bCs/>
      <w:kern w:val="0"/>
      <w:sz w:val="26"/>
      <w:szCs w:val="26"/>
    </w:rPr>
  </w:style>
  <w:style w:type="character" w:customStyle="1" w:styleId="340">
    <w:name w:val="正文111 字符"/>
    <w:basedOn w:val="48"/>
    <w:link w:val="339"/>
    <w:qFormat/>
    <w:uiPriority w:val="0"/>
    <w:rPr>
      <w:rFonts w:ascii="宋体" w:hAnsi="宋体"/>
      <w:bCs/>
      <w:sz w:val="26"/>
      <w:szCs w:val="26"/>
    </w:rPr>
  </w:style>
  <w:style w:type="table" w:customStyle="1" w:styleId="341">
    <w:name w:val="网格型2"/>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
    <w:name w:val="网格型3"/>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3">
    <w:name w:val="xl6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44">
    <w:name w:val="xl6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45">
    <w:name w:val="xl66"/>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3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47">
    <w:name w:val="xl72"/>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kern w:val="0"/>
      <w:sz w:val="18"/>
      <w:szCs w:val="18"/>
    </w:rPr>
  </w:style>
  <w:style w:type="paragraph" w:customStyle="1" w:styleId="348">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349">
    <w:name w:val="Table Text"/>
    <w:basedOn w:val="1"/>
    <w:semiHidden/>
    <w:qFormat/>
    <w:uiPriority w:val="0"/>
    <w:rPr>
      <w:rFonts w:ascii="宋体" w:hAnsi="宋体" w:eastAsia="宋体" w:cs="宋体"/>
      <w:sz w:val="24"/>
      <w:szCs w:val="24"/>
      <w:lang w:val="en-US" w:eastAsia="en-US" w:bidi="ar-SA"/>
    </w:rPr>
  </w:style>
  <w:style w:type="paragraph" w:customStyle="1" w:styleId="350">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351">
    <w:name w:val="font31"/>
    <w:qFormat/>
    <w:uiPriority w:val="0"/>
    <w:rPr>
      <w:rFonts w:hint="eastAsia" w:ascii="宋体" w:hAnsi="宋体" w:eastAsia="宋体" w:cs="宋体"/>
      <w:color w:val="000000"/>
      <w:sz w:val="21"/>
      <w:szCs w:val="21"/>
      <w:u w:val="none"/>
    </w:rPr>
  </w:style>
  <w:style w:type="paragraph" w:customStyle="1" w:styleId="352">
    <w:name w:val="S正文"/>
    <w:qFormat/>
    <w:uiPriority w:val="0"/>
    <w:pPr>
      <w:adjustRightInd w:val="0"/>
      <w:snapToGrid w:val="0"/>
      <w:spacing w:line="460" w:lineRule="exac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353">
    <w:name w:val="表格文字"/>
    <w:basedOn w:val="16"/>
    <w:qFormat/>
    <w:uiPriority w:val="0"/>
    <w:pPr>
      <w:adjustRightInd w:val="0"/>
      <w:snapToGrid w:val="0"/>
      <w:spacing w:line="240" w:lineRule="auto"/>
      <w:ind w:right="0" w:firstLine="0" w:firstLineChars="0"/>
      <w:jc w:val="center"/>
    </w:pPr>
    <w:rPr>
      <w:snapToGrid w:val="0"/>
      <w:kern w:val="21"/>
      <w:sz w:val="21"/>
      <w:szCs w:val="21"/>
    </w:rPr>
  </w:style>
  <w:style w:type="paragraph" w:customStyle="1" w:styleId="354">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55">
    <w:name w:val="No Spacing"/>
    <w:basedOn w:val="1"/>
    <w:next w:val="1"/>
    <w:qFormat/>
    <w:uiPriority w:val="0"/>
    <w:pPr>
      <w:autoSpaceDN w:val="0"/>
      <w:adjustRightInd w:val="0"/>
      <w:snapToGrid w:val="0"/>
      <w:spacing w:line="240" w:lineRule="auto"/>
      <w:ind w:firstLine="0" w:firstLineChars="0"/>
    </w:pPr>
    <w:rPr>
      <w:rFonts w:cs="Times New Roman"/>
      <w:kern w:val="2"/>
      <w:sz w:val="21"/>
    </w:rPr>
  </w:style>
  <w:style w:type="paragraph" w:customStyle="1" w:styleId="356">
    <w:name w:val="表格正文"/>
    <w:basedOn w:val="1"/>
    <w:qFormat/>
    <w:uiPriority w:val="0"/>
    <w:pPr>
      <w:spacing w:line="240" w:lineRule="auto"/>
      <w:ind w:firstLine="0" w:firstLineChars="0"/>
      <w:jc w:val="center"/>
    </w:pPr>
    <w:rPr>
      <w:rFonts w:eastAsia="新宋体"/>
      <w:sz w:val="21"/>
      <w:szCs w:val="21"/>
    </w:rPr>
  </w:style>
  <w:style w:type="paragraph" w:customStyle="1" w:styleId="357">
    <w:name w:val="样式 标题 2 + 宋体"/>
    <w:basedOn w:val="358"/>
    <w:autoRedefine/>
    <w:qFormat/>
    <w:uiPriority w:val="0"/>
    <w:rPr>
      <w:rFonts w:hAnsi="宋体"/>
      <w:sz w:val="30"/>
    </w:rPr>
  </w:style>
  <w:style w:type="paragraph" w:customStyle="1" w:styleId="358">
    <w:name w:val="！正文"/>
    <w:basedOn w:val="1"/>
    <w:qFormat/>
    <w:uiPriority w:val="0"/>
    <w:pPr>
      <w:ind w:firstLine="480"/>
    </w:pPr>
    <w:rPr>
      <w:rFonts w:ascii="華康細圓體" w:hAnsi="華康細圓體" w:cs="Times New Roman"/>
      <w:szCs w:val="20"/>
    </w:rPr>
  </w:style>
  <w:style w:type="paragraph" w:customStyle="1" w:styleId="359">
    <w:name w:val="报告书正文"/>
    <w:basedOn w:val="1"/>
    <w:qFormat/>
    <w:uiPriority w:val="0"/>
    <w:pPr>
      <w:spacing w:line="360" w:lineRule="auto"/>
      <w:ind w:firstLine="200" w:firstLineChars="200"/>
    </w:pPr>
    <w:rPr>
      <w:sz w:val="24"/>
    </w:rPr>
  </w:style>
  <w:style w:type="paragraph" w:customStyle="1" w:styleId="360">
    <w:name w:val="我的标题3"/>
    <w:qFormat/>
    <w:uiPriority w:val="0"/>
    <w:pPr>
      <w:widowControl w:val="0"/>
      <w:jc w:val="both"/>
    </w:pPr>
    <w:rPr>
      <w:rFonts w:ascii="Times New Roman" w:hAnsi="Times New Roman" w:eastAsia="黑体" w:cs="Times New Roman"/>
      <w:kern w:val="2"/>
      <w:sz w:val="28"/>
      <w:szCs w:val="20"/>
      <w:lang w:val="en-US" w:eastAsia="zh-CN" w:bidi="ar-SA"/>
    </w:rPr>
  </w:style>
  <w:style w:type="paragraph" w:customStyle="1" w:styleId="361">
    <w:name w:val="表格标题"/>
    <w:qFormat/>
    <w:uiPriority w:val="0"/>
    <w:pPr>
      <w:widowControl w:val="0"/>
      <w:spacing w:before="50" w:beforeLines="50" w:line="240" w:lineRule="auto"/>
      <w:ind w:firstLine="0" w:firstLineChars="0"/>
      <w:jc w:val="center"/>
    </w:pPr>
    <w:rPr>
      <w:rFonts w:ascii="Times New Roman" w:hAnsi="Times New Roman" w:eastAsia="宋体" w:cs="Times New Roman"/>
      <w:b/>
      <w:spacing w:val="10"/>
      <w:kern w:val="0"/>
      <w:sz w:val="21"/>
      <w:szCs w:val="20"/>
      <w:lang w:val="en-US" w:eastAsia="zh-CN" w:bidi="ar-SA"/>
    </w:rPr>
  </w:style>
  <w:style w:type="paragraph" w:customStyle="1" w:styleId="362">
    <w:name w:val="表格，内容"/>
    <w:next w:val="1"/>
    <w:qFormat/>
    <w:uiPriority w:val="0"/>
    <w:pPr>
      <w:widowControl w:val="0"/>
      <w:jc w:val="center"/>
    </w:pPr>
    <w:rPr>
      <w:rFonts w:ascii="Times New Roman" w:hAnsi="Times New Roman" w:eastAsia="宋体" w:cs="Times New Roman"/>
      <w:spacing w:val="10"/>
      <w:kern w:val="44"/>
      <w:sz w:val="21"/>
      <w:szCs w:val="24"/>
      <w:lang w:val="en-US" w:eastAsia="zh-CN" w:bidi="ar-SA"/>
    </w:rPr>
  </w:style>
  <w:style w:type="paragraph" w:customStyle="1" w:styleId="363">
    <w:name w:val="_Style 4"/>
    <w:basedOn w:val="1"/>
    <w:qFormat/>
    <w:uiPriority w:val="0"/>
    <w:pPr>
      <w:widowControl/>
      <w:adjustRightInd w:val="0"/>
      <w:snapToGrid w:val="0"/>
      <w:spacing w:afterLines="0" w:line="240" w:lineRule="auto"/>
      <w:ind w:firstLine="0" w:firstLineChars="0"/>
      <w:jc w:val="center"/>
    </w:pPr>
    <w:rPr>
      <w:rFonts w:ascii="Tahoma" w:hAnsi="Tahoma" w:eastAsia="宋体"/>
      <w:kern w:val="0"/>
      <w:sz w:val="21"/>
      <w:szCs w:val="21"/>
    </w:rPr>
  </w:style>
  <w:style w:type="paragraph" w:customStyle="1" w:styleId="364">
    <w:name w:val="Other|1"/>
    <w:basedOn w:val="1"/>
    <w:autoRedefine/>
    <w:qFormat/>
    <w:uiPriority w:val="0"/>
    <w:rPr>
      <w:rFonts w:ascii="宋体" w:hAnsi="宋体" w:eastAsia="宋体" w:cs="宋体"/>
      <w:sz w:val="20"/>
      <w:szCs w:val="20"/>
      <w:lang w:val="zh-TW" w:eastAsia="zh-TW" w:bidi="zh-TW"/>
    </w:rPr>
  </w:style>
  <w:style w:type="paragraph" w:customStyle="1" w:styleId="365">
    <w:name w:val="aa正文"/>
    <w:qFormat/>
    <w:uiPriority w:val="0"/>
    <w:pPr>
      <w:keepNext w:val="0"/>
      <w:widowControl w:val="0"/>
      <w:suppressLineNumbers w:val="0"/>
      <w:suppressAutoHyphens w:val="0"/>
      <w:topLinePunct/>
      <w:adjustRightInd/>
      <w:snapToGrid/>
      <w:spacing w:line="500" w:lineRule="exact"/>
      <w:ind w:firstLine="200" w:firstLineChars="200"/>
      <w:jc w:val="both"/>
      <w:textAlignment w:val="baseline"/>
    </w:pPr>
    <w:rPr>
      <w:rFonts w:ascii="Times New Roman" w:hAnsi="Times New Roman" w:eastAsia="宋体" w:cs="Times New Roman"/>
      <w:bCs/>
      <w:snapToGrid w:val="0"/>
      <w:color w:val="000000"/>
      <w:w w:val="100"/>
      <w:kern w:val="0"/>
      <w:sz w:val="24"/>
      <w:szCs w:val="24"/>
      <w:lang w:val="en-US" w:eastAsia="zh-CN" w:bidi="ar-SA"/>
    </w:rPr>
  </w:style>
  <w:style w:type="paragraph" w:customStyle="1" w:styleId="366">
    <w:name w:val="段落样式"/>
    <w:semiHidden/>
    <w:qFormat/>
    <w:uiPriority w:val="0"/>
    <w:pPr>
      <w:keepNext/>
      <w:widowControl w:val="0"/>
      <w:suppressLineNumbers/>
      <w:suppressAutoHyphens/>
      <w:topLinePunct/>
      <w:adjustRightInd w:val="0"/>
      <w:snapToGrid w:val="0"/>
      <w:spacing w:line="480" w:lineRule="atLeast"/>
      <w:ind w:firstLine="482"/>
      <w:jc w:val="both"/>
      <w:textAlignment w:val="baseline"/>
    </w:pPr>
    <w:rPr>
      <w:rFonts w:ascii="Times New Roman" w:hAnsi="Times New Roman" w:eastAsia="宋体" w:cs="Times New Roman"/>
      <w:snapToGrid w:val="0"/>
      <w:w w:val="90"/>
      <w:kern w:val="0"/>
      <w:sz w:val="28"/>
      <w:szCs w:val="20"/>
      <w:lang w:val="en-US" w:eastAsia="zh-CN" w:bidi="ar-SA"/>
    </w:rPr>
  </w:style>
  <w:style w:type="paragraph" w:customStyle="1" w:styleId="367">
    <w:name w:val="表格内容样式"/>
    <w:qFormat/>
    <w:uiPriority w:val="0"/>
    <w:pPr>
      <w:widowControl w:val="0"/>
      <w:spacing w:line="360" w:lineRule="exact"/>
      <w:ind w:firstLine="0" w:firstLineChars="0"/>
      <w:jc w:val="center"/>
    </w:pPr>
    <w:rPr>
      <w:rFonts w:ascii="Times New Roman"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78</Pages>
  <Words>1219</Words>
  <Characters>1348</Characters>
  <Lines>267</Lines>
  <Paragraphs>75</Paragraphs>
  <TotalTime>0</TotalTime>
  <ScaleCrop>false</ScaleCrop>
  <LinksUpToDate>false</LinksUpToDate>
  <CharactersWithSpaces>1432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2023-07-26T08:54:00Z</dcterms:created>
  <dc:creator>尚云环境</dc:creator>
  <cp:lastModifiedBy>往昔</cp:lastModifiedBy>
  <cp:lastPrinted>2023-08-30T02:38:00Z</cp:lastPrinted>
  <dcterms:modified xsi:type="dcterms:W3CDTF">2026-04-09T08:23:47Z</dcterms:modified>
  <dc:title>建设项目环境影响报告表（生态影响类）</dc:title>
  <cp:revision>216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81AEEA2E70884D5C97CA02ADE416E1F5_13</vt:lpwstr>
  </property>
  <property fmtid="{D5CDD505-2E9C-101B-9397-08002B2CF9AE}" pid="4" name="KSOTemplateDocerSaveRecord">
    <vt:lpwstr>eyJoZGlkIjoiMzQ1ZmM2OGNiZWI1NTdlMTQ4MTEzZWM5OTk1YTc2YmYiLCJ1c2VySWQiOiIyNzM0MTA5NDgifQ==</vt:lpwstr>
  </property>
</Properties>
</file>