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0"/>
        <w:ind w:left="0" w:right="0"/>
        <w:jc w:val="left"/>
        <w:rPr>
          <w:rFonts w:ascii="方正小标宋简体" w:cs="方正小标宋简体" w:eastAsia="方正小标宋简体" w:hint="eastAsia"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cs="黑体" w:eastAsia="黑体" w:hint="eastAsia"/>
          <w:color w:val="000000"/>
          <w:sz w:val="32"/>
          <w:szCs w:val="32"/>
          <w:lang w:eastAsia="zh-CN"/>
        </w:rPr>
        <w:t>附件</w:t>
      </w:r>
    </w:p>
    <w:p>
      <w:pPr>
        <w:pStyle w:val="style0"/>
        <w:spacing w:before="0" w:after="0"/>
        <w:ind w:left="0" w:right="0"/>
        <w:jc w:val="left"/>
        <w:rPr>
          <w:rFonts w:ascii="方正小标宋简体" w:cs="方正小标宋简体" w:eastAsia="方正小标宋简体" w:hint="eastAsia"/>
          <w:color w:val="000000"/>
          <w:sz w:val="36"/>
          <w:szCs w:val="36"/>
        </w:rPr>
      </w:pPr>
    </w:p>
    <w:p>
      <w:pPr>
        <w:pStyle w:val="style0"/>
        <w:spacing w:before="0" w:after="0"/>
        <w:ind w:left="0" w:right="0"/>
        <w:jc w:val="center"/>
        <w:rPr>
          <w:rFonts w:ascii="方正小标宋简体" w:cs="方正小标宋简体" w:eastAsia="方正小标宋简体" w:hint="eastAsia"/>
          <w:color w:val="000000"/>
          <w:sz w:val="36"/>
          <w:szCs w:val="36"/>
          <w:lang w:val="en-US" w:eastAsia="zh-CN"/>
        </w:rPr>
      </w:pPr>
      <w:r>
        <w:rPr>
          <w:rFonts w:ascii="方正小标宋简体" w:cs="方正小标宋简体" w:eastAsia="方正小标宋简体" w:hint="eastAsia"/>
          <w:color w:val="000000"/>
          <w:sz w:val="36"/>
          <w:szCs w:val="36"/>
        </w:rPr>
        <w:t>防城港市京族文化保护条例</w:t>
      </w:r>
      <w:r>
        <w:rPr>
          <w:rFonts w:ascii="方正小标宋简体" w:cs="方正小标宋简体" w:eastAsia="方正小标宋简体" w:hint="eastAsia"/>
          <w:color w:val="000000"/>
          <w:sz w:val="36"/>
          <w:szCs w:val="36"/>
          <w:lang w:val="en-US" w:eastAsia="zh-CN"/>
        </w:rPr>
        <w:t>自由裁量基准</w:t>
      </w:r>
    </w:p>
    <w:p>
      <w:pPr>
        <w:pStyle w:val="style0"/>
        <w:spacing w:before="0" w:after="0"/>
        <w:ind w:left="0" w:right="0"/>
        <w:jc w:val="center"/>
        <w:rPr>
          <w:rFonts w:ascii="仿宋" w:cs="仿宋" w:eastAsia="仿宋" w:hint="eastAsia"/>
          <w:color w:val="000000"/>
          <w:sz w:val="24"/>
        </w:rPr>
      </w:pPr>
    </w:p>
    <w:tbl>
      <w:tblPr>
        <w:tblW w:w="9158" w:type="dxa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20"/>
        <w:gridCol w:w="2162"/>
        <w:gridCol w:w="1057"/>
        <w:gridCol w:w="2778"/>
        <w:gridCol w:w="1609"/>
      </w:tblGrid>
      <w:tr>
        <w:trPr>
          <w:trHeight w:val="628" w:hRule="atLeast"/>
          <w:jc w:val="left"/>
        </w:trPr>
        <w:tc>
          <w:tcPr>
            <w:tcW w:w="43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 w:lineRule="exact" w:line="320"/>
              <w:ind w:left="0" w:right="0"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  <w:t>行政处罚事项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  <w:t>处罚依据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  <w:t>适用情形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  <w:t>违法情节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lang w:bidi="ar-SA"/>
              </w:rPr>
              <w:t>裁量标准</w:t>
            </w:r>
          </w:p>
        </w:tc>
      </w:tr>
      <w:tr>
        <w:tblPrEx/>
        <w:trPr>
          <w:trHeight w:val="1817" w:hRule="atLeast"/>
          <w:jc w:val="left"/>
        </w:trPr>
        <w:tc>
          <w:tcPr>
            <w:tcW w:w="4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1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/>
              <w:jc w:val="both"/>
              <w:textAlignment w:val="center"/>
              <w:rPr>
                <w:rFonts w:ascii="仿宋" w:cs="仿宋" w:eastAsia="仿宋" w:hint="eastAsia"/>
                <w:color w:val="000000"/>
                <w:sz w:val="24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侵占、破坏京族文化遗产相关资料、实物的</w:t>
            </w:r>
          </w:p>
        </w:tc>
        <w:tc>
          <w:tcPr>
            <w:tcW w:w="21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 w:firstLine="480" w:firstLineChars="200"/>
              <w:jc w:val="left"/>
              <w:textAlignment w:val="center"/>
              <w:rPr>
                <w:rFonts w:ascii="仿宋" w:cs="仿宋" w:eastAsia="仿宋" w:hint="eastAsia"/>
                <w:color w:val="000000"/>
                <w:sz w:val="24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第二十九条 违反本条例规定，侵占、破坏京族文化遗产相关资料、实物的，依法承担民事责任，并由县级以上人民政府文化主管部门处二千元以上二万元以下罚款；情节严重的，处二万元以上十万元以下罚款；有违法所得的，没收违法所得。侵占、破坏的京族文化遗产属于文物的，依照《中华人民共和国文物保护法》《中华人民共和国治安管理处罚法》《广西壮族自治区文物保护条例》等有关规定予以处罚。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情节一般的从轻处罚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侵占京族文化遗产相关资料、实物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能主动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退还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京族文化遗产相关资料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处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7400元（含）以下罚款。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有违法所得的，没收违法所得</w:t>
            </w:r>
          </w:p>
        </w:tc>
      </w:tr>
      <w:tr>
        <w:tblPrEx/>
        <w:trPr>
          <w:trHeight w:val="1817" w:hRule="atLeast"/>
          <w:jc w:val="left"/>
        </w:trPr>
        <w:tc>
          <w:tcPr>
            <w:tcW w:w="4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情节一般的一般处罚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侵占京族文化遗产相关资料、实物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拒不上交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2.破坏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，并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造成损坏的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处7400元（不含）以上14600元（不含）以下罚款。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有违法所得的，没收违法所得</w:t>
            </w:r>
          </w:p>
        </w:tc>
      </w:tr>
      <w:tr>
        <w:tblPrEx/>
        <w:trPr>
          <w:trHeight w:val="3021" w:hRule="atLeast"/>
          <w:jc w:val="left"/>
        </w:trPr>
        <w:tc>
          <w:tcPr>
            <w:tcW w:w="4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情节一般的从重处罚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1.两年内两次（含）以上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侵占京族文化遗产相关资料、实物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拒不上交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2.两年内两次（含）以上破坏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，并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造成损坏的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3.造成市级层面社会负面舆情影响的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处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14600万元（含）以上20000元（含）以下罚款。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有违法所得的，没收违法所得</w:t>
            </w:r>
          </w:p>
        </w:tc>
      </w:tr>
      <w:tr>
        <w:tblPrEx/>
        <w:trPr>
          <w:trHeight w:val="1817" w:hRule="atLeast"/>
          <w:jc w:val="left"/>
        </w:trPr>
        <w:tc>
          <w:tcPr>
            <w:tcW w:w="4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2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/>
              <w:jc w:val="both"/>
              <w:textAlignment w:val="center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侵占、破坏京族文化遗产相关资料、实物的</w:t>
            </w:r>
          </w:p>
        </w:tc>
        <w:tc>
          <w:tcPr>
            <w:tcW w:w="21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widowControl/>
              <w:spacing w:before="0" w:after="0"/>
              <w:ind w:left="0" w:right="0" w:firstLine="480" w:firstLineChars="200"/>
              <w:jc w:val="left"/>
              <w:textAlignment w:val="center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第二十九条 违反本条例规定，侵占、破坏京族文化遗产相关资料、实物的，依法承担民事责任，并由县级以上人民政府文化主管部门处二千元以上二万元以下罚款；情节严重的，处二万元以上十万元以下罚款；有违法所得的，没收违法所得。侵占、破坏的京族文化遗产属于文物的，依照《中华人民共和国文物保护法》《中华人民共和国治安管理处罚法》《广西壮族自治区文物保护条例》等有关规定予以处罚。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情节严重的从轻处罚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破坏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京族文化遗产相关资料、实物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造成损毁的，但积极采取补救措施或积极消除负面影响的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处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44000元（含）以下罚款。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有违法所得的，没收违法所得</w:t>
            </w:r>
          </w:p>
        </w:tc>
      </w:tr>
      <w:tr>
        <w:tblPrEx/>
        <w:trPr>
          <w:trHeight w:val="3323" w:hRule="atLeast"/>
          <w:jc w:val="left"/>
        </w:trPr>
        <w:tc>
          <w:tcPr>
            <w:tcW w:w="4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情节严重的一般处罚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1.破坏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，并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造成损毁的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2.在案件办理过程中隐匿、破坏、销毁、段改有关证据或者拒不配合调查的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3.造成自治区层面社会负面舆情影响的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240" w:firstLineChars="10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处44000元（不含）以上76000元（不含）以下罚款。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有违法所得的，没收违法所得</w:t>
            </w:r>
          </w:p>
        </w:tc>
      </w:tr>
      <w:tr>
        <w:tblPrEx/>
        <w:trPr>
          <w:trHeight w:val="2118" w:hRule="atLeast"/>
          <w:jc w:val="left"/>
        </w:trPr>
        <w:tc>
          <w:tcPr>
            <w:tcW w:w="4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center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情节严重的从重处罚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1.两年内两次（含）以上破坏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京族文化遗产相关资料、实物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eastAsia="zh-CN"/>
              </w:rPr>
              <w:t>，并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造成损毁的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39" w:leftChars="114" w:right="0" w:firstLine="0"/>
              <w:jc w:val="both"/>
              <w:textAlignment w:val="center"/>
              <w:outlineLvl w:val="9"/>
              <w:rPr>
                <w:rFonts w:ascii="仿宋" w:cs="仿宋" w:eastAsia="仿宋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2.造成全国层面社会负面舆情影响的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240" w:right="0" w:hanging="240" w:hangingChars="10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处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76000元（含）以上100000元（含）以下罚款。</w:t>
            </w: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</w:rPr>
              <w:t>有违法所得的，没收违法所得</w:t>
            </w:r>
          </w:p>
        </w:tc>
      </w:tr>
      <w:tr>
        <w:tblPrEx/>
        <w:trPr>
          <w:trHeight w:val="793" w:hRule="atLeast"/>
          <w:jc w:val="left"/>
        </w:trPr>
        <w:tc>
          <w:tcPr>
            <w:tcW w:w="91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注：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损坏是指</w:t>
            </w:r>
            <w:r>
              <w:rPr>
                <w:rFonts w:ascii="仿宋" w:cs="仿宋" w:eastAsia="仿宋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京族文化遗产相关资料、实物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轻微破损和局部破损，尚可修复。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after="0" w:lineRule="auto" w:line="240"/>
              <w:ind w:left="0" w:right="0" w:firstLine="480" w:firstLineChars="200"/>
              <w:jc w:val="both"/>
              <w:textAlignment w:val="center"/>
              <w:outlineLvl w:val="9"/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损毁是指</w:t>
            </w:r>
            <w:r>
              <w:rPr>
                <w:rFonts w:ascii="仿宋" w:cs="仿宋" w:eastAsia="仿宋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京族文化遗产相关资料、实物</w:t>
            </w:r>
            <w:r>
              <w:rPr>
                <w:rFonts w:ascii="仿宋" w:cs="仿宋" w:eastAsia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  <w:t>彻底破损，无法修复。</w:t>
            </w:r>
          </w:p>
        </w:tc>
      </w:tr>
    </w:tbl>
    <w:p>
      <w:pPr>
        <w:pStyle w:val="style0"/>
        <w:spacing w:before="0" w:after="0"/>
        <w:ind w:left="0" w:right="0"/>
        <w:rPr>
          <w:rFonts w:ascii="仿宋" w:cs="仿宋" w:eastAsia="仿宋" w:hint="eastAsia"/>
          <w:color w:val="000000"/>
          <w:sz w:val="32"/>
          <w:szCs w:val="32"/>
        </w:rPr>
      </w:pPr>
    </w:p>
    <w:p>
      <w:pPr>
        <w:pStyle w:val="style62"/>
        <w:rPr>
          <w:rFonts w:hint="eastAsia"/>
          <w:lang w:val="en-US" w:eastAsia="zh-CN"/>
        </w:rPr>
      </w:pPr>
    </w:p>
    <w:sectPr>
      <w:footerReference w:type="default" r:id="rId2"/>
      <w:pgSz w:w="11906" w:h="16838" w:orient="portrait"/>
      <w:pgMar w:top="2098" w:right="1474" w:bottom="1984" w:left="1587" w:header="851" w:footer="992" w:gutter="0"/>
      <w:pgNumType w:fmt="numberInDash" w:chapStyle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宋体"/>
    <w:panose1 w:val="02010600030001010101"/>
    <w:charset w:val="86"/>
    <w:family w:val="auto"/>
    <w:pitch w:val="variable"/>
    <w:sig w:usb0="00000203" w:usb1="288F0000" w:usb2="00000006" w:usb3="00000000" w:csb0="00040001" w:csb1="00000000"/>
  </w:font>
  <w:font w:name="黑体">
    <w:altName w:val="黑体"/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Times New Roman"/>
    <w:panose1 w:val="02020603050004020304"/>
    <w:charset w:val="00"/>
    <w:family w:val="auto"/>
    <w:pitch w:val="variable"/>
    <w:sig w:usb0="E0002EFF" w:usb1="C000785B" w:usb2="00000009" w:usb3="00000000" w:csb0="400001FF" w:csb1="FFFF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2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  <w:tab w:val="clear" w:pos="8306"/>
      </w:tabs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1169" cy="230250"/>
              <wp:effectExtent l="0" t="0" r="0" b="0"/>
              <wp:wrapNone/>
              <wp:docPr id="4097" name="文本框 1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71169" cy="23025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宋体" w:cs="宋体" w:eastAsia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tru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37.1pt;height:18.13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joinstyle="miter" weight="1.0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tabs>
                        <w:tab w:val="clear" w:pos="4153"/>
                        <w:tab w:val="clear" w:pos="8306"/>
                      </w:tabs>
                      <w:rPr>
                        <w:rFonts w:ascii="宋体" w:cs="宋体" w:eastAsia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66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pPr>
      <w:keepNext/>
      <w:keepLines/>
      <w:spacing w:before="260" w:after="260" w:lineRule="auto" w:line="415"/>
      <w:outlineLvl w:val="1"/>
    </w:pPr>
    <w:rPr>
      <w:rFonts w:ascii="Luxi Sans" w:eastAsia="黑体" w:hAnsi="Luxi Sans"/>
      <w:b/>
      <w:sz w:val="32"/>
    </w:rPr>
  </w:style>
  <w:style w:type="paragraph" w:styleId="style3">
    <w:name w:val="heading 3"/>
    <w:basedOn w:val="style0"/>
    <w:next w:val="style0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</w:style>
  <w:style w:type="paragraph" w:styleId="style66">
    <w:name w:val="Body Text"/>
    <w:basedOn w:val="style0"/>
    <w:next w:val="style62"/>
    <w:pPr>
      <w:spacing w:after="120"/>
    </w:pPr>
    <w:rPr>
      <w:rFonts w:ascii="Times New Roman" w:cs="Times New Roman" w:eastAsia="宋体" w:hAnsi="Times New Roman"/>
    </w:rPr>
  </w:style>
  <w:style w:type="paragraph" w:styleId="style62">
    <w:name w:val="Title"/>
    <w:basedOn w:val="style0"/>
    <w:next w:val="style0"/>
    <w:pPr>
      <w:spacing w:before="100" w:beforeLines="100" w:after="100" w:afterLines="100"/>
      <w:jc w:val="center"/>
      <w:outlineLvl w:val="0"/>
    </w:pPr>
    <w:rPr>
      <w:rFonts w:ascii="Arial" w:cs="Arial" w:eastAsia="黑体" w:hAnsi="Arial"/>
      <w:bCs/>
      <w:sz w:val="44"/>
      <w:szCs w:val="32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101">
    <w:name w:val="HTML Preformatted"/>
    <w:basedOn w:val="style0"/>
    <w:next w:val="style10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/>
      <w:kern w:val="0"/>
      <w:sz w:val="24"/>
      <w:szCs w:val="24"/>
      <w:lang w:val="en-US" w:bidi="ar-SA" w:eastAsia="zh-CN"/>
    </w:rPr>
  </w:style>
  <w:style w:type="paragraph" w:styleId="style77">
    <w:name w:val="Body Text First Indent"/>
    <w:basedOn w:val="style66"/>
    <w:next w:val="style77"/>
    <w:pPr>
      <w:ind w:firstLine="100" w:firstLineChars="100"/>
    </w:pPr>
    <w:rPr/>
  </w:style>
  <w:style w:type="character" w:customStyle="1" w:styleId="style4097">
    <w:name w:val="UserStyle_1"/>
    <w:next w:val="style4097"/>
    <w:rPr>
      <w:rFonts w:ascii="Calibri" w:cs="Times New Roman" w:eastAsia="宋体" w:hAnsi="Calibri"/>
      <w:kern w:val="2"/>
      <w:sz w:val="21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14112194</TotalTime>
  <Words>1073</Words>
  <Pages>2</Pages>
  <Characters>1129</Characters>
  <Application>WPS Office</Application>
  <Paragraphs>78</Paragraphs>
  <CharactersWithSpaces>1131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2023-05-29T17:49:00Z</dcterms:created>
  <dc:creator>gxxc</dc:creator>
  <lastModifiedBy>PA2373</lastModifiedBy>
  <lastPrinted>2023-12-14T00:57:00Z</lastPrinted>
  <dcterms:modified xsi:type="dcterms:W3CDTF">2023-12-20T04:40:25Z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b7932cb4cd174ac4bf843093ab3edf9a_23</vt:lpwstr>
  </property>
</Properties>
</file>