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黑体"/>
          <w:sz w:val="32"/>
          <w:szCs w:val="32"/>
        </w:rPr>
      </w:pPr>
      <w:r>
        <w:rPr>
          <w:rFonts w:hint="eastAsia" w:ascii="黑体" w:hAnsi="黑体" w:eastAsia="黑体" w:cs="黑体"/>
          <w:sz w:val="32"/>
          <w:szCs w:val="32"/>
        </w:rPr>
        <w:t>附件2</w:t>
      </w:r>
    </w:p>
    <w:p>
      <w:pPr>
        <w:pStyle w:val="2"/>
        <w:spacing w:before="0" w:after="0" w:line="500" w:lineRule="exact"/>
      </w:pP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违法违规使用医疗保障基金举报</w:t>
      </w:r>
    </w:p>
    <w:p>
      <w:pPr>
        <w:spacing w:line="5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奖励通知书</w:t>
      </w:r>
    </w:p>
    <w:p>
      <w:pPr>
        <w:spacing w:line="500" w:lineRule="exact"/>
        <w:ind w:firstLine="2400" w:firstLineChars="7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根据《医疗保障基金使用监督管理条例》《国家医保局办公室 财政部办公厅关于印发〈违法违规使用医疗保障基金举报奖励办法〉的通知》和《广西违法违规使用医疗保障基金举报奖励办法实施细则》等有关规定，您于年月日举报的违法违规使用医疗保障基金情况符合奖励的范围和条件，现决定对您予以奖励人民币元（大写：）。</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在接到本通知书后60日内，填写本通知所附的《违法违规使用医疗保障基金举报奖励支付单》相关信息，并提供能够辨别本人身份的有效证明、银行账户信息等。如果委托他人代领的，受托人还应当同时持有举报人授权委托书、举报人和受托人的有效身份证明。联名举报的举报人应当推举一名代表，此代表需持所有举报人授权的推荐书。</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逾期未办理领取手续的，或因你本人原因无法联系的，视为自动放弃。</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                 联系电话：</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通信地址：               邮箱：</w:t>
      </w:r>
    </w:p>
    <w:p>
      <w:pPr>
        <w:spacing w:line="500" w:lineRule="exact"/>
        <w:ind w:firstLine="4480" w:firstLineChars="140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附件：违法违规使用医疗保障基金举报奖励支付单</w:t>
      </w: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防城港市</w:t>
      </w:r>
      <w:r>
        <w:rPr>
          <w:rFonts w:hint="eastAsia" w:ascii="仿宋_GB2312" w:hAnsi="仿宋_GB2312" w:eastAsia="仿宋_GB2312" w:cs="仿宋_GB2312"/>
          <w:sz w:val="32"/>
          <w:szCs w:val="32"/>
        </w:rPr>
        <w:t>医疗保障局</w:t>
      </w:r>
    </w:p>
    <w:p>
      <w:pPr>
        <w:spacing w:line="500" w:lineRule="exact"/>
        <w:ind w:firstLine="6252" w:firstLineChars="1954"/>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00" w:lineRule="exact"/>
        <w:rPr>
          <w:rFonts w:ascii="黑体" w:hAnsi="黑体" w:eastAsia="黑体" w:cs="黑体"/>
          <w:sz w:val="32"/>
          <w:szCs w:val="32"/>
        </w:rPr>
        <w:sectPr>
          <w:pgSz w:w="11906" w:h="16838"/>
          <w:pgMar w:top="1417" w:right="1304" w:bottom="1417" w:left="1587" w:header="851" w:footer="1304"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732CF"/>
    <w:rsid w:val="4077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jc w:val="both"/>
    </w:pPr>
    <w:rPr>
      <w:rFonts w:ascii="Calibri" w:hAnsi="Calibri" w:eastAsia="宋体" w:cs="Calibri"/>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等线 Light" w:hAnsi="等线 Light" w:eastAsia="等线 Light" w:cs="等线 Light"/>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2023-11-06T02:49:00Z</dcterms:created>
  <dc:creator>木偶</dc:creator>
  <cp:lastModifiedBy>木偶</cp:lastModifiedBy>
  <dcterms:modified xsi:type="dcterms:W3CDTF">2023-11-06T02:51:02Z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