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Calibri"/>
          <w:color w:val="000000"/>
          <w:sz w:val="32"/>
          <w:szCs w:val="32"/>
        </w:rPr>
      </w:pPr>
      <w:r>
        <w:rPr>
          <w:rFonts w:hint="eastAsia" w:ascii="黑体" w:hAnsi="黑体" w:eastAsia="黑体" w:cs="Calibri"/>
          <w:color w:val="000000"/>
          <w:sz w:val="32"/>
          <w:szCs w:val="32"/>
        </w:rPr>
        <w:t>附件1</w:t>
      </w:r>
    </w:p>
    <w:p>
      <w:pPr>
        <w:spacing w:line="560" w:lineRule="exact"/>
        <w:rPr>
          <w:rFonts w:ascii="黑体" w:hAnsi="黑体" w:eastAsia="黑体" w:cs="Calibri"/>
          <w:color w:val="000000"/>
          <w:sz w:val="32"/>
          <w:szCs w:val="32"/>
        </w:rPr>
      </w:pPr>
      <w:r>
        <w:rPr>
          <w:rFonts w:hint="eastAsia" w:ascii="黑体" w:hAnsi="黑体" w:eastAsia="黑体" w:cs="Calibri"/>
          <w:color w:val="000000"/>
          <w:sz w:val="32"/>
          <w:szCs w:val="32"/>
        </w:rPr>
        <w:t xml:space="preserve"> </w:t>
      </w:r>
    </w:p>
    <w:p>
      <w:pPr>
        <w:spacing w:line="560" w:lineRule="exact"/>
        <w:ind w:firstLine="2200" w:firstLineChars="500"/>
        <w:rPr>
          <w:rFonts w:ascii="方正小标宋简体" w:hAnsi="宋体" w:eastAsia="方正小标宋简体" w:cs="Calibri"/>
          <w:color w:val="000000"/>
          <w:sz w:val="44"/>
          <w:szCs w:val="44"/>
        </w:rPr>
      </w:pPr>
      <w:bookmarkStart w:id="0" w:name="_GoBack"/>
      <w:r>
        <w:rPr>
          <w:rFonts w:hint="eastAsia" w:ascii="方正小标宋简体" w:hAnsi="宋体" w:eastAsia="方正小标宋简体" w:cs="宋体"/>
          <w:color w:val="000000"/>
          <w:sz w:val="44"/>
          <w:szCs w:val="44"/>
        </w:rPr>
        <w:t>结余留用资金计算公式</w:t>
      </w:r>
    </w:p>
    <w:bookmarkEnd w:id="0"/>
    <w:p>
      <w:pPr>
        <w:spacing w:line="560" w:lineRule="exact"/>
        <w:ind w:firstLine="880" w:firstLineChars="200"/>
        <w:jc w:val="center"/>
        <w:rPr>
          <w:rFonts w:ascii="Calibri" w:hAnsi="Calibri" w:cs="Calibri"/>
          <w:szCs w:val="21"/>
        </w:rPr>
      </w:pPr>
      <w:r>
        <w:rPr>
          <w:rFonts w:hint="eastAsia" w:ascii="方正小标宋简体" w:hAnsi="宋体" w:eastAsia="方正小标宋简体" w:cs="Calibri"/>
          <w:color w:val="000000"/>
          <w:sz w:val="44"/>
          <w:szCs w:val="44"/>
        </w:rPr>
        <w:t xml:space="preserve"> </w:t>
      </w:r>
    </w:p>
    <w:p>
      <w:pPr>
        <w:spacing w:line="560" w:lineRule="exact"/>
        <w:ind w:firstLine="643" w:firstLineChars="200"/>
        <w:rPr>
          <w:rFonts w:ascii="仿宋_GB2312" w:hAnsi="Calibri" w:eastAsia="仿宋_GB2312" w:cs="Calibri"/>
          <w:sz w:val="32"/>
          <w:szCs w:val="32"/>
        </w:rPr>
      </w:pPr>
      <w:r>
        <w:rPr>
          <w:rFonts w:hint="eastAsia" w:ascii="仿宋_GB2312" w:hAnsi="Calibri" w:eastAsia="仿宋_GB2312" w:cs="Calibri"/>
          <w:b/>
          <w:bCs/>
          <w:sz w:val="32"/>
          <w:szCs w:val="32"/>
        </w:rPr>
        <w:t>计算公式1：</w:t>
      </w:r>
      <w:r>
        <w:rPr>
          <w:rFonts w:hint="eastAsia" w:ascii="仿宋_GB2312" w:hAnsi="Calibri" w:eastAsia="仿宋_GB2312" w:cs="Calibri"/>
          <w:sz w:val="32"/>
          <w:szCs w:val="32"/>
        </w:rPr>
        <w:t>某种集采药品医保资金预算=该集采药品采购量基数×该集采药品集采前通用名药品全区加权平均价格×统筹地区该集采药品医保基金实际平均报销比例×该集采通用名药品统筹地区参保患者使用量占比</w:t>
      </w:r>
    </w:p>
    <w:p>
      <w:pPr>
        <w:spacing w:line="560" w:lineRule="exact"/>
        <w:ind w:firstLine="643" w:firstLineChars="200"/>
        <w:rPr>
          <w:rFonts w:ascii="仿宋_GB2312" w:hAnsi="Calibri" w:eastAsia="仿宋_GB2312" w:cs="Calibri"/>
          <w:b/>
          <w:bCs/>
          <w:sz w:val="32"/>
          <w:szCs w:val="32"/>
        </w:rPr>
      </w:pPr>
      <w:r>
        <w:rPr>
          <w:rFonts w:hint="eastAsia" w:ascii="仿宋_GB2312" w:hAnsi="Calibri" w:eastAsia="仿宋_GB2312" w:cs="Calibri"/>
          <w:b/>
          <w:bCs/>
          <w:sz w:val="32"/>
          <w:szCs w:val="32"/>
        </w:rPr>
        <w:t xml:space="preserve"> </w:t>
      </w:r>
    </w:p>
    <w:p>
      <w:pPr>
        <w:spacing w:line="560" w:lineRule="exact"/>
        <w:ind w:firstLine="643" w:firstLineChars="200"/>
        <w:rPr>
          <w:rFonts w:ascii="仿宋_GB2312" w:hAnsi="Calibri" w:eastAsia="仿宋_GB2312" w:cs="Calibri"/>
          <w:sz w:val="32"/>
          <w:szCs w:val="32"/>
        </w:rPr>
      </w:pPr>
      <w:r>
        <w:rPr>
          <w:rFonts w:hint="eastAsia" w:ascii="仿宋_GB2312" w:hAnsi="Calibri" w:eastAsia="仿宋_GB2312" w:cs="Calibri"/>
          <w:b/>
          <w:bCs/>
          <w:sz w:val="32"/>
          <w:szCs w:val="32"/>
        </w:rPr>
        <w:t>计算公式2：</w:t>
      </w:r>
      <w:r>
        <w:rPr>
          <w:rFonts w:hint="eastAsia" w:ascii="仿宋_GB2312" w:hAnsi="Calibri" w:eastAsia="仿宋_GB2312" w:cs="Calibri"/>
          <w:sz w:val="32"/>
          <w:szCs w:val="32"/>
        </w:rPr>
        <w:t>某种药品结余测算基数=该集采药品医保资金预算-（中选产品约定采购量×中选价格+非中选产品使用金额）×统筹地区该集采药品医保基金实际平均报销比例×该集采通用名药品统筹地区参保患者使用量占比</w:t>
      </w:r>
    </w:p>
    <w:p>
      <w:pPr>
        <w:spacing w:line="560" w:lineRule="exact"/>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 xml:space="preserve"> </w:t>
      </w:r>
    </w:p>
    <w:p>
      <w:pPr>
        <w:spacing w:line="560" w:lineRule="exact"/>
        <w:ind w:firstLine="643" w:firstLineChars="200"/>
        <w:rPr>
          <w:rFonts w:ascii="仿宋_GB2312" w:hAnsi="Calibri" w:eastAsia="仿宋_GB2312" w:cs="Calibri"/>
          <w:sz w:val="32"/>
          <w:szCs w:val="32"/>
        </w:rPr>
      </w:pPr>
      <w:r>
        <w:rPr>
          <w:rFonts w:hint="eastAsia" w:ascii="仿宋_GB2312" w:hAnsi="Calibri" w:eastAsia="仿宋_GB2312" w:cs="Calibri"/>
          <w:b/>
          <w:bCs/>
          <w:sz w:val="32"/>
          <w:szCs w:val="32"/>
        </w:rPr>
        <w:t>计算公式3：</w:t>
      </w:r>
      <w:r>
        <w:rPr>
          <w:rFonts w:hint="eastAsia" w:ascii="仿宋_GB2312" w:hAnsi="Calibri" w:eastAsia="仿宋_GB2312" w:cs="Calibri"/>
          <w:sz w:val="32"/>
          <w:szCs w:val="32"/>
        </w:rPr>
        <w:t>某种集采药品结余留用金额=该集采药品结余测算基数×结余留用比</w:t>
      </w:r>
    </w:p>
    <w:p>
      <w:pPr>
        <w:autoSpaceDE w:val="0"/>
        <w:autoSpaceDN w:val="0"/>
        <w:spacing w:line="560" w:lineRule="exact"/>
        <w:jc w:val="left"/>
        <w:rPr>
          <w:rFonts w:eastAsia="仿宋_GB2312"/>
          <w:kern w:val="0"/>
          <w:sz w:val="28"/>
          <w:szCs w:val="28"/>
        </w:rPr>
      </w:pPr>
    </w:p>
    <w:p>
      <w:pPr>
        <w:autoSpaceDE w:val="0"/>
        <w:autoSpaceDN w:val="0"/>
        <w:spacing w:line="560" w:lineRule="exact"/>
        <w:ind w:firstLine="640" w:firstLineChars="200"/>
        <w:jc w:val="left"/>
        <w:rPr>
          <w:rFonts w:ascii="仿宋_GB2312" w:hAnsi="Calibri" w:eastAsia="仿宋_GB2312" w:cs="Calibri"/>
          <w:sz w:val="32"/>
          <w:szCs w:val="32"/>
        </w:rPr>
      </w:pPr>
      <w:r>
        <w:rPr>
          <w:rFonts w:hint="eastAsia" w:ascii="仿宋_GB2312" w:hAnsi="Calibri" w:eastAsia="仿宋_GB2312" w:cs="Calibri"/>
          <w:sz w:val="32"/>
          <w:szCs w:val="32"/>
        </w:rPr>
        <w:t>结余留用资金计算公式按照桂医保规〔2021〕2号文件规定执行。有关计算参数说明如下：</w:t>
      </w:r>
    </w:p>
    <w:p>
      <w:pPr>
        <w:numPr>
          <w:ilvl w:val="0"/>
          <w:numId w:val="1"/>
        </w:numPr>
        <w:autoSpaceDE w:val="0"/>
        <w:autoSpaceDN w:val="0"/>
        <w:spacing w:line="560" w:lineRule="exact"/>
        <w:ind w:firstLine="640" w:firstLineChars="200"/>
        <w:jc w:val="left"/>
        <w:rPr>
          <w:rFonts w:ascii="仿宋_GB2312" w:hAnsi="Calibri" w:eastAsia="仿宋_GB2312" w:cs="Calibri"/>
          <w:sz w:val="32"/>
          <w:szCs w:val="32"/>
        </w:rPr>
      </w:pPr>
      <w:r>
        <w:rPr>
          <w:rFonts w:hint="eastAsia" w:ascii="仿宋_GB2312" w:hAnsi="Calibri" w:eastAsia="仿宋_GB2312" w:cs="Calibri"/>
          <w:sz w:val="32"/>
          <w:szCs w:val="32"/>
        </w:rPr>
        <w:t>该集采药品采购量基数：由集采机构上报并经医保部门</w:t>
      </w:r>
    </w:p>
    <w:p>
      <w:pPr>
        <w:autoSpaceDE w:val="0"/>
        <w:autoSpaceDN w:val="0"/>
        <w:spacing w:line="560" w:lineRule="exact"/>
        <w:jc w:val="left"/>
        <w:rPr>
          <w:rFonts w:ascii="仿宋_GB2312" w:hAnsi="Calibri" w:eastAsia="仿宋_GB2312" w:cs="Calibri"/>
          <w:sz w:val="32"/>
          <w:szCs w:val="32"/>
        </w:rPr>
      </w:pPr>
      <w:r>
        <w:rPr>
          <w:rFonts w:hint="eastAsia" w:ascii="仿宋_GB2312" w:hAnsi="Calibri" w:eastAsia="仿宋_GB2312" w:cs="Calibri"/>
          <w:sz w:val="32"/>
          <w:szCs w:val="32"/>
        </w:rPr>
        <w:t>核准后的预采购量。以集采机构上传至自治区药品集团采购服务平台为准。</w:t>
      </w:r>
    </w:p>
    <w:p>
      <w:pPr>
        <w:autoSpaceDE w:val="0"/>
        <w:autoSpaceDN w:val="0"/>
        <w:spacing w:line="560" w:lineRule="exact"/>
        <w:ind w:firstLine="640" w:firstLineChars="200"/>
        <w:jc w:val="left"/>
        <w:rPr>
          <w:rFonts w:ascii="仿宋_GB2312" w:hAnsi="Calibri" w:eastAsia="仿宋_GB2312" w:cs="Calibri"/>
          <w:sz w:val="32"/>
          <w:szCs w:val="32"/>
        </w:rPr>
      </w:pPr>
      <w:r>
        <w:rPr>
          <w:rFonts w:hint="eastAsia" w:ascii="仿宋_GB2312" w:hAnsi="Calibri" w:eastAsia="仿宋_GB2312" w:cs="Calibri"/>
          <w:sz w:val="32"/>
          <w:szCs w:val="32"/>
        </w:rPr>
        <w:t>二、该集采药品集采前通用名药品全区加权平均价格：实施集中带量采购前同通用名同规格药品加权平均价格。由自治区医疗保障局统一确定提供。</w:t>
      </w:r>
    </w:p>
    <w:p>
      <w:pPr>
        <w:autoSpaceDE w:val="0"/>
        <w:autoSpaceDN w:val="0"/>
        <w:spacing w:line="560" w:lineRule="exact"/>
        <w:ind w:firstLine="640" w:firstLineChars="200"/>
        <w:jc w:val="left"/>
        <w:rPr>
          <w:rFonts w:ascii="仿宋_GB2312" w:hAnsi="Calibri" w:eastAsia="仿宋_GB2312" w:cs="Calibri"/>
          <w:sz w:val="32"/>
          <w:szCs w:val="32"/>
        </w:rPr>
      </w:pPr>
      <w:r>
        <w:rPr>
          <w:rFonts w:hint="eastAsia" w:ascii="仿宋_GB2312" w:hAnsi="Calibri" w:eastAsia="仿宋_GB2312" w:cs="Calibri"/>
          <w:sz w:val="32"/>
          <w:szCs w:val="32"/>
        </w:rPr>
        <w:t>三、统筹地区该集采药品医保基金实际平均报销比例：按统筹地区现行职工、居民医保住院报销比例平均值执行，统一确定为70%。</w:t>
      </w:r>
    </w:p>
    <w:p>
      <w:pPr>
        <w:autoSpaceDE w:val="0"/>
        <w:autoSpaceDN w:val="0"/>
        <w:spacing w:line="560" w:lineRule="exact"/>
        <w:ind w:firstLine="640" w:firstLineChars="200"/>
        <w:jc w:val="left"/>
        <w:rPr>
          <w:rFonts w:ascii="仿宋_GB2312" w:hAnsi="Calibri" w:eastAsia="仿宋_GB2312" w:cs="Calibri"/>
          <w:sz w:val="32"/>
          <w:szCs w:val="32"/>
        </w:rPr>
      </w:pPr>
      <w:r>
        <w:rPr>
          <w:rFonts w:hint="eastAsia" w:ascii="仿宋_GB2312" w:hAnsi="Calibri" w:eastAsia="仿宋_GB2312" w:cs="Calibri"/>
          <w:sz w:val="32"/>
          <w:szCs w:val="32"/>
        </w:rPr>
        <w:t>四、该集采通用名药品统筹地区参保患者使用量占比参照该集采通用名药品采购周期内该定点医疗机构职工和居民参保人员出院人次占医疗机构总出院人次比例执行，由集采机构提供。计算公式：该集采通用名药品统筹地区参保患者使用量占比=（该集采通用名药品采购周期内全院职工医保+居民医保出院人次）/参照该集采药品采购周期内全院出院总人次。</w:t>
      </w:r>
    </w:p>
    <w:p>
      <w:pPr>
        <w:autoSpaceDE w:val="0"/>
        <w:autoSpaceDN w:val="0"/>
        <w:spacing w:line="560" w:lineRule="exact"/>
        <w:ind w:firstLine="640" w:firstLineChars="200"/>
        <w:jc w:val="left"/>
        <w:rPr>
          <w:rFonts w:ascii="仿宋_GB2312" w:hAnsi="Calibri" w:eastAsia="仿宋_GB2312" w:cs="Calibri"/>
          <w:sz w:val="32"/>
          <w:szCs w:val="32"/>
        </w:rPr>
      </w:pPr>
      <w:r>
        <w:rPr>
          <w:rFonts w:hint="eastAsia" w:ascii="仿宋_GB2312" w:hAnsi="Calibri" w:eastAsia="仿宋_GB2312" w:cs="Calibri"/>
          <w:sz w:val="32"/>
          <w:szCs w:val="32"/>
        </w:rPr>
        <w:t>五、中选产品约定采购量：按带量购销合同量数据统计。</w:t>
      </w:r>
    </w:p>
    <w:p>
      <w:pPr>
        <w:autoSpaceDE w:val="0"/>
        <w:autoSpaceDN w:val="0"/>
        <w:spacing w:line="560" w:lineRule="exact"/>
        <w:ind w:firstLine="640" w:firstLineChars="200"/>
        <w:jc w:val="left"/>
        <w:rPr>
          <w:rFonts w:ascii="仿宋_GB2312" w:hAnsi="Calibri" w:eastAsia="仿宋_GB2312" w:cs="Calibri"/>
          <w:sz w:val="32"/>
          <w:szCs w:val="32"/>
        </w:rPr>
      </w:pPr>
      <w:r>
        <w:rPr>
          <w:rFonts w:hint="eastAsia" w:ascii="仿宋_GB2312" w:hAnsi="Calibri" w:eastAsia="仿宋_GB2312" w:cs="Calibri"/>
          <w:sz w:val="32"/>
          <w:szCs w:val="32"/>
        </w:rPr>
        <w:t>六、中选价格：药品集采中选药品价格。</w:t>
      </w:r>
    </w:p>
    <w:p>
      <w:pPr>
        <w:autoSpaceDE w:val="0"/>
        <w:autoSpaceDN w:val="0"/>
        <w:spacing w:line="560" w:lineRule="exact"/>
        <w:ind w:firstLine="640" w:firstLineChars="200"/>
        <w:jc w:val="left"/>
        <w:rPr>
          <w:rFonts w:eastAsia="仿宋_GB2312"/>
          <w:kern w:val="0"/>
          <w:sz w:val="28"/>
          <w:szCs w:val="28"/>
        </w:rPr>
      </w:pPr>
      <w:r>
        <w:rPr>
          <w:rFonts w:hint="eastAsia" w:ascii="仿宋_GB2312" w:hAnsi="Calibri" w:eastAsia="仿宋_GB2312" w:cs="Calibri"/>
          <w:sz w:val="32"/>
          <w:szCs w:val="32"/>
        </w:rPr>
        <w:t>七、非中选产品使用金额：同一时期内，同通用名非中选药品使用数量乘以采购价格。由集采机构提供。</w:t>
      </w:r>
    </w:p>
    <w:p>
      <w:pPr>
        <w:autoSpaceDE w:val="0"/>
        <w:autoSpaceDN w:val="0"/>
        <w:spacing w:line="580" w:lineRule="exact"/>
        <w:jc w:val="left"/>
        <w:sectPr>
          <w:headerReference r:id="rId3" w:type="default"/>
          <w:footerReference r:id="rId5" w:type="default"/>
          <w:headerReference r:id="rId4" w:type="even"/>
          <w:pgSz w:w="11906" w:h="16838"/>
          <w:pgMar w:top="1247" w:right="1474" w:bottom="1134" w:left="1587" w:header="851" w:footer="992" w:gutter="0"/>
          <w:pgNumType w:fmt="numberInDash"/>
          <w:cols w:space="0" w:num="1"/>
          <w:docGrid w:type="lines" w:linePitch="312" w:charSpace="0"/>
        </w:sectPr>
      </w:pPr>
      <w:r>
        <w:rPr>
          <w:rFonts w:hint="eastAsia" w:eastAsia="黑体"/>
          <w:kern w:val="0"/>
          <w:sz w:val="32"/>
          <w:szCs w:val="32"/>
        </w:rPr>
        <w:t xml:space="preserve"> </w:t>
      </w:r>
      <w:r>
        <w:rPr>
          <w:rFonts w:eastAsia="黑体"/>
          <w:kern w:val="0"/>
          <w:sz w:val="32"/>
          <w:szCs w:val="32"/>
        </w:rPr>
        <w:t xml:space="preserve">   </w:t>
      </w:r>
      <w:r>
        <w:rPr>
          <w:rFonts w:ascii="仿宋" w:hAnsi="仿宋" w:eastAsia="仿宋"/>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path/>
              <v:fill on="f" focussize="0,0"/>
              <v:stroke on="f" weight="0.5pt" joinstyle="miter"/>
              <v:imagedata o:title=""/>
              <o:lock v:ext="edit"/>
              <v:textbox inset="0mm,0mm,0mm,0mm" style="mso-fit-shape-to-text:t;">
                <w:txbxContent>
                  <w:p>
                    <w:pPr>
                      <w:pStyle w:val="3"/>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E8C20"/>
    <w:multiLevelType w:val="singleLevel"/>
    <w:tmpl w:val="A39E8C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54EE8"/>
    <w:rsid w:val="7BA54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2022-01-06T03:27:00Z</dcterms:created>
  <dc:creator>木偶</dc:creator>
  <cp:lastModifiedBy>木偶</cp:lastModifiedBy>
  <dcterms:modified xsi:type="dcterms:W3CDTF">2022-01-06T03:27:51Z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