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80"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2</w:t>
      </w:r>
    </w:p>
    <w:p>
      <w:pPr>
        <w:autoSpaceDE w:val="0"/>
        <w:autoSpaceDN w:val="0"/>
        <w:spacing w:line="580" w:lineRule="exact"/>
        <w:jc w:val="center"/>
        <w:rPr>
          <w:rFonts w:eastAsia="方正小标宋_GBK"/>
          <w:kern w:val="0"/>
          <w:sz w:val="32"/>
          <w:szCs w:val="32"/>
        </w:rPr>
      </w:pPr>
      <w:bookmarkStart w:id="0" w:name="_GoBack"/>
      <w:r>
        <w:rPr>
          <w:rFonts w:hint="eastAsia" w:eastAsia="方正小标宋_GBK"/>
          <w:kern w:val="0"/>
          <w:sz w:val="32"/>
          <w:szCs w:val="32"/>
        </w:rPr>
        <w:t>定点医疗机构单个药品集中带量采购考核指标</w:t>
      </w:r>
    </w:p>
    <w:bookmarkEnd w:id="0"/>
    <w:tbl>
      <w:tblPr>
        <w:tblStyle w:val="5"/>
        <w:tblW w:w="14301"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827"/>
        <w:gridCol w:w="753"/>
        <w:gridCol w:w="1432"/>
        <w:gridCol w:w="3246"/>
        <w:gridCol w:w="2190"/>
        <w:gridCol w:w="3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考核内容</w:t>
            </w:r>
          </w:p>
        </w:tc>
        <w:tc>
          <w:tcPr>
            <w:tcW w:w="1827" w:type="dxa"/>
            <w:tcBorders>
              <w:top w:val="single" w:color="000000" w:sz="4" w:space="0"/>
              <w:left w:val="nil"/>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考核指标</w:t>
            </w:r>
          </w:p>
        </w:tc>
        <w:tc>
          <w:tcPr>
            <w:tcW w:w="753" w:type="dxa"/>
            <w:tcBorders>
              <w:top w:val="single" w:color="000000" w:sz="4" w:space="0"/>
              <w:left w:val="nil"/>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分值</w:t>
            </w:r>
          </w:p>
        </w:tc>
        <w:tc>
          <w:tcPr>
            <w:tcW w:w="1432" w:type="dxa"/>
            <w:tcBorders>
              <w:top w:val="single" w:color="000000" w:sz="4" w:space="0"/>
              <w:left w:val="nil"/>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考核标准</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扣（加）分</w:t>
            </w:r>
          </w:p>
        </w:tc>
        <w:tc>
          <w:tcPr>
            <w:tcW w:w="2190" w:type="dxa"/>
            <w:tcBorders>
              <w:top w:val="single" w:color="000000" w:sz="4" w:space="0"/>
              <w:left w:val="nil"/>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计算公式</w:t>
            </w:r>
          </w:p>
        </w:tc>
        <w:tc>
          <w:tcPr>
            <w:tcW w:w="3845" w:type="dxa"/>
            <w:tcBorders>
              <w:top w:val="single" w:color="000000" w:sz="4" w:space="0"/>
              <w:left w:val="nil"/>
              <w:bottom w:val="single" w:color="000000" w:sz="4" w:space="0"/>
              <w:right w:val="single" w:color="000000" w:sz="4" w:space="0"/>
            </w:tcBorders>
            <w:vAlign w:val="center"/>
          </w:tcPr>
          <w:p>
            <w:pPr>
              <w:spacing w:line="500" w:lineRule="exact"/>
              <w:jc w:val="center"/>
              <w:rPr>
                <w:rFonts w:ascii="黑体" w:hAnsi="黑体" w:eastAsia="黑体" w:cs="Calibri"/>
                <w:b/>
                <w:bCs/>
                <w:color w:val="000000"/>
                <w:szCs w:val="21"/>
              </w:rPr>
            </w:pPr>
            <w:r>
              <w:rPr>
                <w:rFonts w:hint="eastAsia" w:ascii="黑体" w:hAnsi="黑体" w:eastAsia="黑体" w:cs="宋体"/>
                <w:b/>
                <w:bCs/>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008" w:type="dxa"/>
            <w:vMerge w:val="restart"/>
            <w:tcBorders>
              <w:top w:val="nil"/>
              <w:left w:val="single" w:color="000000" w:sz="4" w:space="0"/>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（一）执行药品集采规定</w:t>
            </w:r>
          </w:p>
        </w:tc>
        <w:tc>
          <w:tcPr>
            <w:tcW w:w="1827"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是否按时完成集中带量采购中选药品采购量。</w:t>
            </w:r>
          </w:p>
        </w:tc>
        <w:tc>
          <w:tcPr>
            <w:tcW w:w="753"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41</w:t>
            </w:r>
          </w:p>
        </w:tc>
        <w:tc>
          <w:tcPr>
            <w:tcW w:w="1432"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按时100%完成约定采购量</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按时100%完成约定采购量的不扣分，否则扣41分</w:t>
            </w:r>
            <w:r>
              <w:rPr>
                <w:rFonts w:hint="eastAsia" w:cs="Calibri" w:asciiTheme="minorEastAsia" w:hAnsiTheme="minorEastAsia" w:eastAsiaTheme="minorEastAsia"/>
                <w:color w:val="000000"/>
                <w:szCs w:val="21"/>
              </w:rPr>
              <w:t>。</w:t>
            </w:r>
          </w:p>
        </w:tc>
        <w:tc>
          <w:tcPr>
            <w:tcW w:w="2190"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实际采购量/约定采购量*100%</w:t>
            </w:r>
          </w:p>
        </w:tc>
        <w:tc>
          <w:tcPr>
            <w:tcW w:w="3845"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因政策调整等非集采机构原因，造成集采机构未能按时100%完成约定采购量时不适用本条。按集采中选同通用名、剂型、规格单个药品核算，数据来自自治区集采平台。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spacing w:line="500" w:lineRule="exact"/>
              <w:jc w:val="center"/>
              <w:rPr>
                <w:rFonts w:ascii="宋体" w:hAnsi="宋体" w:cs="Calibri"/>
                <w:color w:val="000000"/>
                <w:szCs w:val="21"/>
              </w:rPr>
            </w:pPr>
          </w:p>
        </w:tc>
        <w:tc>
          <w:tcPr>
            <w:tcW w:w="1827"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回款率</w:t>
            </w:r>
          </w:p>
        </w:tc>
        <w:tc>
          <w:tcPr>
            <w:tcW w:w="753"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15</w:t>
            </w:r>
          </w:p>
        </w:tc>
        <w:tc>
          <w:tcPr>
            <w:tcW w:w="1432"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集采机构30天内回款率不低于100%</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达到100%的不扣分，每下降一个百分点扣1分，不足一个百分点的按一个百分点计</w:t>
            </w:r>
            <w:r>
              <w:rPr>
                <w:rFonts w:hint="eastAsia" w:cs="Calibri" w:asciiTheme="minorEastAsia" w:hAnsiTheme="minorEastAsia" w:eastAsiaTheme="minorEastAsia"/>
                <w:color w:val="000000"/>
                <w:szCs w:val="21"/>
              </w:rPr>
              <w:t>，直到扣完为止。</w:t>
            </w:r>
          </w:p>
        </w:tc>
        <w:tc>
          <w:tcPr>
            <w:tcW w:w="2190"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30天回款金额</w:t>
            </w:r>
            <w:r>
              <w:rPr>
                <w:rFonts w:cs="Calibri" w:asciiTheme="minorEastAsia" w:hAnsiTheme="minorEastAsia" w:eastAsiaTheme="minorEastAsia"/>
                <w:szCs w:val="21"/>
              </w:rPr>
              <w:t>/入库</w:t>
            </w:r>
            <w:r>
              <w:rPr>
                <w:rFonts w:cs="Calibri" w:asciiTheme="minorEastAsia" w:hAnsiTheme="minorEastAsia" w:eastAsiaTheme="minorEastAsia"/>
                <w:color w:val="000000"/>
                <w:szCs w:val="21"/>
              </w:rPr>
              <w:t>金额*100%</w:t>
            </w:r>
          </w:p>
        </w:tc>
        <w:tc>
          <w:tcPr>
            <w:tcW w:w="3845"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凡在集采平台上显示集采机构已确认支付和配送企业确认收款的（不含退费），均视为已回款。按集采中选同通用名、剂型、规格单个药品核算，数据来自自治区集采平台。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008" w:type="dxa"/>
            <w:vMerge w:val="continue"/>
            <w:tcBorders>
              <w:top w:val="nil"/>
              <w:left w:val="single" w:color="000000" w:sz="4" w:space="0"/>
              <w:bottom w:val="single" w:color="auto" w:sz="4" w:space="0"/>
              <w:right w:val="single" w:color="000000" w:sz="4" w:space="0"/>
            </w:tcBorders>
            <w:vAlign w:val="center"/>
          </w:tcPr>
          <w:p>
            <w:pPr>
              <w:widowControl/>
              <w:spacing w:line="500" w:lineRule="exact"/>
              <w:jc w:val="center"/>
              <w:rPr>
                <w:rFonts w:ascii="宋体" w:hAnsi="宋体" w:cs="Calibri"/>
                <w:color w:val="000000"/>
                <w:szCs w:val="21"/>
              </w:rPr>
            </w:pPr>
          </w:p>
        </w:tc>
        <w:tc>
          <w:tcPr>
            <w:tcW w:w="1827" w:type="dxa"/>
            <w:tcBorders>
              <w:top w:val="single" w:color="000000" w:sz="4" w:space="0"/>
              <w:left w:val="nil"/>
              <w:bottom w:val="single" w:color="auto"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线上结算率</w:t>
            </w:r>
          </w:p>
        </w:tc>
        <w:tc>
          <w:tcPr>
            <w:tcW w:w="753" w:type="dxa"/>
            <w:tcBorders>
              <w:top w:val="single" w:color="000000" w:sz="4" w:space="0"/>
              <w:left w:val="nil"/>
              <w:bottom w:val="single" w:color="auto"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15</w:t>
            </w:r>
          </w:p>
        </w:tc>
        <w:tc>
          <w:tcPr>
            <w:tcW w:w="1432" w:type="dxa"/>
            <w:tcBorders>
              <w:top w:val="single" w:color="000000" w:sz="4" w:space="0"/>
              <w:left w:val="nil"/>
              <w:bottom w:val="single" w:color="auto"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线上结算率不低于100%</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达到100%的不扣分，每下降一个百分点扣1分，不足一个百分点的按一个百分点计</w:t>
            </w:r>
            <w:r>
              <w:rPr>
                <w:rFonts w:hint="eastAsia" w:cs="Calibri" w:asciiTheme="minorEastAsia" w:hAnsiTheme="minorEastAsia" w:eastAsiaTheme="minorEastAsia"/>
                <w:color w:val="000000"/>
                <w:szCs w:val="21"/>
              </w:rPr>
              <w:t>，直到扣完为止。</w:t>
            </w:r>
          </w:p>
        </w:tc>
        <w:tc>
          <w:tcPr>
            <w:tcW w:w="2190" w:type="dxa"/>
            <w:tcBorders>
              <w:top w:val="single" w:color="000000" w:sz="4" w:space="0"/>
              <w:left w:val="nil"/>
              <w:bottom w:val="single" w:color="auto"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实际采购的线上结算总金额数/约定采购总金额*100%</w:t>
            </w:r>
          </w:p>
        </w:tc>
        <w:tc>
          <w:tcPr>
            <w:tcW w:w="3845" w:type="dxa"/>
            <w:tcBorders>
              <w:top w:val="single" w:color="000000" w:sz="4" w:space="0"/>
              <w:left w:val="nil"/>
              <w:bottom w:val="single" w:color="auto" w:sz="4" w:space="0"/>
              <w:right w:val="single" w:color="000000" w:sz="4" w:space="0"/>
            </w:tcBorders>
            <w:vAlign w:val="center"/>
          </w:tcPr>
          <w:p>
            <w:pPr>
              <w:spacing w:line="500" w:lineRule="exact"/>
              <w:jc w:val="center"/>
              <w:rPr>
                <w:rFonts w:cs="仿宋" w:asciiTheme="minorEastAsia" w:hAnsiTheme="minorEastAsia" w:eastAsiaTheme="minorEastAsia"/>
                <w:color w:val="000000"/>
                <w:szCs w:val="21"/>
              </w:rPr>
            </w:pPr>
            <w:r>
              <w:rPr>
                <w:rFonts w:cs="Calibri" w:asciiTheme="minorEastAsia" w:hAnsiTheme="minorEastAsia" w:eastAsiaTheme="minorEastAsia"/>
                <w:color w:val="000000"/>
                <w:szCs w:val="21"/>
              </w:rPr>
              <w:t>按集采中选同通用名、剂型、规格单个药品核算，数据来自自治区集采平台。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（二）合理控制药品费用</w:t>
            </w:r>
          </w:p>
        </w:tc>
        <w:tc>
          <w:tcPr>
            <w:tcW w:w="1827"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药品费用增长率</w:t>
            </w: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10</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本年度集采机构药品费用增长率不高于10%</w:t>
            </w:r>
          </w:p>
        </w:tc>
        <w:tc>
          <w:tcPr>
            <w:tcW w:w="3246" w:type="dxa"/>
            <w:tcBorders>
              <w:top w:val="single" w:color="000000" w:sz="4" w:space="0"/>
              <w:left w:val="single" w:color="auto" w:sz="4" w:space="0"/>
              <w:bottom w:val="single" w:color="auto" w:sz="4" w:space="0"/>
              <w:right w:val="single" w:color="auto"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药品费用增长率在10%以内的不扣分，每超过一个百分点扣1分，不足一个百分点的按一个百分点计</w:t>
            </w:r>
            <w:r>
              <w:rPr>
                <w:rFonts w:hint="eastAsia" w:cs="Calibri" w:asciiTheme="minorEastAsia" w:hAnsiTheme="minorEastAsia" w:eastAsiaTheme="minorEastAsia"/>
                <w:color w:val="000000"/>
                <w:szCs w:val="21"/>
              </w:rPr>
              <w:t>，直到扣完为止。</w:t>
            </w:r>
          </w:p>
        </w:tc>
        <w:tc>
          <w:tcPr>
            <w:tcW w:w="2190"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（本年度药品支出额-上一年药品支出额）/上一年药品支出额*100%</w:t>
            </w:r>
          </w:p>
        </w:tc>
        <w:tc>
          <w:tcPr>
            <w:tcW w:w="3845"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 w:asciiTheme="minorEastAsia" w:hAnsiTheme="minorEastAsia" w:eastAsiaTheme="minorEastAsia"/>
                <w:color w:val="000000"/>
                <w:szCs w:val="21"/>
              </w:rPr>
            </w:pPr>
            <w:r>
              <w:rPr>
                <w:rFonts w:hint="eastAsia" w:cs="Calibri" w:asciiTheme="minorEastAsia" w:hAnsiTheme="minorEastAsia" w:eastAsiaTheme="minorEastAsia"/>
                <w:color w:val="000000"/>
                <w:szCs w:val="21"/>
              </w:rPr>
              <w:t>按集采机构全部药品核算，数据来自集采机构。集采机构扩建、床位增加、新院区开业等合理增长因素导致药品费用大幅增长的，集采机构可进行说明并提供相应支撑材料，申请按本年度每床位药品费用增长率考核（本年度每床位药品费用增长率=(集采机构本年度药品支出额÷本年度集采机构床位数—集采机构上一年药品支出额÷上一年集采机构床位数）÷(集采机构上一年药品支出额÷上一年集采机构床位数)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Calibri"/>
                <w:color w:val="000000"/>
                <w:szCs w:val="21"/>
              </w:rPr>
            </w:pPr>
          </w:p>
        </w:tc>
        <w:tc>
          <w:tcPr>
            <w:tcW w:w="18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Calibri"/>
                <w:color w:val="000000"/>
                <w:szCs w:val="21"/>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Calibri"/>
                <w:color w:val="00000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Calibri" w:asciiTheme="minorEastAsia" w:hAnsiTheme="minorEastAsia" w:eastAsiaTheme="minorEastAsia"/>
                <w:color w:val="000000"/>
                <w:szCs w:val="21"/>
              </w:rPr>
            </w:pPr>
          </w:p>
        </w:tc>
        <w:tc>
          <w:tcPr>
            <w:tcW w:w="3246" w:type="dxa"/>
            <w:tcBorders>
              <w:top w:val="single" w:color="auto" w:sz="4" w:space="0"/>
              <w:left w:val="single" w:color="auto" w:sz="4" w:space="0"/>
              <w:bottom w:val="single" w:color="000000" w:sz="4" w:space="0"/>
              <w:right w:val="single" w:color="auto"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药品费用增长率为零的加1分，出现负增长的每超过一个百分点加1分，不足一个百分点的加0.5分，最多加10分。</w:t>
            </w:r>
          </w:p>
        </w:tc>
        <w:tc>
          <w:tcPr>
            <w:tcW w:w="2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Calibri" w:asciiTheme="minorEastAsia" w:hAnsiTheme="minorEastAsia" w:eastAsiaTheme="minorEastAsia"/>
                <w:color w:val="000000"/>
                <w:szCs w:val="21"/>
              </w:rPr>
            </w:pPr>
          </w:p>
        </w:tc>
        <w:tc>
          <w:tcPr>
            <w:tcW w:w="38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仿宋" w:asciiTheme="minorEastAsia" w:hAnsiTheme="minorEastAsia"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0" w:hRule="atLeast"/>
        </w:trPr>
        <w:tc>
          <w:tcPr>
            <w:tcW w:w="1008" w:type="dxa"/>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center"/>
              <w:rPr>
                <w:rFonts w:ascii="宋体" w:hAnsi="宋体" w:cs="Calibri"/>
                <w:color w:val="000000"/>
                <w:szCs w:val="21"/>
              </w:rPr>
            </w:pPr>
            <w:r>
              <w:rPr>
                <w:rFonts w:ascii="Calibri" w:hAnsi="Calibri" w:cs="Calibri"/>
                <w:color w:val="000000"/>
                <w:szCs w:val="21"/>
              </w:rPr>
              <w:t>（二）合理控制药品费用</w:t>
            </w:r>
          </w:p>
        </w:tc>
        <w:tc>
          <w:tcPr>
            <w:tcW w:w="1827" w:type="dxa"/>
            <w:tcBorders>
              <w:top w:val="single" w:color="auto"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非中选产品采购量占比</w:t>
            </w:r>
          </w:p>
        </w:tc>
        <w:tc>
          <w:tcPr>
            <w:tcW w:w="753" w:type="dxa"/>
            <w:tcBorders>
              <w:top w:val="single" w:color="auto"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5</w:t>
            </w:r>
          </w:p>
        </w:tc>
        <w:tc>
          <w:tcPr>
            <w:tcW w:w="1432" w:type="dxa"/>
            <w:tcBorders>
              <w:top w:val="single" w:color="auto"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在一个采购周期内，每年各中选药品的采购量不得低于同品种非中选药品采购量</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占比在45%以内（含）的，得满分；超过45%的扣0.5分，每超过一个百分点加扣0.5分，不足一个百分点的按小数点后一位四舍五入计算</w:t>
            </w:r>
            <w:r>
              <w:rPr>
                <w:rFonts w:hint="eastAsia" w:cs="Calibri" w:asciiTheme="minorEastAsia" w:hAnsiTheme="minorEastAsia" w:eastAsiaTheme="minorEastAsia"/>
                <w:color w:val="000000"/>
                <w:szCs w:val="21"/>
              </w:rPr>
              <w:t>，</w:t>
            </w:r>
            <w:r>
              <w:rPr>
                <w:rFonts w:cs="Calibri" w:asciiTheme="minorEastAsia" w:hAnsiTheme="minorEastAsia" w:eastAsiaTheme="minorEastAsia"/>
                <w:color w:val="000000"/>
                <w:szCs w:val="21"/>
              </w:rPr>
              <w:t>直到扣完为止</w:t>
            </w:r>
            <w:r>
              <w:rPr>
                <w:rFonts w:hint="eastAsia" w:cs="Calibri" w:asciiTheme="minorEastAsia" w:hAnsiTheme="minorEastAsia" w:eastAsiaTheme="minorEastAsia"/>
                <w:color w:val="000000"/>
                <w:szCs w:val="21"/>
              </w:rPr>
              <w:t>。</w:t>
            </w:r>
          </w:p>
        </w:tc>
        <w:tc>
          <w:tcPr>
            <w:tcW w:w="2190" w:type="dxa"/>
            <w:tcBorders>
              <w:top w:val="single" w:color="auto"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非中选产品采购量/该通用名药品总采购量*100%</w:t>
            </w:r>
          </w:p>
        </w:tc>
        <w:tc>
          <w:tcPr>
            <w:tcW w:w="3845" w:type="dxa"/>
            <w:tcBorders>
              <w:top w:val="single" w:color="auto" w:sz="4" w:space="0"/>
              <w:left w:val="nil"/>
              <w:bottom w:val="single" w:color="000000" w:sz="4" w:space="0"/>
              <w:right w:val="single" w:color="000000" w:sz="4" w:space="0"/>
            </w:tcBorders>
            <w:vAlign w:val="center"/>
          </w:tcPr>
          <w:p>
            <w:pPr>
              <w:spacing w:line="48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按集采中选同通用名、剂型、规格单个药品核算，非中选产品采购量数据由医疗机构按广西药械采购平台实际采购数据提供</w:t>
            </w:r>
            <w:r>
              <w:rPr>
                <w:rFonts w:hint="eastAsia" w:cs="Calibri" w:asciiTheme="minorEastAsia" w:hAnsiTheme="minorEastAsia" w:eastAsiaTheme="minorEastAsia"/>
                <w:color w:val="000000"/>
                <w:szCs w:val="21"/>
              </w:rPr>
              <w:t>（医疗机构进销存系统提取）</w:t>
            </w:r>
            <w:r>
              <w:rPr>
                <w:rFonts w:cs="Calibri" w:asciiTheme="minorEastAsia" w:hAnsiTheme="minorEastAsia" w:eastAsiaTheme="minorEastAsia"/>
                <w:color w:val="000000"/>
                <w:szCs w:val="21"/>
              </w:rPr>
              <w:t>，该通用名药品总采购量数据由医疗机构按按广西药械采购平台、广西药品集团采购服务平台实际采购数据提供。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7"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（三）落实集采、价格等改革政策</w:t>
            </w:r>
          </w:p>
        </w:tc>
        <w:tc>
          <w:tcPr>
            <w:tcW w:w="1827" w:type="dxa"/>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线下采购占比</w:t>
            </w:r>
          </w:p>
        </w:tc>
        <w:tc>
          <w:tcPr>
            <w:tcW w:w="753"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10</w:t>
            </w:r>
          </w:p>
        </w:tc>
        <w:tc>
          <w:tcPr>
            <w:tcW w:w="1432"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无线下采购</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线下采购占比为零的不扣分；5%以内的扣6分，每超过一个百分点加扣2分，不足一个百分点的按小数点后一位四舍五入计算，直到扣完为止</w:t>
            </w:r>
            <w:r>
              <w:rPr>
                <w:rFonts w:hint="eastAsia" w:cs="Calibri" w:asciiTheme="minorEastAsia" w:hAnsiTheme="minorEastAsia" w:eastAsiaTheme="minorEastAsia"/>
                <w:color w:val="000000"/>
                <w:szCs w:val="21"/>
              </w:rPr>
              <w:t>。</w:t>
            </w:r>
          </w:p>
        </w:tc>
        <w:tc>
          <w:tcPr>
            <w:tcW w:w="2190"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（集采机构实际药品采购金额-平台采购金额）/集采机构实际药品采购金额*100%</w:t>
            </w:r>
          </w:p>
        </w:tc>
        <w:tc>
          <w:tcPr>
            <w:tcW w:w="3845" w:type="dxa"/>
            <w:tcBorders>
              <w:top w:val="single" w:color="000000" w:sz="4" w:space="0"/>
              <w:left w:val="nil"/>
              <w:bottom w:val="single" w:color="000000" w:sz="4" w:space="0"/>
              <w:right w:val="single" w:color="000000" w:sz="4" w:space="0"/>
            </w:tcBorders>
            <w:vAlign w:val="center"/>
          </w:tcPr>
          <w:p>
            <w:pPr>
              <w:spacing w:line="5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平台采购金额包括集采平台和药械平台发生的金额</w:t>
            </w:r>
            <w:r>
              <w:rPr>
                <w:rFonts w:cs="Calibri" w:asciiTheme="minorEastAsia" w:hAnsiTheme="minorEastAsia" w:eastAsiaTheme="minorEastAsia"/>
                <w:color w:val="000000"/>
                <w:szCs w:val="21"/>
              </w:rPr>
              <w:t>，按集采中选同通用名、剂型、规格单个药品核算，数据来自自治区集采平台。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Calibri"/>
                <w:color w:val="000000"/>
                <w:szCs w:val="21"/>
              </w:rPr>
            </w:pPr>
          </w:p>
        </w:tc>
        <w:tc>
          <w:tcPr>
            <w:tcW w:w="1827" w:type="dxa"/>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集采报量及签约情况</w:t>
            </w:r>
          </w:p>
        </w:tc>
        <w:tc>
          <w:tcPr>
            <w:tcW w:w="753"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Calibri"/>
                <w:color w:val="000000"/>
                <w:szCs w:val="21"/>
              </w:rPr>
            </w:pPr>
            <w:r>
              <w:rPr>
                <w:rFonts w:ascii="Calibri" w:hAnsi="Calibri" w:cs="Calibri"/>
                <w:color w:val="000000"/>
                <w:szCs w:val="21"/>
              </w:rPr>
              <w:t>4</w:t>
            </w:r>
          </w:p>
        </w:tc>
        <w:tc>
          <w:tcPr>
            <w:tcW w:w="1432"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按时完成</w:t>
            </w:r>
          </w:p>
        </w:tc>
        <w:tc>
          <w:tcPr>
            <w:tcW w:w="3246"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存在不按时报量、无故不按时签约等问题的</w:t>
            </w:r>
            <w:r>
              <w:rPr>
                <w:rFonts w:hint="eastAsia" w:cs="Calibri" w:asciiTheme="minorEastAsia" w:hAnsiTheme="minorEastAsia" w:eastAsiaTheme="minorEastAsia"/>
                <w:color w:val="000000"/>
                <w:szCs w:val="21"/>
              </w:rPr>
              <w:t>，</w:t>
            </w:r>
            <w:r>
              <w:rPr>
                <w:rFonts w:cs="Calibri" w:asciiTheme="minorEastAsia" w:hAnsiTheme="minorEastAsia" w:eastAsiaTheme="minorEastAsia"/>
                <w:color w:val="000000"/>
                <w:szCs w:val="21"/>
              </w:rPr>
              <w:t>每出现一次扣2分，直到扣完为止</w:t>
            </w:r>
            <w:r>
              <w:rPr>
                <w:rFonts w:hint="eastAsia" w:cs="Calibri" w:asciiTheme="minorEastAsia" w:hAnsiTheme="minorEastAsia" w:eastAsiaTheme="minorEastAsia"/>
                <w:color w:val="000000"/>
                <w:szCs w:val="21"/>
              </w:rPr>
              <w:t>。</w:t>
            </w:r>
          </w:p>
        </w:tc>
        <w:tc>
          <w:tcPr>
            <w:tcW w:w="2190" w:type="dxa"/>
            <w:tcBorders>
              <w:top w:val="single" w:color="000000" w:sz="4" w:space="0"/>
              <w:left w:val="nil"/>
              <w:bottom w:val="single" w:color="000000" w:sz="4" w:space="0"/>
              <w:right w:val="single" w:color="000000" w:sz="4" w:space="0"/>
            </w:tcBorders>
            <w:vAlign w:val="center"/>
          </w:tcPr>
          <w:p>
            <w:pPr>
              <w:spacing w:line="500" w:lineRule="exact"/>
              <w:ind w:firstLine="105" w:firstLineChars="50"/>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按次累计</w:t>
            </w:r>
          </w:p>
        </w:tc>
        <w:tc>
          <w:tcPr>
            <w:tcW w:w="3845" w:type="dxa"/>
            <w:tcBorders>
              <w:top w:val="single" w:color="000000" w:sz="4" w:space="0"/>
              <w:left w:val="nil"/>
              <w:bottom w:val="single" w:color="000000" w:sz="4" w:space="0"/>
              <w:right w:val="single" w:color="000000" w:sz="4" w:space="0"/>
            </w:tcBorders>
            <w:vAlign w:val="center"/>
          </w:tcPr>
          <w:p>
            <w:pPr>
              <w:spacing w:line="500" w:lineRule="exact"/>
              <w:jc w:val="center"/>
              <w:rPr>
                <w:rFonts w:cs="Calibri" w:asciiTheme="minorEastAsia" w:hAnsiTheme="minorEastAsia" w:eastAsiaTheme="minorEastAsia"/>
                <w:color w:val="000000"/>
                <w:szCs w:val="21"/>
              </w:rPr>
            </w:pPr>
            <w:r>
              <w:rPr>
                <w:rFonts w:cs="Calibri" w:asciiTheme="minorEastAsia" w:hAnsiTheme="minorEastAsia" w:eastAsiaTheme="minorEastAsia"/>
                <w:color w:val="000000"/>
                <w:szCs w:val="21"/>
              </w:rPr>
              <w:t>按集采中选同通用名、剂型、规格单个药品核算，数据来自自治区集采平台。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F5487"/>
    <w:rsid w:val="1C6F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2022-01-06T03:28:00Z</dcterms:created>
  <dc:creator>木偶</dc:creator>
  <cp:lastModifiedBy>木偶</cp:lastModifiedBy>
  <dcterms:modified xsi:type="dcterms:W3CDTF">2022-01-06T03:28:38Z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