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192" w:line="600" w:lineRule="exact"/>
        <w:ind w:left="0" w:leftChars="0" w:right="29" w:rightChars="0" w:firstLine="0" w:firstLineChars="0"/>
        <w:jc w:val="center"/>
        <w:textAlignment w:val="auto"/>
        <w:rPr>
          <w:rStyle w:val="25"/>
          <w:rFonts w:hint="eastAsia" w:ascii="方正小标宋简体" w:hAnsi="方正小标宋简体" w:eastAsia="方正小标宋简体" w:cs="方正小标宋简体"/>
          <w:spacing w:val="-6"/>
          <w:sz w:val="44"/>
          <w:lang w:val="en-US" w:eastAsia="zh-CN"/>
        </w:rPr>
      </w:pPr>
      <w:bookmarkStart w:id="0" w:name="_GoBack"/>
      <w:bookmarkEnd w:id="0"/>
      <w:r>
        <w:rPr>
          <w:rStyle w:val="25"/>
          <w:rFonts w:hint="eastAsia" w:ascii="方正小标宋简体" w:hAnsi="方正小标宋简体" w:eastAsia="方正小标宋简体" w:cs="方正小标宋简体"/>
          <w:spacing w:val="-6"/>
          <w:sz w:val="44"/>
          <w:lang w:eastAsia="zh-CN"/>
        </w:rPr>
        <w:t>防城港</w:t>
      </w:r>
      <w:r>
        <w:rPr>
          <w:rStyle w:val="25"/>
          <w:rFonts w:hint="eastAsia" w:ascii="方正小标宋简体" w:hAnsi="方正小标宋简体" w:eastAsia="方正小标宋简体" w:cs="方正小标宋简体"/>
          <w:spacing w:val="-6"/>
          <w:sz w:val="44"/>
        </w:rPr>
        <w:t>市公共法律服务体系建</w:t>
      </w:r>
      <w:r>
        <w:rPr>
          <w:rStyle w:val="25"/>
          <w:rFonts w:hint="eastAsia" w:ascii="方正小标宋简体" w:hAnsi="方正小标宋简体" w:eastAsia="方正小标宋简体" w:cs="方正小标宋简体"/>
          <w:spacing w:val="-6"/>
          <w:sz w:val="44"/>
          <w:lang w:eastAsia="zh-CN"/>
        </w:rPr>
        <w:t>设“</w:t>
      </w:r>
      <w:r>
        <w:rPr>
          <w:rStyle w:val="25"/>
          <w:rFonts w:hint="eastAsia" w:ascii="方正小标宋简体" w:hAnsi="方正小标宋简体" w:eastAsia="方正小标宋简体" w:cs="方正小标宋简体"/>
          <w:spacing w:val="-6"/>
          <w:sz w:val="44"/>
        </w:rPr>
        <w:t>十四五”规划</w:t>
      </w:r>
    </w:p>
    <w:p>
      <w:pPr>
        <w:pStyle w:val="3"/>
        <w:tabs>
          <w:tab w:val="left" w:pos="659"/>
        </w:tabs>
        <w:spacing w:line="740" w:lineRule="exact"/>
        <w:ind w:right="179" w:firstLine="3520" w:firstLineChars="800"/>
        <w:jc w:val="both"/>
        <w:rPr>
          <w:rFonts w:hint="default" w:ascii="Times New Roman" w:hAnsi="Times New Roman" w:cs="Times New Roman"/>
        </w:rPr>
      </w:pPr>
    </w:p>
    <w:p>
      <w:pPr>
        <w:pStyle w:val="3"/>
        <w:tabs>
          <w:tab w:val="left" w:pos="659"/>
        </w:tabs>
        <w:spacing w:line="740" w:lineRule="exact"/>
        <w:ind w:right="179" w:firstLine="3520" w:firstLineChars="800"/>
        <w:jc w:val="both"/>
        <w:rPr>
          <w:rFonts w:hint="default" w:ascii="Times New Roman" w:hAnsi="Times New Roman" w:cs="Times New Roman"/>
        </w:rPr>
      </w:pPr>
      <w:r>
        <w:rPr>
          <w:rFonts w:hint="default" w:ascii="Times New Roman" w:hAnsi="Times New Roman" w:cs="Times New Roman"/>
        </w:rPr>
        <w:t>目</w:t>
      </w:r>
      <w:r>
        <w:rPr>
          <w:rFonts w:hint="default" w:ascii="Times New Roman" w:hAnsi="Times New Roman" w:cs="Times New Roman"/>
        </w:rPr>
        <w:tab/>
      </w:r>
      <w:r>
        <w:rPr>
          <w:rFonts w:hint="default" w:ascii="Times New Roman" w:hAnsi="Times New Roman" w:cs="Times New Roman"/>
          <w:lang w:val="en-US" w:eastAsia="zh-CN"/>
        </w:rPr>
        <w:t xml:space="preserve">  </w:t>
      </w:r>
      <w:r>
        <w:rPr>
          <w:rFonts w:hint="default" w:ascii="Times New Roman" w:hAnsi="Times New Roman" w:cs="Times New Roman"/>
        </w:rPr>
        <w:t>录</w:t>
      </w:r>
    </w:p>
    <w:p>
      <w:pPr>
        <w:pStyle w:val="13"/>
        <w:keepNext w:val="0"/>
        <w:keepLines w:val="0"/>
        <w:pageBreakBefore w:val="0"/>
        <w:widowControl w:val="0"/>
        <w:tabs>
          <w:tab w:val="left" w:pos="1387"/>
          <w:tab w:val="right" w:leader="dot" w:pos="8905"/>
        </w:tabs>
        <w:kinsoku/>
        <w:wordWrap/>
        <w:overflowPunct/>
        <w:topLinePunct w:val="0"/>
        <w:autoSpaceDE w:val="0"/>
        <w:autoSpaceDN w:val="0"/>
        <w:bidi w:val="0"/>
        <w:adjustRightInd/>
        <w:snapToGrid/>
        <w:spacing w:line="400" w:lineRule="exact"/>
        <w:jc w:val="both"/>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"_TOC_250005" </w:instrText>
      </w:r>
      <w:r>
        <w:rPr>
          <w:rFonts w:hint="default" w:ascii="Times New Roman" w:hAnsi="Times New Roman" w:cs="Times New Roman"/>
        </w:rPr>
        <w:fldChar w:fldCharType="separate"/>
      </w:r>
      <w:r>
        <w:rPr>
          <w:rFonts w:hint="default" w:ascii="Times New Roman" w:hAnsi="Times New Roman" w:cs="Times New Roman"/>
        </w:rPr>
        <w:t>第一章</w:t>
      </w:r>
      <w:r>
        <w:rPr>
          <w:rFonts w:hint="default" w:ascii="Times New Roman" w:hAnsi="Times New Roman" w:cs="Times New Roman"/>
        </w:rPr>
        <w:tab/>
      </w:r>
      <w:r>
        <w:rPr>
          <w:rFonts w:hint="default" w:ascii="Times New Roman" w:hAnsi="Times New Roman" w:cs="Times New Roman"/>
        </w:rPr>
        <w:t>规划背景和总体要求</w:t>
      </w:r>
      <w:r>
        <w:rPr>
          <w:rFonts w:hint="default" w:ascii="Times New Roman" w:hAnsi="Times New Roman" w:cs="Times New Roman"/>
        </w:rPr>
        <w:tab/>
      </w:r>
      <w:r>
        <w:rPr>
          <w:rFonts w:hint="eastAsia" w:ascii="Times New Roman" w:hAnsi="Times New Roman" w:cs="Times New Roman"/>
          <w:lang w:val="en-US" w:eastAsia="zh-CN"/>
        </w:rPr>
        <w:t>3</w:t>
      </w:r>
      <w:r>
        <w:rPr>
          <w:rFonts w:hint="default" w:ascii="Times New Roman" w:hAnsi="Times New Roman" w:cs="Times New Roman"/>
        </w:rPr>
        <w:fldChar w:fldCharType="end"/>
      </w:r>
    </w:p>
    <w:p>
      <w:pPr>
        <w:pStyle w:val="16"/>
        <w:keepNext w:val="0"/>
        <w:keepLines w:val="0"/>
        <w:pageBreakBefore w:val="0"/>
        <w:widowControl w:val="0"/>
        <w:tabs>
          <w:tab w:val="left" w:pos="2026"/>
          <w:tab w:val="right" w:leader="dot" w:pos="8905"/>
        </w:tabs>
        <w:kinsoku/>
        <w:wordWrap/>
        <w:overflowPunct/>
        <w:topLinePunct w:val="0"/>
        <w:autoSpaceDE w:val="0"/>
        <w:autoSpaceDN w:val="0"/>
        <w:bidi w:val="0"/>
        <w:adjustRightInd/>
        <w:snapToGrid/>
        <w:spacing w:before="152" w:line="400" w:lineRule="exact"/>
        <w:jc w:val="both"/>
        <w:textAlignment w:val="auto"/>
        <w:rPr>
          <w:rFonts w:hint="eastAsia" w:ascii="Times New Roman" w:hAnsi="Times New Roman" w:eastAsia="仿宋_GB2312" w:cs="Times New Roman"/>
          <w:lang w:eastAsia="zh-CN"/>
        </w:rPr>
      </w:pPr>
      <w:r>
        <w:rPr>
          <w:rFonts w:hint="default" w:ascii="Times New Roman" w:hAnsi="Times New Roman" w:cs="Times New Roman"/>
        </w:rPr>
        <w:t>第一节</w:t>
      </w:r>
      <w:r>
        <w:rPr>
          <w:rFonts w:hint="default" w:ascii="Times New Roman" w:hAnsi="Times New Roman" w:cs="Times New Roman"/>
        </w:rPr>
        <w:tab/>
      </w:r>
      <w:r>
        <w:rPr>
          <w:rFonts w:hint="default" w:ascii="Times New Roman" w:hAnsi="Times New Roman" w:cs="Times New Roman"/>
        </w:rPr>
        <w:t>规划背景</w:t>
      </w:r>
      <w:r>
        <w:rPr>
          <w:rFonts w:hint="default" w:ascii="Times New Roman" w:hAnsi="Times New Roman" w:cs="Times New Roman"/>
        </w:rPr>
        <w:tab/>
      </w:r>
      <w:r>
        <w:rPr>
          <w:rFonts w:hint="eastAsia" w:ascii="Times New Roman" w:hAnsi="Times New Roman" w:cs="Times New Roman"/>
          <w:lang w:val="en-US" w:eastAsia="zh-CN"/>
        </w:rPr>
        <w:t>3</w:t>
      </w:r>
    </w:p>
    <w:p>
      <w:pPr>
        <w:pStyle w:val="16"/>
        <w:keepNext w:val="0"/>
        <w:keepLines w:val="0"/>
        <w:pageBreakBefore w:val="0"/>
        <w:widowControl w:val="0"/>
        <w:tabs>
          <w:tab w:val="left" w:pos="2026"/>
          <w:tab w:val="right" w:leader="dot" w:pos="8905"/>
        </w:tabs>
        <w:kinsoku/>
        <w:wordWrap/>
        <w:overflowPunct/>
        <w:topLinePunct w:val="0"/>
        <w:autoSpaceDE w:val="0"/>
        <w:autoSpaceDN w:val="0"/>
        <w:bidi w:val="0"/>
        <w:adjustRightInd/>
        <w:snapToGrid/>
        <w:spacing w:before="152" w:line="400" w:lineRule="exact"/>
        <w:jc w:val="both"/>
        <w:textAlignment w:val="auto"/>
        <w:rPr>
          <w:rFonts w:hint="eastAsia" w:ascii="Times New Roman" w:hAnsi="Times New Roman" w:cs="Times New Roman"/>
          <w:lang w:eastAsia="zh-CN"/>
        </w:rPr>
      </w:pPr>
      <w:r>
        <w:rPr>
          <w:rFonts w:hint="default" w:ascii="Times New Roman" w:hAnsi="Times New Roman" w:cs="Times New Roman"/>
        </w:rPr>
        <w:t>第二节</w:t>
      </w:r>
      <w:r>
        <w:rPr>
          <w:rFonts w:hint="default" w:ascii="Times New Roman" w:hAnsi="Times New Roman" w:cs="Times New Roman"/>
        </w:rPr>
        <w:tab/>
      </w:r>
      <w:r>
        <w:rPr>
          <w:rFonts w:hint="default" w:ascii="Times New Roman" w:hAnsi="Times New Roman" w:cs="Times New Roman"/>
        </w:rPr>
        <w:t>挑战和机遇</w:t>
      </w:r>
      <w:r>
        <w:rPr>
          <w:rFonts w:hint="default" w:ascii="Times New Roman" w:hAnsi="Times New Roman" w:cs="Times New Roman"/>
        </w:rPr>
        <w:tab/>
      </w:r>
      <w:r>
        <w:rPr>
          <w:rFonts w:hint="eastAsia" w:ascii="Times New Roman" w:hAnsi="Times New Roman" w:cs="Times New Roman"/>
          <w:lang w:val="en-US" w:eastAsia="zh-CN"/>
        </w:rPr>
        <w:t>4</w:t>
      </w:r>
    </w:p>
    <w:p>
      <w:pPr>
        <w:pStyle w:val="16"/>
        <w:keepNext w:val="0"/>
        <w:keepLines w:val="0"/>
        <w:pageBreakBefore w:val="0"/>
        <w:widowControl w:val="0"/>
        <w:tabs>
          <w:tab w:val="left" w:pos="2026"/>
          <w:tab w:val="right" w:leader="dot" w:pos="8905"/>
        </w:tabs>
        <w:kinsoku/>
        <w:wordWrap/>
        <w:overflowPunct/>
        <w:topLinePunct w:val="0"/>
        <w:autoSpaceDE w:val="0"/>
        <w:autoSpaceDN w:val="0"/>
        <w:bidi w:val="0"/>
        <w:adjustRightInd/>
        <w:snapToGrid/>
        <w:spacing w:before="152" w:line="400" w:lineRule="exact"/>
        <w:jc w:val="both"/>
        <w:textAlignment w:val="auto"/>
        <w:rPr>
          <w:rFonts w:hint="eastAsia" w:ascii="Times New Roman" w:hAnsi="Times New Roman" w:cs="Times New Roman"/>
          <w:lang w:eastAsia="zh-CN"/>
        </w:rPr>
      </w:pPr>
      <w:r>
        <w:rPr>
          <w:rFonts w:hint="default" w:ascii="Times New Roman" w:hAnsi="Times New Roman" w:cs="Times New Roman"/>
        </w:rPr>
        <w:t>第三节</w:t>
      </w:r>
      <w:r>
        <w:rPr>
          <w:rFonts w:hint="default" w:ascii="Times New Roman" w:hAnsi="Times New Roman" w:cs="Times New Roman"/>
        </w:rPr>
        <w:tab/>
      </w:r>
      <w:r>
        <w:rPr>
          <w:rFonts w:hint="default" w:ascii="Times New Roman" w:hAnsi="Times New Roman" w:cs="Times New Roman"/>
        </w:rPr>
        <w:t>总体要求</w:t>
      </w:r>
      <w:r>
        <w:rPr>
          <w:rFonts w:hint="default" w:ascii="Times New Roman" w:hAnsi="Times New Roman" w:cs="Times New Roman"/>
        </w:rPr>
        <w:tab/>
      </w:r>
      <w:r>
        <w:rPr>
          <w:rFonts w:hint="eastAsia" w:ascii="Times New Roman" w:hAnsi="Times New Roman" w:cs="Times New Roman"/>
          <w:lang w:val="en-US" w:eastAsia="zh-CN"/>
        </w:rPr>
        <w:t>9</w:t>
      </w:r>
    </w:p>
    <w:p>
      <w:pPr>
        <w:pStyle w:val="13"/>
        <w:keepNext w:val="0"/>
        <w:keepLines w:val="0"/>
        <w:pageBreakBefore w:val="0"/>
        <w:widowControl w:val="0"/>
        <w:tabs>
          <w:tab w:val="left" w:pos="1387"/>
          <w:tab w:val="right" w:leader="dot" w:pos="8905"/>
        </w:tabs>
        <w:kinsoku/>
        <w:wordWrap/>
        <w:overflowPunct/>
        <w:topLinePunct w:val="0"/>
        <w:autoSpaceDE w:val="0"/>
        <w:autoSpaceDN w:val="0"/>
        <w:bidi w:val="0"/>
        <w:adjustRightInd/>
        <w:snapToGrid/>
        <w:spacing w:line="400" w:lineRule="exact"/>
        <w:jc w:val="both"/>
        <w:textAlignment w:val="auto"/>
        <w:rPr>
          <w:rFonts w:hint="eastAsia" w:ascii="Times New Roman" w:hAnsi="Times New Roman" w:eastAsia="仿宋_GB2312" w:cs="Times New Roman"/>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"_TOC_250004" </w:instrText>
      </w:r>
      <w:r>
        <w:rPr>
          <w:rFonts w:hint="default" w:ascii="Times New Roman" w:hAnsi="Times New Roman" w:cs="Times New Roman"/>
        </w:rPr>
        <w:fldChar w:fldCharType="separate"/>
      </w:r>
      <w:r>
        <w:rPr>
          <w:rFonts w:hint="default" w:ascii="Times New Roman" w:hAnsi="Times New Roman" w:cs="Times New Roman"/>
        </w:rPr>
        <w:t>第二章</w:t>
      </w:r>
      <w:r>
        <w:rPr>
          <w:rFonts w:hint="default" w:ascii="Times New Roman" w:hAnsi="Times New Roman" w:cs="Times New Roman"/>
        </w:rPr>
        <w:tab/>
      </w:r>
      <w:r>
        <w:rPr>
          <w:rFonts w:hint="default" w:ascii="Times New Roman" w:hAnsi="Times New Roman" w:cs="Times New Roman"/>
        </w:rPr>
        <w:t>履行公共法律服务新使命</w:t>
      </w:r>
      <w:r>
        <w:rPr>
          <w:rFonts w:hint="eastAsia" w:ascii="Times New Roman" w:hAnsi="Times New Roman" w:cs="Times New Roman"/>
          <w:lang w:val="en-US" w:eastAsia="zh-CN"/>
        </w:rPr>
        <w:t>..........................</w:t>
      </w:r>
      <w:r>
        <w:rPr>
          <w:rFonts w:hint="default" w:ascii="Times New Roman" w:hAnsi="Times New Roman" w:eastAsia="仿宋_GB2312" w:cs="Times New Roman"/>
          <w:sz w:val="32"/>
          <w:szCs w:val="32"/>
          <w:lang w:val="zh-CN" w:eastAsia="zh-CN" w:bidi="zh-CN"/>
        </w:rPr>
        <w:tab/>
      </w:r>
      <w:r>
        <w:rPr>
          <w:rFonts w:hint="eastAsia" w:ascii="Times New Roman" w:hAnsi="Times New Roman" w:eastAsia="仿宋_GB2312" w:cs="Times New Roman"/>
          <w:sz w:val="32"/>
          <w:szCs w:val="32"/>
          <w:lang w:val="en-US" w:eastAsia="zh-CN" w:bidi="zh-CN"/>
        </w:rPr>
        <w:t>1</w:t>
      </w:r>
      <w:r>
        <w:rPr>
          <w:rFonts w:hint="default" w:ascii="Times New Roman" w:hAnsi="Times New Roman" w:eastAsia="仿宋_GB2312" w:cs="Times New Roman"/>
        </w:rPr>
        <w:fldChar w:fldCharType="end"/>
      </w:r>
      <w:r>
        <w:rPr>
          <w:rFonts w:hint="eastAsia" w:ascii="Times New Roman" w:hAnsi="Times New Roman" w:eastAsia="仿宋_GB2312" w:cs="Times New Roman"/>
          <w:lang w:val="en-US" w:eastAsia="zh-CN"/>
        </w:rPr>
        <w:t>1</w:t>
      </w:r>
    </w:p>
    <w:p>
      <w:pPr>
        <w:pStyle w:val="16"/>
        <w:keepNext w:val="0"/>
        <w:keepLines w:val="0"/>
        <w:pageBreakBefore w:val="0"/>
        <w:widowControl w:val="0"/>
        <w:tabs>
          <w:tab w:val="left" w:pos="2026"/>
          <w:tab w:val="right" w:leader="dot" w:pos="8905"/>
        </w:tabs>
        <w:kinsoku/>
        <w:wordWrap/>
        <w:overflowPunct/>
        <w:topLinePunct w:val="0"/>
        <w:autoSpaceDE w:val="0"/>
        <w:autoSpaceDN w:val="0"/>
        <w:bidi w:val="0"/>
        <w:adjustRightInd/>
        <w:snapToGrid/>
        <w:spacing w:before="152" w:line="400" w:lineRule="exact"/>
        <w:jc w:val="both"/>
        <w:textAlignment w:val="auto"/>
        <w:rPr>
          <w:rFonts w:hint="default" w:ascii="Times New Roman" w:hAnsi="Times New Roman" w:eastAsia="仿宋_GB2312" w:cs="Times New Roman"/>
          <w:lang w:val="en-US" w:eastAsia="zh-CN"/>
        </w:rPr>
      </w:pPr>
      <w:r>
        <w:rPr>
          <w:rFonts w:hint="default" w:ascii="Times New Roman" w:hAnsi="Times New Roman" w:cs="Times New Roman"/>
        </w:rPr>
        <w:t>第一节</w:t>
      </w:r>
      <w:r>
        <w:rPr>
          <w:rFonts w:hint="default" w:ascii="Times New Roman" w:hAnsi="Times New Roman" w:cs="Times New Roman"/>
        </w:rPr>
        <w:tab/>
      </w:r>
      <w:r>
        <w:rPr>
          <w:rFonts w:hint="default" w:ascii="Times New Roman" w:hAnsi="Times New Roman" w:cs="Times New Roman"/>
        </w:rPr>
        <w:t>聚焦保障和改善民生提升人民生活品质</w:t>
      </w:r>
      <w:r>
        <w:rPr>
          <w:rFonts w:hint="default" w:ascii="Times New Roman" w:hAnsi="Times New Roman" w:cs="Times New Roman"/>
        </w:rPr>
        <w:tab/>
      </w:r>
      <w:r>
        <w:rPr>
          <w:rFonts w:hint="eastAsia" w:ascii="Times New Roman" w:hAnsi="Times New Roman" w:cs="Times New Roman"/>
          <w:lang w:val="en-US" w:eastAsia="zh-CN"/>
        </w:rPr>
        <w:t>11</w:t>
      </w:r>
    </w:p>
    <w:p>
      <w:pPr>
        <w:pStyle w:val="16"/>
        <w:keepNext w:val="0"/>
        <w:keepLines w:val="0"/>
        <w:pageBreakBefore w:val="0"/>
        <w:widowControl w:val="0"/>
        <w:tabs>
          <w:tab w:val="left" w:pos="2026"/>
          <w:tab w:val="right" w:leader="dot" w:pos="8905"/>
        </w:tabs>
        <w:kinsoku/>
        <w:wordWrap/>
        <w:overflowPunct/>
        <w:topLinePunct w:val="0"/>
        <w:autoSpaceDE w:val="0"/>
        <w:autoSpaceDN w:val="0"/>
        <w:bidi w:val="0"/>
        <w:adjustRightInd/>
        <w:snapToGrid/>
        <w:spacing w:before="152" w:line="400" w:lineRule="exact"/>
        <w:jc w:val="both"/>
        <w:textAlignment w:val="auto"/>
        <w:rPr>
          <w:rFonts w:hint="default" w:ascii="Times New Roman" w:hAnsi="Times New Roman" w:cs="Times New Roman"/>
          <w:lang w:val="en-US" w:eastAsia="zh-CN"/>
        </w:rPr>
      </w:pPr>
      <w:r>
        <w:rPr>
          <w:rFonts w:hint="default" w:ascii="Times New Roman" w:hAnsi="Times New Roman" w:cs="Times New Roman"/>
        </w:rPr>
        <w:t>第二节</w:t>
      </w:r>
      <w:r>
        <w:rPr>
          <w:rFonts w:hint="default" w:ascii="Times New Roman" w:hAnsi="Times New Roman" w:cs="Times New Roman"/>
        </w:rPr>
        <w:tab/>
      </w:r>
      <w:r>
        <w:rPr>
          <w:rFonts w:hint="default" w:ascii="Times New Roman" w:hAnsi="Times New Roman" w:cs="Times New Roman"/>
          <w:spacing w:val="-34"/>
          <w:sz w:val="32"/>
        </w:rPr>
        <w:t>聚焦建设现代化临港工业城市服务经济高质量发展</w:t>
      </w:r>
      <w:r>
        <w:rPr>
          <w:rFonts w:hint="default" w:ascii="Times New Roman" w:hAnsi="Times New Roman" w:cs="Times New Roman"/>
          <w:spacing w:val="-28"/>
          <w:sz w:val="32"/>
        </w:rPr>
        <w:tab/>
      </w:r>
      <w:r>
        <w:rPr>
          <w:rFonts w:hint="eastAsia" w:ascii="Times New Roman" w:hAnsi="Times New Roman" w:cs="Times New Roman"/>
          <w:spacing w:val="0"/>
          <w:sz w:val="32"/>
          <w:lang w:val="en-US" w:eastAsia="zh-CN"/>
        </w:rPr>
        <w:t>12</w:t>
      </w:r>
    </w:p>
    <w:p>
      <w:pPr>
        <w:pStyle w:val="16"/>
        <w:keepNext w:val="0"/>
        <w:keepLines w:val="0"/>
        <w:pageBreakBefore w:val="0"/>
        <w:widowControl w:val="0"/>
        <w:tabs>
          <w:tab w:val="left" w:pos="2026"/>
          <w:tab w:val="right" w:leader="dot" w:pos="8905"/>
        </w:tabs>
        <w:kinsoku/>
        <w:wordWrap/>
        <w:overflowPunct/>
        <w:topLinePunct w:val="0"/>
        <w:autoSpaceDE w:val="0"/>
        <w:autoSpaceDN w:val="0"/>
        <w:bidi w:val="0"/>
        <w:adjustRightInd/>
        <w:snapToGrid/>
        <w:spacing w:before="152" w:line="400" w:lineRule="exact"/>
        <w:jc w:val="both"/>
        <w:textAlignment w:val="auto"/>
        <w:rPr>
          <w:rFonts w:hint="eastAsia" w:ascii="Times New Roman" w:hAnsi="Times New Roman" w:eastAsia="仿宋_GB2312" w:cs="Times New Roman"/>
          <w:lang w:eastAsia="zh-CN"/>
        </w:rPr>
      </w:pPr>
      <w:r>
        <w:rPr>
          <w:rFonts w:hint="default" w:ascii="Times New Roman" w:hAnsi="Times New Roman" w:cs="Times New Roman"/>
        </w:rPr>
        <w:t>第三节</w:t>
      </w:r>
      <w:r>
        <w:rPr>
          <w:rFonts w:hint="default" w:ascii="Times New Roman" w:hAnsi="Times New Roman" w:cs="Times New Roman"/>
        </w:rPr>
        <w:tab/>
      </w:r>
      <w:r>
        <w:rPr>
          <w:rFonts w:hint="default" w:ascii="Times New Roman" w:hAnsi="Times New Roman" w:cs="Times New Roman"/>
        </w:rPr>
        <w:t>聚焦重大发展战略服务全方位对外开放</w:t>
      </w:r>
      <w:r>
        <w:rPr>
          <w:rFonts w:hint="default" w:ascii="Times New Roman" w:hAnsi="Times New Roman" w:cs="Times New Roman"/>
        </w:rPr>
        <w:tab/>
      </w:r>
      <w:r>
        <w:rPr>
          <w:rFonts w:hint="default" w:ascii="Times New Roman" w:hAnsi="Times New Roman" w:cs="Times New Roman"/>
        </w:rPr>
        <w:t>1</w:t>
      </w:r>
      <w:r>
        <w:rPr>
          <w:rFonts w:hint="eastAsia" w:ascii="Times New Roman" w:hAnsi="Times New Roman" w:cs="Times New Roman"/>
          <w:lang w:val="en-US" w:eastAsia="zh-CN"/>
        </w:rPr>
        <w:t>3</w:t>
      </w:r>
    </w:p>
    <w:p>
      <w:pPr>
        <w:pStyle w:val="13"/>
        <w:keepNext w:val="0"/>
        <w:keepLines w:val="0"/>
        <w:pageBreakBefore w:val="0"/>
        <w:widowControl w:val="0"/>
        <w:tabs>
          <w:tab w:val="left" w:pos="1387"/>
          <w:tab w:val="right" w:leader="dot" w:pos="8905"/>
        </w:tabs>
        <w:kinsoku/>
        <w:wordWrap/>
        <w:overflowPunct/>
        <w:topLinePunct w:val="0"/>
        <w:autoSpaceDE w:val="0"/>
        <w:autoSpaceDN w:val="0"/>
        <w:bidi w:val="0"/>
        <w:adjustRightInd/>
        <w:snapToGrid/>
        <w:spacing w:line="400" w:lineRule="exact"/>
        <w:jc w:val="both"/>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"_TOC_250003" </w:instrText>
      </w:r>
      <w:r>
        <w:rPr>
          <w:rFonts w:hint="default" w:ascii="Times New Roman" w:hAnsi="Times New Roman" w:cs="Times New Roman"/>
        </w:rPr>
        <w:fldChar w:fldCharType="separate"/>
      </w:r>
      <w:r>
        <w:rPr>
          <w:rFonts w:hint="default" w:ascii="Times New Roman" w:hAnsi="Times New Roman" w:cs="Times New Roman"/>
        </w:rPr>
        <w:t>第三章</w:t>
      </w:r>
      <w:r>
        <w:rPr>
          <w:rFonts w:hint="default" w:ascii="Times New Roman" w:hAnsi="Times New Roman" w:cs="Times New Roman"/>
        </w:rPr>
        <w:tab/>
      </w:r>
      <w:r>
        <w:rPr>
          <w:rFonts w:hint="default" w:ascii="Times New Roman" w:hAnsi="Times New Roman" w:cs="Times New Roman"/>
        </w:rPr>
        <w:t>加快推进公共法律服务体系建设</w:t>
      </w:r>
      <w:r>
        <w:rPr>
          <w:rFonts w:hint="default" w:ascii="Times New Roman" w:hAnsi="Times New Roman" w:cs="Times New Roman"/>
        </w:rPr>
        <w:tab/>
      </w:r>
      <w:r>
        <w:rPr>
          <w:rFonts w:hint="default" w:ascii="Times New Roman" w:hAnsi="Times New Roman" w:cs="Times New Roman"/>
        </w:rPr>
        <w:t>1</w:t>
      </w:r>
      <w:r>
        <w:rPr>
          <w:rFonts w:hint="eastAsia" w:ascii="Times New Roman" w:hAnsi="Times New Roman" w:cs="Times New Roman"/>
          <w:lang w:val="en-US" w:eastAsia="zh-CN"/>
        </w:rPr>
        <w:t>4</w:t>
      </w:r>
      <w:r>
        <w:rPr>
          <w:rFonts w:hint="default" w:ascii="Times New Roman" w:hAnsi="Times New Roman" w:cs="Times New Roman"/>
        </w:rPr>
        <w:fldChar w:fldCharType="end"/>
      </w:r>
    </w:p>
    <w:p>
      <w:pPr>
        <w:pStyle w:val="16"/>
        <w:keepNext w:val="0"/>
        <w:keepLines w:val="0"/>
        <w:pageBreakBefore w:val="0"/>
        <w:widowControl w:val="0"/>
        <w:tabs>
          <w:tab w:val="left" w:pos="2026"/>
          <w:tab w:val="right" w:leader="dot" w:pos="8905"/>
        </w:tabs>
        <w:kinsoku/>
        <w:wordWrap/>
        <w:overflowPunct/>
        <w:topLinePunct w:val="0"/>
        <w:autoSpaceDE w:val="0"/>
        <w:autoSpaceDN w:val="0"/>
        <w:bidi w:val="0"/>
        <w:adjustRightInd/>
        <w:snapToGrid/>
        <w:spacing w:before="152" w:line="400" w:lineRule="exact"/>
        <w:jc w:val="both"/>
        <w:textAlignment w:val="auto"/>
        <w:rPr>
          <w:rFonts w:hint="eastAsia" w:ascii="Times New Roman" w:hAnsi="Times New Roman" w:eastAsia="仿宋_GB2312" w:cs="Times New Roman"/>
          <w:lang w:eastAsia="zh-CN"/>
        </w:rPr>
      </w:pPr>
      <w:r>
        <w:rPr>
          <w:rFonts w:hint="default" w:ascii="Times New Roman" w:hAnsi="Times New Roman" w:cs="Times New Roman"/>
        </w:rPr>
        <w:t>第一节</w:t>
      </w:r>
      <w:r>
        <w:rPr>
          <w:rFonts w:hint="default" w:ascii="Times New Roman" w:hAnsi="Times New Roman" w:cs="Times New Roman"/>
        </w:rPr>
        <w:tab/>
      </w:r>
      <w:r>
        <w:rPr>
          <w:rFonts w:hint="default" w:ascii="Times New Roman" w:hAnsi="Times New Roman" w:cs="Times New Roman"/>
        </w:rPr>
        <w:t>推进公共法律服务平台建设</w:t>
      </w:r>
      <w:r>
        <w:rPr>
          <w:rFonts w:hint="default" w:ascii="Times New Roman" w:hAnsi="Times New Roman" w:cs="Times New Roman"/>
        </w:rPr>
        <w:tab/>
      </w:r>
      <w:r>
        <w:rPr>
          <w:rFonts w:hint="default" w:ascii="Times New Roman" w:hAnsi="Times New Roman" w:cs="Times New Roman"/>
        </w:rPr>
        <w:t>1</w:t>
      </w:r>
      <w:r>
        <w:rPr>
          <w:rFonts w:hint="eastAsia" w:ascii="Times New Roman" w:hAnsi="Times New Roman" w:cs="Times New Roman"/>
          <w:lang w:val="en-US" w:eastAsia="zh-CN"/>
        </w:rPr>
        <w:t>4</w:t>
      </w:r>
    </w:p>
    <w:p>
      <w:pPr>
        <w:pStyle w:val="16"/>
        <w:keepNext w:val="0"/>
        <w:keepLines w:val="0"/>
        <w:pageBreakBefore w:val="0"/>
        <w:widowControl w:val="0"/>
        <w:tabs>
          <w:tab w:val="left" w:pos="2026"/>
          <w:tab w:val="right" w:leader="dot" w:pos="8905"/>
        </w:tabs>
        <w:kinsoku/>
        <w:wordWrap/>
        <w:overflowPunct/>
        <w:topLinePunct w:val="0"/>
        <w:autoSpaceDE w:val="0"/>
        <w:autoSpaceDN w:val="0"/>
        <w:bidi w:val="0"/>
        <w:adjustRightInd/>
        <w:snapToGrid/>
        <w:spacing w:before="152" w:line="400" w:lineRule="exact"/>
        <w:jc w:val="both"/>
        <w:textAlignment w:val="auto"/>
        <w:rPr>
          <w:rFonts w:hint="eastAsia" w:ascii="Times New Roman" w:hAnsi="Times New Roman" w:eastAsia="仿宋_GB2312" w:cs="Times New Roman"/>
          <w:lang w:eastAsia="zh-CN"/>
        </w:rPr>
      </w:pPr>
      <w:r>
        <w:rPr>
          <w:rFonts w:hint="default" w:ascii="Times New Roman" w:hAnsi="Times New Roman" w:cs="Times New Roman"/>
        </w:rPr>
        <w:t>第二节</w:t>
      </w:r>
      <w:r>
        <w:rPr>
          <w:rFonts w:hint="default" w:ascii="Times New Roman" w:hAnsi="Times New Roman" w:cs="Times New Roman"/>
        </w:rPr>
        <w:tab/>
      </w:r>
      <w:r>
        <w:rPr>
          <w:rFonts w:hint="default" w:ascii="Times New Roman" w:hAnsi="Times New Roman" w:cs="Times New Roman"/>
        </w:rPr>
        <w:t>推进公共法律服务智能化</w:t>
      </w:r>
      <w:r>
        <w:rPr>
          <w:rFonts w:hint="default" w:ascii="Times New Roman" w:hAnsi="Times New Roman" w:cs="Times New Roman"/>
        </w:rPr>
        <w:tab/>
      </w:r>
      <w:r>
        <w:rPr>
          <w:rFonts w:hint="default" w:ascii="Times New Roman" w:hAnsi="Times New Roman" w:cs="Times New Roman"/>
        </w:rPr>
        <w:t>1</w:t>
      </w:r>
      <w:r>
        <w:rPr>
          <w:rFonts w:hint="eastAsia" w:ascii="Times New Roman" w:hAnsi="Times New Roman" w:cs="Times New Roman"/>
          <w:lang w:val="en-US" w:eastAsia="zh-CN"/>
        </w:rPr>
        <w:t>4</w:t>
      </w:r>
    </w:p>
    <w:p>
      <w:pPr>
        <w:pStyle w:val="16"/>
        <w:keepNext w:val="0"/>
        <w:keepLines w:val="0"/>
        <w:pageBreakBefore w:val="0"/>
        <w:widowControl w:val="0"/>
        <w:tabs>
          <w:tab w:val="left" w:pos="2026"/>
          <w:tab w:val="right" w:leader="dot" w:pos="8905"/>
        </w:tabs>
        <w:kinsoku/>
        <w:wordWrap/>
        <w:overflowPunct/>
        <w:topLinePunct w:val="0"/>
        <w:autoSpaceDE w:val="0"/>
        <w:autoSpaceDN w:val="0"/>
        <w:bidi w:val="0"/>
        <w:adjustRightInd/>
        <w:snapToGrid/>
        <w:spacing w:before="152" w:line="400" w:lineRule="exact"/>
        <w:jc w:val="both"/>
        <w:textAlignment w:val="auto"/>
        <w:rPr>
          <w:rFonts w:hint="eastAsia" w:ascii="Times New Roman" w:hAnsi="Times New Roman" w:cs="Times New Roman"/>
          <w:lang w:val="en-US" w:eastAsia="zh-CN"/>
        </w:rPr>
      </w:pPr>
      <w:r>
        <w:rPr>
          <w:rFonts w:hint="default" w:ascii="Times New Roman" w:hAnsi="Times New Roman" w:cs="Times New Roman"/>
        </w:rPr>
        <w:t>第三节</w:t>
      </w:r>
      <w:r>
        <w:rPr>
          <w:rFonts w:hint="default" w:ascii="Times New Roman" w:hAnsi="Times New Roman" w:cs="Times New Roman"/>
        </w:rPr>
        <w:tab/>
      </w:r>
      <w:r>
        <w:rPr>
          <w:rFonts w:hint="default" w:ascii="Times New Roman" w:hAnsi="Times New Roman" w:cs="Times New Roman"/>
        </w:rPr>
        <w:t>推进公共法律服务规范化</w:t>
      </w:r>
      <w:r>
        <w:rPr>
          <w:rFonts w:hint="default" w:ascii="Times New Roman" w:hAnsi="Times New Roman" w:cs="Times New Roman"/>
        </w:rPr>
        <w:tab/>
      </w:r>
      <w:r>
        <w:rPr>
          <w:rFonts w:hint="default" w:ascii="Times New Roman" w:hAnsi="Times New Roman" w:cs="Times New Roman"/>
        </w:rPr>
        <w:t>1</w:t>
      </w:r>
      <w:r>
        <w:rPr>
          <w:rFonts w:hint="eastAsia" w:ascii="Times New Roman" w:hAnsi="Times New Roman" w:cs="Times New Roman"/>
          <w:lang w:val="en-US" w:eastAsia="zh-CN"/>
        </w:rPr>
        <w:t>5</w:t>
      </w:r>
    </w:p>
    <w:p>
      <w:pPr>
        <w:pStyle w:val="16"/>
        <w:keepNext w:val="0"/>
        <w:keepLines w:val="0"/>
        <w:pageBreakBefore w:val="0"/>
        <w:widowControl w:val="0"/>
        <w:tabs>
          <w:tab w:val="left" w:pos="2026"/>
          <w:tab w:val="right" w:leader="dot" w:pos="8905"/>
        </w:tabs>
        <w:kinsoku/>
        <w:wordWrap/>
        <w:overflowPunct/>
        <w:topLinePunct w:val="0"/>
        <w:autoSpaceDE w:val="0"/>
        <w:autoSpaceDN w:val="0"/>
        <w:bidi w:val="0"/>
        <w:adjustRightInd/>
        <w:snapToGrid/>
        <w:spacing w:before="152" w:line="400" w:lineRule="exact"/>
        <w:jc w:val="both"/>
        <w:textAlignment w:val="auto"/>
        <w:rPr>
          <w:rFonts w:hint="eastAsia" w:ascii="Times New Roman" w:hAnsi="Times New Roman" w:eastAsia="仿宋_GB2312" w:cs="Times New Roman"/>
          <w:lang w:eastAsia="zh-CN"/>
        </w:rPr>
      </w:pPr>
      <w:r>
        <w:rPr>
          <w:rFonts w:hint="default" w:ascii="Times New Roman" w:hAnsi="Times New Roman" w:cs="Times New Roman"/>
          <w:lang w:val="zh-CN" w:eastAsia="zh-CN"/>
        </w:rPr>
        <w:t>第</w:t>
      </w:r>
      <w:r>
        <w:rPr>
          <w:rFonts w:hint="default" w:ascii="Times New Roman" w:hAnsi="Times New Roman" w:cs="Times New Roman"/>
        </w:rPr>
        <w:t>四节</w:t>
      </w:r>
      <w:r>
        <w:rPr>
          <w:rFonts w:hint="default" w:ascii="Times New Roman" w:hAnsi="Times New Roman" w:cs="Times New Roman"/>
        </w:rPr>
        <w:tab/>
      </w:r>
      <w:r>
        <w:rPr>
          <w:rFonts w:hint="default" w:ascii="Times New Roman" w:hAnsi="Times New Roman" w:cs="Times New Roman"/>
        </w:rPr>
        <w:t>推进公共法律服务文化发展</w:t>
      </w:r>
      <w:r>
        <w:rPr>
          <w:rFonts w:hint="default" w:ascii="Times New Roman" w:hAnsi="Times New Roman" w:cs="Times New Roman"/>
        </w:rPr>
        <w:tab/>
      </w:r>
      <w:r>
        <w:rPr>
          <w:rFonts w:hint="default" w:ascii="Times New Roman" w:hAnsi="Times New Roman" w:cs="Times New Roman"/>
        </w:rPr>
        <w:t>1</w:t>
      </w:r>
      <w:r>
        <w:rPr>
          <w:rFonts w:hint="eastAsia" w:ascii="Times New Roman" w:hAnsi="Times New Roman" w:cs="Times New Roman"/>
          <w:lang w:val="en-US" w:eastAsia="zh-CN"/>
        </w:rPr>
        <w:t>6</w:t>
      </w:r>
    </w:p>
    <w:p>
      <w:pPr>
        <w:pStyle w:val="13"/>
        <w:keepNext w:val="0"/>
        <w:keepLines w:val="0"/>
        <w:pageBreakBefore w:val="0"/>
        <w:widowControl w:val="0"/>
        <w:tabs>
          <w:tab w:val="left" w:pos="1387"/>
          <w:tab w:val="right" w:leader="dot" w:pos="8905"/>
        </w:tabs>
        <w:kinsoku/>
        <w:wordWrap/>
        <w:overflowPunct/>
        <w:topLinePunct w:val="0"/>
        <w:autoSpaceDE w:val="0"/>
        <w:autoSpaceDN w:val="0"/>
        <w:bidi w:val="0"/>
        <w:adjustRightInd/>
        <w:snapToGrid/>
        <w:spacing w:line="400" w:lineRule="exact"/>
        <w:jc w:val="both"/>
        <w:textAlignment w:val="auto"/>
        <w:rPr>
          <w:rFonts w:hint="eastAsia" w:ascii="Times New Roman" w:hAnsi="Times New Roman" w:eastAsia="黑体" w:cs="Times New Roman"/>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"_TOC_250002" </w:instrText>
      </w:r>
      <w:r>
        <w:rPr>
          <w:rFonts w:hint="default" w:ascii="Times New Roman" w:hAnsi="Times New Roman" w:cs="Times New Roman"/>
        </w:rPr>
        <w:fldChar w:fldCharType="separate"/>
      </w:r>
      <w:r>
        <w:rPr>
          <w:rFonts w:hint="default" w:ascii="Times New Roman" w:hAnsi="Times New Roman" w:cs="Times New Roman"/>
        </w:rPr>
        <w:t>第四章</w:t>
      </w:r>
      <w:r>
        <w:rPr>
          <w:rFonts w:hint="default" w:ascii="Times New Roman" w:hAnsi="Times New Roman" w:cs="Times New Roman"/>
        </w:rPr>
        <w:tab/>
      </w:r>
      <w:r>
        <w:rPr>
          <w:rFonts w:hint="default" w:ascii="Times New Roman" w:hAnsi="Times New Roman" w:cs="Times New Roman"/>
        </w:rPr>
        <w:t>加强公共法律服务各领域发展</w:t>
      </w:r>
      <w:r>
        <w:rPr>
          <w:rFonts w:hint="default" w:ascii="Times New Roman" w:hAnsi="Times New Roman" w:cs="Times New Roman"/>
        </w:rPr>
        <w:tab/>
      </w:r>
      <w:r>
        <w:rPr>
          <w:rFonts w:hint="eastAsia" w:ascii="Times New Roman" w:hAnsi="Times New Roman" w:cs="Times New Roman"/>
          <w:lang w:val="en-US" w:eastAsia="zh-CN"/>
        </w:rPr>
        <w:t>1</w:t>
      </w:r>
      <w:r>
        <w:rPr>
          <w:rFonts w:hint="default" w:ascii="Times New Roman" w:hAnsi="Times New Roman" w:cs="Times New Roman"/>
        </w:rPr>
        <w:fldChar w:fldCharType="end"/>
      </w:r>
      <w:r>
        <w:rPr>
          <w:rFonts w:hint="eastAsia" w:ascii="Times New Roman" w:hAnsi="Times New Roman" w:cs="Times New Roman"/>
          <w:lang w:val="en-US" w:eastAsia="zh-CN"/>
        </w:rPr>
        <w:t>7</w:t>
      </w:r>
    </w:p>
    <w:p>
      <w:pPr>
        <w:pStyle w:val="16"/>
        <w:keepNext w:val="0"/>
        <w:keepLines w:val="0"/>
        <w:pageBreakBefore w:val="0"/>
        <w:widowControl w:val="0"/>
        <w:tabs>
          <w:tab w:val="left" w:pos="2026"/>
          <w:tab w:val="right" w:leader="dot" w:pos="8905"/>
        </w:tabs>
        <w:kinsoku/>
        <w:wordWrap/>
        <w:overflowPunct/>
        <w:topLinePunct w:val="0"/>
        <w:autoSpaceDE w:val="0"/>
        <w:autoSpaceDN w:val="0"/>
        <w:bidi w:val="0"/>
        <w:adjustRightInd/>
        <w:snapToGrid/>
        <w:spacing w:before="152" w:line="400" w:lineRule="exact"/>
        <w:jc w:val="both"/>
        <w:textAlignment w:val="auto"/>
        <w:rPr>
          <w:rFonts w:hint="default" w:ascii="Times New Roman" w:hAnsi="Times New Roman" w:eastAsia="仿宋_GB2312" w:cs="Times New Roman"/>
          <w:lang w:val="en-US" w:eastAsia="zh-CN"/>
        </w:rPr>
      </w:pPr>
      <w:r>
        <w:rPr>
          <w:rFonts w:hint="default" w:ascii="Times New Roman" w:hAnsi="Times New Roman" w:cs="Times New Roman"/>
        </w:rPr>
        <w:t>第一节</w:t>
      </w:r>
      <w:r>
        <w:rPr>
          <w:rFonts w:hint="default" w:ascii="Times New Roman" w:hAnsi="Times New Roman" w:cs="Times New Roman"/>
        </w:rPr>
        <w:tab/>
      </w:r>
      <w:r>
        <w:rPr>
          <w:rFonts w:hint="default" w:ascii="Times New Roman" w:hAnsi="Times New Roman" w:cs="Times New Roman"/>
        </w:rPr>
        <w:t>加强法治宣传教育</w:t>
      </w:r>
      <w:r>
        <w:rPr>
          <w:rFonts w:hint="default" w:ascii="Times New Roman" w:hAnsi="Times New Roman" w:cs="Times New Roman"/>
        </w:rPr>
        <w:tab/>
      </w:r>
      <w:r>
        <w:rPr>
          <w:rFonts w:hint="eastAsia" w:ascii="Times New Roman" w:hAnsi="Times New Roman" w:cs="Times New Roman"/>
          <w:lang w:val="en-US" w:eastAsia="zh-CN"/>
        </w:rPr>
        <w:t>17</w:t>
      </w:r>
    </w:p>
    <w:p>
      <w:pPr>
        <w:pStyle w:val="16"/>
        <w:keepNext w:val="0"/>
        <w:keepLines w:val="0"/>
        <w:pageBreakBefore w:val="0"/>
        <w:widowControl w:val="0"/>
        <w:tabs>
          <w:tab w:val="left" w:pos="2026"/>
          <w:tab w:val="right" w:leader="dot" w:pos="8905"/>
        </w:tabs>
        <w:kinsoku/>
        <w:wordWrap/>
        <w:overflowPunct/>
        <w:topLinePunct w:val="0"/>
        <w:autoSpaceDE w:val="0"/>
        <w:autoSpaceDN w:val="0"/>
        <w:bidi w:val="0"/>
        <w:adjustRightInd/>
        <w:snapToGrid/>
        <w:spacing w:before="152" w:line="400" w:lineRule="exact"/>
        <w:jc w:val="both"/>
        <w:textAlignment w:val="auto"/>
        <w:rPr>
          <w:rFonts w:hint="default" w:ascii="Times New Roman" w:hAnsi="Times New Roman" w:eastAsia="仿宋_GB2312" w:cs="Times New Roman"/>
          <w:lang w:val="en-US" w:eastAsia="zh-CN"/>
        </w:rPr>
      </w:pPr>
      <w:r>
        <w:rPr>
          <w:rFonts w:hint="default" w:ascii="Times New Roman" w:hAnsi="Times New Roman" w:cs="Times New Roman"/>
        </w:rPr>
        <w:t>第二节</w:t>
      </w:r>
      <w:r>
        <w:rPr>
          <w:rFonts w:hint="default" w:ascii="Times New Roman" w:hAnsi="Times New Roman" w:cs="Times New Roman"/>
        </w:rPr>
        <w:tab/>
      </w:r>
      <w:r>
        <w:rPr>
          <w:rFonts w:hint="default" w:ascii="Times New Roman" w:hAnsi="Times New Roman" w:cs="Times New Roman"/>
        </w:rPr>
        <w:t>推进律师工作发展</w:t>
      </w:r>
      <w:r>
        <w:rPr>
          <w:rFonts w:hint="default" w:ascii="Times New Roman" w:hAnsi="Times New Roman" w:cs="Times New Roman"/>
        </w:rPr>
        <w:tab/>
      </w:r>
      <w:r>
        <w:rPr>
          <w:rFonts w:hint="eastAsia" w:ascii="Times New Roman" w:hAnsi="Times New Roman" w:cs="Times New Roman"/>
          <w:lang w:val="en-US" w:eastAsia="zh-CN"/>
        </w:rPr>
        <w:t>18</w:t>
      </w:r>
    </w:p>
    <w:p>
      <w:pPr>
        <w:pStyle w:val="16"/>
        <w:keepNext w:val="0"/>
        <w:keepLines w:val="0"/>
        <w:pageBreakBefore w:val="0"/>
        <w:widowControl w:val="0"/>
        <w:tabs>
          <w:tab w:val="left" w:pos="2026"/>
          <w:tab w:val="right" w:leader="dot" w:pos="8905"/>
        </w:tabs>
        <w:kinsoku/>
        <w:wordWrap/>
        <w:overflowPunct/>
        <w:topLinePunct w:val="0"/>
        <w:autoSpaceDE w:val="0"/>
        <w:autoSpaceDN w:val="0"/>
        <w:bidi w:val="0"/>
        <w:adjustRightInd/>
        <w:snapToGrid/>
        <w:spacing w:before="152" w:line="400" w:lineRule="exact"/>
        <w:jc w:val="both"/>
        <w:textAlignment w:val="auto"/>
        <w:rPr>
          <w:rFonts w:hint="default" w:ascii="Times New Roman" w:hAnsi="Times New Roman" w:eastAsia="仿宋_GB2312" w:cs="Times New Roman"/>
          <w:lang w:val="en-US" w:eastAsia="zh-CN"/>
        </w:rPr>
      </w:pPr>
      <w:r>
        <w:rPr>
          <w:rFonts w:hint="default" w:ascii="Times New Roman" w:hAnsi="Times New Roman" w:cs="Times New Roman"/>
        </w:rPr>
        <w:t>第三节</w:t>
      </w:r>
      <w:r>
        <w:rPr>
          <w:rFonts w:hint="default" w:ascii="Times New Roman" w:hAnsi="Times New Roman" w:cs="Times New Roman"/>
        </w:rPr>
        <w:tab/>
      </w:r>
      <w:r>
        <w:rPr>
          <w:rFonts w:hint="default" w:ascii="Times New Roman" w:hAnsi="Times New Roman" w:cs="Times New Roman"/>
        </w:rPr>
        <w:t>深化公证体制机制改革</w:t>
      </w:r>
      <w:r>
        <w:rPr>
          <w:rFonts w:hint="default" w:ascii="Times New Roman" w:hAnsi="Times New Roman" w:cs="Times New Roman"/>
        </w:rPr>
        <w:tab/>
      </w:r>
      <w:r>
        <w:rPr>
          <w:rFonts w:hint="eastAsia" w:ascii="Times New Roman" w:hAnsi="Times New Roman" w:cs="Times New Roman"/>
          <w:lang w:val="en-US" w:eastAsia="zh-CN"/>
        </w:rPr>
        <w:t>19</w:t>
      </w:r>
    </w:p>
    <w:p>
      <w:pPr>
        <w:pStyle w:val="16"/>
        <w:keepNext w:val="0"/>
        <w:keepLines w:val="0"/>
        <w:pageBreakBefore w:val="0"/>
        <w:widowControl w:val="0"/>
        <w:tabs>
          <w:tab w:val="left" w:pos="2026"/>
          <w:tab w:val="right" w:leader="dot" w:pos="8905"/>
        </w:tabs>
        <w:kinsoku/>
        <w:wordWrap/>
        <w:overflowPunct/>
        <w:topLinePunct w:val="0"/>
        <w:autoSpaceDE w:val="0"/>
        <w:autoSpaceDN w:val="0"/>
        <w:bidi w:val="0"/>
        <w:adjustRightInd/>
        <w:snapToGrid/>
        <w:spacing w:before="152" w:line="400" w:lineRule="exact"/>
        <w:jc w:val="both"/>
        <w:textAlignment w:val="auto"/>
        <w:rPr>
          <w:rFonts w:hint="default" w:ascii="Times New Roman" w:hAnsi="Times New Roman" w:cs="Times New Roman"/>
          <w:lang w:val="en-US" w:eastAsia="zh-CN"/>
        </w:rPr>
      </w:pPr>
      <w:r>
        <w:rPr>
          <w:rFonts w:hint="default" w:ascii="Times New Roman" w:hAnsi="Times New Roman" w:cs="Times New Roman"/>
          <w:lang w:val="zh-CN" w:eastAsia="zh-CN"/>
        </w:rPr>
        <w:t>第四节</w:t>
      </w:r>
      <w:r>
        <w:rPr>
          <w:rFonts w:hint="default" w:ascii="Times New Roman" w:hAnsi="Times New Roman" w:cs="Times New Roman"/>
          <w:lang w:val="zh-CN" w:eastAsia="zh-CN"/>
        </w:rPr>
        <w:tab/>
      </w:r>
      <w:r>
        <w:rPr>
          <w:rFonts w:hint="default" w:ascii="Times New Roman" w:hAnsi="Times New Roman" w:cs="Times New Roman"/>
          <w:lang w:val="zh-CN" w:eastAsia="zh-CN"/>
        </w:rPr>
        <w:t>完善法律援助制度</w:t>
      </w:r>
      <w:r>
        <w:rPr>
          <w:rFonts w:hint="default" w:ascii="Times New Roman" w:hAnsi="Times New Roman" w:cs="Times New Roman"/>
          <w:lang w:val="zh-CN" w:eastAsia="zh-CN"/>
        </w:rPr>
        <w:tab/>
      </w:r>
      <w:r>
        <w:rPr>
          <w:rFonts w:hint="eastAsia" w:ascii="Times New Roman" w:hAnsi="Times New Roman" w:cs="Times New Roman"/>
          <w:lang w:val="en-US" w:eastAsia="zh-CN"/>
        </w:rPr>
        <w:t>19</w:t>
      </w:r>
    </w:p>
    <w:p>
      <w:pPr>
        <w:pStyle w:val="16"/>
        <w:keepNext w:val="0"/>
        <w:keepLines w:val="0"/>
        <w:pageBreakBefore w:val="0"/>
        <w:widowControl w:val="0"/>
        <w:tabs>
          <w:tab w:val="left" w:pos="2026"/>
          <w:tab w:val="right" w:leader="dot" w:pos="8905"/>
        </w:tabs>
        <w:kinsoku/>
        <w:wordWrap/>
        <w:overflowPunct/>
        <w:topLinePunct w:val="0"/>
        <w:autoSpaceDE w:val="0"/>
        <w:autoSpaceDN w:val="0"/>
        <w:bidi w:val="0"/>
        <w:adjustRightInd/>
        <w:snapToGrid/>
        <w:spacing w:before="152" w:line="400" w:lineRule="exact"/>
        <w:jc w:val="both"/>
        <w:textAlignment w:val="auto"/>
        <w:rPr>
          <w:rFonts w:hint="default" w:ascii="Times New Roman" w:hAnsi="Times New Roman" w:cs="Times New Roman"/>
          <w:lang w:val="en-US" w:eastAsia="zh-CN"/>
        </w:rPr>
      </w:pPr>
      <w:r>
        <w:rPr>
          <w:rFonts w:hint="default" w:ascii="Times New Roman" w:hAnsi="Times New Roman" w:cs="Times New Roman"/>
          <w:lang w:val="zh-CN" w:eastAsia="zh-CN"/>
        </w:rPr>
        <w:t>第五节</w:t>
      </w:r>
      <w:r>
        <w:rPr>
          <w:rFonts w:hint="default" w:ascii="Times New Roman" w:hAnsi="Times New Roman" w:cs="Times New Roman"/>
          <w:lang w:val="zh-CN" w:eastAsia="zh-CN"/>
        </w:rPr>
        <w:tab/>
      </w:r>
      <w:r>
        <w:rPr>
          <w:rFonts w:hint="default" w:ascii="Times New Roman" w:hAnsi="Times New Roman" w:cs="Times New Roman"/>
          <w:lang w:val="zh-CN" w:eastAsia="zh-CN"/>
        </w:rPr>
        <w:t>创新发展新时代调解工作</w:t>
      </w:r>
      <w:r>
        <w:rPr>
          <w:rFonts w:hint="default" w:ascii="Times New Roman" w:hAnsi="Times New Roman" w:cs="Times New Roman"/>
          <w:lang w:val="zh-CN" w:eastAsia="zh-CN"/>
        </w:rPr>
        <w:tab/>
      </w:r>
      <w:r>
        <w:rPr>
          <w:rFonts w:hint="eastAsia" w:ascii="Times New Roman" w:hAnsi="Times New Roman" w:cs="Times New Roman"/>
          <w:lang w:val="en-US" w:eastAsia="zh-CN"/>
        </w:rPr>
        <w:t>20</w:t>
      </w:r>
    </w:p>
    <w:p>
      <w:pPr>
        <w:pStyle w:val="16"/>
        <w:keepNext w:val="0"/>
        <w:keepLines w:val="0"/>
        <w:pageBreakBefore w:val="0"/>
        <w:widowControl w:val="0"/>
        <w:tabs>
          <w:tab w:val="left" w:pos="2026"/>
          <w:tab w:val="right" w:leader="dot" w:pos="8905"/>
        </w:tabs>
        <w:kinsoku/>
        <w:wordWrap/>
        <w:overflowPunct/>
        <w:topLinePunct w:val="0"/>
        <w:autoSpaceDE w:val="0"/>
        <w:autoSpaceDN w:val="0"/>
        <w:bidi w:val="0"/>
        <w:adjustRightInd/>
        <w:snapToGrid/>
        <w:spacing w:before="152" w:line="400" w:lineRule="exact"/>
        <w:jc w:val="both"/>
        <w:textAlignment w:val="auto"/>
        <w:rPr>
          <w:rFonts w:hint="default" w:ascii="Times New Roman" w:hAnsi="Times New Roman" w:cs="Times New Roman"/>
          <w:lang w:val="en-US" w:eastAsia="zh-CN"/>
        </w:rPr>
      </w:pPr>
      <w:r>
        <w:rPr>
          <w:rFonts w:hint="default" w:ascii="Times New Roman" w:hAnsi="Times New Roman" w:cs="Times New Roman"/>
          <w:lang w:val="zh-CN" w:eastAsia="zh-CN"/>
        </w:rPr>
        <w:t>第六节</w:t>
      </w:r>
      <w:r>
        <w:rPr>
          <w:rFonts w:hint="default" w:ascii="Times New Roman" w:hAnsi="Times New Roman" w:cs="Times New Roman"/>
          <w:lang w:val="zh-CN" w:eastAsia="zh-CN"/>
        </w:rPr>
        <w:tab/>
      </w:r>
      <w:r>
        <w:rPr>
          <w:rFonts w:hint="default" w:ascii="Times New Roman" w:hAnsi="Times New Roman" w:cs="Times New Roman"/>
          <w:lang w:val="zh-CN" w:eastAsia="zh-CN"/>
        </w:rPr>
        <w:t>推动仲裁事业高质量发展</w:t>
      </w:r>
      <w:r>
        <w:rPr>
          <w:rFonts w:hint="default" w:ascii="Times New Roman" w:hAnsi="Times New Roman" w:cs="Times New Roman"/>
          <w:lang w:val="zh-CN" w:eastAsia="zh-CN"/>
        </w:rPr>
        <w:tab/>
      </w:r>
      <w:r>
        <w:rPr>
          <w:rFonts w:hint="eastAsia" w:ascii="Times New Roman" w:hAnsi="Times New Roman" w:cs="Times New Roman"/>
          <w:lang w:val="en-US" w:eastAsia="zh-CN"/>
        </w:rPr>
        <w:t>20</w:t>
      </w:r>
    </w:p>
    <w:p>
      <w:pPr>
        <w:pStyle w:val="16"/>
        <w:keepNext w:val="0"/>
        <w:keepLines w:val="0"/>
        <w:pageBreakBefore w:val="0"/>
        <w:widowControl w:val="0"/>
        <w:tabs>
          <w:tab w:val="left" w:pos="2026"/>
          <w:tab w:val="right" w:leader="dot" w:pos="8905"/>
        </w:tabs>
        <w:kinsoku/>
        <w:wordWrap/>
        <w:overflowPunct/>
        <w:topLinePunct w:val="0"/>
        <w:autoSpaceDE w:val="0"/>
        <w:autoSpaceDN w:val="0"/>
        <w:bidi w:val="0"/>
        <w:adjustRightInd/>
        <w:snapToGrid/>
        <w:spacing w:before="152" w:line="400" w:lineRule="exact"/>
        <w:jc w:val="both"/>
        <w:textAlignment w:val="auto"/>
        <w:rPr>
          <w:rFonts w:hint="default" w:ascii="Times New Roman" w:hAnsi="Times New Roman" w:cs="Times New Roman"/>
          <w:lang w:val="en-US" w:eastAsia="zh-CN"/>
        </w:rPr>
      </w:pPr>
      <w:r>
        <w:rPr>
          <w:rFonts w:hint="default" w:ascii="Times New Roman" w:hAnsi="Times New Roman" w:cs="Times New Roman"/>
          <w:lang w:val="zh-CN" w:eastAsia="zh-CN"/>
        </w:rPr>
        <w:t>第七节</w:t>
      </w:r>
      <w:r>
        <w:rPr>
          <w:rFonts w:hint="default" w:ascii="Times New Roman" w:hAnsi="Times New Roman" w:cs="Times New Roman"/>
          <w:lang w:val="zh-CN" w:eastAsia="zh-CN"/>
        </w:rPr>
        <w:tab/>
      </w:r>
      <w:r>
        <w:rPr>
          <w:rFonts w:hint="default" w:ascii="Times New Roman" w:hAnsi="Times New Roman" w:cs="Times New Roman"/>
          <w:lang w:val="zh-CN" w:eastAsia="zh-CN"/>
        </w:rPr>
        <w:t>加强司法鉴定工作</w:t>
      </w:r>
      <w:r>
        <w:rPr>
          <w:rFonts w:hint="default" w:ascii="Times New Roman" w:hAnsi="Times New Roman" w:cs="Times New Roman"/>
          <w:lang w:val="zh-CN" w:eastAsia="zh-CN"/>
        </w:rPr>
        <w:tab/>
      </w:r>
      <w:r>
        <w:rPr>
          <w:rFonts w:hint="eastAsia" w:ascii="Times New Roman" w:hAnsi="Times New Roman" w:cs="Times New Roman"/>
          <w:lang w:val="en-US" w:eastAsia="zh-CN"/>
        </w:rPr>
        <w:t>21</w:t>
      </w:r>
    </w:p>
    <w:p>
      <w:pPr>
        <w:pStyle w:val="16"/>
        <w:keepNext w:val="0"/>
        <w:keepLines w:val="0"/>
        <w:pageBreakBefore w:val="0"/>
        <w:widowControl w:val="0"/>
        <w:tabs>
          <w:tab w:val="left" w:pos="2026"/>
          <w:tab w:val="right" w:leader="dot" w:pos="8905"/>
        </w:tabs>
        <w:kinsoku/>
        <w:wordWrap/>
        <w:overflowPunct/>
        <w:topLinePunct w:val="0"/>
        <w:autoSpaceDE w:val="0"/>
        <w:autoSpaceDN w:val="0"/>
        <w:bidi w:val="0"/>
        <w:adjustRightInd/>
        <w:snapToGrid/>
        <w:spacing w:before="152" w:line="400" w:lineRule="exact"/>
        <w:jc w:val="both"/>
        <w:textAlignment w:val="auto"/>
        <w:rPr>
          <w:rFonts w:hint="default" w:ascii="Times New Roman" w:hAnsi="Times New Roman" w:cs="Times New Roman"/>
          <w:lang w:val="en-US" w:eastAsia="zh-CN"/>
        </w:rPr>
      </w:pPr>
      <w:r>
        <w:rPr>
          <w:rFonts w:hint="default" w:ascii="Times New Roman" w:hAnsi="Times New Roman" w:cs="Times New Roman"/>
          <w:lang w:val="zh-CN" w:eastAsia="zh-CN"/>
        </w:rPr>
        <w:t>第八节</w:t>
      </w:r>
      <w:r>
        <w:rPr>
          <w:rFonts w:hint="default" w:ascii="Times New Roman" w:hAnsi="Times New Roman" w:cs="Times New Roman"/>
          <w:lang w:val="zh-CN" w:eastAsia="zh-CN"/>
        </w:rPr>
        <w:tab/>
      </w:r>
      <w:r>
        <w:rPr>
          <w:rFonts w:hint="default" w:ascii="Times New Roman" w:hAnsi="Times New Roman" w:cs="Times New Roman"/>
          <w:lang w:val="zh-CN" w:eastAsia="zh-CN"/>
        </w:rPr>
        <w:t>完善国家统一法律职业资格考试管理工作</w:t>
      </w:r>
      <w:r>
        <w:rPr>
          <w:rFonts w:hint="default" w:ascii="Times New Roman" w:hAnsi="Times New Roman" w:cs="Times New Roman"/>
          <w:lang w:val="zh-CN" w:eastAsia="zh-CN"/>
        </w:rPr>
        <w:tab/>
      </w:r>
      <w:r>
        <w:rPr>
          <w:rFonts w:hint="eastAsia" w:ascii="Times New Roman" w:hAnsi="Times New Roman" w:cs="Times New Roman"/>
          <w:lang w:val="en-US" w:eastAsia="zh-CN"/>
        </w:rPr>
        <w:t>21</w:t>
      </w:r>
    </w:p>
    <w:p>
      <w:pPr>
        <w:pStyle w:val="13"/>
        <w:keepNext w:val="0"/>
        <w:keepLines w:val="0"/>
        <w:pageBreakBefore w:val="0"/>
        <w:widowControl w:val="0"/>
        <w:tabs>
          <w:tab w:val="left" w:pos="1387"/>
          <w:tab w:val="right" w:leader="dot" w:pos="8905"/>
        </w:tabs>
        <w:kinsoku/>
        <w:wordWrap/>
        <w:overflowPunct/>
        <w:topLinePunct w:val="0"/>
        <w:autoSpaceDE w:val="0"/>
        <w:autoSpaceDN w:val="0"/>
        <w:bidi w:val="0"/>
        <w:adjustRightInd/>
        <w:snapToGrid/>
        <w:spacing w:line="400" w:lineRule="exact"/>
        <w:jc w:val="both"/>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"_TOC_250001" </w:instrText>
      </w:r>
      <w:r>
        <w:rPr>
          <w:rFonts w:hint="default" w:ascii="Times New Roman" w:hAnsi="Times New Roman" w:cs="Times New Roman"/>
        </w:rPr>
        <w:fldChar w:fldCharType="separate"/>
      </w:r>
      <w:r>
        <w:rPr>
          <w:rFonts w:hint="default" w:ascii="Times New Roman" w:hAnsi="Times New Roman" w:cs="Times New Roman"/>
          <w:lang w:val="zh-CN" w:eastAsia="zh-CN"/>
        </w:rPr>
        <w:t>第五章</w:t>
      </w:r>
      <w:r>
        <w:rPr>
          <w:rFonts w:hint="default" w:ascii="Times New Roman" w:hAnsi="Times New Roman" w:cs="Times New Roman"/>
          <w:lang w:val="en-US" w:eastAsia="zh-CN"/>
        </w:rPr>
        <w:t xml:space="preserve">  </w:t>
      </w:r>
      <w:r>
        <w:rPr>
          <w:rFonts w:hint="default" w:ascii="Times New Roman" w:hAnsi="Times New Roman" w:cs="Times New Roman"/>
          <w:lang w:val="zh-CN" w:eastAsia="zh-CN"/>
        </w:rPr>
        <w:t>全面提高公共法律服务保障能力</w:t>
      </w:r>
      <w:r>
        <w:rPr>
          <w:rFonts w:hint="default" w:ascii="Times New Roman" w:hAnsi="Times New Roman" w:cs="Times New Roman"/>
          <w:lang w:val="zh-CN" w:eastAsia="zh-CN"/>
        </w:rPr>
        <w:tab/>
      </w:r>
      <w:r>
        <w:rPr>
          <w:rFonts w:hint="default" w:ascii="Times New Roman" w:hAnsi="Times New Roman" w:cs="Times New Roman"/>
          <w:lang w:val="zh-CN" w:eastAsia="zh-CN"/>
        </w:rPr>
        <w:t>2</w:t>
      </w:r>
      <w:r>
        <w:rPr>
          <w:rFonts w:hint="eastAsia" w:ascii="Times New Roman" w:hAnsi="Times New Roman" w:cs="Times New Roman"/>
          <w:lang w:val="en-US" w:eastAsia="zh-CN"/>
        </w:rPr>
        <w:t>2</w:t>
      </w:r>
      <w:r>
        <w:rPr>
          <w:rFonts w:hint="default" w:ascii="Times New Roman" w:hAnsi="Times New Roman" w:cs="Times New Roman"/>
        </w:rPr>
        <w:fldChar w:fldCharType="end"/>
      </w:r>
    </w:p>
    <w:p>
      <w:pPr>
        <w:pStyle w:val="16"/>
        <w:keepNext w:val="0"/>
        <w:keepLines w:val="0"/>
        <w:pageBreakBefore w:val="0"/>
        <w:widowControl w:val="0"/>
        <w:tabs>
          <w:tab w:val="left" w:pos="2026"/>
          <w:tab w:val="right" w:leader="dot" w:pos="8905"/>
        </w:tabs>
        <w:kinsoku/>
        <w:wordWrap/>
        <w:overflowPunct/>
        <w:topLinePunct w:val="0"/>
        <w:autoSpaceDE w:val="0"/>
        <w:autoSpaceDN w:val="0"/>
        <w:bidi w:val="0"/>
        <w:adjustRightInd/>
        <w:snapToGrid/>
        <w:spacing w:before="152" w:line="400" w:lineRule="exact"/>
        <w:jc w:val="both"/>
        <w:textAlignment w:val="auto"/>
        <w:rPr>
          <w:rFonts w:hint="default" w:ascii="Times New Roman" w:hAnsi="Times New Roman" w:cs="Times New Roman"/>
          <w:lang w:val="zh-CN" w:eastAsia="zh-CN"/>
        </w:rPr>
      </w:pPr>
      <w:r>
        <w:rPr>
          <w:rFonts w:hint="default" w:ascii="Times New Roman" w:hAnsi="Times New Roman" w:cs="Times New Roman"/>
          <w:lang w:val="zh-CN" w:eastAsia="zh-CN"/>
        </w:rPr>
        <w:t>第一节</w:t>
      </w:r>
      <w:r>
        <w:rPr>
          <w:rFonts w:hint="default" w:ascii="Times New Roman" w:hAnsi="Times New Roman" w:cs="Times New Roman"/>
          <w:lang w:val="zh-CN" w:eastAsia="zh-CN"/>
        </w:rPr>
        <w:tab/>
      </w:r>
      <w:r>
        <w:rPr>
          <w:rFonts w:hint="default" w:ascii="Times New Roman" w:hAnsi="Times New Roman" w:cs="Times New Roman"/>
          <w:lang w:val="zh-CN" w:eastAsia="zh-CN"/>
        </w:rPr>
        <w:t>健全公共法律服务统筹协调机制</w:t>
      </w:r>
      <w:r>
        <w:rPr>
          <w:rFonts w:hint="default" w:ascii="Times New Roman" w:hAnsi="Times New Roman" w:cs="Times New Roman"/>
          <w:lang w:val="zh-CN" w:eastAsia="zh-CN"/>
        </w:rPr>
        <w:tab/>
      </w:r>
      <w:r>
        <w:rPr>
          <w:rFonts w:hint="default" w:ascii="Times New Roman" w:hAnsi="Times New Roman" w:cs="Times New Roman"/>
          <w:lang w:val="zh-CN" w:eastAsia="zh-CN"/>
        </w:rPr>
        <w:t>2</w:t>
      </w:r>
      <w:r>
        <w:rPr>
          <w:rFonts w:hint="eastAsia" w:ascii="Times New Roman" w:hAnsi="Times New Roman" w:cs="Times New Roman"/>
          <w:lang w:val="en-US" w:eastAsia="zh-CN"/>
        </w:rPr>
        <w:t>2</w:t>
      </w:r>
    </w:p>
    <w:p>
      <w:pPr>
        <w:pStyle w:val="16"/>
        <w:keepNext w:val="0"/>
        <w:keepLines w:val="0"/>
        <w:pageBreakBefore w:val="0"/>
        <w:widowControl w:val="0"/>
        <w:tabs>
          <w:tab w:val="left" w:pos="2026"/>
          <w:tab w:val="right" w:leader="dot" w:pos="8905"/>
        </w:tabs>
        <w:kinsoku/>
        <w:wordWrap/>
        <w:overflowPunct/>
        <w:topLinePunct w:val="0"/>
        <w:autoSpaceDE w:val="0"/>
        <w:autoSpaceDN w:val="0"/>
        <w:bidi w:val="0"/>
        <w:adjustRightInd/>
        <w:snapToGrid/>
        <w:spacing w:before="152" w:line="400" w:lineRule="exact"/>
        <w:jc w:val="both"/>
        <w:textAlignment w:val="auto"/>
        <w:rPr>
          <w:rFonts w:hint="default" w:ascii="Times New Roman" w:hAnsi="Times New Roman" w:cs="Times New Roman"/>
          <w:lang w:val="zh-CN" w:eastAsia="zh-CN"/>
        </w:rPr>
      </w:pPr>
      <w:r>
        <w:rPr>
          <w:rFonts w:hint="default" w:ascii="Times New Roman" w:hAnsi="Times New Roman" w:cs="Times New Roman"/>
          <w:lang w:val="zh-CN" w:eastAsia="zh-CN"/>
        </w:rPr>
        <w:t>第二节</w:t>
      </w:r>
      <w:r>
        <w:rPr>
          <w:rFonts w:hint="default" w:ascii="Times New Roman" w:hAnsi="Times New Roman" w:cs="Times New Roman"/>
          <w:lang w:val="zh-CN" w:eastAsia="zh-CN"/>
        </w:rPr>
        <w:tab/>
      </w:r>
      <w:r>
        <w:rPr>
          <w:rFonts w:hint="default" w:ascii="Times New Roman" w:hAnsi="Times New Roman" w:cs="Times New Roman"/>
          <w:lang w:val="zh-CN" w:eastAsia="zh-CN"/>
        </w:rPr>
        <w:t>加强公共法律服务队伍建设</w:t>
      </w:r>
      <w:r>
        <w:rPr>
          <w:rFonts w:hint="default" w:ascii="Times New Roman" w:hAnsi="Times New Roman" w:cs="Times New Roman"/>
          <w:lang w:val="zh-CN" w:eastAsia="zh-CN"/>
        </w:rPr>
        <w:tab/>
      </w:r>
      <w:r>
        <w:rPr>
          <w:rFonts w:hint="default" w:ascii="Times New Roman" w:hAnsi="Times New Roman" w:cs="Times New Roman"/>
          <w:lang w:val="zh-CN" w:eastAsia="zh-CN"/>
        </w:rPr>
        <w:t>2</w:t>
      </w:r>
      <w:r>
        <w:rPr>
          <w:rFonts w:hint="eastAsia" w:ascii="Times New Roman" w:hAnsi="Times New Roman" w:cs="Times New Roman"/>
          <w:lang w:val="en-US" w:eastAsia="zh-CN"/>
        </w:rPr>
        <w:t>3</w:t>
      </w:r>
    </w:p>
    <w:p>
      <w:pPr>
        <w:pStyle w:val="16"/>
        <w:keepNext w:val="0"/>
        <w:keepLines w:val="0"/>
        <w:pageBreakBefore w:val="0"/>
        <w:widowControl w:val="0"/>
        <w:tabs>
          <w:tab w:val="left" w:pos="2026"/>
          <w:tab w:val="right" w:leader="dot" w:pos="8905"/>
        </w:tabs>
        <w:kinsoku/>
        <w:wordWrap/>
        <w:overflowPunct/>
        <w:topLinePunct w:val="0"/>
        <w:autoSpaceDE w:val="0"/>
        <w:autoSpaceDN w:val="0"/>
        <w:bidi w:val="0"/>
        <w:adjustRightInd/>
        <w:snapToGrid/>
        <w:spacing w:before="152" w:line="400" w:lineRule="exact"/>
        <w:jc w:val="both"/>
        <w:textAlignment w:val="auto"/>
        <w:rPr>
          <w:rFonts w:hint="default" w:ascii="Times New Roman" w:hAnsi="Times New Roman" w:cs="Times New Roman"/>
          <w:lang w:val="zh-CN" w:eastAsia="zh-CN"/>
        </w:rPr>
      </w:pPr>
      <w:r>
        <w:rPr>
          <w:rFonts w:hint="default" w:ascii="Times New Roman" w:hAnsi="Times New Roman" w:cs="Times New Roman"/>
          <w:lang w:val="zh-CN" w:eastAsia="zh-CN"/>
        </w:rPr>
        <w:t>第三节</w:t>
      </w:r>
      <w:r>
        <w:rPr>
          <w:rFonts w:hint="default" w:ascii="Times New Roman" w:hAnsi="Times New Roman" w:cs="Times New Roman"/>
          <w:lang w:val="zh-CN" w:eastAsia="zh-CN"/>
        </w:rPr>
        <w:tab/>
      </w:r>
      <w:r>
        <w:rPr>
          <w:rFonts w:hint="default" w:ascii="Times New Roman" w:hAnsi="Times New Roman" w:cs="Times New Roman"/>
          <w:lang w:val="zh-CN" w:eastAsia="zh-CN"/>
        </w:rPr>
        <w:t>加强公共法律服务理论研究</w:t>
      </w:r>
      <w:r>
        <w:rPr>
          <w:rFonts w:hint="default" w:ascii="Times New Roman" w:hAnsi="Times New Roman" w:cs="Times New Roman"/>
          <w:lang w:val="zh-CN" w:eastAsia="zh-CN"/>
        </w:rPr>
        <w:tab/>
      </w:r>
      <w:r>
        <w:rPr>
          <w:rFonts w:hint="default" w:ascii="Times New Roman" w:hAnsi="Times New Roman" w:cs="Times New Roman"/>
          <w:lang w:val="zh-CN" w:eastAsia="zh-CN"/>
        </w:rPr>
        <w:t>2</w:t>
      </w:r>
      <w:r>
        <w:rPr>
          <w:rFonts w:hint="eastAsia" w:ascii="Times New Roman" w:hAnsi="Times New Roman" w:cs="Times New Roman"/>
          <w:lang w:val="en-US" w:eastAsia="zh-CN"/>
        </w:rPr>
        <w:t>4</w:t>
      </w:r>
    </w:p>
    <w:p>
      <w:pPr>
        <w:pStyle w:val="16"/>
        <w:keepNext w:val="0"/>
        <w:keepLines w:val="0"/>
        <w:pageBreakBefore w:val="0"/>
        <w:widowControl w:val="0"/>
        <w:tabs>
          <w:tab w:val="left" w:pos="2026"/>
          <w:tab w:val="right" w:leader="dot" w:pos="8905"/>
        </w:tabs>
        <w:kinsoku/>
        <w:wordWrap/>
        <w:overflowPunct/>
        <w:topLinePunct w:val="0"/>
        <w:autoSpaceDE w:val="0"/>
        <w:autoSpaceDN w:val="0"/>
        <w:bidi w:val="0"/>
        <w:adjustRightInd/>
        <w:snapToGrid/>
        <w:spacing w:before="152" w:line="400" w:lineRule="exact"/>
        <w:jc w:val="both"/>
        <w:textAlignment w:val="auto"/>
        <w:rPr>
          <w:rFonts w:hint="default" w:ascii="Times New Roman" w:hAnsi="Times New Roman" w:cs="Times New Roman"/>
        </w:rPr>
      </w:pPr>
      <w:r>
        <w:rPr>
          <w:rFonts w:hint="default" w:ascii="Times New Roman" w:hAnsi="Times New Roman" w:cs="Times New Roman"/>
          <w:lang w:val="zh-CN" w:eastAsia="zh-CN"/>
        </w:rPr>
        <w:t>第四节</w:t>
      </w:r>
      <w:r>
        <w:rPr>
          <w:rFonts w:hint="default" w:ascii="Times New Roman" w:hAnsi="Times New Roman" w:cs="Times New Roman"/>
          <w:lang w:val="zh-CN" w:eastAsia="zh-CN"/>
        </w:rPr>
        <w:tab/>
      </w:r>
      <w:r>
        <w:rPr>
          <w:rFonts w:hint="default" w:ascii="Times New Roman" w:hAnsi="Times New Roman" w:cs="Times New Roman"/>
          <w:lang w:val="zh-CN" w:eastAsia="zh-CN"/>
        </w:rPr>
        <w:t>注重经费投入确保实效</w:t>
      </w:r>
      <w:r>
        <w:rPr>
          <w:rFonts w:hint="default" w:ascii="Times New Roman" w:hAnsi="Times New Roman" w:cs="Times New Roman"/>
          <w:lang w:val="zh-CN" w:eastAsia="zh-CN"/>
        </w:rPr>
        <w:tab/>
      </w:r>
      <w:r>
        <w:rPr>
          <w:rFonts w:hint="default" w:ascii="Times New Roman" w:hAnsi="Times New Roman" w:cs="Times New Roman"/>
          <w:lang w:val="zh-CN" w:eastAsia="zh-CN"/>
        </w:rPr>
        <w:t>2</w:t>
      </w:r>
      <w:r>
        <w:rPr>
          <w:rFonts w:hint="eastAsia" w:ascii="Times New Roman" w:hAnsi="Times New Roman" w:cs="Times New Roman"/>
          <w:lang w:val="en-US" w:eastAsia="zh-CN"/>
        </w:rPr>
        <w:t>4</w:t>
      </w:r>
    </w:p>
    <w:p>
      <w:pPr>
        <w:pStyle w:val="13"/>
        <w:keepNext w:val="0"/>
        <w:keepLines w:val="0"/>
        <w:pageBreakBefore w:val="0"/>
        <w:widowControl w:val="0"/>
        <w:tabs>
          <w:tab w:val="left" w:pos="1387"/>
          <w:tab w:val="right" w:leader="dot" w:pos="8905"/>
        </w:tabs>
        <w:kinsoku/>
        <w:wordWrap/>
        <w:overflowPunct/>
        <w:topLinePunct w:val="0"/>
        <w:autoSpaceDE w:val="0"/>
        <w:autoSpaceDN w:val="0"/>
        <w:bidi w:val="0"/>
        <w:adjustRightInd/>
        <w:snapToGrid/>
        <w:spacing w:line="400" w:lineRule="exact"/>
        <w:jc w:val="both"/>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"_TOC_250000" </w:instrText>
      </w:r>
      <w:r>
        <w:rPr>
          <w:rFonts w:hint="default" w:ascii="Times New Roman" w:hAnsi="Times New Roman" w:cs="Times New Roman"/>
        </w:rPr>
        <w:fldChar w:fldCharType="separate"/>
      </w:r>
      <w:r>
        <w:rPr>
          <w:rFonts w:hint="default" w:ascii="Times New Roman" w:hAnsi="Times New Roman" w:cs="Times New Roman"/>
          <w:lang w:val="zh-CN" w:eastAsia="zh-CN"/>
        </w:rPr>
        <w:t>第六章</w:t>
      </w:r>
      <w:r>
        <w:rPr>
          <w:rFonts w:hint="default" w:ascii="Times New Roman" w:hAnsi="Times New Roman" w:cs="Times New Roman"/>
          <w:lang w:val="en-US" w:eastAsia="zh-CN"/>
        </w:rPr>
        <w:t xml:space="preserve">  </w:t>
      </w:r>
      <w:r>
        <w:rPr>
          <w:rFonts w:hint="default" w:ascii="Times New Roman" w:hAnsi="Times New Roman" w:cs="Times New Roman"/>
          <w:lang w:val="zh-CN" w:eastAsia="zh-CN"/>
        </w:rPr>
        <w:t>加强规划的组织实施</w:t>
      </w:r>
      <w:r>
        <w:rPr>
          <w:rFonts w:hint="default" w:ascii="Times New Roman" w:hAnsi="Times New Roman" w:cs="Times New Roman"/>
          <w:lang w:val="zh-CN" w:eastAsia="zh-CN"/>
        </w:rPr>
        <w:tab/>
      </w:r>
      <w:r>
        <w:rPr>
          <w:rFonts w:hint="default" w:ascii="Times New Roman" w:hAnsi="Times New Roman" w:cs="Times New Roman"/>
          <w:lang w:val="zh-CN" w:eastAsia="zh-CN"/>
        </w:rPr>
        <w:t>2</w:t>
      </w:r>
      <w:r>
        <w:rPr>
          <w:rFonts w:hint="eastAsia" w:ascii="Times New Roman" w:hAnsi="Times New Roman" w:cs="Times New Roman"/>
          <w:lang w:val="en-US" w:eastAsia="zh-CN"/>
        </w:rPr>
        <w:t>5</w:t>
      </w:r>
      <w:r>
        <w:rPr>
          <w:rFonts w:hint="default" w:ascii="Times New Roman" w:hAnsi="Times New Roman" w:cs="Times New Roman"/>
        </w:rPr>
        <w:fldChar w:fldCharType="end"/>
      </w:r>
    </w:p>
    <w:p>
      <w:pPr>
        <w:pStyle w:val="16"/>
        <w:keepNext w:val="0"/>
        <w:keepLines w:val="0"/>
        <w:pageBreakBefore w:val="0"/>
        <w:widowControl w:val="0"/>
        <w:tabs>
          <w:tab w:val="left" w:pos="2026"/>
          <w:tab w:val="right" w:leader="dot" w:pos="8905"/>
        </w:tabs>
        <w:kinsoku/>
        <w:wordWrap/>
        <w:overflowPunct/>
        <w:topLinePunct w:val="0"/>
        <w:autoSpaceDE w:val="0"/>
        <w:autoSpaceDN w:val="0"/>
        <w:bidi w:val="0"/>
        <w:adjustRightInd/>
        <w:snapToGrid/>
        <w:spacing w:before="152" w:line="400" w:lineRule="exact"/>
        <w:jc w:val="both"/>
        <w:textAlignment w:val="auto"/>
        <w:rPr>
          <w:rFonts w:hint="default" w:ascii="Times New Roman" w:hAnsi="Times New Roman" w:cs="Times New Roman"/>
          <w:lang w:val="zh-CN" w:eastAsia="zh-CN"/>
        </w:rPr>
      </w:pPr>
      <w:r>
        <w:rPr>
          <w:rFonts w:hint="default" w:ascii="Times New Roman" w:hAnsi="Times New Roman" w:cs="Times New Roman"/>
          <w:lang w:val="zh-CN" w:eastAsia="zh-CN"/>
        </w:rPr>
        <w:t>第一节</w:t>
      </w:r>
      <w:r>
        <w:rPr>
          <w:rFonts w:hint="default" w:ascii="Times New Roman" w:hAnsi="Times New Roman" w:cs="Times New Roman"/>
          <w:lang w:val="zh-CN" w:eastAsia="zh-CN"/>
        </w:rPr>
        <w:tab/>
      </w:r>
      <w:r>
        <w:rPr>
          <w:rFonts w:hint="default" w:ascii="Times New Roman" w:hAnsi="Times New Roman" w:cs="Times New Roman"/>
          <w:lang w:val="zh-CN" w:eastAsia="zh-CN"/>
        </w:rPr>
        <w:t>加强统筹推进</w:t>
      </w:r>
      <w:r>
        <w:rPr>
          <w:rFonts w:hint="default" w:ascii="Times New Roman" w:hAnsi="Times New Roman" w:cs="Times New Roman"/>
          <w:lang w:val="zh-CN" w:eastAsia="zh-CN"/>
        </w:rPr>
        <w:tab/>
      </w:r>
      <w:r>
        <w:rPr>
          <w:rFonts w:hint="default" w:ascii="Times New Roman" w:hAnsi="Times New Roman" w:cs="Times New Roman"/>
          <w:lang w:val="zh-CN" w:eastAsia="zh-CN"/>
        </w:rPr>
        <w:t>2</w:t>
      </w:r>
      <w:r>
        <w:rPr>
          <w:rFonts w:hint="eastAsia" w:ascii="Times New Roman" w:hAnsi="Times New Roman" w:cs="Times New Roman"/>
          <w:lang w:val="en-US" w:eastAsia="zh-CN"/>
        </w:rPr>
        <w:t>5</w:t>
      </w:r>
    </w:p>
    <w:p>
      <w:pPr>
        <w:pStyle w:val="16"/>
        <w:keepNext w:val="0"/>
        <w:keepLines w:val="0"/>
        <w:pageBreakBefore w:val="0"/>
        <w:widowControl w:val="0"/>
        <w:tabs>
          <w:tab w:val="left" w:pos="2026"/>
          <w:tab w:val="right" w:leader="dot" w:pos="8905"/>
        </w:tabs>
        <w:kinsoku/>
        <w:wordWrap/>
        <w:overflowPunct/>
        <w:topLinePunct w:val="0"/>
        <w:autoSpaceDE w:val="0"/>
        <w:autoSpaceDN w:val="0"/>
        <w:bidi w:val="0"/>
        <w:adjustRightInd/>
        <w:snapToGrid/>
        <w:spacing w:before="152" w:line="400" w:lineRule="exact"/>
        <w:jc w:val="both"/>
        <w:textAlignment w:val="auto"/>
        <w:rPr>
          <w:rFonts w:hint="default" w:ascii="Times New Roman" w:hAnsi="Times New Roman" w:cs="Times New Roman"/>
          <w:lang w:val="zh-CN" w:eastAsia="zh-CN"/>
        </w:rPr>
      </w:pPr>
      <w:r>
        <w:rPr>
          <w:rFonts w:hint="default" w:ascii="Times New Roman" w:hAnsi="Times New Roman" w:cs="Times New Roman"/>
          <w:lang w:val="zh-CN" w:eastAsia="zh-CN"/>
        </w:rPr>
        <w:t>第二节</w:t>
      </w:r>
      <w:r>
        <w:rPr>
          <w:rFonts w:hint="default" w:ascii="Times New Roman" w:hAnsi="Times New Roman" w:cs="Times New Roman"/>
          <w:lang w:val="zh-CN" w:eastAsia="zh-CN"/>
        </w:rPr>
        <w:tab/>
      </w:r>
      <w:r>
        <w:rPr>
          <w:rFonts w:hint="default" w:ascii="Times New Roman" w:hAnsi="Times New Roman" w:cs="Times New Roman"/>
          <w:lang w:val="zh-CN" w:eastAsia="zh-CN"/>
        </w:rPr>
        <w:t>建立考评机制</w:t>
      </w:r>
      <w:r>
        <w:rPr>
          <w:rFonts w:hint="default" w:ascii="Times New Roman" w:hAnsi="Times New Roman" w:cs="Times New Roman"/>
          <w:lang w:val="zh-CN" w:eastAsia="zh-CN"/>
        </w:rPr>
        <w:tab/>
      </w:r>
      <w:r>
        <w:rPr>
          <w:rFonts w:hint="default" w:ascii="Times New Roman" w:hAnsi="Times New Roman" w:cs="Times New Roman"/>
          <w:lang w:val="zh-CN" w:eastAsia="zh-CN"/>
        </w:rPr>
        <w:t>2</w:t>
      </w:r>
      <w:r>
        <w:rPr>
          <w:rFonts w:hint="eastAsia" w:ascii="Times New Roman" w:hAnsi="Times New Roman" w:cs="Times New Roman"/>
          <w:lang w:val="en-US" w:eastAsia="zh-CN"/>
        </w:rPr>
        <w:t>6</w:t>
      </w:r>
    </w:p>
    <w:p>
      <w:pPr>
        <w:pStyle w:val="16"/>
        <w:keepNext w:val="0"/>
        <w:keepLines w:val="0"/>
        <w:pageBreakBefore w:val="0"/>
        <w:widowControl w:val="0"/>
        <w:tabs>
          <w:tab w:val="left" w:pos="2026"/>
          <w:tab w:val="right" w:leader="dot" w:pos="8905"/>
        </w:tabs>
        <w:kinsoku/>
        <w:wordWrap/>
        <w:overflowPunct/>
        <w:topLinePunct w:val="0"/>
        <w:autoSpaceDE w:val="0"/>
        <w:autoSpaceDN w:val="0"/>
        <w:bidi w:val="0"/>
        <w:adjustRightInd/>
        <w:snapToGrid/>
        <w:spacing w:before="152" w:line="400" w:lineRule="exact"/>
        <w:jc w:val="both"/>
        <w:textAlignment w:val="auto"/>
        <w:rPr>
          <w:rFonts w:hint="default" w:ascii="Times New Roman" w:hAnsi="Times New Roman" w:cs="Times New Roman"/>
          <w:lang w:val="en-US" w:eastAsia="zh-CN"/>
        </w:rPr>
      </w:pPr>
      <w:r>
        <w:rPr>
          <w:rFonts w:hint="default" w:ascii="Times New Roman" w:hAnsi="Times New Roman" w:cs="Times New Roman"/>
          <w:lang w:val="zh-CN" w:eastAsia="zh-CN"/>
        </w:rPr>
        <w:t>第三节</w:t>
      </w:r>
      <w:r>
        <w:rPr>
          <w:rFonts w:hint="default" w:ascii="Times New Roman" w:hAnsi="Times New Roman" w:cs="Times New Roman"/>
          <w:lang w:val="zh-CN" w:eastAsia="zh-CN"/>
        </w:rPr>
        <w:tab/>
      </w:r>
      <w:r>
        <w:rPr>
          <w:rFonts w:hint="default" w:ascii="Times New Roman" w:hAnsi="Times New Roman" w:cs="Times New Roman"/>
          <w:lang w:val="zh-CN" w:eastAsia="zh-CN"/>
        </w:rPr>
        <w:t>注重工作实效</w:t>
      </w:r>
      <w:r>
        <w:rPr>
          <w:rFonts w:hint="default" w:ascii="Times New Roman" w:hAnsi="Times New Roman" w:cs="Times New Roman"/>
          <w:lang w:val="zh-CN" w:eastAsia="zh-CN"/>
        </w:rPr>
        <w:tab/>
      </w:r>
      <w:r>
        <w:rPr>
          <w:rFonts w:hint="eastAsia" w:ascii="Times New Roman" w:hAnsi="Times New Roman" w:cs="Times New Roman"/>
          <w:lang w:val="en-US" w:eastAsia="zh-CN"/>
        </w:rPr>
        <w:t>26</w:t>
      </w:r>
    </w:p>
    <w:p>
      <w:pPr>
        <w:pStyle w:val="3"/>
        <w:keepNext w:val="0"/>
        <w:keepLines w:val="0"/>
        <w:pageBreakBefore w:val="0"/>
        <w:widowControl w:val="0"/>
        <w:tabs>
          <w:tab w:val="left" w:pos="1538"/>
        </w:tabs>
        <w:kinsoku/>
        <w:wordWrap/>
        <w:overflowPunct/>
        <w:topLinePunct w:val="0"/>
        <w:autoSpaceDE w:val="0"/>
        <w:autoSpaceDN w:val="0"/>
        <w:bidi w:val="0"/>
        <w:adjustRightInd/>
        <w:snapToGrid/>
        <w:spacing w:before="0" w:line="560" w:lineRule="exact"/>
        <w:ind w:left="0" w:right="0"/>
        <w:jc w:val="center"/>
        <w:textAlignment w:val="auto"/>
        <w:rPr>
          <w:rFonts w:hint="eastAsia" w:ascii="黑体" w:hAnsi="黑体" w:eastAsia="黑体" w:cs="黑体"/>
          <w:spacing w:val="0"/>
          <w:w w:val="100"/>
          <w:sz w:val="32"/>
          <w:szCs w:val="32"/>
          <w:lang w:val="en-US" w:eastAsia="zh-CN"/>
        </w:rPr>
      </w:pPr>
    </w:p>
    <w:p>
      <w:pPr>
        <w:rPr>
          <w:rFonts w:hint="eastAsia" w:ascii="黑体" w:hAnsi="黑体" w:eastAsia="黑体" w:cs="黑体"/>
          <w:spacing w:val="0"/>
          <w:w w:val="100"/>
          <w:sz w:val="32"/>
          <w:szCs w:val="32"/>
          <w:lang w:val="en-US" w:eastAsia="zh-CN"/>
        </w:rPr>
      </w:pPr>
    </w:p>
    <w:p>
      <w:pPr>
        <w:pStyle w:val="2"/>
        <w:rPr>
          <w:rFonts w:hint="eastAsia" w:ascii="黑体" w:hAnsi="黑体" w:eastAsia="黑体" w:cs="黑体"/>
          <w:spacing w:val="0"/>
          <w:w w:val="100"/>
          <w:sz w:val="32"/>
          <w:szCs w:val="32"/>
          <w:lang w:val="en-US" w:eastAsia="zh-CN"/>
        </w:rPr>
      </w:pPr>
    </w:p>
    <w:p>
      <w:pPr>
        <w:rPr>
          <w:rFonts w:hint="eastAsia" w:ascii="黑体" w:hAnsi="黑体" w:eastAsia="黑体" w:cs="黑体"/>
          <w:spacing w:val="0"/>
          <w:w w:val="100"/>
          <w:sz w:val="32"/>
          <w:szCs w:val="32"/>
          <w:lang w:val="en-US" w:eastAsia="zh-CN"/>
        </w:rPr>
      </w:pPr>
    </w:p>
    <w:p>
      <w:pPr>
        <w:pStyle w:val="2"/>
        <w:rPr>
          <w:rFonts w:hint="eastAsia" w:ascii="黑体" w:hAnsi="黑体" w:eastAsia="黑体" w:cs="黑体"/>
          <w:spacing w:val="0"/>
          <w:w w:val="100"/>
          <w:sz w:val="32"/>
          <w:szCs w:val="32"/>
          <w:lang w:val="en-US" w:eastAsia="zh-CN"/>
        </w:rPr>
      </w:pPr>
    </w:p>
    <w:p>
      <w:pPr>
        <w:rPr>
          <w:rFonts w:hint="eastAsia" w:ascii="黑体" w:hAnsi="黑体" w:eastAsia="黑体" w:cs="黑体"/>
          <w:spacing w:val="0"/>
          <w:w w:val="100"/>
          <w:sz w:val="32"/>
          <w:szCs w:val="32"/>
          <w:lang w:val="en-US" w:eastAsia="zh-CN"/>
        </w:rPr>
      </w:pPr>
    </w:p>
    <w:p>
      <w:pPr>
        <w:pStyle w:val="2"/>
        <w:rPr>
          <w:rFonts w:hint="eastAsia" w:ascii="黑体" w:hAnsi="黑体" w:eastAsia="黑体" w:cs="黑体"/>
          <w:spacing w:val="0"/>
          <w:w w:val="100"/>
          <w:sz w:val="32"/>
          <w:szCs w:val="32"/>
          <w:lang w:val="en-US" w:eastAsia="zh-CN"/>
        </w:rPr>
      </w:pPr>
    </w:p>
    <w:p>
      <w:pPr>
        <w:rPr>
          <w:rFonts w:hint="eastAsia" w:ascii="黑体" w:hAnsi="黑体" w:eastAsia="黑体" w:cs="黑体"/>
          <w:spacing w:val="0"/>
          <w:w w:val="100"/>
          <w:sz w:val="32"/>
          <w:szCs w:val="32"/>
          <w:lang w:val="en-US" w:eastAsia="zh-CN"/>
        </w:rPr>
      </w:pPr>
    </w:p>
    <w:p>
      <w:pPr>
        <w:pStyle w:val="2"/>
        <w:rPr>
          <w:rFonts w:hint="eastAsia"/>
          <w:lang w:val="en-US" w:eastAsia="zh-CN"/>
        </w:rPr>
      </w:pPr>
    </w:p>
    <w:p>
      <w:pPr>
        <w:rPr>
          <w:rFonts w:hint="eastAsia"/>
          <w:lang w:val="en-US" w:eastAsia="zh-CN"/>
        </w:rPr>
      </w:pPr>
    </w:p>
    <w:p>
      <w:pPr>
        <w:pStyle w:val="3"/>
        <w:keepNext w:val="0"/>
        <w:keepLines w:val="0"/>
        <w:pageBreakBefore w:val="0"/>
        <w:widowControl w:val="0"/>
        <w:tabs>
          <w:tab w:val="left" w:pos="1538"/>
        </w:tabs>
        <w:kinsoku/>
        <w:wordWrap/>
        <w:overflowPunct/>
        <w:topLinePunct w:val="0"/>
        <w:autoSpaceDE w:val="0"/>
        <w:autoSpaceDN w:val="0"/>
        <w:bidi w:val="0"/>
        <w:adjustRightInd/>
        <w:snapToGrid/>
        <w:spacing w:before="0" w:line="560" w:lineRule="exact"/>
        <w:ind w:left="0" w:right="0"/>
        <w:jc w:val="center"/>
        <w:textAlignment w:val="auto"/>
        <w:rPr>
          <w:rFonts w:hint="eastAsia" w:ascii="黑体" w:hAnsi="黑体" w:eastAsia="黑体" w:cs="黑体"/>
          <w:spacing w:val="0"/>
          <w:w w:val="100"/>
          <w:sz w:val="32"/>
          <w:szCs w:val="32"/>
        </w:rPr>
      </w:pPr>
      <w:r>
        <w:rPr>
          <w:rFonts w:hint="eastAsia" w:ascii="黑体" w:hAnsi="黑体" w:eastAsia="黑体" w:cs="黑体"/>
          <w:spacing w:val="0"/>
          <w:w w:val="100"/>
          <w:sz w:val="32"/>
          <w:szCs w:val="32"/>
        </w:rPr>
        <w:t>第一章</w:t>
      </w:r>
      <w:r>
        <w:rPr>
          <w:rFonts w:hint="eastAsia" w:ascii="黑体" w:hAnsi="黑体" w:eastAsia="黑体" w:cs="黑体"/>
          <w:spacing w:val="0"/>
          <w:w w:val="100"/>
          <w:sz w:val="32"/>
          <w:szCs w:val="32"/>
          <w:lang w:val="en-US" w:eastAsia="zh-CN"/>
        </w:rPr>
        <w:t xml:space="preserve">  </w:t>
      </w:r>
      <w:r>
        <w:rPr>
          <w:rFonts w:hint="eastAsia" w:ascii="黑体" w:hAnsi="黑体" w:eastAsia="黑体" w:cs="黑体"/>
          <w:spacing w:val="0"/>
          <w:w w:val="100"/>
          <w:sz w:val="32"/>
          <w:szCs w:val="32"/>
        </w:rPr>
        <w:t>规划背景和总体要求</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default" w:ascii="Times New Roman" w:hAnsi="Times New Roman" w:cs="Times New Roman"/>
          <w:spacing w:val="0"/>
          <w:w w:val="100"/>
          <w:sz w:val="32"/>
          <w:szCs w:val="32"/>
        </w:rPr>
      </w:pP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楷体_GB2312" w:hAnsi="楷体_GB2312" w:eastAsia="楷体_GB2312" w:cs="楷体_GB2312"/>
          <w:spacing w:val="0"/>
          <w:w w:val="100"/>
          <w:sz w:val="32"/>
          <w:szCs w:val="32"/>
        </w:rPr>
      </w:pPr>
      <w:r>
        <w:rPr>
          <w:rFonts w:hint="eastAsia" w:ascii="楷体_GB2312" w:hAnsi="楷体_GB2312" w:eastAsia="楷体_GB2312" w:cs="楷体_GB2312"/>
          <w:spacing w:val="0"/>
          <w:w w:val="100"/>
          <w:sz w:val="32"/>
          <w:szCs w:val="32"/>
        </w:rPr>
        <w:t>第一节</w:t>
      </w:r>
      <w:r>
        <w:rPr>
          <w:rFonts w:hint="eastAsia" w:ascii="楷体_GB2312" w:hAnsi="楷体_GB2312" w:eastAsia="楷体_GB2312" w:cs="楷体_GB2312"/>
          <w:spacing w:val="0"/>
          <w:w w:val="100"/>
          <w:sz w:val="32"/>
          <w:szCs w:val="32"/>
          <w:lang w:val="en-US" w:eastAsia="zh-CN"/>
        </w:rPr>
        <w:t xml:space="preserve">  </w:t>
      </w:r>
      <w:r>
        <w:rPr>
          <w:rFonts w:hint="eastAsia" w:ascii="楷体_GB2312" w:hAnsi="楷体_GB2312" w:eastAsia="楷体_GB2312" w:cs="楷体_GB2312"/>
          <w:spacing w:val="0"/>
          <w:w w:val="100"/>
          <w:sz w:val="32"/>
          <w:szCs w:val="32"/>
        </w:rPr>
        <w:t>规划背景</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pacing w:val="0"/>
          <w:w w:val="100"/>
          <w:sz w:val="32"/>
          <w:szCs w:val="32"/>
          <w:u w:val="none"/>
          <w:lang w:val="en-US" w:eastAsia="zh-CN"/>
        </w:rPr>
      </w:pPr>
      <w:r>
        <w:rPr>
          <w:rFonts w:hint="eastAsia" w:ascii="仿宋_GB2312" w:hAnsi="仿宋_GB2312" w:eastAsia="仿宋_GB2312" w:cs="仿宋_GB2312"/>
          <w:spacing w:val="0"/>
          <w:w w:val="100"/>
          <w:sz w:val="32"/>
          <w:szCs w:val="32"/>
          <w:u w:val="none"/>
        </w:rPr>
        <w:t>党的十八届四中全会明确提出</w:t>
      </w:r>
      <w:r>
        <w:rPr>
          <w:rFonts w:hint="eastAsia" w:ascii="仿宋_GB2312" w:hAnsi="仿宋_GB2312" w:eastAsia="仿宋_GB2312" w:cs="仿宋_GB2312"/>
          <w:spacing w:val="0"/>
          <w:w w:val="100"/>
          <w:sz w:val="32"/>
          <w:szCs w:val="32"/>
          <w:u w:val="none"/>
          <w:lang w:eastAsia="zh-CN"/>
        </w:rPr>
        <w:t>，</w:t>
      </w:r>
      <w:r>
        <w:rPr>
          <w:rFonts w:hint="eastAsia" w:ascii="仿宋_GB2312" w:hAnsi="仿宋_GB2312" w:eastAsia="仿宋_GB2312" w:cs="仿宋_GB2312"/>
          <w:spacing w:val="0"/>
          <w:w w:val="100"/>
          <w:sz w:val="32"/>
          <w:szCs w:val="32"/>
          <w:u w:val="none"/>
        </w:rPr>
        <w:t>“建设完备的法律服务体系，推进覆盖城乡居民的公共法律服务体系建设，完善法律援助制度”。党的十九届四中全会提出，“完善公共法律服务体系，夯实依法治国群众基础”。2019年1月，习近平总书记在中央政法工作会议上强调，要加快整合律师、公证、司法鉴定、仲裁、司法所、人民调解等法律服务资源，尽快建成覆盖全业务、全时空的法律服务网络。2019年6月，中共中央办公厅、国务院办公厅印发关于加快推进公共法律服务体系建设的意见，全面部署和推进公共法律服务体系建设。2020年中共中央印发《法治中国建设规划（2020-2025年）》《法治社会建设实施纲要（2020-2025年）》</w:t>
      </w:r>
      <w:r>
        <w:rPr>
          <w:rFonts w:hint="eastAsia" w:ascii="仿宋_GB2312" w:hAnsi="仿宋_GB2312" w:eastAsia="仿宋_GB2312" w:cs="仿宋_GB2312"/>
          <w:spacing w:val="0"/>
          <w:w w:val="100"/>
          <w:sz w:val="32"/>
          <w:szCs w:val="32"/>
          <w:u w:val="none"/>
          <w:lang w:val="en-US" w:eastAsia="zh-CN"/>
        </w:rPr>
        <w:t>，2021</w:t>
      </w:r>
      <w:r>
        <w:rPr>
          <w:rFonts w:hint="eastAsia" w:ascii="仿宋_GB2312" w:hAnsi="仿宋_GB2312" w:eastAsia="仿宋_GB2312" w:cs="仿宋_GB2312"/>
          <w:spacing w:val="0"/>
          <w:w w:val="100"/>
          <w:sz w:val="32"/>
          <w:szCs w:val="32"/>
          <w:u w:val="none"/>
        </w:rPr>
        <w:t>年</w:t>
      </w:r>
      <w:r>
        <w:rPr>
          <w:rFonts w:hint="eastAsia" w:ascii="仿宋_GB2312" w:hAnsi="仿宋_GB2312" w:eastAsia="仿宋_GB2312" w:cs="仿宋_GB2312"/>
          <w:spacing w:val="0"/>
          <w:w w:val="100"/>
          <w:sz w:val="32"/>
          <w:szCs w:val="32"/>
          <w:u w:val="none"/>
          <w:lang w:val="en-US" w:eastAsia="zh-CN"/>
        </w:rPr>
        <w:t>自治区党委印发《法治广西规划</w:t>
      </w:r>
      <w:r>
        <w:rPr>
          <w:rFonts w:hint="eastAsia" w:ascii="仿宋_GB2312" w:hAnsi="仿宋_GB2312" w:eastAsia="仿宋_GB2312" w:cs="仿宋_GB2312"/>
          <w:spacing w:val="0"/>
          <w:w w:val="100"/>
          <w:sz w:val="32"/>
          <w:szCs w:val="32"/>
          <w:u w:val="none"/>
        </w:rPr>
        <w:t>（202</w:t>
      </w:r>
      <w:r>
        <w:rPr>
          <w:rFonts w:hint="eastAsia" w:ascii="仿宋_GB2312" w:hAnsi="仿宋_GB2312" w:eastAsia="仿宋_GB2312" w:cs="仿宋_GB2312"/>
          <w:spacing w:val="0"/>
          <w:w w:val="100"/>
          <w:sz w:val="32"/>
          <w:szCs w:val="32"/>
          <w:u w:val="none"/>
          <w:lang w:val="en-US" w:eastAsia="zh-CN"/>
        </w:rPr>
        <w:t>1</w:t>
      </w:r>
      <w:r>
        <w:rPr>
          <w:rFonts w:hint="eastAsia" w:ascii="仿宋_GB2312" w:hAnsi="仿宋_GB2312" w:eastAsia="仿宋_GB2312" w:cs="仿宋_GB2312"/>
          <w:spacing w:val="0"/>
          <w:w w:val="100"/>
          <w:sz w:val="32"/>
          <w:szCs w:val="32"/>
          <w:u w:val="none"/>
        </w:rPr>
        <w:t>-2025年）</w:t>
      </w:r>
      <w:r>
        <w:rPr>
          <w:rFonts w:hint="eastAsia" w:ascii="仿宋_GB2312" w:hAnsi="仿宋_GB2312" w:eastAsia="仿宋_GB2312" w:cs="仿宋_GB2312"/>
          <w:spacing w:val="0"/>
          <w:w w:val="100"/>
          <w:sz w:val="32"/>
          <w:szCs w:val="32"/>
          <w:u w:val="none"/>
          <w:lang w:val="en-US" w:eastAsia="zh-CN"/>
        </w:rPr>
        <w:t>》《广西壮族自治区法治社会建设实施方案</w:t>
      </w:r>
      <w:r>
        <w:rPr>
          <w:rFonts w:hint="eastAsia" w:ascii="仿宋_GB2312" w:hAnsi="仿宋_GB2312" w:eastAsia="仿宋_GB2312" w:cs="仿宋_GB2312"/>
          <w:spacing w:val="0"/>
          <w:w w:val="100"/>
          <w:sz w:val="32"/>
          <w:szCs w:val="32"/>
          <w:u w:val="none"/>
        </w:rPr>
        <w:t>（202</w:t>
      </w:r>
      <w:r>
        <w:rPr>
          <w:rFonts w:hint="eastAsia" w:ascii="仿宋_GB2312" w:hAnsi="仿宋_GB2312" w:eastAsia="仿宋_GB2312" w:cs="仿宋_GB2312"/>
          <w:spacing w:val="0"/>
          <w:w w:val="100"/>
          <w:sz w:val="32"/>
          <w:szCs w:val="32"/>
          <w:u w:val="none"/>
          <w:lang w:val="en-US" w:eastAsia="zh-CN"/>
        </w:rPr>
        <w:t>1</w:t>
      </w:r>
      <w:r>
        <w:rPr>
          <w:rFonts w:hint="eastAsia" w:ascii="仿宋_GB2312" w:hAnsi="仿宋_GB2312" w:eastAsia="仿宋_GB2312" w:cs="仿宋_GB2312"/>
          <w:spacing w:val="0"/>
          <w:w w:val="100"/>
          <w:sz w:val="32"/>
          <w:szCs w:val="32"/>
          <w:u w:val="none"/>
        </w:rPr>
        <w:t>-2025年）</w:t>
      </w:r>
      <w:r>
        <w:rPr>
          <w:rFonts w:hint="eastAsia" w:ascii="仿宋_GB2312" w:hAnsi="仿宋_GB2312" w:eastAsia="仿宋_GB2312" w:cs="仿宋_GB2312"/>
          <w:spacing w:val="0"/>
          <w:w w:val="100"/>
          <w:sz w:val="32"/>
          <w:szCs w:val="32"/>
          <w:u w:val="none"/>
          <w:lang w:val="en-US" w:eastAsia="zh-CN"/>
        </w:rPr>
        <w:t>》，对公共法律服务体系建设提出了具体要求。防城港市委、市</w:t>
      </w:r>
      <w:r>
        <w:rPr>
          <w:rFonts w:hint="eastAsia" w:hAnsi="仿宋_GB2312" w:cs="仿宋_GB2312"/>
          <w:spacing w:val="0"/>
          <w:w w:val="100"/>
          <w:sz w:val="32"/>
          <w:szCs w:val="32"/>
          <w:u w:val="none"/>
          <w:lang w:val="en-US" w:eastAsia="zh-CN"/>
        </w:rPr>
        <w:t>人民</w:t>
      </w:r>
      <w:r>
        <w:rPr>
          <w:rFonts w:hint="eastAsia" w:ascii="仿宋_GB2312" w:hAnsi="仿宋_GB2312" w:eastAsia="仿宋_GB2312" w:cs="仿宋_GB2312"/>
          <w:spacing w:val="0"/>
          <w:w w:val="100"/>
          <w:sz w:val="32"/>
          <w:szCs w:val="32"/>
          <w:u w:val="none"/>
          <w:lang w:val="en-US" w:eastAsia="zh-CN"/>
        </w:rPr>
        <w:t>政府认真贯彻落实中共中央、国务院、自治区关于公共法律服务体系建设的决策，推动制定了相应的措施，部署全面加快推进防城港公共法律服务体系建设。</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color w:val="auto"/>
          <w:spacing w:val="0"/>
          <w:w w:val="100"/>
          <w:sz w:val="32"/>
          <w:szCs w:val="32"/>
          <w:u w:val="none"/>
          <w:lang w:eastAsia="zh-CN"/>
        </w:rPr>
      </w:pPr>
      <w:r>
        <w:rPr>
          <w:rFonts w:hint="eastAsia" w:ascii="黑体" w:hAnsi="黑体" w:eastAsia="黑体" w:cs="黑体"/>
          <w:spacing w:val="0"/>
          <w:w w:val="100"/>
          <w:sz w:val="32"/>
          <w:szCs w:val="32"/>
          <w:u w:val="none"/>
          <w:lang w:eastAsia="zh-CN"/>
        </w:rPr>
        <w:t>——</w:t>
      </w:r>
      <w:r>
        <w:rPr>
          <w:rFonts w:hint="eastAsia" w:ascii="仿宋_GB2312" w:hAnsi="仿宋_GB2312" w:eastAsia="仿宋_GB2312" w:cs="仿宋_GB2312"/>
          <w:spacing w:val="0"/>
          <w:w w:val="100"/>
          <w:sz w:val="32"/>
          <w:szCs w:val="32"/>
          <w:u w:val="none"/>
        </w:rPr>
        <w:t>公共法律服务队伍建设取得长足进步。“十三五”期末，</w:t>
      </w:r>
      <w:r>
        <w:rPr>
          <w:rFonts w:hint="eastAsia" w:ascii="仿宋_GB2312" w:hAnsi="仿宋_GB2312" w:eastAsia="仿宋_GB2312" w:cs="仿宋_GB2312"/>
          <w:spacing w:val="0"/>
          <w:w w:val="100"/>
          <w:sz w:val="32"/>
          <w:szCs w:val="32"/>
          <w:u w:val="none"/>
          <w:lang w:eastAsia="zh-CN"/>
        </w:rPr>
        <w:t>全市共有</w:t>
      </w:r>
      <w:r>
        <w:rPr>
          <w:rFonts w:hint="eastAsia" w:ascii="仿宋_GB2312" w:hAnsi="仿宋_GB2312" w:eastAsia="仿宋_GB2312" w:cs="仿宋_GB2312"/>
          <w:spacing w:val="0"/>
          <w:w w:val="100"/>
          <w:sz w:val="32"/>
          <w:szCs w:val="32"/>
          <w:u w:val="none"/>
        </w:rPr>
        <w:t>法律援助中心5个、法律援助工作站</w:t>
      </w:r>
      <w:r>
        <w:rPr>
          <w:rFonts w:hint="eastAsia" w:ascii="仿宋_GB2312" w:hAnsi="仿宋_GB2312" w:eastAsia="仿宋_GB2312" w:cs="仿宋_GB2312"/>
          <w:spacing w:val="0"/>
          <w:w w:val="100"/>
          <w:sz w:val="32"/>
          <w:szCs w:val="32"/>
          <w:u w:val="none"/>
          <w:lang w:val="en-US" w:eastAsia="zh-CN"/>
        </w:rPr>
        <w:t>32</w:t>
      </w:r>
      <w:r>
        <w:rPr>
          <w:rFonts w:hint="eastAsia" w:ascii="仿宋_GB2312" w:hAnsi="仿宋_GB2312" w:eastAsia="仿宋_GB2312" w:cs="仿宋_GB2312"/>
          <w:spacing w:val="0"/>
          <w:w w:val="100"/>
          <w:sz w:val="32"/>
          <w:szCs w:val="32"/>
          <w:u w:val="none"/>
        </w:rPr>
        <w:t>个，律师事务所</w:t>
      </w:r>
      <w:r>
        <w:rPr>
          <w:rFonts w:hint="eastAsia" w:ascii="仿宋_GB2312" w:hAnsi="仿宋_GB2312" w:eastAsia="仿宋_GB2312" w:cs="仿宋_GB2312"/>
          <w:spacing w:val="0"/>
          <w:w w:val="100"/>
          <w:sz w:val="32"/>
          <w:szCs w:val="32"/>
          <w:u w:val="none"/>
          <w:lang w:val="en-US" w:eastAsia="zh-CN"/>
        </w:rPr>
        <w:t>19</w:t>
      </w:r>
      <w:r>
        <w:rPr>
          <w:rFonts w:hint="eastAsia" w:ascii="仿宋_GB2312" w:hAnsi="仿宋_GB2312" w:eastAsia="仿宋_GB2312" w:cs="仿宋_GB2312"/>
          <w:spacing w:val="0"/>
          <w:w w:val="100"/>
          <w:sz w:val="32"/>
          <w:szCs w:val="32"/>
          <w:u w:val="none"/>
        </w:rPr>
        <w:t>个、执业律师</w:t>
      </w:r>
      <w:r>
        <w:rPr>
          <w:rFonts w:hint="eastAsia" w:ascii="仿宋_GB2312" w:hAnsi="仿宋_GB2312" w:eastAsia="仿宋_GB2312" w:cs="仿宋_GB2312"/>
          <w:spacing w:val="0"/>
          <w:w w:val="100"/>
          <w:sz w:val="32"/>
          <w:szCs w:val="32"/>
          <w:u w:val="none"/>
          <w:lang w:val="en-US" w:eastAsia="zh-CN"/>
        </w:rPr>
        <w:t>207</w:t>
      </w:r>
      <w:r>
        <w:rPr>
          <w:rFonts w:hint="eastAsia" w:ascii="仿宋_GB2312" w:hAnsi="仿宋_GB2312" w:eastAsia="仿宋_GB2312" w:cs="仿宋_GB2312"/>
          <w:spacing w:val="0"/>
          <w:w w:val="100"/>
          <w:sz w:val="32"/>
          <w:szCs w:val="32"/>
          <w:u w:val="none"/>
        </w:rPr>
        <w:t>人，基层法律服务所</w:t>
      </w:r>
      <w:r>
        <w:rPr>
          <w:rFonts w:hint="eastAsia" w:ascii="仿宋_GB2312" w:hAnsi="仿宋_GB2312" w:eastAsia="仿宋_GB2312" w:cs="仿宋_GB2312"/>
          <w:spacing w:val="0"/>
          <w:w w:val="100"/>
          <w:sz w:val="32"/>
          <w:szCs w:val="32"/>
          <w:u w:val="none"/>
          <w:lang w:val="en-US" w:eastAsia="zh-CN"/>
        </w:rPr>
        <w:t>3</w:t>
      </w:r>
      <w:r>
        <w:rPr>
          <w:rFonts w:hint="eastAsia" w:ascii="仿宋_GB2312" w:hAnsi="仿宋_GB2312" w:eastAsia="仿宋_GB2312" w:cs="仿宋_GB2312"/>
          <w:spacing w:val="0"/>
          <w:w w:val="100"/>
          <w:sz w:val="32"/>
          <w:szCs w:val="32"/>
          <w:u w:val="none"/>
        </w:rPr>
        <w:t>个、基层法律服务工作者</w:t>
      </w:r>
      <w:r>
        <w:rPr>
          <w:rFonts w:hint="eastAsia" w:ascii="仿宋_GB2312" w:hAnsi="仿宋_GB2312" w:eastAsia="仿宋_GB2312" w:cs="仿宋_GB2312"/>
          <w:spacing w:val="0"/>
          <w:w w:val="100"/>
          <w:sz w:val="32"/>
          <w:szCs w:val="32"/>
          <w:u w:val="none"/>
          <w:lang w:val="en-US" w:eastAsia="zh-CN"/>
        </w:rPr>
        <w:t>17</w:t>
      </w:r>
      <w:r>
        <w:rPr>
          <w:rFonts w:hint="eastAsia" w:ascii="仿宋_GB2312" w:hAnsi="仿宋_GB2312" w:eastAsia="仿宋_GB2312" w:cs="仿宋_GB2312"/>
          <w:spacing w:val="0"/>
          <w:w w:val="100"/>
          <w:sz w:val="32"/>
          <w:szCs w:val="32"/>
          <w:u w:val="none"/>
        </w:rPr>
        <w:t>人</w:t>
      </w:r>
      <w:r>
        <w:rPr>
          <w:rFonts w:hint="eastAsia" w:ascii="仿宋_GB2312" w:hAnsi="仿宋_GB2312" w:eastAsia="仿宋_GB2312" w:cs="仿宋_GB2312"/>
          <w:spacing w:val="0"/>
          <w:w w:val="100"/>
          <w:sz w:val="32"/>
          <w:szCs w:val="32"/>
          <w:u w:val="none"/>
          <w:lang w:eastAsia="zh-CN"/>
        </w:rPr>
        <w:t>，</w:t>
      </w:r>
      <w:r>
        <w:rPr>
          <w:rFonts w:hint="eastAsia" w:ascii="仿宋_GB2312" w:hAnsi="仿宋_GB2312" w:eastAsia="仿宋_GB2312" w:cs="仿宋_GB2312"/>
          <w:spacing w:val="0"/>
          <w:w w:val="100"/>
          <w:sz w:val="32"/>
          <w:szCs w:val="32"/>
          <w:u w:val="none"/>
        </w:rPr>
        <w:t>公证机构</w:t>
      </w:r>
      <w:r>
        <w:rPr>
          <w:rFonts w:hint="eastAsia" w:ascii="仿宋_GB2312" w:hAnsi="仿宋_GB2312" w:eastAsia="仿宋_GB2312" w:cs="仿宋_GB2312"/>
          <w:spacing w:val="0"/>
          <w:w w:val="100"/>
          <w:sz w:val="32"/>
          <w:szCs w:val="32"/>
          <w:u w:val="none"/>
          <w:lang w:val="en-US" w:eastAsia="zh-CN"/>
        </w:rPr>
        <w:t>3</w:t>
      </w:r>
      <w:r>
        <w:rPr>
          <w:rFonts w:hint="eastAsia" w:ascii="仿宋_GB2312" w:hAnsi="仿宋_GB2312" w:eastAsia="仿宋_GB2312" w:cs="仿宋_GB2312"/>
          <w:spacing w:val="0"/>
          <w:w w:val="100"/>
          <w:sz w:val="32"/>
          <w:szCs w:val="32"/>
          <w:u w:val="none"/>
        </w:rPr>
        <w:t>个、公证员8人，司法鉴定机构1个、司法鉴定人</w:t>
      </w:r>
      <w:r>
        <w:rPr>
          <w:rFonts w:hint="eastAsia" w:ascii="仿宋_GB2312" w:hAnsi="仿宋_GB2312" w:eastAsia="仿宋_GB2312" w:cs="仿宋_GB2312"/>
          <w:spacing w:val="0"/>
          <w:w w:val="100"/>
          <w:sz w:val="32"/>
          <w:szCs w:val="32"/>
          <w:u w:val="none"/>
          <w:lang w:val="en-US" w:eastAsia="zh-CN"/>
        </w:rPr>
        <w:t>20</w:t>
      </w:r>
      <w:r>
        <w:rPr>
          <w:rFonts w:hint="eastAsia" w:ascii="仿宋_GB2312" w:hAnsi="仿宋_GB2312" w:eastAsia="仿宋_GB2312" w:cs="仿宋_GB2312"/>
          <w:spacing w:val="0"/>
          <w:w w:val="100"/>
          <w:sz w:val="32"/>
          <w:szCs w:val="32"/>
          <w:u w:val="none"/>
        </w:rPr>
        <w:t>人，民商事仲裁机构1个、</w:t>
      </w:r>
      <w:r>
        <w:rPr>
          <w:rFonts w:hint="eastAsia" w:ascii="仿宋_GB2312" w:hAnsi="仿宋_GB2312" w:eastAsia="仿宋_GB2312" w:cs="仿宋_GB2312"/>
          <w:spacing w:val="0"/>
          <w:w w:val="100"/>
          <w:sz w:val="32"/>
          <w:szCs w:val="32"/>
          <w:u w:val="none"/>
          <w:lang w:eastAsia="zh-CN"/>
        </w:rPr>
        <w:t>防城港</w:t>
      </w:r>
      <w:r>
        <w:rPr>
          <w:rFonts w:hint="eastAsia" w:ascii="仿宋_GB2312" w:hAnsi="仿宋_GB2312" w:eastAsia="仿宋_GB2312" w:cs="仿宋_GB2312"/>
          <w:spacing w:val="0"/>
          <w:w w:val="100"/>
          <w:sz w:val="32"/>
          <w:szCs w:val="32"/>
          <w:u w:val="none"/>
        </w:rPr>
        <w:t>仲裁委员会仲裁员</w:t>
      </w:r>
      <w:r>
        <w:rPr>
          <w:rFonts w:hint="eastAsia" w:ascii="仿宋_GB2312" w:hAnsi="仿宋_GB2312" w:eastAsia="仿宋_GB2312" w:cs="仿宋_GB2312"/>
          <w:spacing w:val="0"/>
          <w:w w:val="100"/>
          <w:sz w:val="32"/>
          <w:szCs w:val="32"/>
          <w:u w:val="none"/>
          <w:lang w:val="en-US" w:eastAsia="zh-CN"/>
        </w:rPr>
        <w:t>37</w:t>
      </w:r>
      <w:r>
        <w:rPr>
          <w:rFonts w:hint="eastAsia" w:ascii="仿宋_GB2312" w:hAnsi="仿宋_GB2312" w:eastAsia="仿宋_GB2312" w:cs="仿宋_GB2312"/>
          <w:spacing w:val="0"/>
          <w:w w:val="100"/>
          <w:sz w:val="32"/>
          <w:szCs w:val="32"/>
          <w:u w:val="none"/>
        </w:rPr>
        <w:t>人，人民调解组织</w:t>
      </w:r>
      <w:r>
        <w:rPr>
          <w:rFonts w:hint="eastAsia" w:ascii="仿宋_GB2312" w:hAnsi="仿宋_GB2312" w:eastAsia="仿宋_GB2312" w:cs="仿宋_GB2312"/>
          <w:spacing w:val="0"/>
          <w:w w:val="100"/>
          <w:sz w:val="32"/>
          <w:szCs w:val="32"/>
          <w:u w:val="none"/>
          <w:lang w:val="en-US" w:eastAsia="zh-CN"/>
        </w:rPr>
        <w:t>392</w:t>
      </w:r>
      <w:r>
        <w:rPr>
          <w:rFonts w:hint="eastAsia" w:ascii="仿宋_GB2312" w:hAnsi="仿宋_GB2312" w:eastAsia="仿宋_GB2312" w:cs="仿宋_GB2312"/>
          <w:spacing w:val="0"/>
          <w:w w:val="100"/>
          <w:sz w:val="32"/>
          <w:szCs w:val="32"/>
          <w:u w:val="none"/>
        </w:rPr>
        <w:t>个、人民调解员</w:t>
      </w:r>
      <w:r>
        <w:rPr>
          <w:rFonts w:hint="eastAsia" w:ascii="仿宋_GB2312" w:hAnsi="仿宋_GB2312" w:eastAsia="仿宋_GB2312" w:cs="仿宋_GB2312"/>
          <w:spacing w:val="0"/>
          <w:w w:val="100"/>
          <w:sz w:val="32"/>
          <w:szCs w:val="32"/>
          <w:u w:val="none"/>
          <w:lang w:val="en-US" w:eastAsia="zh-CN"/>
        </w:rPr>
        <w:t>2263</w:t>
      </w:r>
      <w:r>
        <w:rPr>
          <w:rFonts w:hint="eastAsia" w:ascii="仿宋_GB2312" w:hAnsi="仿宋_GB2312" w:eastAsia="仿宋_GB2312" w:cs="仿宋_GB2312"/>
          <w:spacing w:val="0"/>
          <w:w w:val="100"/>
          <w:sz w:val="32"/>
          <w:szCs w:val="32"/>
          <w:u w:val="none"/>
        </w:rPr>
        <w:t>人</w:t>
      </w:r>
      <w:r>
        <w:rPr>
          <w:rFonts w:hint="eastAsia" w:ascii="仿宋_GB2312" w:hAnsi="仿宋_GB2312" w:eastAsia="仿宋_GB2312" w:cs="仿宋_GB2312"/>
          <w:spacing w:val="0"/>
          <w:w w:val="100"/>
          <w:sz w:val="32"/>
          <w:szCs w:val="32"/>
          <w:u w:val="none"/>
          <w:lang w:eastAsia="zh-CN"/>
        </w:rPr>
        <w:t>。</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pacing w:val="0"/>
          <w:w w:val="100"/>
          <w:sz w:val="32"/>
          <w:szCs w:val="32"/>
          <w:u w:val="none"/>
        </w:rPr>
      </w:pPr>
      <w:r>
        <w:rPr>
          <w:rFonts w:hint="eastAsia" w:ascii="黑体" w:hAnsi="黑体" w:eastAsia="黑体" w:cs="黑体"/>
          <w:spacing w:val="0"/>
          <w:w w:val="100"/>
          <w:sz w:val="32"/>
          <w:szCs w:val="32"/>
          <w:u w:val="none"/>
          <w:lang w:eastAsia="zh-CN"/>
        </w:rPr>
        <w:t>——</w:t>
      </w:r>
      <w:r>
        <w:rPr>
          <w:rFonts w:hint="eastAsia" w:ascii="仿宋_GB2312" w:hAnsi="仿宋_GB2312" w:eastAsia="仿宋_GB2312" w:cs="仿宋_GB2312"/>
          <w:spacing w:val="0"/>
          <w:w w:val="100"/>
          <w:sz w:val="32"/>
          <w:szCs w:val="32"/>
          <w:u w:val="none"/>
        </w:rPr>
        <w:t>公共法律服务实体平台架构基本形成。近年来，依托县（</w:t>
      </w:r>
      <w:r>
        <w:rPr>
          <w:rFonts w:hint="eastAsia" w:ascii="仿宋_GB2312" w:hAnsi="仿宋_GB2312" w:eastAsia="仿宋_GB2312" w:cs="仿宋_GB2312"/>
          <w:spacing w:val="0"/>
          <w:w w:val="100"/>
          <w:sz w:val="32"/>
          <w:szCs w:val="32"/>
          <w:u w:val="none"/>
          <w:lang w:eastAsia="zh-CN"/>
        </w:rPr>
        <w:t>市、</w:t>
      </w:r>
      <w:r>
        <w:rPr>
          <w:rFonts w:hint="eastAsia" w:ascii="仿宋_GB2312" w:hAnsi="仿宋_GB2312" w:eastAsia="仿宋_GB2312" w:cs="仿宋_GB2312"/>
          <w:spacing w:val="0"/>
          <w:w w:val="100"/>
          <w:sz w:val="32"/>
          <w:szCs w:val="32"/>
          <w:u w:val="none"/>
        </w:rPr>
        <w:t>区）司法局、司法所、法律援助中心、综治中心、村（居）委等，初步构建了市、县、乡、村四级公共法律服务实体平台</w:t>
      </w:r>
      <w:r>
        <w:rPr>
          <w:rFonts w:hint="eastAsia" w:ascii="仿宋_GB2312" w:hAnsi="仿宋_GB2312" w:eastAsia="仿宋_GB2312" w:cs="仿宋_GB2312"/>
          <w:spacing w:val="0"/>
          <w:w w:val="100"/>
          <w:sz w:val="32"/>
          <w:szCs w:val="32"/>
          <w:u w:val="none"/>
          <w:lang w:eastAsia="zh-CN"/>
        </w:rPr>
        <w:t>。针对特殊领域需求，在法院、检察院、看守所、部队、人社局等部门设立法律援助工作站。</w:t>
      </w:r>
      <w:r>
        <w:rPr>
          <w:rFonts w:hint="eastAsia" w:ascii="仿宋_GB2312" w:hAnsi="仿宋_GB2312" w:eastAsia="仿宋_GB2312" w:cs="仿宋_GB2312"/>
          <w:spacing w:val="0"/>
          <w:w w:val="100"/>
          <w:sz w:val="32"/>
          <w:szCs w:val="32"/>
          <w:u w:val="none"/>
        </w:rPr>
        <w:t>探索了相关工作机制，为加快推进公共法律服务体系建设奠定了一定的基础。</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16" w:firstLineChars="200"/>
        <w:jc w:val="both"/>
        <w:textAlignment w:val="auto"/>
        <w:rPr>
          <w:rFonts w:hint="eastAsia" w:ascii="仿宋_GB2312" w:hAnsi="仿宋_GB2312" w:eastAsia="仿宋_GB2312" w:cs="仿宋_GB2312"/>
          <w:spacing w:val="0"/>
          <w:w w:val="100"/>
          <w:sz w:val="32"/>
          <w:szCs w:val="32"/>
          <w:u w:val="none"/>
        </w:rPr>
      </w:pPr>
      <w:r>
        <w:rPr>
          <w:rFonts w:hint="eastAsia" w:ascii="黑体" w:hAnsi="黑体" w:eastAsia="黑体" w:cs="黑体"/>
          <w:spacing w:val="-6"/>
          <w:w w:val="100"/>
          <w:sz w:val="32"/>
          <w:szCs w:val="32"/>
          <w:u w:val="none"/>
          <w:lang w:eastAsia="zh-CN"/>
        </w:rPr>
        <w:t>——</w:t>
      </w:r>
      <w:r>
        <w:rPr>
          <w:rFonts w:hint="eastAsia" w:ascii="仿宋_GB2312" w:hAnsi="仿宋_GB2312" w:eastAsia="仿宋_GB2312" w:cs="仿宋_GB2312"/>
          <w:spacing w:val="-6"/>
          <w:w w:val="100"/>
          <w:sz w:val="32"/>
          <w:szCs w:val="32"/>
          <w:u w:val="none"/>
        </w:rPr>
        <w:t>公共法律服务热线平台</w:t>
      </w:r>
      <w:r>
        <w:rPr>
          <w:rFonts w:hint="eastAsia" w:ascii="仿宋_GB2312" w:hAnsi="仿宋_GB2312" w:eastAsia="仿宋_GB2312" w:cs="仿宋_GB2312"/>
          <w:spacing w:val="-6"/>
          <w:w w:val="100"/>
          <w:sz w:val="32"/>
          <w:szCs w:val="32"/>
          <w:u w:val="none"/>
          <w:lang w:eastAsia="zh-CN"/>
        </w:rPr>
        <w:t>统领功能明显。</w:t>
      </w:r>
      <w:r>
        <w:rPr>
          <w:rFonts w:hint="eastAsia" w:ascii="仿宋_GB2312" w:hAnsi="仿宋_GB2312" w:eastAsia="仿宋_GB2312" w:cs="仿宋_GB2312"/>
          <w:spacing w:val="-6"/>
          <w:w w:val="100"/>
          <w:sz w:val="32"/>
          <w:szCs w:val="32"/>
          <w:u w:val="none"/>
        </w:rPr>
        <w:t>依托广西“12348”</w:t>
      </w:r>
      <w:r>
        <w:rPr>
          <w:rFonts w:hint="eastAsia" w:ascii="仿宋_GB2312" w:hAnsi="仿宋_GB2312" w:eastAsia="仿宋_GB2312" w:cs="仿宋_GB2312"/>
          <w:spacing w:val="0"/>
          <w:w w:val="100"/>
          <w:sz w:val="32"/>
          <w:szCs w:val="32"/>
          <w:u w:val="none"/>
        </w:rPr>
        <w:t>公共法律服务热线，自主开通</w:t>
      </w:r>
      <w:r>
        <w:rPr>
          <w:rFonts w:hint="eastAsia" w:ascii="仿宋_GB2312" w:hAnsi="仿宋_GB2312" w:eastAsia="仿宋_GB2312" w:cs="仿宋_GB2312"/>
          <w:spacing w:val="0"/>
          <w:w w:val="100"/>
          <w:sz w:val="32"/>
          <w:szCs w:val="32"/>
          <w:u w:val="none"/>
          <w:lang w:eastAsia="zh-CN"/>
        </w:rPr>
        <w:t>建设法律援助律师视频值班系统，提供律师“一对一”法律咨询服务，群众随时随地可拨打热线或者与律师视频</w:t>
      </w:r>
      <w:r>
        <w:rPr>
          <w:rFonts w:hint="eastAsia" w:ascii="仿宋_GB2312" w:hAnsi="仿宋_GB2312" w:eastAsia="仿宋_GB2312" w:cs="仿宋_GB2312"/>
          <w:spacing w:val="0"/>
          <w:w w:val="100"/>
          <w:sz w:val="32"/>
          <w:szCs w:val="32"/>
          <w:u w:val="none"/>
          <w:lang w:val="en-US" w:eastAsia="zh-CN"/>
        </w:rPr>
        <w:t>通话</w:t>
      </w:r>
      <w:r>
        <w:rPr>
          <w:rFonts w:hint="eastAsia" w:ascii="仿宋_GB2312" w:hAnsi="仿宋_GB2312" w:eastAsia="仿宋_GB2312" w:cs="仿宋_GB2312"/>
          <w:spacing w:val="0"/>
          <w:w w:val="100"/>
          <w:sz w:val="32"/>
          <w:szCs w:val="32"/>
          <w:u w:val="none"/>
          <w:lang w:eastAsia="zh-CN"/>
        </w:rPr>
        <w:t>获取免费法律咨询服务，累计解答群众法律咨询2万多人次</w:t>
      </w:r>
      <w:r>
        <w:rPr>
          <w:rFonts w:hint="eastAsia" w:ascii="仿宋_GB2312" w:hAnsi="仿宋_GB2312" w:eastAsia="仿宋_GB2312" w:cs="仿宋_GB2312"/>
          <w:spacing w:val="0"/>
          <w:w w:val="100"/>
          <w:sz w:val="32"/>
          <w:szCs w:val="32"/>
          <w:u w:val="none"/>
        </w:rPr>
        <w:t>。</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default" w:ascii="Times New Roman" w:hAnsi="Times New Roman" w:eastAsia="楷体_GB2312" w:cs="Times New Roman"/>
          <w:spacing w:val="0"/>
          <w:w w:val="100"/>
          <w:sz w:val="32"/>
          <w:szCs w:val="32"/>
        </w:rPr>
      </w:pP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default" w:ascii="Times New Roman" w:hAnsi="Times New Roman" w:eastAsia="楷体_GB2312" w:cs="Times New Roman"/>
          <w:spacing w:val="0"/>
          <w:w w:val="100"/>
          <w:sz w:val="32"/>
          <w:szCs w:val="32"/>
        </w:rPr>
      </w:pPr>
      <w:r>
        <w:rPr>
          <w:rFonts w:hint="default" w:ascii="Times New Roman" w:hAnsi="Times New Roman" w:eastAsia="楷体_GB2312" w:cs="Times New Roman"/>
          <w:spacing w:val="0"/>
          <w:w w:val="100"/>
          <w:sz w:val="32"/>
          <w:szCs w:val="32"/>
        </w:rPr>
        <w:t xml:space="preserve">第二节 </w:t>
      </w:r>
      <w:r>
        <w:rPr>
          <w:rFonts w:hint="eastAsia" w:ascii="Times New Roman" w:hAnsi="Times New Roman" w:eastAsia="楷体_GB2312" w:cs="Times New Roman"/>
          <w:spacing w:val="0"/>
          <w:w w:val="100"/>
          <w:sz w:val="32"/>
          <w:szCs w:val="32"/>
          <w:lang w:val="en-US" w:eastAsia="zh-CN"/>
        </w:rPr>
        <w:t xml:space="preserve"> </w:t>
      </w:r>
      <w:r>
        <w:rPr>
          <w:rFonts w:hint="default" w:ascii="Times New Roman" w:hAnsi="Times New Roman" w:eastAsia="楷体_GB2312" w:cs="Times New Roman"/>
          <w:spacing w:val="0"/>
          <w:w w:val="100"/>
          <w:sz w:val="32"/>
          <w:szCs w:val="32"/>
        </w:rPr>
        <w:t>挑战和机遇</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1"/>
        <w:jc w:val="both"/>
        <w:textAlignment w:val="auto"/>
        <w:rPr>
          <w:rFonts w:hint="default" w:ascii="Times New Roman" w:hAnsi="Times New Roman" w:eastAsia="仿宋_GB2312" w:cs="Times New Roman"/>
          <w:spacing w:val="0"/>
          <w:w w:val="100"/>
          <w:sz w:val="32"/>
          <w:szCs w:val="32"/>
          <w:u w:val="none"/>
          <w:lang w:eastAsia="zh-CN"/>
        </w:rPr>
      </w:pPr>
      <w:r>
        <w:rPr>
          <w:rFonts w:hint="default" w:ascii="Times New Roman" w:hAnsi="Times New Roman" w:eastAsia="仿宋_GB2312" w:cs="Times New Roman"/>
          <w:spacing w:val="0"/>
          <w:w w:val="100"/>
          <w:sz w:val="32"/>
          <w:szCs w:val="32"/>
          <w:u w:val="none"/>
          <w:lang w:eastAsia="zh-CN"/>
        </w:rPr>
        <w:t>防城港市公共法律服务体系建设虽然取得一定进展，但发展不充分、不平衡、不协调，公共法律服务事业总体落后，距离人民群众日益增长的公共法律服务需求还有很大差距，跟不上新时期防城港改革开放发展形势，我市公共法律服务体系建设面临形势</w:t>
      </w:r>
      <w:r>
        <w:rPr>
          <w:rFonts w:hint="default" w:ascii="Times New Roman" w:hAnsi="Times New Roman" w:eastAsia="仿宋_GB2312" w:cs="Times New Roman"/>
          <w:spacing w:val="0"/>
          <w:w w:val="100"/>
          <w:sz w:val="32"/>
          <w:szCs w:val="32"/>
          <w:u w:val="none"/>
          <w:lang w:val="en-US" w:eastAsia="zh-CN"/>
        </w:rPr>
        <w:t>不容乐观</w:t>
      </w:r>
      <w:r>
        <w:rPr>
          <w:rFonts w:hint="default" w:ascii="Times New Roman" w:hAnsi="Times New Roman" w:eastAsia="仿宋_GB2312" w:cs="Times New Roman"/>
          <w:spacing w:val="0"/>
          <w:w w:val="100"/>
          <w:sz w:val="32"/>
          <w:szCs w:val="32"/>
          <w:u w:val="none"/>
          <w:lang w:eastAsia="zh-CN"/>
        </w:rPr>
        <w:t>。</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1"/>
        <w:jc w:val="both"/>
        <w:textAlignment w:val="auto"/>
        <w:rPr>
          <w:rFonts w:hint="default" w:ascii="Times New Roman" w:hAnsi="Times New Roman" w:eastAsia="仿宋_GB2312" w:cs="Times New Roman"/>
          <w:spacing w:val="0"/>
          <w:w w:val="100"/>
          <w:sz w:val="32"/>
          <w:szCs w:val="32"/>
          <w:u w:val="none"/>
          <w:lang w:eastAsia="zh-CN"/>
        </w:rPr>
      </w:pPr>
      <w:r>
        <w:rPr>
          <w:rFonts w:hint="eastAsia" w:ascii="黑体" w:hAnsi="黑体" w:eastAsia="黑体" w:cs="黑体"/>
          <w:spacing w:val="0"/>
          <w:w w:val="100"/>
          <w:sz w:val="32"/>
          <w:szCs w:val="32"/>
          <w:u w:val="none"/>
          <w:lang w:eastAsia="zh-CN"/>
        </w:rPr>
        <w:t>——</w:t>
      </w:r>
      <w:r>
        <w:rPr>
          <w:rFonts w:hint="eastAsia" w:ascii="仿宋_GB2312" w:hAnsi="仿宋_GB2312" w:eastAsia="仿宋_GB2312" w:cs="仿宋_GB2312"/>
          <w:spacing w:val="0"/>
          <w:w w:val="100"/>
          <w:sz w:val="32"/>
          <w:szCs w:val="32"/>
          <w:u w:val="none"/>
          <w:lang w:eastAsia="zh-CN"/>
        </w:rPr>
        <w:t>公共法律服务资源总量不足且发展不均衡。全市公共法律服务资源总量少，城乡之间差距较大。律师人数少且分布不均衡，2020年底全市每万人拥有律师2.</w:t>
      </w:r>
      <w:r>
        <w:rPr>
          <w:rFonts w:hint="eastAsia" w:ascii="仿宋_GB2312" w:hAnsi="仿宋_GB2312" w:eastAsia="仿宋_GB2312" w:cs="仿宋_GB2312"/>
          <w:spacing w:val="0"/>
          <w:w w:val="100"/>
          <w:sz w:val="32"/>
          <w:szCs w:val="32"/>
          <w:u w:val="none"/>
          <w:lang w:val="en-US" w:eastAsia="zh-CN"/>
        </w:rPr>
        <w:t>07</w:t>
      </w:r>
      <w:r>
        <w:rPr>
          <w:rFonts w:hint="eastAsia" w:ascii="仿宋_GB2312" w:hAnsi="仿宋_GB2312" w:eastAsia="仿宋_GB2312" w:cs="仿宋_GB2312"/>
          <w:spacing w:val="0"/>
          <w:w w:val="100"/>
          <w:sz w:val="32"/>
          <w:szCs w:val="32"/>
          <w:u w:val="none"/>
          <w:lang w:eastAsia="zh-CN"/>
        </w:rPr>
        <w:t>人，远低于司法部的标准（每万人拥有律师5</w:t>
      </w:r>
      <w:r>
        <w:rPr>
          <w:rFonts w:hint="eastAsia" w:ascii="仿宋_GB2312" w:hAnsi="仿宋_GB2312" w:eastAsia="仿宋_GB2312" w:cs="仿宋_GB2312"/>
          <w:spacing w:val="0"/>
          <w:w w:val="100"/>
          <w:sz w:val="32"/>
          <w:szCs w:val="32"/>
          <w:u w:val="none"/>
          <w:lang w:val="en-US" w:eastAsia="zh-CN"/>
        </w:rPr>
        <w:t>.</w:t>
      </w:r>
      <w:r>
        <w:rPr>
          <w:rFonts w:hint="eastAsia" w:ascii="仿宋_GB2312" w:hAnsi="仿宋_GB2312" w:eastAsia="仿宋_GB2312" w:cs="仿宋_GB2312"/>
          <w:spacing w:val="0"/>
          <w:w w:val="100"/>
          <w:sz w:val="32"/>
          <w:szCs w:val="32"/>
          <w:u w:val="none"/>
          <w:lang w:eastAsia="zh-CN"/>
        </w:rPr>
        <w:t>3人），80%的律师主要集中在市区。法律人才从事公证行业意愿普遍较低，公证员队伍</w:t>
      </w:r>
      <w:r>
        <w:rPr>
          <w:rFonts w:hint="eastAsia" w:ascii="仿宋_GB2312" w:hAnsi="仿宋_GB2312" w:eastAsia="仿宋_GB2312" w:cs="仿宋_GB2312"/>
          <w:spacing w:val="0"/>
          <w:w w:val="100"/>
          <w:sz w:val="32"/>
          <w:szCs w:val="32"/>
          <w:u w:val="none"/>
          <w:lang w:val="en-US" w:eastAsia="zh-CN"/>
        </w:rPr>
        <w:t>力量</w:t>
      </w:r>
      <w:r>
        <w:rPr>
          <w:rFonts w:hint="eastAsia" w:ascii="仿宋_GB2312" w:hAnsi="仿宋_GB2312" w:eastAsia="仿宋_GB2312" w:cs="仿宋_GB2312"/>
          <w:spacing w:val="0"/>
          <w:w w:val="100"/>
          <w:sz w:val="32"/>
          <w:szCs w:val="32"/>
          <w:u w:val="none"/>
          <w:lang w:eastAsia="zh-CN"/>
        </w:rPr>
        <w:t>薄弱，全市仅</w:t>
      </w:r>
      <w:r>
        <w:rPr>
          <w:rFonts w:hint="eastAsia" w:ascii="仿宋_GB2312" w:hAnsi="仿宋_GB2312" w:eastAsia="仿宋_GB2312" w:cs="仿宋_GB2312"/>
          <w:spacing w:val="0"/>
          <w:w w:val="100"/>
          <w:sz w:val="32"/>
          <w:szCs w:val="32"/>
          <w:u w:val="none"/>
          <w:lang w:val="en-US" w:eastAsia="zh-CN"/>
        </w:rPr>
        <w:t>8名公证员且</w:t>
      </w:r>
      <w:r>
        <w:rPr>
          <w:rFonts w:hint="eastAsia" w:ascii="仿宋_GB2312" w:hAnsi="仿宋_GB2312" w:eastAsia="仿宋_GB2312" w:cs="仿宋_GB2312"/>
          <w:spacing w:val="0"/>
          <w:w w:val="100"/>
          <w:sz w:val="32"/>
          <w:szCs w:val="32"/>
          <w:u w:val="none"/>
          <w:lang w:eastAsia="zh-CN"/>
        </w:rPr>
        <w:t>年龄偏大，50岁以上公证员占比达</w:t>
      </w:r>
      <w:r>
        <w:rPr>
          <w:rFonts w:hint="eastAsia" w:ascii="仿宋_GB2312" w:hAnsi="仿宋_GB2312" w:eastAsia="仿宋_GB2312" w:cs="仿宋_GB2312"/>
          <w:spacing w:val="0"/>
          <w:w w:val="100"/>
          <w:sz w:val="32"/>
          <w:szCs w:val="32"/>
          <w:u w:val="none"/>
          <w:lang w:val="en-US" w:eastAsia="zh-CN"/>
        </w:rPr>
        <w:t>8</w:t>
      </w:r>
      <w:r>
        <w:rPr>
          <w:rFonts w:hint="eastAsia" w:ascii="仿宋_GB2312" w:hAnsi="仿宋_GB2312" w:eastAsia="仿宋_GB2312" w:cs="仿宋_GB2312"/>
          <w:spacing w:val="0"/>
          <w:w w:val="100"/>
          <w:sz w:val="32"/>
          <w:szCs w:val="32"/>
          <w:u w:val="none"/>
          <w:lang w:eastAsia="zh-CN"/>
        </w:rPr>
        <w:t>7.5%。全市仅有1 家司法鉴定机构，能够开展的鉴定项目有限。司法所缺员较多，全市共有30个司法所，其中仅有</w:t>
      </w:r>
      <w:r>
        <w:rPr>
          <w:rFonts w:hint="eastAsia" w:ascii="仿宋_GB2312" w:hAnsi="仿宋_GB2312" w:eastAsia="仿宋_GB2312" w:cs="仿宋_GB2312"/>
          <w:spacing w:val="0"/>
          <w:w w:val="100"/>
          <w:sz w:val="32"/>
          <w:szCs w:val="32"/>
          <w:u w:val="none"/>
          <w:lang w:val="en-US" w:eastAsia="zh-CN"/>
        </w:rPr>
        <w:t>1人在编的司法所共25个，</w:t>
      </w:r>
      <w:r>
        <w:rPr>
          <w:rFonts w:hint="eastAsia" w:ascii="仿宋_GB2312" w:hAnsi="仿宋_GB2312" w:eastAsia="仿宋_GB2312" w:cs="仿宋_GB2312"/>
          <w:spacing w:val="0"/>
          <w:w w:val="100"/>
          <w:sz w:val="32"/>
          <w:szCs w:val="32"/>
          <w:u w:val="none"/>
          <w:lang w:eastAsia="zh-CN"/>
        </w:rPr>
        <w:t>司法所人员配备</w:t>
      </w:r>
      <w:r>
        <w:rPr>
          <w:rFonts w:hint="eastAsia" w:ascii="仿宋_GB2312" w:hAnsi="仿宋_GB2312" w:eastAsia="仿宋_GB2312" w:cs="仿宋_GB2312"/>
          <w:spacing w:val="0"/>
          <w:w w:val="100"/>
          <w:sz w:val="32"/>
          <w:szCs w:val="32"/>
          <w:u w:val="none"/>
          <w:lang w:val="en-US" w:eastAsia="zh-CN"/>
        </w:rPr>
        <w:t>远达不到</w:t>
      </w:r>
      <w:r>
        <w:rPr>
          <w:rFonts w:hint="eastAsia" w:ascii="仿宋_GB2312" w:hAnsi="仿宋_GB2312" w:eastAsia="仿宋_GB2312" w:cs="仿宋_GB2312"/>
          <w:spacing w:val="0"/>
          <w:w w:val="100"/>
          <w:sz w:val="32"/>
          <w:szCs w:val="32"/>
          <w:u w:val="none"/>
          <w:lang w:eastAsia="zh-CN"/>
        </w:rPr>
        <w:t>司法部的要求（司法部要求每所3</w:t>
      </w:r>
      <w:r>
        <w:rPr>
          <w:rFonts w:hint="eastAsia" w:hAnsi="仿宋_GB2312" w:cs="仿宋_GB2312"/>
          <w:spacing w:val="0"/>
          <w:w w:val="100"/>
          <w:sz w:val="32"/>
          <w:szCs w:val="32"/>
          <w:u w:val="none"/>
          <w:lang w:val="en-US" w:eastAsia="zh-CN"/>
        </w:rPr>
        <w:t>-</w:t>
      </w:r>
      <w:r>
        <w:rPr>
          <w:rFonts w:hint="eastAsia" w:ascii="仿宋_GB2312" w:hAnsi="仿宋_GB2312" w:eastAsia="仿宋_GB2312" w:cs="仿宋_GB2312"/>
          <w:spacing w:val="0"/>
          <w:w w:val="100"/>
          <w:sz w:val="32"/>
          <w:szCs w:val="32"/>
          <w:u w:val="none"/>
          <w:lang w:eastAsia="zh-CN"/>
        </w:rPr>
        <w:t>5人）。基层公共法律服务资源缺乏，公共法律服务工作在县级以下推进缓慢。</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1"/>
        <w:jc w:val="both"/>
        <w:textAlignment w:val="auto"/>
        <w:rPr>
          <w:rFonts w:hint="eastAsia" w:ascii="仿宋_GB2312" w:hAnsi="仿宋_GB2312" w:eastAsia="仿宋_GB2312" w:cs="仿宋_GB2312"/>
          <w:spacing w:val="0"/>
          <w:w w:val="100"/>
          <w:sz w:val="32"/>
          <w:szCs w:val="32"/>
          <w:u w:val="none"/>
        </w:rPr>
      </w:pPr>
      <w:r>
        <w:rPr>
          <w:rFonts w:hint="eastAsia" w:ascii="黑体" w:hAnsi="黑体" w:eastAsia="黑体" w:cs="黑体"/>
          <w:spacing w:val="0"/>
          <w:w w:val="100"/>
          <w:sz w:val="32"/>
          <w:szCs w:val="32"/>
          <w:u w:val="none"/>
          <w:lang w:eastAsia="zh-CN"/>
        </w:rPr>
        <w:t>——</w:t>
      </w:r>
      <w:r>
        <w:rPr>
          <w:rFonts w:hint="eastAsia" w:ascii="仿宋_GB2312" w:hAnsi="仿宋_GB2312" w:eastAsia="仿宋_GB2312" w:cs="仿宋_GB2312"/>
          <w:spacing w:val="0"/>
          <w:w w:val="100"/>
          <w:sz w:val="32"/>
          <w:szCs w:val="32"/>
          <w:u w:val="none"/>
          <w:lang w:eastAsia="zh-CN"/>
        </w:rPr>
        <w:t>公共法律服务供给体制机制不健全。公共法律服务系统性发展水平有待提高，法治宣传教育、律师、公证、法律援助、基层法律服务、法律顾问、调解、仲裁、司法鉴定、法律职业资格考试等业务呈线条化、碎片化特点，整合资源和协调推进难度大，供给能力跟不上新形势立体化发展需求。市</w:t>
      </w:r>
      <w:r>
        <w:rPr>
          <w:rFonts w:hint="eastAsia" w:ascii="仿宋_GB2312" w:hAnsi="仿宋_GB2312" w:eastAsia="仿宋_GB2312" w:cs="仿宋_GB2312"/>
          <w:spacing w:val="0"/>
          <w:w w:val="100"/>
          <w:sz w:val="32"/>
          <w:szCs w:val="32"/>
          <w:u w:val="none"/>
          <w:lang w:val="en-US" w:eastAsia="zh-CN"/>
        </w:rPr>
        <w:t>县两级</w:t>
      </w:r>
      <w:r>
        <w:rPr>
          <w:rFonts w:hint="eastAsia" w:ascii="仿宋_GB2312" w:hAnsi="仿宋_GB2312" w:eastAsia="仿宋_GB2312" w:cs="仿宋_GB2312"/>
          <w:spacing w:val="0"/>
          <w:w w:val="100"/>
          <w:sz w:val="32"/>
          <w:szCs w:val="32"/>
          <w:u w:val="none"/>
          <w:lang w:eastAsia="zh-CN"/>
        </w:rPr>
        <w:t>公共法律服务中心基础设施设备不齐全，规范化建设滞后。公共法律服务实体平台建设落后，未能实现互联互通，服务数据无法实时共享。司法鉴定行业投入大、风险大、收入偏低，出资人投入意愿不足，行业整体发展缓慢，满足不了诉讼需求。公证机构因体制机制的局限，公证员人数偏少，满足不了社会需求。乡镇、村（居）基层人民调解员专业素质培养的机制不够健全，人民调解工作规范化建设有待加强。公共法律服务宣传机制不完善，宣传形式内容相对单一，群众对公共法律服务的知晓率不高，供需“链条”连接不够好。</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jc w:val="both"/>
        <w:textAlignment w:val="auto"/>
        <w:rPr>
          <w:rFonts w:hint="default" w:ascii="Times New Roman" w:hAnsi="Times New Roman" w:cs="Times New Roman"/>
          <w:spacing w:val="0"/>
          <w:w w:val="100"/>
          <w:sz w:val="32"/>
          <w:szCs w:val="32"/>
          <w:u w:val="none"/>
        </w:rPr>
      </w:pPr>
      <w:r>
        <w:rPr>
          <w:rFonts w:hint="eastAsia" w:ascii="黑体" w:hAnsi="黑体" w:eastAsia="黑体" w:cs="黑体"/>
          <w:spacing w:val="0"/>
          <w:w w:val="100"/>
          <w:sz w:val="32"/>
          <w:szCs w:val="32"/>
          <w:u w:val="none"/>
          <w:lang w:eastAsia="zh-CN"/>
        </w:rPr>
        <w:t>——</w:t>
      </w:r>
      <w:r>
        <w:rPr>
          <w:rFonts w:hint="default" w:ascii="Times New Roman" w:hAnsi="Times New Roman" w:eastAsia="仿宋_GB2312" w:cs="Times New Roman"/>
          <w:spacing w:val="0"/>
          <w:w w:val="100"/>
          <w:sz w:val="32"/>
          <w:szCs w:val="32"/>
          <w:u w:val="none"/>
        </w:rPr>
        <w:t>公共法律服务保障体制机制不完善。公共法律服务体系建设经费总体不足，各类专项经费落实不到位，公共法律服务实体平台规范化建设经费普遍缺乏，村（居）法律顾问经费无法稳定保障。公益性法律服务激励保障机制不健全，律师和基层法律服务工作者等人员到</w:t>
      </w:r>
      <w:r>
        <w:rPr>
          <w:rFonts w:hint="default" w:ascii="Times New Roman" w:hAnsi="Times New Roman" w:eastAsia="仿宋_GB2312" w:cs="Times New Roman"/>
          <w:spacing w:val="0"/>
          <w:w w:val="100"/>
          <w:sz w:val="32"/>
          <w:szCs w:val="32"/>
          <w:u w:val="none"/>
          <w:lang w:eastAsia="zh-CN"/>
        </w:rPr>
        <w:t>边远地区和</w:t>
      </w:r>
      <w:r>
        <w:rPr>
          <w:rFonts w:hint="default" w:ascii="Times New Roman" w:hAnsi="Times New Roman" w:eastAsia="仿宋_GB2312" w:cs="Times New Roman"/>
          <w:spacing w:val="0"/>
          <w:w w:val="100"/>
          <w:sz w:val="32"/>
          <w:szCs w:val="32"/>
          <w:u w:val="none"/>
        </w:rPr>
        <w:t>农村地区开展公益性法律服务积极性不高，服务质量难以保障。</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jc w:val="both"/>
        <w:textAlignment w:val="auto"/>
        <w:rPr>
          <w:rFonts w:hint="default" w:ascii="Times New Roman" w:hAnsi="Times New Roman" w:cs="Times New Roman"/>
          <w:spacing w:val="0"/>
          <w:w w:val="100"/>
          <w:sz w:val="32"/>
          <w:szCs w:val="32"/>
          <w:u w:val="none"/>
        </w:rPr>
      </w:pPr>
      <w:r>
        <w:rPr>
          <w:rFonts w:hint="eastAsia" w:ascii="黑体" w:hAnsi="黑体" w:eastAsia="黑体" w:cs="黑体"/>
          <w:spacing w:val="0"/>
          <w:w w:val="100"/>
          <w:sz w:val="32"/>
          <w:szCs w:val="32"/>
          <w:u w:val="none"/>
          <w:lang w:eastAsia="zh-CN"/>
        </w:rPr>
        <w:t>——</w:t>
      </w:r>
      <w:r>
        <w:rPr>
          <w:rFonts w:hint="eastAsia" w:ascii="仿宋_GB2312" w:hAnsi="仿宋_GB2312" w:eastAsia="仿宋_GB2312" w:cs="仿宋_GB2312"/>
          <w:spacing w:val="0"/>
          <w:w w:val="100"/>
          <w:sz w:val="32"/>
          <w:szCs w:val="32"/>
          <w:u w:val="none"/>
        </w:rPr>
        <w:t>专业领域公共法律服务能力不足。在金融、知识产权、涉外等专业法律服务领域以及新型法律服务、高难度法律服务等领域法律人才紧缺，具有领军作用</w:t>
      </w:r>
      <w:r>
        <w:rPr>
          <w:rFonts w:hint="eastAsia" w:ascii="仿宋_GB2312" w:hAnsi="仿宋_GB2312" w:eastAsia="仿宋_GB2312" w:cs="仿宋_GB2312"/>
          <w:spacing w:val="0"/>
          <w:w w:val="100"/>
          <w:sz w:val="32"/>
          <w:szCs w:val="32"/>
          <w:u w:val="none"/>
          <w:lang w:eastAsia="zh-CN"/>
        </w:rPr>
        <w:t>、</w:t>
      </w:r>
      <w:r>
        <w:rPr>
          <w:rFonts w:hint="eastAsia" w:ascii="仿宋_GB2312" w:hAnsi="仿宋_GB2312" w:eastAsia="仿宋_GB2312" w:cs="仿宋_GB2312"/>
          <w:spacing w:val="0"/>
          <w:w w:val="100"/>
          <w:sz w:val="32"/>
          <w:szCs w:val="32"/>
          <w:u w:val="none"/>
          <w:lang w:val="en-US" w:eastAsia="zh-CN"/>
        </w:rPr>
        <w:t>熟悉东盟国家法律</w:t>
      </w:r>
      <w:r>
        <w:rPr>
          <w:rFonts w:hint="eastAsia" w:ascii="仿宋_GB2312" w:hAnsi="仿宋_GB2312" w:eastAsia="仿宋_GB2312" w:cs="仿宋_GB2312"/>
          <w:spacing w:val="0"/>
          <w:w w:val="100"/>
          <w:sz w:val="32"/>
          <w:szCs w:val="32"/>
          <w:u w:val="none"/>
        </w:rPr>
        <w:t>的律师人才不足。全市专职人民调解员</w:t>
      </w:r>
      <w:r>
        <w:rPr>
          <w:rFonts w:hint="eastAsia" w:ascii="仿宋_GB2312" w:hAnsi="仿宋_GB2312" w:eastAsia="仿宋_GB2312" w:cs="仿宋_GB2312"/>
          <w:spacing w:val="0"/>
          <w:w w:val="100"/>
          <w:sz w:val="32"/>
          <w:szCs w:val="32"/>
          <w:u w:val="none"/>
          <w:lang w:val="en-US" w:eastAsia="zh-CN"/>
        </w:rPr>
        <w:t>30</w:t>
      </w:r>
      <w:r>
        <w:rPr>
          <w:rFonts w:hint="eastAsia" w:ascii="仿宋_GB2312" w:hAnsi="仿宋_GB2312" w:eastAsia="仿宋_GB2312" w:cs="仿宋_GB2312"/>
          <w:spacing w:val="0"/>
          <w:w w:val="100"/>
          <w:sz w:val="32"/>
          <w:szCs w:val="32"/>
          <w:u w:val="none"/>
        </w:rPr>
        <w:t>人，仅占总数的1%，</w:t>
      </w:r>
      <w:r>
        <w:rPr>
          <w:rFonts w:hint="eastAsia" w:ascii="仿宋_GB2312" w:hAnsi="仿宋_GB2312" w:eastAsia="仿宋_GB2312" w:cs="仿宋_GB2312"/>
          <w:spacing w:val="0"/>
          <w:w w:val="100"/>
          <w:sz w:val="32"/>
          <w:szCs w:val="32"/>
          <w:u w:val="none"/>
          <w:lang w:val="en-US" w:eastAsia="zh-CN"/>
        </w:rPr>
        <w:t>专职</w:t>
      </w:r>
      <w:r>
        <w:rPr>
          <w:rFonts w:hint="eastAsia" w:ascii="仿宋_GB2312" w:hAnsi="仿宋_GB2312" w:eastAsia="仿宋_GB2312" w:cs="仿宋_GB2312"/>
          <w:spacing w:val="0"/>
          <w:w w:val="100"/>
          <w:sz w:val="32"/>
          <w:szCs w:val="32"/>
          <w:u w:val="none"/>
        </w:rPr>
        <w:t>人民调解员</w:t>
      </w:r>
      <w:r>
        <w:rPr>
          <w:rFonts w:hint="eastAsia" w:ascii="仿宋_GB2312" w:hAnsi="仿宋_GB2312" w:eastAsia="仿宋_GB2312" w:cs="仿宋_GB2312"/>
          <w:spacing w:val="0"/>
          <w:w w:val="100"/>
          <w:sz w:val="32"/>
          <w:szCs w:val="32"/>
          <w:u w:val="none"/>
          <w:lang w:val="en-US" w:eastAsia="zh-CN"/>
        </w:rPr>
        <w:t>严重不足，调解员的</w:t>
      </w:r>
      <w:r>
        <w:rPr>
          <w:rFonts w:hint="eastAsia" w:ascii="仿宋_GB2312" w:hAnsi="仿宋_GB2312" w:eastAsia="仿宋_GB2312" w:cs="仿宋_GB2312"/>
          <w:spacing w:val="0"/>
          <w:w w:val="100"/>
          <w:sz w:val="32"/>
          <w:szCs w:val="32"/>
          <w:u w:val="none"/>
        </w:rPr>
        <w:t>整体能力</w:t>
      </w:r>
      <w:r>
        <w:rPr>
          <w:rFonts w:hint="eastAsia" w:ascii="仿宋_GB2312" w:hAnsi="仿宋_GB2312" w:eastAsia="仿宋_GB2312" w:cs="仿宋_GB2312"/>
          <w:spacing w:val="0"/>
          <w:w w:val="100"/>
          <w:sz w:val="32"/>
          <w:szCs w:val="32"/>
          <w:u w:val="none"/>
          <w:lang w:val="en-US" w:eastAsia="zh-CN"/>
        </w:rPr>
        <w:t>和水平</w:t>
      </w:r>
      <w:r>
        <w:rPr>
          <w:rFonts w:hint="eastAsia" w:ascii="仿宋_GB2312" w:hAnsi="仿宋_GB2312" w:eastAsia="仿宋_GB2312" w:cs="仿宋_GB2312"/>
          <w:spacing w:val="0"/>
          <w:w w:val="100"/>
          <w:sz w:val="32"/>
          <w:szCs w:val="32"/>
          <w:u w:val="none"/>
        </w:rPr>
        <w:t>有待</w:t>
      </w:r>
      <w:r>
        <w:rPr>
          <w:rFonts w:hint="eastAsia" w:ascii="仿宋_GB2312" w:hAnsi="仿宋_GB2312" w:eastAsia="仿宋_GB2312" w:cs="仿宋_GB2312"/>
          <w:spacing w:val="0"/>
          <w:w w:val="100"/>
          <w:sz w:val="32"/>
          <w:szCs w:val="32"/>
          <w:u w:val="none"/>
          <w:lang w:val="en-US" w:eastAsia="zh-CN"/>
        </w:rPr>
        <w:t>进一步</w:t>
      </w:r>
      <w:r>
        <w:rPr>
          <w:rFonts w:hint="eastAsia" w:ascii="仿宋_GB2312" w:hAnsi="仿宋_GB2312" w:eastAsia="仿宋_GB2312" w:cs="仿宋_GB2312"/>
          <w:spacing w:val="0"/>
          <w:w w:val="100"/>
          <w:sz w:val="32"/>
          <w:szCs w:val="32"/>
          <w:u w:val="none"/>
        </w:rPr>
        <w:t>提升。司法鉴定机构实力和能力总体水平较低。缺乏具有</w:t>
      </w:r>
      <w:r>
        <w:rPr>
          <w:rFonts w:hint="eastAsia" w:ascii="仿宋_GB2312" w:hAnsi="仿宋_GB2312" w:eastAsia="仿宋_GB2312" w:cs="仿宋_GB2312"/>
          <w:spacing w:val="0"/>
          <w:w w:val="100"/>
          <w:sz w:val="32"/>
          <w:szCs w:val="32"/>
          <w:u w:val="none"/>
          <w:lang w:val="en-US" w:eastAsia="zh-CN"/>
        </w:rPr>
        <w:t>一定</w:t>
      </w:r>
      <w:r>
        <w:rPr>
          <w:rFonts w:hint="eastAsia" w:ascii="仿宋_GB2312" w:hAnsi="仿宋_GB2312" w:eastAsia="仿宋_GB2312" w:cs="仿宋_GB2312"/>
          <w:spacing w:val="0"/>
          <w:w w:val="100"/>
          <w:sz w:val="32"/>
          <w:szCs w:val="32"/>
          <w:u w:val="none"/>
        </w:rPr>
        <w:t>影响力的大型律师事务所、</w:t>
      </w:r>
      <w:r>
        <w:rPr>
          <w:rFonts w:hint="eastAsia" w:ascii="仿宋_GB2312" w:hAnsi="仿宋_GB2312" w:eastAsia="仿宋_GB2312" w:cs="仿宋_GB2312"/>
          <w:spacing w:val="0"/>
          <w:w w:val="100"/>
          <w:sz w:val="32"/>
          <w:szCs w:val="32"/>
          <w:u w:val="none"/>
          <w:lang w:val="en-US" w:eastAsia="zh-CN"/>
        </w:rPr>
        <w:t>仲裁机构、</w:t>
      </w:r>
      <w:r>
        <w:rPr>
          <w:rFonts w:hint="eastAsia" w:ascii="仿宋_GB2312" w:hAnsi="仿宋_GB2312" w:eastAsia="仿宋_GB2312" w:cs="仿宋_GB2312"/>
          <w:spacing w:val="0"/>
          <w:w w:val="100"/>
          <w:sz w:val="32"/>
          <w:szCs w:val="32"/>
          <w:u w:val="none"/>
        </w:rPr>
        <w:t>公证机构。</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pacing w:val="0"/>
          <w:w w:val="100"/>
          <w:sz w:val="32"/>
          <w:szCs w:val="32"/>
          <w:u w:val="none"/>
        </w:rPr>
      </w:pPr>
      <w:r>
        <w:rPr>
          <w:rFonts w:hint="eastAsia" w:ascii="黑体" w:hAnsi="黑体" w:eastAsia="黑体" w:cs="黑体"/>
          <w:spacing w:val="0"/>
          <w:w w:val="100"/>
          <w:sz w:val="32"/>
          <w:szCs w:val="32"/>
          <w:u w:val="none"/>
          <w:lang w:eastAsia="zh-CN"/>
        </w:rPr>
        <w:t>——</w:t>
      </w:r>
      <w:r>
        <w:rPr>
          <w:rFonts w:hint="eastAsia" w:ascii="仿宋_GB2312" w:hAnsi="仿宋_GB2312" w:eastAsia="仿宋_GB2312" w:cs="仿宋_GB2312"/>
          <w:spacing w:val="0"/>
          <w:w w:val="100"/>
          <w:sz w:val="32"/>
          <w:szCs w:val="32"/>
          <w:u w:val="none"/>
        </w:rPr>
        <w:t>公共法律服务信息化水平不高。市级公共法律服务实体、热线、网络平台建设水平较低，融合发展不够，未能发挥全市统率作用，难以适应发展形势需要。全市公共法律服务实体、热线、网络平台融合程度与“一站通办”“一网通办”的要求有差距，标准化、规范化、智能化水平低，在业务转办、资源调度、数据归集、统计分析方面有待完善。</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jc w:val="both"/>
        <w:textAlignment w:val="auto"/>
        <w:rPr>
          <w:rFonts w:hint="eastAsia" w:ascii="仿宋_GB2312" w:hAnsi="仿宋_GB2312" w:eastAsia="仿宋_GB2312" w:cs="仿宋_GB2312"/>
          <w:spacing w:val="0"/>
          <w:w w:val="100"/>
          <w:sz w:val="32"/>
          <w:szCs w:val="32"/>
          <w:u w:val="none"/>
          <w:lang w:eastAsia="zh-CN"/>
        </w:rPr>
      </w:pPr>
      <w:r>
        <w:rPr>
          <w:rFonts w:hint="eastAsia" w:ascii="仿宋_GB2312" w:hAnsi="仿宋_GB2312" w:eastAsia="仿宋_GB2312" w:cs="仿宋_GB2312"/>
          <w:spacing w:val="0"/>
          <w:w w:val="100"/>
          <w:sz w:val="32"/>
          <w:szCs w:val="32"/>
          <w:u w:val="none"/>
        </w:rPr>
        <w:t>“十四五”是我国全面建成小康社会、实现第一个百年奋斗目标之后，乘势而上开启全面建设社会主义现代化国家新征程、向第二个百年奋斗目标进军的第一个五年，</w:t>
      </w:r>
      <w:r>
        <w:rPr>
          <w:rFonts w:hint="eastAsia" w:ascii="仿宋_GB2312" w:hAnsi="仿宋_GB2312" w:eastAsia="仿宋_GB2312" w:cs="仿宋_GB2312"/>
          <w:spacing w:val="0"/>
          <w:w w:val="100"/>
          <w:sz w:val="32"/>
          <w:szCs w:val="32"/>
          <w:u w:val="none"/>
          <w:lang w:eastAsia="zh-CN"/>
        </w:rPr>
        <w:t>是建设新时代中国特色社会主义壮美广西防城港</w:t>
      </w:r>
      <w:r>
        <w:rPr>
          <w:rFonts w:hint="eastAsia" w:ascii="仿宋_GB2312" w:hAnsi="仿宋_GB2312" w:eastAsia="仿宋_GB2312" w:cs="仿宋_GB2312"/>
          <w:spacing w:val="0"/>
          <w:w w:val="100"/>
          <w:sz w:val="32"/>
          <w:szCs w:val="32"/>
          <w:u w:val="none"/>
          <w:lang w:val="en-US" w:eastAsia="zh-CN"/>
        </w:rPr>
        <w:t>新</w:t>
      </w:r>
      <w:r>
        <w:rPr>
          <w:rFonts w:hint="eastAsia" w:ascii="仿宋_GB2312" w:hAnsi="仿宋_GB2312" w:eastAsia="仿宋_GB2312" w:cs="仿宋_GB2312"/>
          <w:spacing w:val="0"/>
          <w:w w:val="100"/>
          <w:sz w:val="32"/>
          <w:szCs w:val="32"/>
          <w:u w:val="none"/>
          <w:lang w:eastAsia="zh-CN"/>
        </w:rPr>
        <w:t>篇章的关键时期，防城港市公共法律服务体系建设</w:t>
      </w:r>
      <w:r>
        <w:rPr>
          <w:rFonts w:hint="eastAsia" w:ascii="仿宋_GB2312" w:hAnsi="仿宋_GB2312" w:eastAsia="仿宋_GB2312" w:cs="仿宋_GB2312"/>
          <w:spacing w:val="0"/>
          <w:w w:val="100"/>
          <w:sz w:val="32"/>
          <w:szCs w:val="32"/>
          <w:u w:val="none"/>
          <w:lang w:val="en-US" w:eastAsia="zh-CN"/>
        </w:rPr>
        <w:t>迎来</w:t>
      </w:r>
      <w:r>
        <w:rPr>
          <w:rFonts w:hint="eastAsia" w:ascii="仿宋_GB2312" w:hAnsi="仿宋_GB2312" w:eastAsia="仿宋_GB2312" w:cs="仿宋_GB2312"/>
          <w:spacing w:val="0"/>
          <w:w w:val="100"/>
          <w:sz w:val="32"/>
          <w:szCs w:val="32"/>
          <w:u w:val="none"/>
          <w:lang w:eastAsia="zh-CN"/>
        </w:rPr>
        <w:t>良好</w:t>
      </w:r>
      <w:r>
        <w:rPr>
          <w:rFonts w:hint="eastAsia" w:ascii="仿宋_GB2312" w:hAnsi="仿宋_GB2312" w:eastAsia="仿宋_GB2312" w:cs="仿宋_GB2312"/>
          <w:spacing w:val="0"/>
          <w:w w:val="100"/>
          <w:sz w:val="32"/>
          <w:szCs w:val="32"/>
          <w:u w:val="none"/>
          <w:lang w:val="en-US" w:eastAsia="zh-CN"/>
        </w:rPr>
        <w:t>的</w:t>
      </w:r>
      <w:r>
        <w:rPr>
          <w:rFonts w:hint="eastAsia" w:ascii="仿宋_GB2312" w:hAnsi="仿宋_GB2312" w:eastAsia="仿宋_GB2312" w:cs="仿宋_GB2312"/>
          <w:spacing w:val="0"/>
          <w:w w:val="100"/>
          <w:sz w:val="32"/>
          <w:szCs w:val="32"/>
          <w:u w:val="none"/>
          <w:lang w:eastAsia="zh-CN"/>
        </w:rPr>
        <w:t>发展机遇，公共法律服务将大有作为。</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jc w:val="both"/>
        <w:textAlignment w:val="auto"/>
        <w:rPr>
          <w:rFonts w:hint="default" w:ascii="Times New Roman" w:hAnsi="Times New Roman" w:cs="Times New Roman"/>
          <w:spacing w:val="0"/>
          <w:w w:val="100"/>
          <w:sz w:val="32"/>
          <w:szCs w:val="32"/>
          <w:u w:val="none"/>
        </w:rPr>
      </w:pPr>
      <w:r>
        <w:rPr>
          <w:rFonts w:hint="eastAsia" w:ascii="黑体" w:hAnsi="黑体" w:eastAsia="黑体" w:cs="黑体"/>
          <w:spacing w:val="0"/>
          <w:w w:val="100"/>
          <w:sz w:val="32"/>
          <w:szCs w:val="32"/>
          <w:u w:val="none"/>
          <w:lang w:eastAsia="zh-CN"/>
        </w:rPr>
        <w:t>——</w:t>
      </w:r>
      <w:r>
        <w:rPr>
          <w:rFonts w:hint="eastAsia" w:ascii="仿宋_GB2312" w:hAnsi="仿宋_GB2312" w:eastAsia="仿宋_GB2312" w:cs="仿宋_GB2312"/>
          <w:spacing w:val="0"/>
          <w:w w:val="100"/>
          <w:sz w:val="32"/>
          <w:szCs w:val="32"/>
          <w:u w:val="none"/>
          <w:lang w:val="en-US" w:eastAsia="zh-CN"/>
        </w:rPr>
        <w:t>推进国家治理体系和治理能力现代化需要公共法律服务提供更加有力支撑。党的十九大明确提出，到2035年，法治国家、法治政府、法治社会基本建成，国家治理体系和治理能力现代化基本实现。党的十九届四中全会要求，完善公共法律服务体系，夯实依法治国群众基础。公共法律服务作为依法治市的重要支撑力量，在推动形成共建共治共享的社会治理格局、推进多层次多领域依法治理、不断促进社会安全稳定、妥善化解社会矛盾纠纷等方面，将发挥不可或缺的服务作用。党的二十大强调，全面依法治国是国家治理的一场深刻革命，关系党执政兴国，关系人民幸福安康，关系党和国家长治久安。必须更好发挥法治固根本、稳预期、利长远的保障作用，在法治轨道上全面建设社会主义现代化国家。</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spacing w:val="0"/>
          <w:w w:val="100"/>
          <w:sz w:val="32"/>
          <w:szCs w:val="32"/>
          <w:u w:val="none"/>
          <w:lang w:val="en-US" w:eastAsia="zh-CN"/>
        </w:rPr>
      </w:pPr>
      <w:r>
        <w:rPr>
          <w:rFonts w:hint="eastAsia" w:ascii="黑体" w:hAnsi="黑体" w:eastAsia="黑体" w:cs="黑体"/>
          <w:spacing w:val="0"/>
          <w:w w:val="100"/>
          <w:sz w:val="32"/>
          <w:szCs w:val="32"/>
          <w:u w:val="none"/>
          <w:lang w:eastAsia="zh-CN"/>
        </w:rPr>
        <w:t>——</w:t>
      </w:r>
      <w:r>
        <w:rPr>
          <w:rFonts w:hint="default" w:ascii="Times New Roman" w:hAnsi="Times New Roman" w:eastAsia="仿宋_GB2312" w:cs="Times New Roman"/>
          <w:spacing w:val="0"/>
          <w:w w:val="100"/>
          <w:sz w:val="32"/>
          <w:szCs w:val="32"/>
          <w:u w:val="none"/>
          <w:lang w:val="en-US" w:eastAsia="zh-CN"/>
        </w:rPr>
        <w:t>社会主要矛盾的转变要求公共法律服务提供更加精准和多元化的法治保障。目前，我国社会主要矛盾已经转化为人民日益增长的美好生活需要和不平衡不充分的发展之间的矛盾，人民群众对多层次、多领域、个性化的法治需求更加迫切。新的形势迫切需要政府提供多元化、专业化、高品质的公共法律服务，保障人民群众的基本权利，有效维护各类社会主体的合法利益，推动社会主体履行法定义务和承担社会责任，切实提高人民群众对法治的获得感、幸福感、安全感。</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jc w:val="both"/>
        <w:textAlignment w:val="auto"/>
        <w:rPr>
          <w:rFonts w:hint="eastAsia" w:ascii="仿宋_GB2312" w:hAnsi="仿宋_GB2312" w:eastAsia="仿宋_GB2312" w:cs="仿宋_GB2312"/>
          <w:spacing w:val="0"/>
          <w:w w:val="100"/>
          <w:sz w:val="32"/>
          <w:szCs w:val="32"/>
          <w:u w:val="none"/>
        </w:rPr>
      </w:pPr>
      <w:r>
        <w:rPr>
          <w:rFonts w:hint="eastAsia" w:ascii="黑体" w:hAnsi="黑体" w:eastAsia="黑体" w:cs="黑体"/>
          <w:spacing w:val="0"/>
          <w:w w:val="100"/>
          <w:sz w:val="32"/>
          <w:szCs w:val="32"/>
          <w:u w:val="none"/>
          <w:lang w:eastAsia="zh-CN"/>
        </w:rPr>
        <w:t>——</w:t>
      </w:r>
      <w:r>
        <w:rPr>
          <w:rFonts w:hint="eastAsia" w:ascii="仿宋_GB2312" w:hAnsi="仿宋_GB2312" w:eastAsia="仿宋_GB2312" w:cs="仿宋_GB2312"/>
          <w:spacing w:val="0"/>
          <w:w w:val="100"/>
          <w:sz w:val="32"/>
          <w:szCs w:val="32"/>
          <w:u w:val="none"/>
          <w:lang w:val="en-US" w:eastAsia="zh-CN"/>
        </w:rPr>
        <w:t>党和国家着力加快推进公共法律服务体系建设。2019年6月，中共中央办公厅、国务院办公厅印发关于加快推进公共法律服务体系建设的意见，全面部署和推进公共法律服务体系建设。2019年11月，自治区党委办公厅、自治区人民政府办公厅印发关于加快推进公共法律服务体系建设的实施意见，明确了指导思想、总体目标和重要举措。2020年4月24日，中共防城港市委员会办公室、防城港市人民政府办公室印发《关于进一步推进公共法律服务体系建设的实施意见》，为公共法律服务体系建设指明了方向、明确了任务。</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jc w:val="both"/>
        <w:textAlignment w:val="auto"/>
        <w:rPr>
          <w:rFonts w:hint="default" w:ascii="Times New Roman" w:hAnsi="Times New Roman" w:cs="Times New Roman"/>
          <w:spacing w:val="0"/>
          <w:w w:val="100"/>
          <w:sz w:val="32"/>
          <w:szCs w:val="32"/>
          <w:u w:val="single"/>
          <w:lang w:val="en-US" w:eastAsia="zh-CN"/>
        </w:rPr>
      </w:pPr>
      <w:r>
        <w:rPr>
          <w:rFonts w:hint="eastAsia" w:ascii="黑体" w:hAnsi="黑体" w:eastAsia="黑体" w:cs="黑体"/>
          <w:spacing w:val="0"/>
          <w:w w:val="100"/>
          <w:sz w:val="32"/>
          <w:szCs w:val="32"/>
          <w:u w:val="none"/>
          <w:lang w:eastAsia="zh-CN"/>
        </w:rPr>
        <w:t>——</w:t>
      </w:r>
      <w:r>
        <w:rPr>
          <w:rFonts w:hint="eastAsia" w:ascii="仿宋_GB2312" w:hAnsi="仿宋_GB2312" w:eastAsia="仿宋_GB2312" w:cs="仿宋_GB2312"/>
          <w:spacing w:val="0"/>
          <w:w w:val="100"/>
          <w:sz w:val="32"/>
          <w:szCs w:val="32"/>
          <w:u w:val="none"/>
          <w:lang w:val="en-US" w:eastAsia="zh-CN"/>
        </w:rPr>
        <w:t>防城港高质量发展高水平开放需要公共法律服务发挥更大的作用。随着我市“以国际医学开放试验区为核心平台，建设开放开发先行区；加快构建三大产业体系，建成产业集群新高地；发挥沿海沿边独特区位优势，构建边海国际大通道；以人民为中心创造高品质生活，建好边疆民族地区共同富裕示范市”战略部署的不断推进，构建海边山现代化经济体系、融入西部陆海新通道和北钦防一体化建设等不断深入，公共法律服务在推动我市高质量发展高水平开放中需要扮演更加重要的角色，在涉外调解、边疆普法、边境贸易仲裁、涉外国际仲裁等方面需要发挥更大作用。</w:t>
      </w:r>
    </w:p>
    <w:p>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right="0"/>
        <w:jc w:val="both"/>
        <w:textAlignment w:val="auto"/>
        <w:rPr>
          <w:rFonts w:hint="default" w:ascii="Times New Roman" w:hAnsi="Times New Roman" w:cs="Times New Roman"/>
          <w:spacing w:val="0"/>
          <w:w w:val="100"/>
          <w:sz w:val="32"/>
          <w:szCs w:val="32"/>
        </w:rPr>
      </w:pPr>
    </w:p>
    <w:p>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right="0"/>
        <w:jc w:val="center"/>
        <w:textAlignment w:val="auto"/>
        <w:rPr>
          <w:rFonts w:hint="default" w:ascii="Times New Roman" w:hAnsi="Times New Roman" w:eastAsia="楷体_GB2312" w:cs="Times New Roman"/>
          <w:spacing w:val="0"/>
          <w:w w:val="100"/>
          <w:sz w:val="32"/>
          <w:szCs w:val="32"/>
        </w:rPr>
      </w:pPr>
      <w:r>
        <w:rPr>
          <w:rFonts w:hint="default" w:ascii="Times New Roman" w:hAnsi="Times New Roman" w:eastAsia="楷体_GB2312" w:cs="Times New Roman"/>
          <w:spacing w:val="0"/>
          <w:w w:val="100"/>
          <w:sz w:val="32"/>
          <w:szCs w:val="32"/>
        </w:rPr>
        <w:t xml:space="preserve">第三节 </w:t>
      </w:r>
      <w:r>
        <w:rPr>
          <w:rFonts w:hint="eastAsia" w:ascii="Times New Roman" w:hAnsi="Times New Roman" w:eastAsia="楷体_GB2312" w:cs="Times New Roman"/>
          <w:spacing w:val="0"/>
          <w:w w:val="100"/>
          <w:sz w:val="32"/>
          <w:szCs w:val="32"/>
          <w:lang w:val="en-US" w:eastAsia="zh-CN"/>
        </w:rPr>
        <w:t xml:space="preserve"> </w:t>
      </w:r>
      <w:r>
        <w:rPr>
          <w:rFonts w:hint="default" w:ascii="Times New Roman" w:hAnsi="Times New Roman" w:eastAsia="楷体_GB2312" w:cs="Times New Roman"/>
          <w:spacing w:val="0"/>
          <w:w w:val="100"/>
          <w:sz w:val="32"/>
          <w:szCs w:val="32"/>
        </w:rPr>
        <w:t>总体要求</w:t>
      </w:r>
    </w:p>
    <w:p>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right="0" w:firstLine="640"/>
        <w:jc w:val="both"/>
        <w:textAlignment w:val="auto"/>
        <w:rPr>
          <w:rFonts w:hint="eastAsia" w:ascii="仿宋_GB2312" w:hAnsi="仿宋_GB2312" w:eastAsia="仿宋_GB2312" w:cs="仿宋_GB2312"/>
          <w:spacing w:val="0"/>
          <w:w w:val="100"/>
          <w:sz w:val="32"/>
          <w:szCs w:val="32"/>
          <w:u w:val="none"/>
          <w:lang w:val="en-US" w:eastAsia="zh-CN"/>
        </w:rPr>
      </w:pPr>
      <w:r>
        <w:rPr>
          <w:rFonts w:hint="eastAsia" w:ascii="仿宋_GB2312" w:hAnsi="仿宋_GB2312" w:eastAsia="仿宋_GB2312" w:cs="仿宋_GB2312"/>
          <w:spacing w:val="0"/>
          <w:w w:val="100"/>
          <w:sz w:val="32"/>
          <w:szCs w:val="32"/>
          <w:u w:val="none"/>
          <w:lang w:val="en-US" w:eastAsia="zh-CN"/>
        </w:rPr>
        <w:t>指导思想：坚持以习近平新时代中国特色社会主义思想为指导，全面贯彻落实党的十九大、十九届历次全会和党的二十大精神，贯彻落实习近平法治思想和习近平总书记视察广西及防城港重要讲话精神、习近平总书记参加党的二十大广西代表团讨论时的讲话精神，紧扣防城港人民日益增长的法律服务需求和防城港高质量发展需要，坚持和发展新时代“枫桥经验”，加强公共法律服务各领域基础建设，加快公共法律服务体系建设创新发展，不断提高公共法律服务供给能力，切实增强人民群众的获得感、幸福感、安全感，为谱写新时代中国特色社会主义壮美广西防城港新篇章营造良好的法治环境。</w:t>
      </w:r>
    </w:p>
    <w:p>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right="0" w:firstLine="640"/>
        <w:jc w:val="both"/>
        <w:textAlignment w:val="auto"/>
        <w:rPr>
          <w:rFonts w:hint="eastAsia" w:ascii="仿宋_GB2312" w:hAnsi="仿宋_GB2312" w:eastAsia="仿宋_GB2312" w:cs="仿宋_GB2312"/>
          <w:spacing w:val="0"/>
          <w:w w:val="100"/>
          <w:sz w:val="32"/>
          <w:szCs w:val="32"/>
          <w:u w:val="none"/>
          <w:lang w:val="en-US" w:eastAsia="zh-CN"/>
        </w:rPr>
      </w:pPr>
      <w:r>
        <w:rPr>
          <w:rFonts w:hint="eastAsia" w:ascii="仿宋_GB2312" w:hAnsi="仿宋_GB2312" w:eastAsia="仿宋_GB2312" w:cs="仿宋_GB2312"/>
          <w:spacing w:val="0"/>
          <w:w w:val="100"/>
          <w:sz w:val="32"/>
          <w:szCs w:val="32"/>
          <w:u w:val="none"/>
          <w:lang w:val="en-US" w:eastAsia="zh-CN"/>
        </w:rPr>
        <w:t>基本原则：坚持党的领导，服务大局；坚持政府主导，社会参与；坚持以人为本，服务至上；坚持因地制宜，稳步推进；坚持改革创新，统筹协调。</w:t>
      </w:r>
    </w:p>
    <w:p>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right="0" w:firstLine="640"/>
        <w:jc w:val="both"/>
        <w:textAlignment w:val="auto"/>
        <w:rPr>
          <w:rFonts w:hint="eastAsia" w:ascii="仿宋_GB2312" w:hAnsi="仿宋_GB2312" w:eastAsia="仿宋_GB2312" w:cs="仿宋_GB2312"/>
          <w:spacing w:val="0"/>
          <w:w w:val="100"/>
          <w:sz w:val="32"/>
          <w:szCs w:val="32"/>
          <w:u w:val="none"/>
          <w:lang w:val="en-US" w:eastAsia="zh-CN"/>
        </w:rPr>
      </w:pPr>
      <w:r>
        <w:rPr>
          <w:rFonts w:hint="eastAsia" w:ascii="仿宋_GB2312" w:hAnsi="仿宋_GB2312" w:eastAsia="仿宋_GB2312" w:cs="仿宋_GB2312"/>
          <w:spacing w:val="0"/>
          <w:w w:val="100"/>
          <w:sz w:val="32"/>
          <w:szCs w:val="32"/>
          <w:u w:val="none"/>
          <w:lang w:val="en-US" w:eastAsia="zh-CN"/>
        </w:rPr>
        <w:t>总体目标：到2025年，覆盖城乡、便捷高效、均等普惠的现代公共法律服务体系更加牢固，公共法律服务体制机制更加健全，服务平台功能进一步有效发挥，服务网络设施全面覆盖、互联互通，进一步推动公共法律服务标准化规范化，持续推进城乡基本公共法律服务均等化，人民群众享有的基本公共法律服务质量和水平日益提升，保障防城港发展战略、服务民生的能力水平明显提升，公共法律服务成为推进法治防城港、法治政府、法治社会建设和防城港治理现代化的重要支撑力量。</w:t>
      </w:r>
    </w:p>
    <w:tbl>
      <w:tblPr>
        <w:tblStyle w:val="19"/>
        <w:tblpPr w:leftFromText="180" w:rightFromText="180" w:vertAnchor="text" w:horzAnchor="page" w:tblpXSpec="center" w:tblpY="501"/>
        <w:tblOverlap w:val="neve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93"/>
        <w:gridCol w:w="1274"/>
        <w:gridCol w:w="17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 w:hRule="atLeast"/>
          <w:jc w:val="center"/>
        </w:trPr>
        <w:tc>
          <w:tcPr>
            <w:tcW w:w="8607" w:type="dxa"/>
            <w:gridSpan w:val="3"/>
            <w:noWrap w:val="0"/>
            <w:vAlign w:val="top"/>
          </w:tcPr>
          <w:p>
            <w:pPr>
              <w:pStyle w:val="40"/>
              <w:keepNext w:val="0"/>
              <w:keepLines w:val="0"/>
              <w:pageBreakBefore w:val="0"/>
              <w:widowControl w:val="0"/>
              <w:tabs>
                <w:tab w:val="left" w:pos="1861"/>
              </w:tabs>
              <w:kinsoku/>
              <w:wordWrap/>
              <w:overflowPunct/>
              <w:topLinePunct w:val="0"/>
              <w:autoSpaceDE w:val="0"/>
              <w:autoSpaceDN w:val="0"/>
              <w:bidi w:val="0"/>
              <w:adjustRightInd/>
              <w:snapToGrid/>
              <w:spacing w:before="0" w:line="600" w:lineRule="exact"/>
              <w:ind w:left="661"/>
              <w:jc w:val="both"/>
              <w:textAlignment w:val="auto"/>
              <w:rPr>
                <w:rFonts w:hint="default" w:ascii="Times New Roman" w:hAnsi="Times New Roman" w:eastAsia="黑体" w:cs="Times New Roman"/>
                <w:sz w:val="32"/>
              </w:rPr>
            </w:pPr>
            <w:r>
              <w:rPr>
                <w:rFonts w:hint="default" w:ascii="Times New Roman" w:hAnsi="Times New Roman" w:eastAsia="黑体" w:cs="Times New Roman"/>
                <w:sz w:val="32"/>
              </w:rPr>
              <w:t>专栏</w:t>
            </w:r>
            <w:r>
              <w:rPr>
                <w:rFonts w:hint="default" w:ascii="Times New Roman" w:hAnsi="Times New Roman" w:eastAsia="黑体" w:cs="Times New Roman"/>
                <w:spacing w:val="-80"/>
                <w:sz w:val="32"/>
              </w:rPr>
              <w:t xml:space="preserve"> </w:t>
            </w:r>
            <w:r>
              <w:rPr>
                <w:rFonts w:hint="default" w:ascii="Times New Roman" w:hAnsi="Times New Roman" w:eastAsia="黑体" w:cs="Times New Roman"/>
                <w:sz w:val="32"/>
              </w:rPr>
              <w:t>1</w:t>
            </w:r>
            <w:r>
              <w:rPr>
                <w:rFonts w:hint="default" w:ascii="Times New Roman" w:hAnsi="Times New Roman" w:eastAsia="黑体" w:cs="Times New Roman"/>
                <w:sz w:val="32"/>
              </w:rPr>
              <w:tab/>
            </w:r>
            <w:r>
              <w:rPr>
                <w:rFonts w:hint="default" w:ascii="Times New Roman" w:hAnsi="Times New Roman" w:eastAsia="黑体" w:cs="Times New Roman"/>
                <w:sz w:val="32"/>
              </w:rPr>
              <w:t>“十四五”时期公共法律服务工作主要指标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5593" w:type="dxa"/>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278" w:right="269"/>
              <w:jc w:val="both"/>
              <w:textAlignment w:val="auto"/>
              <w:rPr>
                <w:rFonts w:hint="default" w:ascii="Times New Roman" w:hAnsi="Times New Roman" w:eastAsia="黑体" w:cs="Times New Roman"/>
                <w:sz w:val="28"/>
              </w:rPr>
            </w:pPr>
            <w:r>
              <w:rPr>
                <w:rFonts w:hint="default" w:ascii="Times New Roman" w:hAnsi="Times New Roman" w:eastAsia="黑体" w:cs="Times New Roman"/>
                <w:sz w:val="28"/>
              </w:rPr>
              <w:t>指标内容</w:t>
            </w:r>
          </w:p>
        </w:tc>
        <w:tc>
          <w:tcPr>
            <w:tcW w:w="1274" w:type="dxa"/>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196" w:right="187"/>
              <w:jc w:val="both"/>
              <w:textAlignment w:val="auto"/>
              <w:rPr>
                <w:rFonts w:hint="default" w:ascii="Times New Roman" w:hAnsi="Times New Roman" w:eastAsia="黑体" w:cs="Times New Roman"/>
                <w:sz w:val="28"/>
              </w:rPr>
            </w:pPr>
            <w:r>
              <w:rPr>
                <w:rFonts w:hint="default" w:ascii="Times New Roman" w:hAnsi="Times New Roman" w:eastAsia="黑体" w:cs="Times New Roman"/>
                <w:sz w:val="28"/>
              </w:rPr>
              <w:t>预期值</w:t>
            </w:r>
          </w:p>
        </w:tc>
        <w:tc>
          <w:tcPr>
            <w:tcW w:w="1740" w:type="dxa"/>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291" w:right="279"/>
              <w:jc w:val="both"/>
              <w:textAlignment w:val="auto"/>
              <w:rPr>
                <w:rFonts w:hint="default" w:ascii="Times New Roman" w:hAnsi="Times New Roman" w:eastAsia="黑体" w:cs="Times New Roman"/>
                <w:sz w:val="28"/>
              </w:rPr>
            </w:pPr>
            <w:r>
              <w:rPr>
                <w:rFonts w:hint="default" w:ascii="Times New Roman" w:hAnsi="Times New Roman" w:eastAsia="黑体" w:cs="Times New Roman"/>
                <w:sz w:val="28"/>
              </w:rPr>
              <w:t>指标性质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5593" w:type="dxa"/>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279" w:right="269"/>
              <w:jc w:val="both"/>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四级公共法律服务实体平台建成率（%）</w:t>
            </w:r>
          </w:p>
        </w:tc>
        <w:tc>
          <w:tcPr>
            <w:tcW w:w="1274" w:type="dxa"/>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196" w:right="186"/>
              <w:jc w:val="both"/>
              <w:textAlignment w:val="auto"/>
              <w:rPr>
                <w:rFonts w:hint="eastAsia" w:ascii="仿宋_GB2312" w:hAnsi="仿宋_GB2312" w:eastAsia="仿宋_GB2312" w:cs="仿宋_GB2312"/>
                <w:sz w:val="28"/>
                <w:u w:val="none"/>
              </w:rPr>
            </w:pPr>
            <w:r>
              <w:rPr>
                <w:rFonts w:hint="eastAsia" w:ascii="仿宋_GB2312" w:hAnsi="仿宋_GB2312" w:eastAsia="仿宋_GB2312" w:cs="仿宋_GB2312"/>
                <w:sz w:val="28"/>
                <w:u w:val="none"/>
              </w:rPr>
              <w:t>100</w:t>
            </w:r>
          </w:p>
        </w:tc>
        <w:tc>
          <w:tcPr>
            <w:tcW w:w="1740" w:type="dxa"/>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288" w:right="279"/>
              <w:jc w:val="both"/>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 w:hRule="atLeast"/>
          <w:jc w:val="center"/>
        </w:trPr>
        <w:tc>
          <w:tcPr>
            <w:tcW w:w="5593" w:type="dxa"/>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276" w:right="269"/>
              <w:jc w:val="both"/>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法治文化阵地（个）</w:t>
            </w:r>
          </w:p>
        </w:tc>
        <w:tc>
          <w:tcPr>
            <w:tcW w:w="1274" w:type="dxa"/>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195" w:right="187"/>
              <w:jc w:val="both"/>
              <w:textAlignment w:val="auto"/>
              <w:rPr>
                <w:rFonts w:hint="eastAsia" w:ascii="仿宋_GB2312" w:hAnsi="仿宋_GB2312" w:eastAsia="仿宋_GB2312" w:cs="仿宋_GB2312"/>
                <w:sz w:val="28"/>
                <w:u w:val="none"/>
                <w:lang w:val="en-US"/>
              </w:rPr>
            </w:pPr>
            <w:r>
              <w:rPr>
                <w:rFonts w:hint="eastAsia" w:ascii="仿宋_GB2312" w:hAnsi="仿宋_GB2312" w:eastAsia="仿宋_GB2312" w:cs="仿宋_GB2312"/>
                <w:sz w:val="28"/>
                <w:u w:val="none"/>
              </w:rPr>
              <w:t>≥</w:t>
            </w:r>
            <w:r>
              <w:rPr>
                <w:rFonts w:hint="eastAsia" w:ascii="仿宋_GB2312" w:hAnsi="仿宋_GB2312" w:eastAsia="仿宋_GB2312" w:cs="仿宋_GB2312"/>
                <w:sz w:val="28"/>
                <w:u w:val="none"/>
                <w:lang w:val="en-US" w:eastAsia="zh-CN"/>
              </w:rPr>
              <w:t>342</w:t>
            </w:r>
          </w:p>
        </w:tc>
        <w:tc>
          <w:tcPr>
            <w:tcW w:w="1740" w:type="dxa"/>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288" w:right="279"/>
              <w:jc w:val="both"/>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 w:hRule="atLeast"/>
          <w:jc w:val="center"/>
        </w:trPr>
        <w:tc>
          <w:tcPr>
            <w:tcW w:w="5593" w:type="dxa"/>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279" w:right="267"/>
              <w:jc w:val="both"/>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律师事务所（个）</w:t>
            </w:r>
          </w:p>
        </w:tc>
        <w:tc>
          <w:tcPr>
            <w:tcW w:w="1274" w:type="dxa"/>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195" w:right="187"/>
              <w:jc w:val="both"/>
              <w:textAlignment w:val="auto"/>
              <w:rPr>
                <w:rFonts w:hint="eastAsia" w:ascii="仿宋_GB2312" w:hAnsi="仿宋_GB2312" w:eastAsia="仿宋_GB2312" w:cs="仿宋_GB2312"/>
                <w:sz w:val="28"/>
                <w:u w:val="none"/>
              </w:rPr>
            </w:pPr>
            <w:r>
              <w:rPr>
                <w:rFonts w:hint="eastAsia" w:ascii="仿宋_GB2312" w:hAnsi="仿宋_GB2312" w:eastAsia="仿宋_GB2312" w:cs="仿宋_GB2312"/>
                <w:sz w:val="28"/>
                <w:u w:val="none"/>
              </w:rPr>
              <w:t>≥</w:t>
            </w:r>
            <w:r>
              <w:rPr>
                <w:rFonts w:hint="eastAsia" w:ascii="仿宋_GB2312" w:hAnsi="仿宋_GB2312" w:eastAsia="仿宋_GB2312" w:cs="仿宋_GB2312"/>
                <w:sz w:val="28"/>
                <w:u w:val="none"/>
                <w:lang w:val="en-US" w:eastAsia="zh-CN"/>
              </w:rPr>
              <w:t>2</w:t>
            </w:r>
            <w:r>
              <w:rPr>
                <w:rFonts w:hint="eastAsia" w:ascii="仿宋_GB2312" w:hAnsi="仿宋_GB2312" w:eastAsia="仿宋_GB2312" w:cs="仿宋_GB2312"/>
                <w:sz w:val="28"/>
                <w:u w:val="none"/>
              </w:rPr>
              <w:t>0</w:t>
            </w:r>
          </w:p>
        </w:tc>
        <w:tc>
          <w:tcPr>
            <w:tcW w:w="1740" w:type="dxa"/>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288" w:right="279"/>
              <w:jc w:val="both"/>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5593" w:type="dxa"/>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278" w:right="269"/>
              <w:jc w:val="both"/>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公证机构（个）</w:t>
            </w:r>
          </w:p>
        </w:tc>
        <w:tc>
          <w:tcPr>
            <w:tcW w:w="1274" w:type="dxa"/>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196" w:right="186"/>
              <w:jc w:val="both"/>
              <w:textAlignment w:val="auto"/>
              <w:rPr>
                <w:rFonts w:hint="eastAsia" w:ascii="仿宋_GB2312" w:hAnsi="仿宋_GB2312" w:eastAsia="仿宋_GB2312" w:cs="仿宋_GB2312"/>
                <w:sz w:val="28"/>
                <w:u w:val="none"/>
                <w:lang w:eastAsia="zh-CN"/>
              </w:rPr>
            </w:pPr>
            <w:r>
              <w:rPr>
                <w:rFonts w:hint="eastAsia" w:ascii="仿宋_GB2312" w:hAnsi="仿宋_GB2312" w:eastAsia="仿宋_GB2312" w:cs="仿宋_GB2312"/>
                <w:sz w:val="28"/>
                <w:u w:val="none"/>
              </w:rPr>
              <w:t>≥</w:t>
            </w:r>
            <w:r>
              <w:rPr>
                <w:rFonts w:hint="eastAsia" w:ascii="仿宋_GB2312" w:hAnsi="仿宋_GB2312" w:eastAsia="仿宋_GB2312" w:cs="仿宋_GB2312"/>
                <w:sz w:val="28"/>
                <w:u w:val="none"/>
                <w:lang w:val="en-US" w:eastAsia="zh-CN"/>
              </w:rPr>
              <w:t>4</w:t>
            </w:r>
          </w:p>
        </w:tc>
        <w:tc>
          <w:tcPr>
            <w:tcW w:w="1740" w:type="dxa"/>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288" w:right="279"/>
              <w:jc w:val="both"/>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5593" w:type="dxa"/>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276" w:right="269"/>
              <w:jc w:val="both"/>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法律援助机构（个）</w:t>
            </w:r>
          </w:p>
        </w:tc>
        <w:tc>
          <w:tcPr>
            <w:tcW w:w="1274" w:type="dxa"/>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firstLine="280" w:firstLineChars="100"/>
              <w:jc w:val="both"/>
              <w:textAlignment w:val="auto"/>
              <w:rPr>
                <w:rFonts w:hint="eastAsia" w:ascii="仿宋_GB2312" w:hAnsi="仿宋_GB2312" w:eastAsia="仿宋_GB2312" w:cs="仿宋_GB2312"/>
                <w:sz w:val="28"/>
                <w:u w:val="none"/>
              </w:rPr>
            </w:pPr>
            <w:r>
              <w:rPr>
                <w:rFonts w:hint="eastAsia" w:ascii="仿宋_GB2312" w:hAnsi="仿宋_GB2312" w:eastAsia="仿宋_GB2312" w:cs="仿宋_GB2312"/>
                <w:w w:val="100"/>
                <w:sz w:val="28"/>
                <w:u w:val="none"/>
              </w:rPr>
              <w:t>5</w:t>
            </w:r>
          </w:p>
        </w:tc>
        <w:tc>
          <w:tcPr>
            <w:tcW w:w="1740" w:type="dxa"/>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288" w:right="279"/>
              <w:jc w:val="both"/>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 w:hRule="atLeast"/>
          <w:jc w:val="center"/>
        </w:trPr>
        <w:tc>
          <w:tcPr>
            <w:tcW w:w="5593" w:type="dxa"/>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278" w:right="269"/>
              <w:jc w:val="both"/>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行业性、专业性人民调解组织（个）</w:t>
            </w:r>
          </w:p>
        </w:tc>
        <w:tc>
          <w:tcPr>
            <w:tcW w:w="1274" w:type="dxa"/>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195" w:right="187"/>
              <w:jc w:val="both"/>
              <w:textAlignment w:val="auto"/>
              <w:rPr>
                <w:rFonts w:hint="eastAsia" w:ascii="仿宋_GB2312" w:hAnsi="仿宋_GB2312" w:eastAsia="仿宋_GB2312" w:cs="仿宋_GB2312"/>
                <w:sz w:val="28"/>
                <w:u w:val="none"/>
              </w:rPr>
            </w:pPr>
            <w:r>
              <w:rPr>
                <w:rFonts w:hint="eastAsia" w:ascii="仿宋_GB2312" w:hAnsi="仿宋_GB2312" w:eastAsia="仿宋_GB2312" w:cs="仿宋_GB2312"/>
                <w:sz w:val="28"/>
                <w:u w:val="none"/>
              </w:rPr>
              <w:t>≥</w:t>
            </w:r>
            <w:r>
              <w:rPr>
                <w:rFonts w:hint="eastAsia" w:ascii="仿宋_GB2312" w:hAnsi="仿宋_GB2312" w:eastAsia="仿宋_GB2312" w:cs="仿宋_GB2312"/>
                <w:sz w:val="28"/>
                <w:u w:val="none"/>
                <w:lang w:val="en-US" w:eastAsia="zh-CN"/>
              </w:rPr>
              <w:t>2</w:t>
            </w:r>
            <w:r>
              <w:rPr>
                <w:rFonts w:hint="eastAsia" w:ascii="仿宋_GB2312" w:hAnsi="仿宋_GB2312" w:eastAsia="仿宋_GB2312" w:cs="仿宋_GB2312"/>
                <w:sz w:val="28"/>
                <w:u w:val="none"/>
              </w:rPr>
              <w:t>0</w:t>
            </w:r>
          </w:p>
        </w:tc>
        <w:tc>
          <w:tcPr>
            <w:tcW w:w="1740" w:type="dxa"/>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288" w:right="279"/>
              <w:jc w:val="both"/>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 w:hRule="atLeast"/>
          <w:jc w:val="center"/>
        </w:trPr>
        <w:tc>
          <w:tcPr>
            <w:tcW w:w="5593" w:type="dxa"/>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278" w:right="269"/>
              <w:jc w:val="both"/>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民商事仲裁机构（个）</w:t>
            </w:r>
          </w:p>
        </w:tc>
        <w:tc>
          <w:tcPr>
            <w:tcW w:w="1274" w:type="dxa"/>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196" w:right="186"/>
              <w:jc w:val="both"/>
              <w:textAlignment w:val="auto"/>
              <w:rPr>
                <w:rFonts w:hint="eastAsia" w:ascii="仿宋_GB2312" w:hAnsi="仿宋_GB2312" w:eastAsia="仿宋_GB2312" w:cs="仿宋_GB2312"/>
                <w:sz w:val="28"/>
                <w:u w:val="none"/>
              </w:rPr>
            </w:pPr>
            <w:r>
              <w:rPr>
                <w:rFonts w:hint="eastAsia" w:ascii="仿宋_GB2312" w:hAnsi="仿宋_GB2312" w:eastAsia="仿宋_GB2312" w:cs="仿宋_GB2312"/>
                <w:sz w:val="28"/>
                <w:u w:val="none"/>
              </w:rPr>
              <w:t>≥1</w:t>
            </w:r>
          </w:p>
        </w:tc>
        <w:tc>
          <w:tcPr>
            <w:tcW w:w="1740" w:type="dxa"/>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288" w:right="279"/>
              <w:jc w:val="both"/>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5593" w:type="dxa"/>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276" w:right="269"/>
              <w:jc w:val="both"/>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司法鉴定机构（个）</w:t>
            </w:r>
          </w:p>
        </w:tc>
        <w:tc>
          <w:tcPr>
            <w:tcW w:w="1274" w:type="dxa"/>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196" w:right="186"/>
              <w:jc w:val="both"/>
              <w:textAlignment w:val="auto"/>
              <w:rPr>
                <w:rFonts w:hint="eastAsia" w:ascii="仿宋_GB2312" w:hAnsi="仿宋_GB2312" w:eastAsia="仿宋_GB2312" w:cs="仿宋_GB2312"/>
                <w:sz w:val="28"/>
                <w:u w:val="none"/>
              </w:rPr>
            </w:pPr>
            <w:r>
              <w:rPr>
                <w:rFonts w:hint="eastAsia" w:ascii="仿宋_GB2312" w:hAnsi="仿宋_GB2312" w:eastAsia="仿宋_GB2312" w:cs="仿宋_GB2312"/>
                <w:sz w:val="28"/>
                <w:u w:val="none"/>
              </w:rPr>
              <w:t>≥1</w:t>
            </w:r>
          </w:p>
        </w:tc>
        <w:tc>
          <w:tcPr>
            <w:tcW w:w="1740" w:type="dxa"/>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288" w:right="279"/>
              <w:jc w:val="both"/>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5593" w:type="dxa"/>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276" w:right="269"/>
              <w:jc w:val="both"/>
              <w:textAlignment w:val="auto"/>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基层立法联系点（个）</w:t>
            </w:r>
          </w:p>
        </w:tc>
        <w:tc>
          <w:tcPr>
            <w:tcW w:w="1274" w:type="dxa"/>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196" w:right="186"/>
              <w:jc w:val="both"/>
              <w:textAlignment w:val="auto"/>
              <w:rPr>
                <w:rFonts w:hint="eastAsia" w:ascii="仿宋_GB2312" w:hAnsi="仿宋_GB2312" w:eastAsia="仿宋_GB2312" w:cs="仿宋_GB2312"/>
                <w:sz w:val="28"/>
                <w:u w:val="none"/>
                <w:lang w:val="en-US" w:eastAsia="zh-CN"/>
              </w:rPr>
            </w:pPr>
            <w:r>
              <w:rPr>
                <w:rFonts w:hint="eastAsia" w:ascii="仿宋_GB2312" w:hAnsi="仿宋_GB2312" w:eastAsia="仿宋_GB2312" w:cs="仿宋_GB2312"/>
                <w:sz w:val="28"/>
                <w:u w:val="none"/>
              </w:rPr>
              <w:t>≥</w:t>
            </w:r>
            <w:r>
              <w:rPr>
                <w:rFonts w:hint="eastAsia" w:ascii="仿宋_GB2312" w:hAnsi="仿宋_GB2312" w:eastAsia="仿宋_GB2312" w:cs="仿宋_GB2312"/>
                <w:sz w:val="28"/>
                <w:u w:val="none"/>
                <w:lang w:val="en-US" w:eastAsia="zh-CN"/>
              </w:rPr>
              <w:t>4</w:t>
            </w:r>
          </w:p>
        </w:tc>
        <w:tc>
          <w:tcPr>
            <w:tcW w:w="1740" w:type="dxa"/>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288" w:right="279"/>
              <w:jc w:val="both"/>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 w:hRule="atLeast"/>
          <w:jc w:val="center"/>
        </w:trPr>
        <w:tc>
          <w:tcPr>
            <w:tcW w:w="5593" w:type="dxa"/>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279" w:right="267"/>
              <w:jc w:val="both"/>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律师（人）</w:t>
            </w:r>
          </w:p>
        </w:tc>
        <w:tc>
          <w:tcPr>
            <w:tcW w:w="1274" w:type="dxa"/>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195" w:right="187"/>
              <w:jc w:val="both"/>
              <w:textAlignment w:val="auto"/>
              <w:rPr>
                <w:rFonts w:hint="eastAsia" w:ascii="仿宋_GB2312" w:hAnsi="仿宋_GB2312" w:eastAsia="仿宋_GB2312" w:cs="仿宋_GB2312"/>
                <w:sz w:val="28"/>
                <w:u w:val="none"/>
                <w:lang w:val="en-US" w:eastAsia="zh-CN"/>
              </w:rPr>
            </w:pPr>
            <w:r>
              <w:rPr>
                <w:rFonts w:hint="eastAsia" w:ascii="仿宋_GB2312" w:hAnsi="仿宋_GB2312" w:eastAsia="仿宋_GB2312" w:cs="仿宋_GB2312"/>
                <w:sz w:val="28"/>
                <w:u w:val="none"/>
              </w:rPr>
              <w:t>≥</w:t>
            </w:r>
            <w:r>
              <w:rPr>
                <w:rFonts w:hint="eastAsia" w:ascii="仿宋_GB2312" w:hAnsi="仿宋_GB2312" w:eastAsia="仿宋_GB2312" w:cs="仿宋_GB2312"/>
                <w:sz w:val="28"/>
                <w:u w:val="none"/>
                <w:lang w:val="en-US" w:eastAsia="zh-CN"/>
              </w:rPr>
              <w:t>250</w:t>
            </w:r>
          </w:p>
        </w:tc>
        <w:tc>
          <w:tcPr>
            <w:tcW w:w="1740" w:type="dxa"/>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288" w:right="279"/>
              <w:jc w:val="both"/>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 w:hRule="atLeast"/>
          <w:jc w:val="center"/>
        </w:trPr>
        <w:tc>
          <w:tcPr>
            <w:tcW w:w="5593" w:type="dxa"/>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276" w:right="269"/>
              <w:jc w:val="both"/>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公证员（人）</w:t>
            </w:r>
          </w:p>
        </w:tc>
        <w:tc>
          <w:tcPr>
            <w:tcW w:w="1274" w:type="dxa"/>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196" w:right="186"/>
              <w:jc w:val="both"/>
              <w:textAlignment w:val="auto"/>
              <w:rPr>
                <w:rFonts w:hint="eastAsia" w:ascii="仿宋_GB2312" w:hAnsi="仿宋_GB2312" w:eastAsia="仿宋_GB2312" w:cs="仿宋_GB2312"/>
                <w:sz w:val="28"/>
                <w:u w:val="none"/>
                <w:lang w:val="en-US" w:eastAsia="zh-CN"/>
              </w:rPr>
            </w:pPr>
            <w:r>
              <w:rPr>
                <w:rFonts w:hint="eastAsia" w:ascii="仿宋_GB2312" w:hAnsi="仿宋_GB2312" w:eastAsia="仿宋_GB2312" w:cs="仿宋_GB2312"/>
                <w:sz w:val="28"/>
                <w:u w:val="none"/>
              </w:rPr>
              <w:t>≥</w:t>
            </w:r>
            <w:r>
              <w:rPr>
                <w:rFonts w:hint="eastAsia" w:ascii="仿宋_GB2312" w:hAnsi="仿宋_GB2312" w:eastAsia="仿宋_GB2312" w:cs="仿宋_GB2312"/>
                <w:sz w:val="28"/>
                <w:u w:val="none"/>
                <w:lang w:val="en-US" w:eastAsia="zh-CN"/>
              </w:rPr>
              <w:t>13</w:t>
            </w:r>
          </w:p>
        </w:tc>
        <w:tc>
          <w:tcPr>
            <w:tcW w:w="1740" w:type="dxa"/>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288" w:right="279"/>
              <w:jc w:val="both"/>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jc w:val="center"/>
        </w:trPr>
        <w:tc>
          <w:tcPr>
            <w:tcW w:w="5593" w:type="dxa"/>
            <w:tcBorders>
              <w:bottom w:val="single" w:color="auto" w:sz="4" w:space="0"/>
            </w:tcBorders>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400" w:lineRule="exact"/>
              <w:ind w:left="267" w:leftChars="127" w:right="0" w:firstLine="0" w:firstLineChars="0"/>
              <w:jc w:val="both"/>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行业性、专业性人民调解组织专职人民调解员（人）</w:t>
            </w:r>
          </w:p>
        </w:tc>
        <w:tc>
          <w:tcPr>
            <w:tcW w:w="1274" w:type="dxa"/>
            <w:tcBorders>
              <w:bottom w:val="single" w:color="auto" w:sz="4" w:space="0"/>
            </w:tcBorders>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187" w:firstLine="218" w:firstLineChars="78"/>
              <w:jc w:val="both"/>
              <w:textAlignment w:val="auto"/>
              <w:rPr>
                <w:rFonts w:hint="eastAsia" w:ascii="仿宋_GB2312" w:hAnsi="仿宋_GB2312" w:eastAsia="仿宋_GB2312" w:cs="仿宋_GB2312"/>
                <w:sz w:val="28"/>
                <w:u w:val="none"/>
              </w:rPr>
            </w:pPr>
            <w:r>
              <w:rPr>
                <w:rFonts w:hint="eastAsia" w:ascii="仿宋_GB2312" w:hAnsi="仿宋_GB2312" w:eastAsia="仿宋_GB2312" w:cs="仿宋_GB2312"/>
                <w:sz w:val="28"/>
                <w:u w:val="none"/>
              </w:rPr>
              <w:t>≥</w:t>
            </w:r>
            <w:r>
              <w:rPr>
                <w:rFonts w:hint="eastAsia" w:ascii="仿宋_GB2312" w:hAnsi="仿宋_GB2312" w:eastAsia="仿宋_GB2312" w:cs="仿宋_GB2312"/>
                <w:sz w:val="28"/>
                <w:u w:val="none"/>
                <w:lang w:val="en-US" w:eastAsia="zh-CN"/>
              </w:rPr>
              <w:t>1</w:t>
            </w:r>
            <w:r>
              <w:rPr>
                <w:rFonts w:hint="eastAsia" w:ascii="仿宋_GB2312" w:hAnsi="仿宋_GB2312" w:eastAsia="仿宋_GB2312" w:cs="仿宋_GB2312"/>
                <w:sz w:val="28"/>
                <w:u w:val="none"/>
              </w:rPr>
              <w:t>0</w:t>
            </w:r>
          </w:p>
        </w:tc>
        <w:tc>
          <w:tcPr>
            <w:tcW w:w="1740" w:type="dxa"/>
            <w:tcBorders>
              <w:bottom w:val="single" w:color="auto" w:sz="4" w:space="0"/>
            </w:tcBorders>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right="279" w:firstLine="280" w:firstLineChars="100"/>
              <w:jc w:val="both"/>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5593" w:type="dxa"/>
            <w:tcBorders>
              <w:top w:val="single" w:color="auto" w:sz="4" w:space="0"/>
              <w:bottom w:val="single" w:color="auto" w:sz="4" w:space="0"/>
            </w:tcBorders>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278" w:leftChars="0" w:right="269" w:rightChars="0"/>
              <w:jc w:val="both"/>
              <w:textAlignment w:val="auto"/>
              <w:rPr>
                <w:rFonts w:hint="eastAsia" w:ascii="仿宋_GB2312" w:hAnsi="仿宋_GB2312" w:eastAsia="仿宋_GB2312" w:cs="仿宋_GB2312"/>
                <w:sz w:val="28"/>
                <w:szCs w:val="22"/>
                <w:lang w:val="zh-CN" w:eastAsia="zh-CN" w:bidi="zh-CN"/>
              </w:rPr>
            </w:pPr>
            <w:r>
              <w:rPr>
                <w:rFonts w:hint="eastAsia" w:ascii="仿宋_GB2312" w:hAnsi="仿宋_GB2312" w:eastAsia="仿宋_GB2312" w:cs="仿宋_GB2312"/>
                <w:sz w:val="28"/>
                <w:lang w:eastAsia="zh-CN"/>
              </w:rPr>
              <w:t>防城港</w:t>
            </w:r>
            <w:r>
              <w:rPr>
                <w:rFonts w:hint="eastAsia" w:ascii="仿宋_GB2312" w:hAnsi="仿宋_GB2312" w:eastAsia="仿宋_GB2312" w:cs="仿宋_GB2312"/>
                <w:sz w:val="28"/>
              </w:rPr>
              <w:t>仲裁委员会仲裁员（人）</w:t>
            </w:r>
          </w:p>
        </w:tc>
        <w:tc>
          <w:tcPr>
            <w:tcW w:w="1274" w:type="dxa"/>
            <w:tcBorders>
              <w:top w:val="single" w:color="auto" w:sz="4" w:space="0"/>
              <w:bottom w:val="single" w:color="auto" w:sz="4" w:space="0"/>
            </w:tcBorders>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195" w:leftChars="0" w:right="187" w:rightChars="0"/>
              <w:jc w:val="both"/>
              <w:textAlignment w:val="auto"/>
              <w:rPr>
                <w:rFonts w:hint="eastAsia" w:ascii="仿宋_GB2312" w:hAnsi="仿宋_GB2312" w:eastAsia="仿宋_GB2312" w:cs="仿宋_GB2312"/>
                <w:sz w:val="28"/>
                <w:szCs w:val="22"/>
                <w:u w:val="none"/>
                <w:lang w:val="en-US" w:eastAsia="zh-CN" w:bidi="zh-CN"/>
              </w:rPr>
            </w:pPr>
            <w:r>
              <w:rPr>
                <w:rFonts w:hint="eastAsia" w:ascii="仿宋_GB2312" w:hAnsi="仿宋_GB2312" w:eastAsia="仿宋_GB2312" w:cs="仿宋_GB2312"/>
                <w:sz w:val="28"/>
                <w:u w:val="none"/>
              </w:rPr>
              <w:t>≥</w:t>
            </w:r>
            <w:r>
              <w:rPr>
                <w:rFonts w:hint="eastAsia" w:ascii="仿宋_GB2312" w:hAnsi="仿宋_GB2312" w:eastAsia="仿宋_GB2312" w:cs="仿宋_GB2312"/>
                <w:sz w:val="28"/>
                <w:u w:val="none"/>
                <w:lang w:val="en-US" w:eastAsia="zh-CN"/>
              </w:rPr>
              <w:t>50</w:t>
            </w:r>
          </w:p>
        </w:tc>
        <w:tc>
          <w:tcPr>
            <w:tcW w:w="1740" w:type="dxa"/>
            <w:tcBorders>
              <w:top w:val="single" w:color="auto" w:sz="4" w:space="0"/>
              <w:bottom w:val="single" w:color="auto" w:sz="4" w:space="0"/>
            </w:tcBorders>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288" w:leftChars="0" w:right="279" w:rightChars="0"/>
              <w:jc w:val="both"/>
              <w:textAlignment w:val="auto"/>
              <w:rPr>
                <w:rFonts w:hint="eastAsia" w:ascii="仿宋_GB2312" w:hAnsi="仿宋_GB2312" w:eastAsia="仿宋_GB2312" w:cs="仿宋_GB2312"/>
                <w:sz w:val="28"/>
                <w:szCs w:val="22"/>
                <w:lang w:val="zh-CN" w:eastAsia="zh-CN" w:bidi="zh-CN"/>
              </w:rPr>
            </w:pPr>
            <w:r>
              <w:rPr>
                <w:rFonts w:hint="eastAsia" w:ascii="仿宋_GB2312" w:hAnsi="仿宋_GB2312" w:eastAsia="仿宋_GB2312" w:cs="仿宋_GB2312"/>
                <w:sz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1" w:hRule="atLeast"/>
          <w:jc w:val="center"/>
        </w:trPr>
        <w:tc>
          <w:tcPr>
            <w:tcW w:w="5593" w:type="dxa"/>
            <w:tcBorders>
              <w:top w:val="single" w:color="auto" w:sz="4" w:space="0"/>
              <w:bottom w:val="single" w:color="auto" w:sz="4" w:space="0"/>
            </w:tcBorders>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279" w:leftChars="0" w:right="267" w:rightChars="0"/>
              <w:jc w:val="both"/>
              <w:textAlignment w:val="auto"/>
              <w:rPr>
                <w:rFonts w:hint="eastAsia" w:ascii="仿宋_GB2312" w:hAnsi="仿宋_GB2312" w:eastAsia="仿宋_GB2312" w:cs="仿宋_GB2312"/>
                <w:sz w:val="28"/>
                <w:szCs w:val="22"/>
                <w:lang w:val="zh-CN" w:eastAsia="zh-CN" w:bidi="zh-CN"/>
              </w:rPr>
            </w:pPr>
            <w:r>
              <w:rPr>
                <w:rFonts w:hint="eastAsia" w:ascii="仿宋_GB2312" w:hAnsi="仿宋_GB2312" w:eastAsia="仿宋_GB2312" w:cs="仿宋_GB2312"/>
                <w:sz w:val="28"/>
              </w:rPr>
              <w:t>司法鉴定人（人）</w:t>
            </w:r>
          </w:p>
        </w:tc>
        <w:tc>
          <w:tcPr>
            <w:tcW w:w="1274" w:type="dxa"/>
            <w:tcBorders>
              <w:top w:val="single" w:color="auto" w:sz="4" w:space="0"/>
              <w:bottom w:val="single" w:color="auto" w:sz="4" w:space="0"/>
            </w:tcBorders>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196" w:leftChars="0" w:right="186" w:rightChars="0"/>
              <w:jc w:val="both"/>
              <w:textAlignment w:val="auto"/>
              <w:rPr>
                <w:rFonts w:hint="eastAsia" w:ascii="仿宋_GB2312" w:hAnsi="仿宋_GB2312" w:eastAsia="仿宋_GB2312" w:cs="仿宋_GB2312"/>
                <w:sz w:val="28"/>
                <w:szCs w:val="22"/>
                <w:u w:val="none"/>
                <w:lang w:val="en-US" w:eastAsia="zh-CN" w:bidi="zh-CN"/>
              </w:rPr>
            </w:pPr>
            <w:r>
              <w:rPr>
                <w:rFonts w:hint="eastAsia" w:ascii="仿宋_GB2312" w:hAnsi="仿宋_GB2312" w:eastAsia="仿宋_GB2312" w:cs="仿宋_GB2312"/>
                <w:sz w:val="28"/>
                <w:u w:val="none"/>
              </w:rPr>
              <w:t>≥</w:t>
            </w:r>
            <w:r>
              <w:rPr>
                <w:rFonts w:hint="eastAsia" w:ascii="仿宋_GB2312" w:hAnsi="仿宋_GB2312" w:eastAsia="仿宋_GB2312" w:cs="仿宋_GB2312"/>
                <w:sz w:val="28"/>
                <w:u w:val="none"/>
                <w:lang w:val="en-US" w:eastAsia="zh-CN"/>
              </w:rPr>
              <w:t>10</w:t>
            </w:r>
          </w:p>
        </w:tc>
        <w:tc>
          <w:tcPr>
            <w:tcW w:w="1740" w:type="dxa"/>
            <w:tcBorders>
              <w:top w:val="single" w:color="auto" w:sz="4" w:space="0"/>
              <w:bottom w:val="single" w:color="auto" w:sz="4" w:space="0"/>
            </w:tcBorders>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288" w:leftChars="0" w:right="279" w:rightChars="0"/>
              <w:jc w:val="both"/>
              <w:textAlignment w:val="auto"/>
              <w:rPr>
                <w:rFonts w:hint="eastAsia" w:ascii="仿宋_GB2312" w:hAnsi="仿宋_GB2312" w:eastAsia="仿宋_GB2312" w:cs="仿宋_GB2312"/>
                <w:sz w:val="28"/>
                <w:szCs w:val="22"/>
                <w:lang w:val="zh-CN" w:eastAsia="zh-CN" w:bidi="zh-CN"/>
              </w:rPr>
            </w:pPr>
            <w:r>
              <w:rPr>
                <w:rFonts w:hint="eastAsia" w:ascii="仿宋_GB2312" w:hAnsi="仿宋_GB2312" w:eastAsia="仿宋_GB2312" w:cs="仿宋_GB2312"/>
                <w:sz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1" w:hRule="atLeast"/>
          <w:jc w:val="center"/>
        </w:trPr>
        <w:tc>
          <w:tcPr>
            <w:tcW w:w="5593" w:type="dxa"/>
            <w:tcBorders>
              <w:top w:val="single" w:color="auto" w:sz="4" w:space="0"/>
            </w:tcBorders>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276" w:leftChars="0" w:right="269" w:rightChars="0"/>
              <w:jc w:val="both"/>
              <w:textAlignment w:val="auto"/>
              <w:rPr>
                <w:rFonts w:hint="eastAsia" w:ascii="仿宋_GB2312" w:hAnsi="仿宋_GB2312" w:eastAsia="仿宋_GB2312" w:cs="仿宋_GB2312"/>
                <w:sz w:val="28"/>
                <w:szCs w:val="22"/>
                <w:lang w:val="zh-CN" w:eastAsia="zh-CN" w:bidi="zh-CN"/>
              </w:rPr>
            </w:pPr>
            <w:r>
              <w:rPr>
                <w:rFonts w:hint="eastAsia" w:ascii="仿宋_GB2312" w:hAnsi="仿宋_GB2312" w:eastAsia="仿宋_GB2312" w:cs="仿宋_GB2312"/>
                <w:sz w:val="28"/>
              </w:rPr>
              <w:t>年法律援助量（件）</w:t>
            </w:r>
          </w:p>
        </w:tc>
        <w:tc>
          <w:tcPr>
            <w:tcW w:w="1274" w:type="dxa"/>
            <w:tcBorders>
              <w:top w:val="single" w:color="auto" w:sz="4" w:space="0"/>
            </w:tcBorders>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195" w:leftChars="0" w:right="187" w:rightChars="0"/>
              <w:jc w:val="both"/>
              <w:textAlignment w:val="auto"/>
              <w:rPr>
                <w:rFonts w:hint="eastAsia" w:ascii="仿宋_GB2312" w:hAnsi="仿宋_GB2312" w:eastAsia="仿宋_GB2312" w:cs="仿宋_GB2312"/>
                <w:sz w:val="28"/>
                <w:szCs w:val="22"/>
                <w:u w:val="none"/>
                <w:lang w:val="en-US" w:eastAsia="zh-CN" w:bidi="zh-CN"/>
              </w:rPr>
            </w:pPr>
            <w:r>
              <w:rPr>
                <w:rFonts w:hint="eastAsia" w:ascii="仿宋_GB2312" w:hAnsi="仿宋_GB2312" w:eastAsia="仿宋_GB2312" w:cs="仿宋_GB2312"/>
                <w:sz w:val="28"/>
                <w:u w:val="none"/>
              </w:rPr>
              <w:t>≥</w:t>
            </w:r>
            <w:r>
              <w:rPr>
                <w:rFonts w:hint="eastAsia" w:ascii="仿宋_GB2312" w:hAnsi="仿宋_GB2312" w:eastAsia="仿宋_GB2312" w:cs="仿宋_GB2312"/>
                <w:sz w:val="28"/>
                <w:u w:val="none"/>
                <w:lang w:val="en-US" w:eastAsia="zh-CN"/>
              </w:rPr>
              <w:t>200</w:t>
            </w:r>
          </w:p>
        </w:tc>
        <w:tc>
          <w:tcPr>
            <w:tcW w:w="1740" w:type="dxa"/>
            <w:tcBorders>
              <w:top w:val="single" w:color="auto" w:sz="4" w:space="0"/>
            </w:tcBorders>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288" w:leftChars="0" w:right="279" w:rightChars="0"/>
              <w:jc w:val="both"/>
              <w:textAlignment w:val="auto"/>
              <w:rPr>
                <w:rFonts w:hint="eastAsia" w:ascii="仿宋_GB2312" w:hAnsi="仿宋_GB2312" w:eastAsia="仿宋_GB2312" w:cs="仿宋_GB2312"/>
                <w:sz w:val="28"/>
                <w:szCs w:val="22"/>
                <w:lang w:val="zh-CN" w:eastAsia="zh-CN" w:bidi="zh-CN"/>
              </w:rPr>
            </w:pPr>
            <w:r>
              <w:rPr>
                <w:rFonts w:hint="eastAsia" w:ascii="仿宋_GB2312" w:hAnsi="仿宋_GB2312" w:eastAsia="仿宋_GB2312" w:cs="仿宋_GB2312"/>
                <w:sz w:val="28"/>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5593" w:type="dxa"/>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279" w:leftChars="0" w:right="269" w:rightChars="0"/>
              <w:jc w:val="both"/>
              <w:textAlignment w:val="auto"/>
              <w:rPr>
                <w:rFonts w:hint="eastAsia" w:ascii="仿宋_GB2312" w:hAnsi="仿宋_GB2312" w:eastAsia="仿宋_GB2312" w:cs="仿宋_GB2312"/>
                <w:sz w:val="28"/>
                <w:szCs w:val="22"/>
                <w:lang w:val="zh-CN" w:eastAsia="zh-CN" w:bidi="zh-CN"/>
              </w:rPr>
            </w:pPr>
            <w:r>
              <w:rPr>
                <w:rFonts w:hint="eastAsia" w:ascii="仿宋_GB2312" w:hAnsi="仿宋_GB2312" w:eastAsia="仿宋_GB2312" w:cs="仿宋_GB2312"/>
                <w:position w:val="1"/>
                <w:sz w:val="28"/>
              </w:rPr>
              <w:t>村</w:t>
            </w:r>
            <w:r>
              <w:rPr>
                <w:rFonts w:hint="eastAsia" w:ascii="仿宋_GB2312" w:hAnsi="仿宋_GB2312" w:eastAsia="仿宋_GB2312" w:cs="仿宋_GB2312"/>
                <w:spacing w:val="-3"/>
                <w:position w:val="1"/>
                <w:sz w:val="28"/>
              </w:rPr>
              <w:t>（</w:t>
            </w:r>
            <w:r>
              <w:rPr>
                <w:rFonts w:hint="eastAsia" w:ascii="仿宋_GB2312" w:hAnsi="仿宋_GB2312" w:eastAsia="仿宋_GB2312" w:cs="仿宋_GB2312"/>
                <w:position w:val="1"/>
                <w:sz w:val="28"/>
              </w:rPr>
              <w:t>居）</w:t>
            </w:r>
            <w:r>
              <w:rPr>
                <w:rFonts w:hint="eastAsia" w:ascii="仿宋_GB2312" w:hAnsi="仿宋_GB2312" w:eastAsia="仿宋_GB2312" w:cs="仿宋_GB2312"/>
                <w:spacing w:val="-3"/>
                <w:position w:val="1"/>
                <w:sz w:val="28"/>
              </w:rPr>
              <w:t>法</w:t>
            </w:r>
            <w:r>
              <w:rPr>
                <w:rFonts w:hint="eastAsia" w:ascii="仿宋_GB2312" w:hAnsi="仿宋_GB2312" w:eastAsia="仿宋_GB2312" w:cs="仿宋_GB2312"/>
                <w:position w:val="1"/>
                <w:sz w:val="28"/>
              </w:rPr>
              <w:t>律顾</w:t>
            </w:r>
            <w:r>
              <w:rPr>
                <w:rFonts w:hint="eastAsia" w:ascii="仿宋_GB2312" w:hAnsi="仿宋_GB2312" w:eastAsia="仿宋_GB2312" w:cs="仿宋_GB2312"/>
                <w:spacing w:val="-3"/>
                <w:position w:val="1"/>
                <w:sz w:val="28"/>
              </w:rPr>
              <w:t>问</w:t>
            </w:r>
            <w:r>
              <w:rPr>
                <w:rFonts w:hint="eastAsia" w:ascii="仿宋_GB2312" w:hAnsi="仿宋_GB2312" w:eastAsia="仿宋_GB2312" w:cs="仿宋_GB2312"/>
                <w:position w:val="1"/>
                <w:sz w:val="28"/>
              </w:rPr>
              <w:t>覆盖</w:t>
            </w:r>
            <w:r>
              <w:rPr>
                <w:rFonts w:hint="eastAsia" w:ascii="仿宋_GB2312" w:hAnsi="仿宋_GB2312" w:eastAsia="仿宋_GB2312" w:cs="仿宋_GB2312"/>
                <w:spacing w:val="-3"/>
                <w:position w:val="1"/>
                <w:sz w:val="28"/>
              </w:rPr>
              <w:t>率</w:t>
            </w:r>
            <w:r>
              <w:rPr>
                <w:rFonts w:hint="eastAsia" w:ascii="仿宋_GB2312" w:hAnsi="仿宋_GB2312" w:eastAsia="仿宋_GB2312" w:cs="仿宋_GB2312"/>
                <w:spacing w:val="2"/>
                <w:position w:val="1"/>
                <w:sz w:val="28"/>
              </w:rPr>
              <w:t>（</w:t>
            </w:r>
            <w:r>
              <w:rPr>
                <w:rFonts w:hint="eastAsia" w:ascii="仿宋_GB2312" w:hAnsi="仿宋_GB2312" w:eastAsia="仿宋_GB2312" w:cs="仿宋_GB2312"/>
                <w:spacing w:val="-128"/>
                <w:position w:val="1"/>
                <w:sz w:val="28"/>
              </w:rPr>
              <w:t xml:space="preserve"> </w:t>
            </w:r>
            <w:r>
              <w:rPr>
                <w:rFonts w:hint="eastAsia" w:ascii="仿宋_GB2312" w:hAnsi="仿宋_GB2312" w:eastAsia="仿宋_GB2312" w:cs="仿宋_GB2312"/>
                <w:spacing w:val="9"/>
                <w:w w:val="100"/>
                <w:sz w:val="28"/>
              </w:rPr>
              <w:drawing>
                <wp:inline distT="0" distB="0" distL="114300" distR="114300">
                  <wp:extent cx="75565" cy="135890"/>
                  <wp:effectExtent l="0" t="0" r="635" b="16510"/>
                  <wp:docPr id="5"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true"/>
                          </pic:cNvPicPr>
                        </pic:nvPicPr>
                        <pic:blipFill>
                          <a:blip r:embed="rId6"/>
                          <a:stretch>
                            <a:fillRect/>
                          </a:stretch>
                        </pic:blipFill>
                        <pic:spPr>
                          <a:xfrm>
                            <a:off x="0" y="0"/>
                            <a:ext cx="75565" cy="135890"/>
                          </a:xfrm>
                          <a:prstGeom prst="rect">
                            <a:avLst/>
                          </a:prstGeom>
                          <a:noFill/>
                          <a:ln>
                            <a:noFill/>
                          </a:ln>
                        </pic:spPr>
                      </pic:pic>
                    </a:graphicData>
                  </a:graphic>
                </wp:inline>
              </w:drawing>
            </w:r>
            <w:r>
              <w:rPr>
                <w:rFonts w:hint="eastAsia" w:ascii="仿宋_GB2312" w:hAnsi="仿宋_GB2312" w:eastAsia="仿宋_GB2312" w:cs="仿宋_GB2312"/>
                <w:position w:val="1"/>
                <w:sz w:val="28"/>
              </w:rPr>
              <w:t>）</w:t>
            </w:r>
          </w:p>
        </w:tc>
        <w:tc>
          <w:tcPr>
            <w:tcW w:w="1274" w:type="dxa"/>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196" w:leftChars="0" w:right="186" w:rightChars="0"/>
              <w:jc w:val="both"/>
              <w:textAlignment w:val="auto"/>
              <w:rPr>
                <w:rFonts w:hint="eastAsia" w:ascii="仿宋_GB2312" w:hAnsi="仿宋_GB2312" w:eastAsia="仿宋_GB2312" w:cs="仿宋_GB2312"/>
                <w:sz w:val="28"/>
                <w:szCs w:val="22"/>
                <w:u w:val="none"/>
                <w:lang w:val="en-US" w:eastAsia="zh-CN" w:bidi="zh-CN"/>
              </w:rPr>
            </w:pPr>
            <w:r>
              <w:rPr>
                <w:rFonts w:hint="eastAsia" w:ascii="仿宋_GB2312" w:hAnsi="仿宋_GB2312" w:eastAsia="仿宋_GB2312" w:cs="仿宋_GB2312"/>
                <w:sz w:val="28"/>
                <w:u w:val="none"/>
              </w:rPr>
              <w:t>100</w:t>
            </w:r>
          </w:p>
        </w:tc>
        <w:tc>
          <w:tcPr>
            <w:tcW w:w="1740" w:type="dxa"/>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288" w:leftChars="0" w:right="279" w:rightChars="0"/>
              <w:jc w:val="both"/>
              <w:textAlignment w:val="auto"/>
              <w:rPr>
                <w:rFonts w:hint="eastAsia" w:ascii="仿宋_GB2312" w:hAnsi="仿宋_GB2312" w:eastAsia="仿宋_GB2312" w:cs="仿宋_GB2312"/>
                <w:sz w:val="28"/>
                <w:szCs w:val="22"/>
                <w:lang w:val="zh-CN" w:eastAsia="zh-CN" w:bidi="zh-CN"/>
              </w:rPr>
            </w:pPr>
            <w:r>
              <w:rPr>
                <w:rFonts w:hint="eastAsia" w:ascii="仿宋_GB2312" w:hAnsi="仿宋_GB2312" w:eastAsia="仿宋_GB2312" w:cs="仿宋_GB2312"/>
                <w:sz w:val="28"/>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5593" w:type="dxa"/>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279" w:right="267"/>
              <w:jc w:val="both"/>
              <w:textAlignment w:val="auto"/>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仲裁案件调解和解</w:t>
            </w:r>
            <w:r>
              <w:rPr>
                <w:rFonts w:hint="eastAsia" w:ascii="仿宋_GB2312" w:hAnsi="仿宋_GB2312" w:eastAsia="仿宋_GB2312" w:cs="仿宋_GB2312"/>
                <w:spacing w:val="-3"/>
                <w:position w:val="1"/>
                <w:sz w:val="28"/>
              </w:rPr>
              <w:t>率</w:t>
            </w:r>
            <w:r>
              <w:rPr>
                <w:rFonts w:hint="eastAsia" w:ascii="仿宋_GB2312" w:hAnsi="仿宋_GB2312" w:eastAsia="仿宋_GB2312" w:cs="仿宋_GB2312"/>
                <w:spacing w:val="2"/>
                <w:position w:val="1"/>
                <w:sz w:val="28"/>
              </w:rPr>
              <w:t>（</w:t>
            </w:r>
            <w:r>
              <w:rPr>
                <w:rFonts w:hint="eastAsia" w:ascii="仿宋_GB2312" w:hAnsi="仿宋_GB2312" w:eastAsia="仿宋_GB2312" w:cs="仿宋_GB2312"/>
                <w:spacing w:val="-128"/>
                <w:position w:val="1"/>
                <w:sz w:val="28"/>
              </w:rPr>
              <w:t xml:space="preserve"> </w:t>
            </w:r>
            <w:r>
              <w:rPr>
                <w:rFonts w:hint="eastAsia" w:ascii="仿宋_GB2312" w:hAnsi="仿宋_GB2312" w:eastAsia="仿宋_GB2312" w:cs="仿宋_GB2312"/>
                <w:spacing w:val="9"/>
                <w:w w:val="100"/>
                <w:sz w:val="28"/>
              </w:rPr>
              <w:drawing>
                <wp:inline distT="0" distB="0" distL="114300" distR="114300">
                  <wp:extent cx="75565" cy="135890"/>
                  <wp:effectExtent l="0" t="0" r="635" b="16510"/>
                  <wp:docPr id="6"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true"/>
                          </pic:cNvPicPr>
                        </pic:nvPicPr>
                        <pic:blipFill>
                          <a:blip r:embed="rId6"/>
                          <a:stretch>
                            <a:fillRect/>
                          </a:stretch>
                        </pic:blipFill>
                        <pic:spPr>
                          <a:xfrm>
                            <a:off x="0" y="0"/>
                            <a:ext cx="75565" cy="135890"/>
                          </a:xfrm>
                          <a:prstGeom prst="rect">
                            <a:avLst/>
                          </a:prstGeom>
                          <a:noFill/>
                          <a:ln>
                            <a:noFill/>
                          </a:ln>
                        </pic:spPr>
                      </pic:pic>
                    </a:graphicData>
                  </a:graphic>
                </wp:inline>
              </w:drawing>
            </w:r>
            <w:r>
              <w:rPr>
                <w:rFonts w:hint="eastAsia" w:ascii="仿宋_GB2312" w:hAnsi="仿宋_GB2312" w:eastAsia="仿宋_GB2312" w:cs="仿宋_GB2312"/>
                <w:position w:val="1"/>
                <w:sz w:val="28"/>
              </w:rPr>
              <w:t>）</w:t>
            </w:r>
          </w:p>
        </w:tc>
        <w:tc>
          <w:tcPr>
            <w:tcW w:w="1274" w:type="dxa"/>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196" w:right="186"/>
              <w:jc w:val="both"/>
              <w:textAlignment w:val="auto"/>
              <w:rPr>
                <w:rFonts w:hint="eastAsia" w:ascii="仿宋_GB2312" w:hAnsi="仿宋_GB2312" w:eastAsia="仿宋_GB2312" w:cs="仿宋_GB2312"/>
                <w:sz w:val="28"/>
                <w:u w:val="none"/>
                <w:lang w:val="en-US" w:eastAsia="zh-CN"/>
              </w:rPr>
            </w:pPr>
            <w:r>
              <w:rPr>
                <w:rFonts w:hint="eastAsia" w:ascii="仿宋_GB2312" w:hAnsi="仿宋_GB2312" w:eastAsia="仿宋_GB2312" w:cs="仿宋_GB2312"/>
                <w:sz w:val="28"/>
                <w:u w:val="none"/>
              </w:rPr>
              <w:t>≥</w:t>
            </w:r>
            <w:r>
              <w:rPr>
                <w:rFonts w:hint="eastAsia" w:ascii="仿宋_GB2312" w:hAnsi="仿宋_GB2312" w:eastAsia="仿宋_GB2312" w:cs="仿宋_GB2312"/>
                <w:sz w:val="28"/>
                <w:u w:val="none"/>
                <w:lang w:val="en-US" w:eastAsia="zh-CN"/>
              </w:rPr>
              <w:t>60</w:t>
            </w:r>
          </w:p>
        </w:tc>
        <w:tc>
          <w:tcPr>
            <w:tcW w:w="1740" w:type="dxa"/>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600" w:lineRule="exact"/>
              <w:ind w:left="288" w:right="279"/>
              <w:jc w:val="both"/>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预期性</w:t>
            </w:r>
          </w:p>
        </w:tc>
      </w:tr>
    </w:tbl>
    <w:p>
      <w:pPr>
        <w:pStyle w:val="6"/>
        <w:jc w:val="both"/>
        <w:rPr>
          <w:rFonts w:hint="eastAsia"/>
          <w:lang w:val="en-US" w:eastAsia="zh-CN"/>
        </w:rPr>
      </w:pPr>
    </w:p>
    <w:p>
      <w:pPr>
        <w:rPr>
          <w:rFonts w:hint="eastAsia"/>
          <w:lang w:val="en-US" w:eastAsia="zh-CN"/>
        </w:rPr>
      </w:pPr>
    </w:p>
    <w:p>
      <w:pPr>
        <w:pStyle w:val="3"/>
        <w:keepNext w:val="0"/>
        <w:keepLines w:val="0"/>
        <w:pageBreakBefore w:val="0"/>
        <w:widowControl w:val="0"/>
        <w:tabs>
          <w:tab w:val="left" w:pos="1540"/>
        </w:tabs>
        <w:kinsoku/>
        <w:wordWrap/>
        <w:overflowPunct/>
        <w:topLinePunct w:val="0"/>
        <w:autoSpaceDE w:val="0"/>
        <w:autoSpaceDN w:val="0"/>
        <w:bidi w:val="0"/>
        <w:adjustRightInd/>
        <w:snapToGrid/>
        <w:spacing w:before="0" w:line="560" w:lineRule="exact"/>
        <w:ind w:left="0" w:right="0"/>
        <w:jc w:val="center"/>
        <w:textAlignment w:val="auto"/>
        <w:rPr>
          <w:rFonts w:hint="eastAsia" w:ascii="黑体" w:hAnsi="黑体" w:eastAsia="黑体" w:cs="黑体"/>
          <w:sz w:val="32"/>
          <w:szCs w:val="32"/>
          <w:u w:val="none"/>
        </w:rPr>
      </w:pPr>
      <w:r>
        <w:rPr>
          <w:rFonts w:hint="eastAsia" w:ascii="黑体" w:hAnsi="黑体" w:eastAsia="黑体" w:cs="黑体"/>
          <w:sz w:val="32"/>
          <w:szCs w:val="32"/>
          <w:u w:val="none"/>
        </w:rPr>
        <w:t>第二章</w:t>
      </w:r>
      <w:r>
        <w:rPr>
          <w:rFonts w:hint="eastAsia" w:ascii="黑体" w:hAnsi="黑体" w:eastAsia="黑体" w:cs="黑体"/>
          <w:sz w:val="32"/>
          <w:szCs w:val="32"/>
          <w:u w:val="none"/>
          <w:lang w:val="en-US" w:eastAsia="zh-CN"/>
        </w:rPr>
        <w:t xml:space="preserve">  </w:t>
      </w:r>
      <w:r>
        <w:rPr>
          <w:rFonts w:hint="eastAsia" w:ascii="黑体" w:hAnsi="黑体" w:eastAsia="黑体" w:cs="黑体"/>
          <w:sz w:val="32"/>
          <w:szCs w:val="32"/>
          <w:u w:val="none"/>
        </w:rPr>
        <w:t>履行公共法律服务新使命</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default" w:ascii="Times New Roman" w:hAnsi="Times New Roman" w:cs="Times New Roman"/>
          <w:sz w:val="30"/>
          <w:u w:val="none"/>
        </w:rPr>
      </w:pP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default" w:ascii="Times New Roman" w:hAnsi="Times New Roman" w:eastAsia="楷体_GB2312" w:cs="Times New Roman"/>
          <w:sz w:val="32"/>
          <w:szCs w:val="32"/>
          <w:u w:val="none"/>
        </w:rPr>
      </w:pPr>
      <w:r>
        <w:rPr>
          <w:rFonts w:hint="default" w:ascii="Times New Roman" w:hAnsi="Times New Roman" w:eastAsia="楷体_GB2312" w:cs="Times New Roman"/>
          <w:sz w:val="32"/>
          <w:szCs w:val="32"/>
          <w:u w:val="none"/>
        </w:rPr>
        <w:t xml:space="preserve">第一节 </w:t>
      </w:r>
      <w:r>
        <w:rPr>
          <w:rFonts w:hint="eastAsia" w:ascii="Times New Roman" w:hAnsi="Times New Roman" w:eastAsia="楷体_GB2312" w:cs="Times New Roman"/>
          <w:sz w:val="32"/>
          <w:szCs w:val="32"/>
          <w:u w:val="none"/>
          <w:lang w:val="en-US" w:eastAsia="zh-CN"/>
        </w:rPr>
        <w:t xml:space="preserve"> </w:t>
      </w:r>
      <w:r>
        <w:rPr>
          <w:rFonts w:hint="default" w:ascii="Times New Roman" w:hAnsi="Times New Roman" w:eastAsia="楷体_GB2312" w:cs="Times New Roman"/>
          <w:sz w:val="32"/>
          <w:szCs w:val="32"/>
          <w:u w:val="none"/>
        </w:rPr>
        <w:t>聚焦保障和改善民生提升人民生活品质</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jc w:val="both"/>
        <w:textAlignment w:val="auto"/>
        <w:rPr>
          <w:rFonts w:hint="eastAsia" w:ascii="仿宋_GB2312" w:hAnsi="仿宋_GB2312" w:eastAsia="仿宋_GB2312" w:cs="仿宋_GB2312"/>
          <w:spacing w:val="0"/>
          <w:w w:val="100"/>
          <w:sz w:val="32"/>
          <w:szCs w:val="32"/>
          <w:u w:val="none"/>
        </w:rPr>
      </w:pPr>
      <w:r>
        <w:rPr>
          <w:rFonts w:hint="eastAsia" w:ascii="仿宋_GB2312" w:hAnsi="仿宋_GB2312" w:eastAsia="仿宋_GB2312" w:cs="仿宋_GB2312"/>
          <w:spacing w:val="0"/>
          <w:w w:val="100"/>
          <w:sz w:val="32"/>
          <w:szCs w:val="32"/>
          <w:u w:val="none"/>
        </w:rPr>
        <w:t>围绕满足人民群众公共法律服务需求，充分发挥公共法律服务实体平台贴近服务作用，打通公共法律服务“最后一公里”，充分发挥公共法律服务热线、网络平台全天候服务作用，推动法律服务“掌上办”“指尖办”“一网通办”，随时随地为群众提供公共法律服务。围绕服务民生重点领域，聚焦教育、医疗、劳动、住房等热点问题，推动法治宣传教育、律师、公证、法律援助、基层法律服务、法律顾问、调解、仲裁、司法鉴定、法律职业资格考试等差异化、多层次的公共法律服务资源，向群众生产生活急需、社会矛盾集聚、各类风险高发的领域合理配置，提供优质高效的法律服务，解决群众“急难愁盼”法律问题。围绕优化法律服务机制，深化公共法律服务领域“放管服”改革和“减证便民”，推进公共法律服务领域政务公开，完善公共法律服务告知承诺制，推动法律援助、公证等法律服务同城通办</w:t>
      </w:r>
      <w:r>
        <w:rPr>
          <w:rFonts w:hint="eastAsia" w:ascii="仿宋_GB2312" w:hAnsi="仿宋_GB2312" w:eastAsia="仿宋_GB2312" w:cs="仿宋_GB2312"/>
          <w:spacing w:val="0"/>
          <w:w w:val="100"/>
          <w:sz w:val="32"/>
          <w:szCs w:val="32"/>
          <w:u w:val="none"/>
          <w:lang w:eastAsia="zh-CN"/>
        </w:rPr>
        <w:t>、</w:t>
      </w:r>
      <w:r>
        <w:rPr>
          <w:rFonts w:hint="eastAsia" w:ascii="仿宋_GB2312" w:hAnsi="仿宋_GB2312" w:eastAsia="仿宋_GB2312" w:cs="仿宋_GB2312"/>
          <w:spacing w:val="0"/>
          <w:w w:val="100"/>
          <w:sz w:val="32"/>
          <w:szCs w:val="32"/>
          <w:u w:val="none"/>
          <w:lang w:val="en-US" w:eastAsia="zh-CN"/>
        </w:rPr>
        <w:t>全区通办等</w:t>
      </w:r>
      <w:r>
        <w:rPr>
          <w:rFonts w:hint="eastAsia" w:ascii="仿宋_GB2312" w:hAnsi="仿宋_GB2312" w:eastAsia="仿宋_GB2312" w:cs="仿宋_GB2312"/>
          <w:spacing w:val="0"/>
          <w:w w:val="100"/>
          <w:sz w:val="32"/>
          <w:szCs w:val="32"/>
          <w:u w:val="none"/>
        </w:rPr>
        <w:t>。围绕乡村振兴，整合法治宣传、法律援助、村（居）法律顾问、人民调解、公证等法律服务资源，深入开展乡村公共法律服务活动，满足农村和基层法律服务需求；坚持和发展“枫桥经验”，</w:t>
      </w:r>
      <w:r>
        <w:rPr>
          <w:rFonts w:hint="eastAsia" w:ascii="仿宋_GB2312" w:hAnsi="仿宋_GB2312" w:eastAsia="仿宋_GB2312" w:cs="仿宋_GB2312"/>
          <w:spacing w:val="0"/>
          <w:w w:val="100"/>
          <w:sz w:val="32"/>
          <w:szCs w:val="32"/>
          <w:u w:val="none"/>
          <w:lang w:eastAsia="zh-CN"/>
        </w:rPr>
        <w:t>立足沿边沿海优势及具</w:t>
      </w:r>
      <w:r>
        <w:rPr>
          <w:rFonts w:hint="eastAsia" w:ascii="仿宋_GB2312" w:hAnsi="仿宋_GB2312" w:eastAsia="仿宋_GB2312" w:cs="仿宋_GB2312"/>
          <w:spacing w:val="0"/>
          <w:w w:val="100"/>
          <w:sz w:val="32"/>
          <w:szCs w:val="32"/>
          <w:u w:val="none"/>
        </w:rPr>
        <w:t>有</w:t>
      </w:r>
      <w:r>
        <w:rPr>
          <w:rFonts w:hint="eastAsia" w:ascii="仿宋_GB2312" w:hAnsi="仿宋_GB2312" w:eastAsia="仿宋_GB2312" w:cs="仿宋_GB2312"/>
          <w:spacing w:val="0"/>
          <w:w w:val="100"/>
          <w:sz w:val="32"/>
          <w:szCs w:val="32"/>
          <w:u w:val="none"/>
          <w:lang w:eastAsia="zh-CN"/>
        </w:rPr>
        <w:t>防城港</w:t>
      </w:r>
      <w:r>
        <w:rPr>
          <w:rFonts w:hint="eastAsia" w:ascii="仿宋_GB2312" w:hAnsi="仿宋_GB2312" w:eastAsia="仿宋_GB2312" w:cs="仿宋_GB2312"/>
          <w:spacing w:val="0"/>
          <w:w w:val="100"/>
          <w:sz w:val="32"/>
          <w:szCs w:val="32"/>
          <w:u w:val="none"/>
        </w:rPr>
        <w:t>特色的</w:t>
      </w:r>
      <w:r>
        <w:rPr>
          <w:rFonts w:hint="eastAsia" w:ascii="仿宋_GB2312" w:hAnsi="仿宋_GB2312" w:eastAsia="仿宋_GB2312" w:cs="仿宋_GB2312"/>
          <w:spacing w:val="0"/>
          <w:w w:val="100"/>
          <w:sz w:val="32"/>
          <w:szCs w:val="32"/>
          <w:u w:val="none"/>
          <w:lang w:eastAsia="zh-CN"/>
        </w:rPr>
        <w:t>“法治三月三”、山歌普法、边境法宣长廊等的</w:t>
      </w:r>
      <w:r>
        <w:rPr>
          <w:rFonts w:hint="eastAsia" w:ascii="仿宋_GB2312" w:hAnsi="仿宋_GB2312" w:eastAsia="仿宋_GB2312" w:cs="仿宋_GB2312"/>
          <w:spacing w:val="0"/>
          <w:w w:val="100"/>
          <w:sz w:val="32"/>
          <w:szCs w:val="32"/>
          <w:u w:val="none"/>
        </w:rPr>
        <w:t>示范作用，建成百家调解工作室，通过人民调解、律师调解、仲裁等方式妥善化解农村矛盾纠纷，促进乡村、基层社会治理现代化。围绕维护特殊群体合法权益，努力做到“应援尽援”“应援优援”</w:t>
      </w:r>
      <w:r>
        <w:rPr>
          <w:rFonts w:hint="eastAsia" w:ascii="仿宋_GB2312" w:hAnsi="仿宋_GB2312" w:eastAsia="仿宋_GB2312" w:cs="仿宋_GB2312"/>
          <w:spacing w:val="0"/>
          <w:w w:val="100"/>
          <w:sz w:val="32"/>
          <w:szCs w:val="32"/>
          <w:u w:val="none"/>
          <w:lang w:eastAsia="zh-CN"/>
        </w:rPr>
        <w:t>。</w:t>
      </w:r>
      <w:r>
        <w:rPr>
          <w:rFonts w:hint="eastAsia" w:ascii="仿宋_GB2312" w:hAnsi="仿宋_GB2312" w:eastAsia="仿宋_GB2312" w:cs="仿宋_GB2312"/>
          <w:spacing w:val="0"/>
          <w:w w:val="100"/>
          <w:sz w:val="32"/>
          <w:szCs w:val="32"/>
          <w:u w:val="none"/>
        </w:rPr>
        <w:t>积极鼓励和引导律师、基层法律服务工作者等开展公益法律服务，切实维护人民群众合法权益。</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both"/>
        <w:textAlignment w:val="auto"/>
        <w:rPr>
          <w:rFonts w:hint="default" w:ascii="Times New Roman" w:hAnsi="Times New Roman" w:cs="Times New Roman"/>
          <w:spacing w:val="0"/>
          <w:w w:val="100"/>
          <w:sz w:val="32"/>
          <w:szCs w:val="32"/>
          <w:u w:val="none"/>
        </w:rPr>
      </w:pP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default" w:ascii="Times New Roman" w:hAnsi="Times New Roman" w:eastAsia="楷体_GB2312" w:cs="Times New Roman"/>
          <w:sz w:val="32"/>
          <w:szCs w:val="32"/>
          <w:u w:val="none"/>
        </w:rPr>
      </w:pPr>
      <w:r>
        <w:rPr>
          <w:rFonts w:hint="default" w:ascii="Times New Roman" w:hAnsi="Times New Roman" w:eastAsia="楷体_GB2312" w:cs="Times New Roman"/>
          <w:sz w:val="32"/>
          <w:szCs w:val="32"/>
          <w:u w:val="none"/>
        </w:rPr>
        <w:t>第二节 聚焦谱写壮美广西防城港新篇章服务经济高质量发展</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深入贯彻习近平总书记对广西及防城港市工作系列重要指示精神，准确把握自治区党委“加快发展、转型升级、全面提质”发展目标，紧紧围绕加快构建边海国际大通道、建设开放开发先行区、建成产业集群新高地、建好边疆民族地区共同富裕示范市的发展定位，聚焦高质量发展，建立律师参与服务重大工程、重大项目工作机制，深入开展法律“进企业、进商（协）会、进市场、进园区”活动，为疫情防控法律服务提供便利，扎实做好“六稳”工作，全面落实“六保”任务，努力营造和维护良好的法治化营商环境。围绕防范化解重大风险，聚焦民间非法集资、政府隐性债务、企业经营、房地产市场等重点领域，加强法律风险评估等工作，推动风险防范从“事后救济”向“事前预防”转变。进一步健全国有企业法律顾问、公司律师制度，推行和完善事业单位法律顾问制度，全面建成与</w:t>
      </w:r>
      <w:r>
        <w:rPr>
          <w:rFonts w:hint="eastAsia" w:ascii="仿宋_GB2312" w:hAnsi="仿宋_GB2312" w:eastAsia="仿宋_GB2312" w:cs="仿宋_GB2312"/>
          <w:sz w:val="32"/>
          <w:szCs w:val="32"/>
          <w:u w:val="none"/>
          <w:lang w:eastAsia="zh-CN"/>
        </w:rPr>
        <w:t>防城港</w:t>
      </w:r>
      <w:r>
        <w:rPr>
          <w:rFonts w:hint="eastAsia" w:ascii="仿宋_GB2312" w:hAnsi="仿宋_GB2312" w:eastAsia="仿宋_GB2312" w:cs="仿宋_GB2312"/>
          <w:sz w:val="32"/>
          <w:szCs w:val="32"/>
          <w:u w:val="none"/>
        </w:rPr>
        <w:t>经济发展相适应的法律顾问、公职律师、公司律师制度体系。鼓励和探索成立行业性、专业性、区域性</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国际性</w:t>
      </w:r>
      <w:r>
        <w:rPr>
          <w:rFonts w:hint="eastAsia" w:ascii="仿宋_GB2312" w:hAnsi="仿宋_GB2312" w:eastAsia="仿宋_GB2312" w:cs="仿宋_GB2312"/>
          <w:sz w:val="32"/>
          <w:szCs w:val="32"/>
          <w:u w:val="none"/>
        </w:rPr>
        <w:t>的调解组织，服务经济高质量发展。</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both"/>
        <w:textAlignment w:val="auto"/>
        <w:rPr>
          <w:rFonts w:hint="default" w:ascii="Times New Roman" w:hAnsi="Times New Roman" w:eastAsia="楷体_GB2312" w:cs="Times New Roman"/>
          <w:sz w:val="32"/>
          <w:szCs w:val="32"/>
          <w:u w:val="none"/>
        </w:rPr>
      </w:pP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default" w:ascii="Times New Roman" w:hAnsi="Times New Roman" w:cs="Times New Roman"/>
          <w:sz w:val="32"/>
          <w:szCs w:val="32"/>
          <w:u w:val="none"/>
        </w:rPr>
      </w:pPr>
      <w:r>
        <w:rPr>
          <w:rFonts w:hint="default" w:ascii="Times New Roman" w:hAnsi="Times New Roman" w:eastAsia="楷体_GB2312" w:cs="Times New Roman"/>
          <w:sz w:val="32"/>
          <w:szCs w:val="32"/>
          <w:u w:val="none"/>
        </w:rPr>
        <w:t>第三节 聚焦重大发展战略服务全方位对外开放</w:t>
      </w:r>
    </w:p>
    <w:p>
      <w:pPr>
        <w:pStyle w:val="2"/>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u w:val="none"/>
        </w:rPr>
      </w:pPr>
      <w:r>
        <w:rPr>
          <w:rFonts w:hint="eastAsia" w:ascii="仿宋_GB2312" w:hAnsi="仿宋_GB2312" w:eastAsia="仿宋_GB2312" w:cs="仿宋_GB2312"/>
          <w:u w:val="none"/>
        </w:rPr>
        <w:t>围绕广西“三大定位”新使命</w:t>
      </w:r>
      <w:r>
        <w:rPr>
          <w:rFonts w:hint="eastAsia" w:ascii="仿宋_GB2312" w:hAnsi="仿宋_GB2312" w:eastAsia="仿宋_GB2312" w:cs="仿宋_GB2312"/>
          <w:u w:val="none"/>
          <w:lang w:eastAsia="zh-CN"/>
        </w:rPr>
        <w:t>，</w:t>
      </w:r>
      <w:r>
        <w:rPr>
          <w:rFonts w:hint="eastAsia" w:ascii="仿宋_GB2312" w:hAnsi="仿宋_GB2312" w:eastAsia="仿宋_GB2312" w:cs="仿宋_GB2312"/>
          <w:u w:val="none"/>
          <w:lang w:val="en-US" w:eastAsia="zh-CN"/>
        </w:rPr>
        <w:t>以及防城港市立足新发展阶段，抢抓新发展机遇，贯彻新发展理念，融入新发展格局，坚持稳中求进工作总基调和高质量发展主题，</w:t>
      </w:r>
      <w:r>
        <w:rPr>
          <w:rFonts w:hint="eastAsia" w:ascii="仿宋_GB2312" w:hAnsi="仿宋_GB2312" w:eastAsia="仿宋_GB2312" w:cs="仿宋_GB2312"/>
          <w:u w:val="none"/>
        </w:rPr>
        <w:t>主动服务国家、自治区</w:t>
      </w:r>
      <w:r>
        <w:rPr>
          <w:rFonts w:hint="eastAsia" w:ascii="仿宋_GB2312" w:hAnsi="仿宋_GB2312" w:eastAsia="仿宋_GB2312" w:cs="仿宋_GB2312"/>
          <w:u w:val="none"/>
          <w:lang w:val="en-US" w:eastAsia="zh-CN"/>
        </w:rPr>
        <w:t>和防城港市</w:t>
      </w:r>
      <w:r>
        <w:rPr>
          <w:rFonts w:hint="eastAsia" w:ascii="仿宋_GB2312" w:hAnsi="仿宋_GB2312" w:eastAsia="仿宋_GB2312" w:cs="仿宋_GB2312"/>
          <w:u w:val="none"/>
        </w:rPr>
        <w:t>对外开放重大决策部署，加强与东盟国家的法律服务机构业务交流、合作。培育和发展专业化、国际化的律师事务所以及仲裁、调解、公证、司法鉴定等法律服务机构，探索与东盟国家仲裁机构以及其他争议解决机构开展多种形式的业务合作，支持有条件的律师事务所、</w:t>
      </w:r>
      <w:r>
        <w:rPr>
          <w:rFonts w:hint="eastAsia" w:ascii="仿宋_GB2312" w:hAnsi="仿宋_GB2312" w:eastAsia="仿宋_GB2312" w:cs="仿宋_GB2312"/>
          <w:u w:val="none"/>
          <w:lang w:eastAsia="zh-CN"/>
        </w:rPr>
        <w:t>防城港</w:t>
      </w:r>
      <w:r>
        <w:rPr>
          <w:rFonts w:hint="eastAsia" w:ascii="仿宋_GB2312" w:hAnsi="仿宋_GB2312" w:eastAsia="仿宋_GB2312" w:cs="仿宋_GB2312"/>
          <w:u w:val="none"/>
        </w:rPr>
        <w:t>仲裁委员会设立海外服务机构或涉外服务部。加强培养和积极引进熟悉国际金融、投资、航运、物流以及反倾销、反垄断等领域业务的高端法律服务人才。</w:t>
      </w:r>
    </w:p>
    <w:p>
      <w:pPr>
        <w:pStyle w:val="5"/>
        <w:keepNext w:val="0"/>
        <w:keepLines w:val="0"/>
        <w:pageBreakBefore w:val="0"/>
        <w:widowControl w:val="0"/>
        <w:tabs>
          <w:tab w:val="left" w:pos="1199"/>
        </w:tabs>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专栏</w:t>
      </w:r>
      <w:r>
        <w:rPr>
          <w:rFonts w:hint="eastAsia" w:ascii="仿宋_GB2312" w:hAnsi="仿宋_GB2312" w:eastAsia="仿宋_GB2312" w:cs="仿宋_GB2312"/>
          <w:b/>
          <w:bCs/>
          <w:spacing w:val="-80"/>
          <w:sz w:val="28"/>
          <w:szCs w:val="28"/>
        </w:rPr>
        <w:t xml:space="preserve"> </w:t>
      </w:r>
      <w:r>
        <w:rPr>
          <w:rFonts w:hint="eastAsia" w:ascii="仿宋_GB2312" w:hAnsi="仿宋_GB2312" w:eastAsia="仿宋_GB2312" w:cs="仿宋_GB2312"/>
          <w:b/>
          <w:bCs/>
          <w:sz w:val="28"/>
          <w:szCs w:val="28"/>
        </w:rPr>
        <w:t>2</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t>履行公共法律服务新使命重点任务</w:t>
      </w:r>
    </w:p>
    <w:p>
      <w:pPr>
        <w:rPr>
          <w:sz w:val="21"/>
        </w:rPr>
      </w:pPr>
      <w:r>
        <w:rPr>
          <w:sz w:val="21"/>
        </w:rPr>
        <mc:AlternateContent>
          <mc:Choice Requires="wps">
            <w:drawing>
              <wp:inline distT="0" distB="0" distL="114300" distR="114300">
                <wp:extent cx="5737860" cy="2675255"/>
                <wp:effectExtent l="5080" t="4445" r="10160" b="6350"/>
                <wp:docPr id="1" name="文本框 150"/>
                <wp:cNvGraphicFramePr/>
                <a:graphic xmlns:a="http://schemas.openxmlformats.org/drawingml/2006/main">
                  <a:graphicData uri="http://schemas.microsoft.com/office/word/2010/wordprocessingShape">
                    <wps:wsp>
                      <wps:cNvSpPr txBox="true"/>
                      <wps:spPr>
                        <a:xfrm>
                          <a:off x="0" y="0"/>
                          <a:ext cx="5737860" cy="26752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numPr>
                                <w:ilvl w:val="0"/>
                                <w:numId w:val="1"/>
                              </w:numPr>
                              <w:tabs>
                                <w:tab w:val="left" w:pos="917"/>
                              </w:tabs>
                              <w:kinsoku/>
                              <w:wordWrap/>
                              <w:overflowPunct/>
                              <w:topLinePunct w:val="0"/>
                              <w:autoSpaceDE w:val="0"/>
                              <w:autoSpaceDN w:val="0"/>
                              <w:bidi w:val="0"/>
                              <w:adjustRightInd/>
                              <w:snapToGrid/>
                              <w:spacing w:before="0" w:line="480" w:lineRule="exact"/>
                              <w:ind w:left="0" w:right="101" w:rightChars="48" w:firstLine="588"/>
                              <w:jc w:val="both"/>
                              <w:textAlignment w:val="auto"/>
                              <w:rPr>
                                <w:rFonts w:hint="eastAsia" w:ascii="仿宋_GB2312" w:hAnsi="仿宋_GB2312" w:eastAsia="仿宋_GB2312" w:cs="仿宋_GB2312"/>
                                <w:spacing w:val="0"/>
                                <w:sz w:val="28"/>
                              </w:rPr>
                            </w:pPr>
                            <w:r>
                              <w:rPr>
                                <w:rFonts w:hint="eastAsia" w:ascii="仿宋_GB2312" w:hAnsi="仿宋_GB2312" w:eastAsia="仿宋_GB2312" w:cs="仿宋_GB2312"/>
                                <w:spacing w:val="0"/>
                                <w:sz w:val="28"/>
                              </w:rPr>
                              <w:t>加强村（居）法律顾问和基层法律服务工作者管理，提高乡村治理法治化水平；</w:t>
                            </w:r>
                          </w:p>
                          <w:p>
                            <w:pPr>
                              <w:keepNext w:val="0"/>
                              <w:keepLines w:val="0"/>
                              <w:pageBreakBefore w:val="0"/>
                              <w:widowControl w:val="0"/>
                              <w:numPr>
                                <w:ilvl w:val="0"/>
                                <w:numId w:val="1"/>
                              </w:numPr>
                              <w:tabs>
                                <w:tab w:val="left" w:pos="917"/>
                              </w:tabs>
                              <w:kinsoku/>
                              <w:wordWrap/>
                              <w:overflowPunct/>
                              <w:topLinePunct w:val="0"/>
                              <w:autoSpaceDE w:val="0"/>
                              <w:autoSpaceDN w:val="0"/>
                              <w:bidi w:val="0"/>
                              <w:adjustRightInd/>
                              <w:snapToGrid/>
                              <w:spacing w:before="0" w:line="480" w:lineRule="exact"/>
                              <w:ind w:left="0" w:right="0" w:firstLine="588"/>
                              <w:jc w:val="both"/>
                              <w:textAlignment w:val="auto"/>
                              <w:rPr>
                                <w:rFonts w:hint="eastAsia" w:ascii="仿宋_GB2312" w:hAnsi="仿宋_GB2312" w:eastAsia="仿宋_GB2312" w:cs="仿宋_GB2312"/>
                                <w:spacing w:val="0"/>
                                <w:sz w:val="28"/>
                              </w:rPr>
                            </w:pPr>
                            <w:r>
                              <w:rPr>
                                <w:rFonts w:hint="eastAsia" w:ascii="仿宋_GB2312" w:hAnsi="仿宋_GB2312" w:eastAsia="仿宋_GB2312" w:cs="仿宋_GB2312"/>
                                <w:spacing w:val="0"/>
                                <w:sz w:val="28"/>
                              </w:rPr>
                              <w:t>加强和拓展一批行业性、专业性人民调解组织；</w:t>
                            </w:r>
                          </w:p>
                          <w:p>
                            <w:pPr>
                              <w:keepNext w:val="0"/>
                              <w:keepLines w:val="0"/>
                              <w:pageBreakBefore w:val="0"/>
                              <w:widowControl w:val="0"/>
                              <w:numPr>
                                <w:ilvl w:val="0"/>
                                <w:numId w:val="1"/>
                              </w:numPr>
                              <w:tabs>
                                <w:tab w:val="left" w:pos="917"/>
                              </w:tabs>
                              <w:kinsoku/>
                              <w:wordWrap/>
                              <w:overflowPunct/>
                              <w:topLinePunct w:val="0"/>
                              <w:autoSpaceDE w:val="0"/>
                              <w:autoSpaceDN w:val="0"/>
                              <w:bidi w:val="0"/>
                              <w:adjustRightInd/>
                              <w:snapToGrid/>
                              <w:spacing w:before="0" w:line="480" w:lineRule="exact"/>
                              <w:ind w:left="0" w:right="0" w:firstLine="588"/>
                              <w:jc w:val="both"/>
                              <w:textAlignment w:val="auto"/>
                              <w:rPr>
                                <w:rFonts w:hint="eastAsia" w:ascii="仿宋_GB2312" w:hAnsi="仿宋_GB2312" w:eastAsia="仿宋_GB2312" w:cs="仿宋_GB2312"/>
                                <w:spacing w:val="0"/>
                                <w:sz w:val="28"/>
                              </w:rPr>
                            </w:pPr>
                            <w:r>
                              <w:rPr>
                                <w:rFonts w:hint="eastAsia" w:ascii="仿宋_GB2312" w:hAnsi="仿宋_GB2312" w:eastAsia="仿宋_GB2312" w:cs="仿宋_GB2312"/>
                                <w:spacing w:val="0"/>
                                <w:sz w:val="28"/>
                              </w:rPr>
                              <w:t>重点发展好本地法律服务机构，支持外地知名法律服务机构到</w:t>
                            </w:r>
                            <w:r>
                              <w:rPr>
                                <w:rFonts w:hint="eastAsia" w:ascii="仿宋_GB2312" w:hAnsi="仿宋_GB2312" w:eastAsia="仿宋_GB2312" w:cs="仿宋_GB2312"/>
                                <w:spacing w:val="0"/>
                                <w:sz w:val="28"/>
                                <w:lang w:eastAsia="zh-CN"/>
                              </w:rPr>
                              <w:t>防城港</w:t>
                            </w:r>
                            <w:r>
                              <w:rPr>
                                <w:rFonts w:hint="eastAsia" w:ascii="仿宋_GB2312" w:hAnsi="仿宋_GB2312" w:eastAsia="仿宋_GB2312" w:cs="仿宋_GB2312"/>
                                <w:spacing w:val="0"/>
                                <w:sz w:val="28"/>
                              </w:rPr>
                              <w:t>设立分支机构；逐步加大政府购买公共法律服务力度，鼓励公共法律服务向专业化、规模化、品牌化发展。</w:t>
                            </w:r>
                          </w:p>
                          <w:p>
                            <w:pPr>
                              <w:keepNext w:val="0"/>
                              <w:keepLines w:val="0"/>
                              <w:pageBreakBefore w:val="0"/>
                              <w:widowControl w:val="0"/>
                              <w:numPr>
                                <w:ilvl w:val="0"/>
                                <w:numId w:val="1"/>
                              </w:numPr>
                              <w:tabs>
                                <w:tab w:val="left" w:pos="917"/>
                              </w:tabs>
                              <w:kinsoku/>
                              <w:wordWrap/>
                              <w:overflowPunct/>
                              <w:topLinePunct w:val="0"/>
                              <w:autoSpaceDE w:val="0"/>
                              <w:autoSpaceDN w:val="0"/>
                              <w:bidi w:val="0"/>
                              <w:adjustRightInd/>
                              <w:snapToGrid/>
                              <w:spacing w:before="0" w:line="480" w:lineRule="exact"/>
                              <w:ind w:left="0" w:right="0" w:firstLine="588"/>
                              <w:jc w:val="both"/>
                              <w:textAlignment w:val="auto"/>
                              <w:rPr>
                                <w:rFonts w:hint="eastAsia" w:ascii="仿宋_GB2312" w:hAnsi="仿宋_GB2312" w:eastAsia="仿宋_GB2312" w:cs="仿宋_GB2312"/>
                                <w:spacing w:val="0"/>
                                <w:sz w:val="28"/>
                                <w:u w:val="none"/>
                              </w:rPr>
                            </w:pPr>
                            <w:r>
                              <w:rPr>
                                <w:rFonts w:hint="eastAsia" w:ascii="仿宋_GB2312" w:hAnsi="仿宋_GB2312" w:eastAsia="仿宋_GB2312" w:cs="仿宋_GB2312"/>
                                <w:spacing w:val="0"/>
                                <w:sz w:val="28"/>
                              </w:rPr>
                              <w:t>支持有条件的律师事务所、</w:t>
                            </w:r>
                            <w:r>
                              <w:rPr>
                                <w:rFonts w:hint="eastAsia" w:ascii="仿宋_GB2312" w:hAnsi="仿宋_GB2312" w:eastAsia="仿宋_GB2312" w:cs="仿宋_GB2312"/>
                                <w:spacing w:val="0"/>
                                <w:sz w:val="28"/>
                                <w:u w:val="none"/>
                                <w:lang w:eastAsia="zh-CN"/>
                              </w:rPr>
                              <w:t>防城港</w:t>
                            </w:r>
                            <w:r>
                              <w:rPr>
                                <w:rFonts w:hint="eastAsia" w:ascii="仿宋_GB2312" w:hAnsi="仿宋_GB2312" w:eastAsia="仿宋_GB2312" w:cs="仿宋_GB2312"/>
                                <w:spacing w:val="0"/>
                                <w:sz w:val="28"/>
                                <w:u w:val="none"/>
                              </w:rPr>
                              <w:t>仲裁委员会设立海外服务机构或涉外服务部</w:t>
                            </w:r>
                            <w:r>
                              <w:rPr>
                                <w:rFonts w:hint="eastAsia" w:ascii="仿宋_GB2312" w:hAnsi="仿宋_GB2312" w:eastAsia="仿宋_GB2312" w:cs="仿宋_GB2312"/>
                                <w:spacing w:val="0"/>
                                <w:sz w:val="28"/>
                                <w:u w:val="none"/>
                                <w:lang w:eastAsia="zh-CN"/>
                              </w:rPr>
                              <w:t>。</w:t>
                            </w:r>
                          </w:p>
                        </w:txbxContent>
                      </wps:txbx>
                      <wps:bodyPr vert="horz" wrap="square" anchor="t" anchorCtr="false" upright="true"/>
                    </wps:wsp>
                  </a:graphicData>
                </a:graphic>
              </wp:inline>
            </w:drawing>
          </mc:Choice>
          <mc:Fallback>
            <w:pict>
              <v:shape id="文本框 150" o:spid="_x0000_s1026" o:spt="202" type="#_x0000_t202" style="height:210.65pt;width:451.8pt;" fillcolor="#FFFFFF" filled="t" stroked="t" coordsize="21600,21600" o:gfxdata="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CvSzsHWAAAABQEAAA8AAAAAAAAAAQAgAAAAOAAAAGRycy9kb3ducmV2LnhtbFBLAQIUABQAAAAI&#10;AIdO4kCdUQw/EgIAACgEAAAOAAAAAAAAAAEAIAAAADsBAABkcnMvZTJvRG9jLnhtbFBLBQYAAAAA&#10;BgAGAFkBAAC/BQAAAAA=&#10;">
                <v:fill on="t" focussize="0,0"/>
                <v:stroke color="#000000" joinstyle="miter"/>
                <v:imagedata o:title=""/>
                <o:lock v:ext="edit" aspectratio="f"/>
                <v:textbox>
                  <w:txbxContent>
                    <w:p>
                      <w:pPr>
                        <w:keepNext w:val="0"/>
                        <w:keepLines w:val="0"/>
                        <w:pageBreakBefore w:val="0"/>
                        <w:widowControl w:val="0"/>
                        <w:numPr>
                          <w:ilvl w:val="0"/>
                          <w:numId w:val="1"/>
                        </w:numPr>
                        <w:tabs>
                          <w:tab w:val="left" w:pos="917"/>
                        </w:tabs>
                        <w:kinsoku/>
                        <w:wordWrap/>
                        <w:overflowPunct/>
                        <w:topLinePunct w:val="0"/>
                        <w:autoSpaceDE w:val="0"/>
                        <w:autoSpaceDN w:val="0"/>
                        <w:bidi w:val="0"/>
                        <w:adjustRightInd/>
                        <w:snapToGrid/>
                        <w:spacing w:before="0" w:line="480" w:lineRule="exact"/>
                        <w:ind w:left="0" w:right="101" w:rightChars="48" w:firstLine="588"/>
                        <w:jc w:val="both"/>
                        <w:textAlignment w:val="auto"/>
                        <w:rPr>
                          <w:rFonts w:hint="eastAsia" w:ascii="仿宋_GB2312" w:hAnsi="仿宋_GB2312" w:eastAsia="仿宋_GB2312" w:cs="仿宋_GB2312"/>
                          <w:spacing w:val="0"/>
                          <w:sz w:val="28"/>
                        </w:rPr>
                      </w:pPr>
                      <w:r>
                        <w:rPr>
                          <w:rFonts w:hint="eastAsia" w:ascii="仿宋_GB2312" w:hAnsi="仿宋_GB2312" w:eastAsia="仿宋_GB2312" w:cs="仿宋_GB2312"/>
                          <w:spacing w:val="0"/>
                          <w:sz w:val="28"/>
                        </w:rPr>
                        <w:t>加强村（居）法律顾问和基层法律服务工作者管理，提高乡村治理法治化水平；</w:t>
                      </w:r>
                    </w:p>
                    <w:p>
                      <w:pPr>
                        <w:keepNext w:val="0"/>
                        <w:keepLines w:val="0"/>
                        <w:pageBreakBefore w:val="0"/>
                        <w:widowControl w:val="0"/>
                        <w:numPr>
                          <w:ilvl w:val="0"/>
                          <w:numId w:val="1"/>
                        </w:numPr>
                        <w:tabs>
                          <w:tab w:val="left" w:pos="917"/>
                        </w:tabs>
                        <w:kinsoku/>
                        <w:wordWrap/>
                        <w:overflowPunct/>
                        <w:topLinePunct w:val="0"/>
                        <w:autoSpaceDE w:val="0"/>
                        <w:autoSpaceDN w:val="0"/>
                        <w:bidi w:val="0"/>
                        <w:adjustRightInd/>
                        <w:snapToGrid/>
                        <w:spacing w:before="0" w:line="480" w:lineRule="exact"/>
                        <w:ind w:left="0" w:right="0" w:firstLine="588"/>
                        <w:jc w:val="both"/>
                        <w:textAlignment w:val="auto"/>
                        <w:rPr>
                          <w:rFonts w:hint="eastAsia" w:ascii="仿宋_GB2312" w:hAnsi="仿宋_GB2312" w:eastAsia="仿宋_GB2312" w:cs="仿宋_GB2312"/>
                          <w:spacing w:val="0"/>
                          <w:sz w:val="28"/>
                        </w:rPr>
                      </w:pPr>
                      <w:r>
                        <w:rPr>
                          <w:rFonts w:hint="eastAsia" w:ascii="仿宋_GB2312" w:hAnsi="仿宋_GB2312" w:eastAsia="仿宋_GB2312" w:cs="仿宋_GB2312"/>
                          <w:spacing w:val="0"/>
                          <w:sz w:val="28"/>
                        </w:rPr>
                        <w:t>加强和拓展一批行业性、专业性人民调解组织；</w:t>
                      </w:r>
                    </w:p>
                    <w:p>
                      <w:pPr>
                        <w:keepNext w:val="0"/>
                        <w:keepLines w:val="0"/>
                        <w:pageBreakBefore w:val="0"/>
                        <w:widowControl w:val="0"/>
                        <w:numPr>
                          <w:ilvl w:val="0"/>
                          <w:numId w:val="1"/>
                        </w:numPr>
                        <w:tabs>
                          <w:tab w:val="left" w:pos="917"/>
                        </w:tabs>
                        <w:kinsoku/>
                        <w:wordWrap/>
                        <w:overflowPunct/>
                        <w:topLinePunct w:val="0"/>
                        <w:autoSpaceDE w:val="0"/>
                        <w:autoSpaceDN w:val="0"/>
                        <w:bidi w:val="0"/>
                        <w:adjustRightInd/>
                        <w:snapToGrid/>
                        <w:spacing w:before="0" w:line="480" w:lineRule="exact"/>
                        <w:ind w:left="0" w:right="0" w:firstLine="588"/>
                        <w:jc w:val="both"/>
                        <w:textAlignment w:val="auto"/>
                        <w:rPr>
                          <w:rFonts w:hint="eastAsia" w:ascii="仿宋_GB2312" w:hAnsi="仿宋_GB2312" w:eastAsia="仿宋_GB2312" w:cs="仿宋_GB2312"/>
                          <w:spacing w:val="0"/>
                          <w:sz w:val="28"/>
                        </w:rPr>
                      </w:pPr>
                      <w:r>
                        <w:rPr>
                          <w:rFonts w:hint="eastAsia" w:ascii="仿宋_GB2312" w:hAnsi="仿宋_GB2312" w:eastAsia="仿宋_GB2312" w:cs="仿宋_GB2312"/>
                          <w:spacing w:val="0"/>
                          <w:sz w:val="28"/>
                        </w:rPr>
                        <w:t>重点发展好本地法律服务机构，支持外地知名法律服务机构到</w:t>
                      </w:r>
                      <w:r>
                        <w:rPr>
                          <w:rFonts w:hint="eastAsia" w:ascii="仿宋_GB2312" w:hAnsi="仿宋_GB2312" w:eastAsia="仿宋_GB2312" w:cs="仿宋_GB2312"/>
                          <w:spacing w:val="0"/>
                          <w:sz w:val="28"/>
                          <w:lang w:eastAsia="zh-CN"/>
                        </w:rPr>
                        <w:t>防城港</w:t>
                      </w:r>
                      <w:r>
                        <w:rPr>
                          <w:rFonts w:hint="eastAsia" w:ascii="仿宋_GB2312" w:hAnsi="仿宋_GB2312" w:eastAsia="仿宋_GB2312" w:cs="仿宋_GB2312"/>
                          <w:spacing w:val="0"/>
                          <w:sz w:val="28"/>
                        </w:rPr>
                        <w:t>设立分支机构；逐步加大政府购买公共法律服务力度，鼓励公共法律服务向专业化、规模化、品牌化发展。</w:t>
                      </w:r>
                    </w:p>
                    <w:p>
                      <w:pPr>
                        <w:keepNext w:val="0"/>
                        <w:keepLines w:val="0"/>
                        <w:pageBreakBefore w:val="0"/>
                        <w:widowControl w:val="0"/>
                        <w:numPr>
                          <w:ilvl w:val="0"/>
                          <w:numId w:val="1"/>
                        </w:numPr>
                        <w:tabs>
                          <w:tab w:val="left" w:pos="917"/>
                        </w:tabs>
                        <w:kinsoku/>
                        <w:wordWrap/>
                        <w:overflowPunct/>
                        <w:topLinePunct w:val="0"/>
                        <w:autoSpaceDE w:val="0"/>
                        <w:autoSpaceDN w:val="0"/>
                        <w:bidi w:val="0"/>
                        <w:adjustRightInd/>
                        <w:snapToGrid/>
                        <w:spacing w:before="0" w:line="480" w:lineRule="exact"/>
                        <w:ind w:left="0" w:right="0" w:firstLine="588"/>
                        <w:jc w:val="both"/>
                        <w:textAlignment w:val="auto"/>
                        <w:rPr>
                          <w:rFonts w:hint="eastAsia" w:ascii="仿宋_GB2312" w:hAnsi="仿宋_GB2312" w:eastAsia="仿宋_GB2312" w:cs="仿宋_GB2312"/>
                          <w:spacing w:val="0"/>
                          <w:sz w:val="28"/>
                          <w:u w:val="none"/>
                        </w:rPr>
                      </w:pPr>
                      <w:r>
                        <w:rPr>
                          <w:rFonts w:hint="eastAsia" w:ascii="仿宋_GB2312" w:hAnsi="仿宋_GB2312" w:eastAsia="仿宋_GB2312" w:cs="仿宋_GB2312"/>
                          <w:spacing w:val="0"/>
                          <w:sz w:val="28"/>
                        </w:rPr>
                        <w:t>支持有条件的律师事务所、</w:t>
                      </w:r>
                      <w:r>
                        <w:rPr>
                          <w:rFonts w:hint="eastAsia" w:ascii="仿宋_GB2312" w:hAnsi="仿宋_GB2312" w:eastAsia="仿宋_GB2312" w:cs="仿宋_GB2312"/>
                          <w:spacing w:val="0"/>
                          <w:sz w:val="28"/>
                          <w:u w:val="none"/>
                          <w:lang w:eastAsia="zh-CN"/>
                        </w:rPr>
                        <w:t>防城港</w:t>
                      </w:r>
                      <w:r>
                        <w:rPr>
                          <w:rFonts w:hint="eastAsia" w:ascii="仿宋_GB2312" w:hAnsi="仿宋_GB2312" w:eastAsia="仿宋_GB2312" w:cs="仿宋_GB2312"/>
                          <w:spacing w:val="0"/>
                          <w:sz w:val="28"/>
                          <w:u w:val="none"/>
                        </w:rPr>
                        <w:t>仲裁委员会设立海外服务机构或涉外服务部</w:t>
                      </w:r>
                      <w:r>
                        <w:rPr>
                          <w:rFonts w:hint="eastAsia" w:ascii="仿宋_GB2312" w:hAnsi="仿宋_GB2312" w:eastAsia="仿宋_GB2312" w:cs="仿宋_GB2312"/>
                          <w:spacing w:val="0"/>
                          <w:sz w:val="28"/>
                          <w:u w:val="none"/>
                          <w:lang w:eastAsia="zh-CN"/>
                        </w:rPr>
                        <w:t>。</w:t>
                      </w:r>
                    </w:p>
                  </w:txbxContent>
                </v:textbox>
                <w10:wrap type="none"/>
                <w10:anchorlock/>
              </v:shape>
            </w:pict>
          </mc:Fallback>
        </mc:AlternateContent>
      </w:r>
    </w:p>
    <w:p>
      <w:pPr>
        <w:pStyle w:val="3"/>
        <w:keepNext w:val="0"/>
        <w:keepLines w:val="0"/>
        <w:pageBreakBefore w:val="0"/>
        <w:widowControl w:val="0"/>
        <w:tabs>
          <w:tab w:val="left" w:pos="1540"/>
        </w:tabs>
        <w:kinsoku/>
        <w:wordWrap/>
        <w:overflowPunct/>
        <w:topLinePunct w:val="0"/>
        <w:autoSpaceDE w:val="0"/>
        <w:autoSpaceDN w:val="0"/>
        <w:bidi w:val="0"/>
        <w:adjustRightInd/>
        <w:snapToGrid/>
        <w:spacing w:before="0" w:line="560" w:lineRule="exact"/>
        <w:ind w:left="0" w:right="0"/>
        <w:jc w:val="center"/>
        <w:textAlignment w:val="auto"/>
        <w:rPr>
          <w:rFonts w:hint="eastAsia" w:ascii="黑体" w:hAnsi="黑体" w:eastAsia="黑体" w:cs="黑体"/>
          <w:sz w:val="32"/>
          <w:szCs w:val="32"/>
          <w:u w:val="none"/>
        </w:rPr>
      </w:pPr>
    </w:p>
    <w:p>
      <w:pPr>
        <w:pStyle w:val="3"/>
        <w:keepNext w:val="0"/>
        <w:keepLines w:val="0"/>
        <w:pageBreakBefore w:val="0"/>
        <w:widowControl w:val="0"/>
        <w:tabs>
          <w:tab w:val="left" w:pos="1540"/>
        </w:tabs>
        <w:kinsoku/>
        <w:wordWrap/>
        <w:overflowPunct/>
        <w:topLinePunct w:val="0"/>
        <w:autoSpaceDE w:val="0"/>
        <w:autoSpaceDN w:val="0"/>
        <w:bidi w:val="0"/>
        <w:adjustRightInd/>
        <w:snapToGrid/>
        <w:spacing w:before="0" w:line="560" w:lineRule="exact"/>
        <w:ind w:left="0" w:right="0"/>
        <w:jc w:val="center"/>
        <w:textAlignment w:val="auto"/>
        <w:rPr>
          <w:rFonts w:hint="eastAsia" w:ascii="黑体" w:hAnsi="黑体" w:eastAsia="黑体" w:cs="黑体"/>
          <w:sz w:val="32"/>
          <w:szCs w:val="32"/>
          <w:u w:val="none"/>
        </w:rPr>
      </w:pPr>
    </w:p>
    <w:p>
      <w:pPr>
        <w:pStyle w:val="3"/>
        <w:keepNext w:val="0"/>
        <w:keepLines w:val="0"/>
        <w:pageBreakBefore w:val="0"/>
        <w:widowControl w:val="0"/>
        <w:tabs>
          <w:tab w:val="left" w:pos="1540"/>
        </w:tabs>
        <w:kinsoku/>
        <w:wordWrap/>
        <w:overflowPunct/>
        <w:topLinePunct w:val="0"/>
        <w:autoSpaceDE w:val="0"/>
        <w:autoSpaceDN w:val="0"/>
        <w:bidi w:val="0"/>
        <w:adjustRightInd/>
        <w:snapToGrid/>
        <w:spacing w:before="0" w:line="580" w:lineRule="exact"/>
        <w:ind w:left="0" w:right="0"/>
        <w:jc w:val="center"/>
        <w:textAlignment w:val="auto"/>
        <w:rPr>
          <w:rFonts w:hint="eastAsia" w:ascii="黑体" w:hAnsi="黑体" w:eastAsia="黑体" w:cs="黑体"/>
          <w:sz w:val="32"/>
          <w:szCs w:val="32"/>
          <w:u w:val="none"/>
        </w:rPr>
      </w:pPr>
      <w:r>
        <w:rPr>
          <w:rFonts w:hint="eastAsia" w:ascii="黑体" w:hAnsi="黑体" w:eastAsia="黑体" w:cs="黑体"/>
          <w:sz w:val="32"/>
          <w:szCs w:val="32"/>
          <w:u w:val="none"/>
        </w:rPr>
        <w:t>第三章</w:t>
      </w:r>
      <w:r>
        <w:rPr>
          <w:rFonts w:hint="eastAsia" w:ascii="黑体" w:hAnsi="黑体" w:eastAsia="黑体" w:cs="黑体"/>
          <w:sz w:val="32"/>
          <w:szCs w:val="32"/>
          <w:u w:val="none"/>
          <w:lang w:val="en-US" w:eastAsia="zh-CN"/>
        </w:rPr>
        <w:t xml:space="preserve">  </w:t>
      </w:r>
      <w:r>
        <w:rPr>
          <w:rFonts w:hint="eastAsia" w:ascii="黑体" w:hAnsi="黑体" w:eastAsia="黑体" w:cs="黑体"/>
          <w:sz w:val="32"/>
          <w:szCs w:val="32"/>
          <w:u w:val="none"/>
        </w:rPr>
        <w:t>加快推进公共法律服务体系建设</w:t>
      </w:r>
    </w:p>
    <w:p>
      <w:pPr>
        <w:pStyle w:val="5"/>
        <w:keepNext w:val="0"/>
        <w:keepLines w:val="0"/>
        <w:pageBreakBefore w:val="0"/>
        <w:widowControl w:val="0"/>
        <w:kinsoku/>
        <w:wordWrap/>
        <w:overflowPunct/>
        <w:topLinePunct w:val="0"/>
        <w:autoSpaceDE w:val="0"/>
        <w:autoSpaceDN w:val="0"/>
        <w:bidi w:val="0"/>
        <w:adjustRightInd/>
        <w:snapToGrid/>
        <w:spacing w:before="0" w:line="580" w:lineRule="exact"/>
        <w:ind w:left="0" w:right="0"/>
        <w:jc w:val="center"/>
        <w:textAlignment w:val="auto"/>
        <w:rPr>
          <w:rFonts w:hint="eastAsia" w:ascii="仿宋_GB2312" w:hAnsi="仿宋_GB2312" w:eastAsia="仿宋_GB2312" w:cs="仿宋_GB2312"/>
          <w:sz w:val="32"/>
          <w:szCs w:val="32"/>
          <w:u w:val="none"/>
        </w:rPr>
      </w:pPr>
    </w:p>
    <w:p>
      <w:pPr>
        <w:pStyle w:val="5"/>
        <w:keepNext w:val="0"/>
        <w:keepLines w:val="0"/>
        <w:pageBreakBefore w:val="0"/>
        <w:widowControl w:val="0"/>
        <w:kinsoku/>
        <w:wordWrap/>
        <w:overflowPunct/>
        <w:topLinePunct w:val="0"/>
        <w:autoSpaceDE w:val="0"/>
        <w:autoSpaceDN w:val="0"/>
        <w:bidi w:val="0"/>
        <w:adjustRightInd/>
        <w:snapToGrid/>
        <w:spacing w:before="0" w:line="580" w:lineRule="exact"/>
        <w:ind w:left="0" w:right="0"/>
        <w:jc w:val="center"/>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第一节</w:t>
      </w:r>
      <w:r>
        <w:rPr>
          <w:rFonts w:hint="eastAsia" w:ascii="楷体_GB2312" w:hAnsi="楷体_GB2312" w:eastAsia="楷体_GB2312" w:cs="楷体_GB2312"/>
          <w:sz w:val="32"/>
          <w:szCs w:val="32"/>
          <w:u w:val="none"/>
          <w:lang w:val="en-US" w:eastAsia="zh-CN"/>
        </w:rPr>
        <w:t xml:space="preserve">  </w:t>
      </w:r>
      <w:r>
        <w:rPr>
          <w:rFonts w:hint="eastAsia" w:ascii="楷体_GB2312" w:hAnsi="楷体_GB2312" w:eastAsia="楷体_GB2312" w:cs="楷体_GB2312"/>
          <w:sz w:val="32"/>
          <w:szCs w:val="32"/>
          <w:u w:val="none"/>
        </w:rPr>
        <w:t>推进公共法律服务平台建设</w:t>
      </w:r>
    </w:p>
    <w:p>
      <w:pPr>
        <w:pStyle w:val="5"/>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64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根据中共中央、国务院、自治区和市委、市</w:t>
      </w:r>
      <w:r>
        <w:rPr>
          <w:rFonts w:hint="eastAsia" w:hAnsi="仿宋_GB2312" w:cs="仿宋_GB2312"/>
          <w:sz w:val="32"/>
          <w:szCs w:val="32"/>
          <w:u w:val="none"/>
          <w:lang w:eastAsia="zh-CN"/>
        </w:rPr>
        <w:t>人民</w:t>
      </w:r>
      <w:r>
        <w:rPr>
          <w:rFonts w:hint="eastAsia" w:ascii="仿宋_GB2312" w:hAnsi="仿宋_GB2312" w:eastAsia="仿宋_GB2312" w:cs="仿宋_GB2312"/>
          <w:sz w:val="32"/>
          <w:szCs w:val="32"/>
          <w:u w:val="none"/>
        </w:rPr>
        <w:t>政府关于推进公共法律服务体系建设的决策部署，紧紧围绕经济社会发展和人民群众实际需要，进一步健全公共法律服务实体、热线、网络三大服务平台</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2022年基本形成覆盖城乡、便捷高效、均等普惠的现代公共法律服务体系，到2025年现代公共法律服务体系更加牢固、完善和规范。</w:t>
      </w:r>
      <w:r>
        <w:rPr>
          <w:rFonts w:hint="eastAsia" w:ascii="仿宋_GB2312" w:hAnsi="仿宋_GB2312" w:eastAsia="仿宋_GB2312" w:cs="仿宋_GB2312"/>
          <w:sz w:val="32"/>
          <w:szCs w:val="32"/>
          <w:u w:val="none"/>
          <w:lang w:val="en-US" w:eastAsia="zh-CN"/>
        </w:rPr>
        <w:t>加强公共法律服务实体平台建设布局，升</w:t>
      </w:r>
      <w:r>
        <w:rPr>
          <w:rFonts w:hint="eastAsia" w:ascii="仿宋_GB2312" w:hAnsi="仿宋_GB2312" w:eastAsia="仿宋_GB2312" w:cs="仿宋_GB2312"/>
          <w:sz w:val="32"/>
          <w:szCs w:val="32"/>
          <w:u w:val="none"/>
        </w:rPr>
        <w:t>级改造</w:t>
      </w:r>
      <w:r>
        <w:rPr>
          <w:rFonts w:hint="eastAsia" w:ascii="仿宋_GB2312" w:hAnsi="仿宋_GB2312" w:eastAsia="仿宋_GB2312" w:cs="仿宋_GB2312"/>
          <w:sz w:val="32"/>
          <w:szCs w:val="32"/>
          <w:u w:val="none"/>
          <w:lang w:eastAsia="zh-CN"/>
        </w:rPr>
        <w:t>防城港</w:t>
      </w:r>
      <w:r>
        <w:rPr>
          <w:rFonts w:hint="eastAsia" w:ascii="仿宋_GB2312" w:hAnsi="仿宋_GB2312" w:eastAsia="仿宋_GB2312" w:cs="仿宋_GB2312"/>
          <w:sz w:val="32"/>
          <w:szCs w:val="32"/>
          <w:u w:val="none"/>
        </w:rPr>
        <w:t>市公共法律服务中心，建强县（</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区）公共法律服务中心，建好乡镇（街道）公共法律服务工作站和村（居）公共法律服务工作室。夯实公共法律服务平台基础，加快司法所规范化建设。</w:t>
      </w:r>
      <w:r>
        <w:rPr>
          <w:rFonts w:hint="eastAsia" w:ascii="仿宋_GB2312" w:hAnsi="仿宋_GB2312" w:eastAsia="仿宋_GB2312" w:cs="仿宋_GB2312"/>
          <w:sz w:val="32"/>
          <w:szCs w:val="32"/>
          <w:u w:val="none"/>
          <w:lang w:val="en-US" w:eastAsia="zh-CN"/>
        </w:rPr>
        <w:t>推广应用自治区统一建设的公共法律服务网络平台，与全区各地同步实现各类公共法律服务事项“一网通办”</w:t>
      </w:r>
      <w:r>
        <w:rPr>
          <w:rFonts w:hint="eastAsia" w:ascii="仿宋_GB2312" w:hAnsi="仿宋_GB2312" w:eastAsia="仿宋_GB2312" w:cs="仿宋_GB2312"/>
          <w:sz w:val="32"/>
          <w:szCs w:val="32"/>
          <w:u w:val="none"/>
        </w:rPr>
        <w:t>。优化升级热线平台功能，</w:t>
      </w:r>
      <w:r>
        <w:rPr>
          <w:rFonts w:hint="eastAsia" w:ascii="仿宋_GB2312" w:hAnsi="仿宋_GB2312" w:eastAsia="仿宋_GB2312" w:cs="仿宋_GB2312"/>
          <w:sz w:val="32"/>
          <w:szCs w:val="32"/>
          <w:u w:val="none"/>
          <w:lang w:val="en-US" w:eastAsia="zh-CN"/>
        </w:rPr>
        <w:t>充分发挥</w:t>
      </w:r>
      <w:r>
        <w:rPr>
          <w:rFonts w:hint="eastAsia" w:ascii="仿宋_GB2312" w:hAnsi="仿宋_GB2312" w:eastAsia="仿宋_GB2312" w:cs="仿宋_GB2312"/>
          <w:sz w:val="32"/>
          <w:szCs w:val="32"/>
          <w:u w:val="none"/>
        </w:rPr>
        <w:t>“12348”公共法律服务热线</w:t>
      </w:r>
      <w:r>
        <w:rPr>
          <w:rFonts w:hint="eastAsia" w:ascii="仿宋_GB2312" w:hAnsi="仿宋_GB2312" w:eastAsia="仿宋_GB2312" w:cs="仿宋_GB2312"/>
          <w:sz w:val="32"/>
          <w:szCs w:val="32"/>
          <w:u w:val="none"/>
          <w:lang w:val="en-US" w:eastAsia="zh-CN"/>
        </w:rPr>
        <w:t>作用</w:t>
      </w:r>
      <w:r>
        <w:rPr>
          <w:rFonts w:hint="eastAsia" w:ascii="仿宋_GB2312" w:hAnsi="仿宋_GB2312" w:eastAsia="仿宋_GB2312" w:cs="仿宋_GB2312"/>
          <w:sz w:val="32"/>
          <w:szCs w:val="32"/>
          <w:u w:val="none"/>
        </w:rPr>
        <w:t>。推动公共法律服务实体平台建设融入政府公共服务总体布局，探索公共法律服务进驻网上中介服务超市，共建共享相关基础设施和政务资源。</w:t>
      </w:r>
    </w:p>
    <w:p>
      <w:pPr>
        <w:pStyle w:val="5"/>
        <w:keepNext w:val="0"/>
        <w:keepLines w:val="0"/>
        <w:pageBreakBefore w:val="0"/>
        <w:widowControl w:val="0"/>
        <w:kinsoku/>
        <w:wordWrap/>
        <w:overflowPunct/>
        <w:topLinePunct w:val="0"/>
        <w:autoSpaceDE w:val="0"/>
        <w:autoSpaceDN w:val="0"/>
        <w:bidi w:val="0"/>
        <w:adjustRightInd/>
        <w:snapToGrid/>
        <w:spacing w:before="0" w:line="580" w:lineRule="exact"/>
        <w:ind w:left="0" w:right="0"/>
        <w:jc w:val="both"/>
        <w:textAlignment w:val="auto"/>
        <w:rPr>
          <w:rFonts w:hint="eastAsia" w:ascii="仿宋_GB2312" w:hAnsi="仿宋_GB2312" w:eastAsia="仿宋_GB2312" w:cs="仿宋_GB2312"/>
          <w:sz w:val="32"/>
          <w:szCs w:val="32"/>
          <w:u w:val="none"/>
        </w:rPr>
      </w:pPr>
    </w:p>
    <w:p>
      <w:pPr>
        <w:pStyle w:val="5"/>
        <w:keepNext w:val="0"/>
        <w:keepLines w:val="0"/>
        <w:pageBreakBefore w:val="0"/>
        <w:widowControl w:val="0"/>
        <w:kinsoku/>
        <w:wordWrap/>
        <w:overflowPunct/>
        <w:topLinePunct w:val="0"/>
        <w:autoSpaceDE w:val="0"/>
        <w:autoSpaceDN w:val="0"/>
        <w:bidi w:val="0"/>
        <w:adjustRightInd/>
        <w:snapToGrid/>
        <w:spacing w:before="0" w:line="580" w:lineRule="exact"/>
        <w:ind w:left="0" w:right="0"/>
        <w:jc w:val="center"/>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第二节</w:t>
      </w:r>
      <w:r>
        <w:rPr>
          <w:rFonts w:hint="eastAsia" w:ascii="楷体_GB2312" w:hAnsi="楷体_GB2312" w:eastAsia="楷体_GB2312" w:cs="楷体_GB2312"/>
          <w:sz w:val="32"/>
          <w:szCs w:val="32"/>
          <w:u w:val="none"/>
          <w:lang w:val="en-US" w:eastAsia="zh-CN"/>
        </w:rPr>
        <w:t xml:space="preserve"> </w:t>
      </w:r>
      <w:r>
        <w:rPr>
          <w:rFonts w:hint="eastAsia" w:ascii="楷体_GB2312" w:hAnsi="楷体_GB2312" w:eastAsia="楷体_GB2312" w:cs="楷体_GB2312"/>
          <w:sz w:val="32"/>
          <w:szCs w:val="32"/>
          <w:u w:val="none"/>
        </w:rPr>
        <w:t xml:space="preserve"> 推进公共法律服务智能化</w:t>
      </w:r>
    </w:p>
    <w:p>
      <w:pPr>
        <w:pStyle w:val="5"/>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64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加快智慧公共法律服务平台建设，优化升级法律援助、律师、公证、仲裁等各块业务系统功能，依托广西公共法律服务网络，实现公共法律服务各项业务受理、办理、反馈、督办等全流程“网上办”“指尖办”。改革公共法律服务运行模式和管理模式，推动公共法律服务向移动服务、随身服务方向发展，真正让“数据多跑路，群众少跑腿”，解决公共法律服务“最后一公里”问题，为人民群众提供便捷高效、智能精准的全业务、全时空公共法律服务。加快推进公共法律服务智能化建设，</w:t>
      </w:r>
      <w:r>
        <w:rPr>
          <w:rFonts w:hint="eastAsia" w:ascii="仿宋_GB2312" w:hAnsi="仿宋_GB2312" w:eastAsia="仿宋_GB2312" w:cs="仿宋_GB2312"/>
          <w:sz w:val="32"/>
          <w:szCs w:val="32"/>
          <w:u w:val="none"/>
          <w:lang w:val="en-US" w:eastAsia="zh-CN"/>
        </w:rPr>
        <w:t>持续</w:t>
      </w:r>
      <w:r>
        <w:rPr>
          <w:rFonts w:hint="eastAsia" w:ascii="仿宋_GB2312" w:hAnsi="仿宋_GB2312" w:eastAsia="仿宋_GB2312" w:cs="仿宋_GB2312"/>
          <w:sz w:val="32"/>
          <w:szCs w:val="32"/>
          <w:u w:val="none"/>
        </w:rPr>
        <w:t>推动配备公共法律服务自助服务终端、“互联网+”智能展示平台、智能机器人、流动公共法律服务车等设施设备，打造人、机器、技术和谐融通的智慧公共法律服务平台，综合运用大数据、物联网、人工智能等科学技术手段，探索“区块链＋”在公共法律服务领域的运用，依托数据共享交换平台实现市、县、乡、村四级公共法律服务资源统筹调配</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服务数据实时共享，服务事项跨平台、跨时空、跨业务协同办理。</w:t>
      </w:r>
      <w:r>
        <w:rPr>
          <w:rFonts w:hint="eastAsia" w:ascii="仿宋_GB2312" w:hAnsi="仿宋_GB2312" w:eastAsia="仿宋_GB2312" w:cs="仿宋_GB2312"/>
          <w:sz w:val="32"/>
          <w:szCs w:val="32"/>
          <w:u w:val="none"/>
          <w:lang w:val="en-US" w:eastAsia="zh-CN"/>
        </w:rPr>
        <w:t>推动公共法律服务体系基础硬件、基础软件、应用软件国产化替代和应用</w:t>
      </w:r>
      <w:r>
        <w:rPr>
          <w:rFonts w:hint="eastAsia" w:ascii="仿宋_GB2312" w:hAnsi="仿宋_GB2312" w:eastAsia="仿宋_GB2312" w:cs="仿宋_GB2312"/>
          <w:sz w:val="32"/>
          <w:szCs w:val="32"/>
          <w:u w:val="none"/>
        </w:rPr>
        <w:t>，着力打造“自主可控、系统可靠、信息安全”的新型信息化架构，为公共法律服务提供强有力支撑。</w:t>
      </w:r>
    </w:p>
    <w:p>
      <w:pPr>
        <w:pStyle w:val="5"/>
        <w:keepNext w:val="0"/>
        <w:keepLines w:val="0"/>
        <w:pageBreakBefore w:val="0"/>
        <w:widowControl w:val="0"/>
        <w:kinsoku/>
        <w:wordWrap/>
        <w:overflowPunct/>
        <w:topLinePunct w:val="0"/>
        <w:autoSpaceDE w:val="0"/>
        <w:autoSpaceDN w:val="0"/>
        <w:bidi w:val="0"/>
        <w:adjustRightInd/>
        <w:snapToGrid/>
        <w:spacing w:before="0" w:line="580" w:lineRule="exact"/>
        <w:ind w:left="0" w:right="0"/>
        <w:jc w:val="both"/>
        <w:textAlignment w:val="auto"/>
        <w:rPr>
          <w:rFonts w:hint="eastAsia" w:ascii="仿宋_GB2312" w:hAnsi="仿宋_GB2312" w:eastAsia="仿宋_GB2312" w:cs="仿宋_GB2312"/>
          <w:spacing w:val="-12"/>
          <w:sz w:val="32"/>
          <w:szCs w:val="32"/>
          <w:u w:val="none"/>
        </w:rPr>
      </w:pPr>
    </w:p>
    <w:p>
      <w:pPr>
        <w:pStyle w:val="5"/>
        <w:keepNext w:val="0"/>
        <w:keepLines w:val="0"/>
        <w:pageBreakBefore w:val="0"/>
        <w:widowControl w:val="0"/>
        <w:kinsoku/>
        <w:wordWrap/>
        <w:overflowPunct/>
        <w:topLinePunct w:val="0"/>
        <w:autoSpaceDE w:val="0"/>
        <w:autoSpaceDN w:val="0"/>
        <w:bidi w:val="0"/>
        <w:adjustRightInd/>
        <w:snapToGrid/>
        <w:spacing w:before="0" w:line="580" w:lineRule="exact"/>
        <w:ind w:left="0" w:right="0"/>
        <w:jc w:val="center"/>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第三节</w:t>
      </w:r>
      <w:r>
        <w:rPr>
          <w:rFonts w:hint="eastAsia" w:ascii="楷体_GB2312" w:hAnsi="楷体_GB2312" w:eastAsia="楷体_GB2312" w:cs="楷体_GB2312"/>
          <w:sz w:val="32"/>
          <w:szCs w:val="32"/>
          <w:u w:val="none"/>
          <w:lang w:val="en-US" w:eastAsia="zh-CN"/>
        </w:rPr>
        <w:t xml:space="preserve"> </w:t>
      </w:r>
      <w:r>
        <w:rPr>
          <w:rFonts w:hint="eastAsia" w:ascii="楷体_GB2312" w:hAnsi="楷体_GB2312" w:eastAsia="楷体_GB2312" w:cs="楷体_GB2312"/>
          <w:sz w:val="32"/>
          <w:szCs w:val="32"/>
          <w:u w:val="none"/>
        </w:rPr>
        <w:t xml:space="preserve"> 推进公共法律服务规范化</w:t>
      </w:r>
    </w:p>
    <w:p>
      <w:pPr>
        <w:pStyle w:val="5"/>
        <w:keepNext w:val="0"/>
        <w:keepLines w:val="0"/>
        <w:pageBreakBefore w:val="0"/>
        <w:widowControl w:val="0"/>
        <w:kinsoku/>
        <w:wordWrap/>
        <w:overflowPunct/>
        <w:topLinePunct w:val="0"/>
        <w:autoSpaceDE w:val="0"/>
        <w:autoSpaceDN w:val="0"/>
        <w:bidi w:val="0"/>
        <w:adjustRightInd/>
        <w:snapToGrid/>
        <w:spacing w:before="0" w:line="580" w:lineRule="exact"/>
        <w:ind w:left="0" w:right="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 xml:space="preserve">   加强公共法律服务标准化规范化建设，推广使用自治区制定的各类法律服务机构资质认定、设施建设、人员配备、业务规范、工作流程等具体标准，统一场所标识、指引和功能设置，</w:t>
      </w:r>
      <w:r>
        <w:rPr>
          <w:rFonts w:hint="eastAsia" w:ascii="仿宋_GB2312" w:hAnsi="仿宋_GB2312" w:eastAsia="仿宋_GB2312" w:cs="仿宋_GB2312"/>
          <w:sz w:val="32"/>
          <w:szCs w:val="32"/>
          <w:u w:val="none"/>
        </w:rPr>
        <w:t>制定出台</w:t>
      </w:r>
      <w:r>
        <w:rPr>
          <w:rFonts w:hint="eastAsia" w:ascii="仿宋_GB2312" w:hAnsi="仿宋_GB2312" w:eastAsia="仿宋_GB2312" w:cs="仿宋_GB2312"/>
          <w:sz w:val="32"/>
          <w:szCs w:val="32"/>
          <w:u w:val="none"/>
          <w:lang w:eastAsia="zh-CN"/>
        </w:rPr>
        <w:t>防城港</w:t>
      </w:r>
      <w:r>
        <w:rPr>
          <w:rFonts w:hint="eastAsia" w:ascii="仿宋_GB2312" w:hAnsi="仿宋_GB2312" w:eastAsia="仿宋_GB2312" w:cs="仿宋_GB2312"/>
          <w:sz w:val="32"/>
          <w:szCs w:val="32"/>
          <w:u w:val="none"/>
        </w:rPr>
        <w:t>市公共法律服务平台规范化管理办法。进一步完善公共法律服务平台建设、服务、运行、管理规范，优化基本公共法律服务，发展高端公共法律服务。加强公共法律服务行业管理，完善行政管理与行业自律管理相结合的管理体制机制，提升公共法律服务综合效能。</w:t>
      </w:r>
      <w:r>
        <w:rPr>
          <w:rFonts w:hint="eastAsia" w:ascii="仿宋_GB2312" w:hAnsi="仿宋_GB2312" w:eastAsia="仿宋_GB2312" w:cs="仿宋_GB2312"/>
          <w:sz w:val="32"/>
          <w:szCs w:val="32"/>
          <w:u w:val="none"/>
          <w:lang w:val="en-US" w:eastAsia="zh-CN"/>
        </w:rPr>
        <w:t>对照自治区制定出台的公共法律服务评价指标体系，切实加强</w:t>
      </w:r>
      <w:r>
        <w:rPr>
          <w:rFonts w:hint="eastAsia" w:ascii="仿宋_GB2312" w:hAnsi="仿宋_GB2312" w:eastAsia="仿宋_GB2312" w:cs="仿宋_GB2312"/>
          <w:sz w:val="32"/>
          <w:szCs w:val="32"/>
          <w:u w:val="none"/>
        </w:rPr>
        <w:t>基础设施、人员配备、业务开展等方面</w:t>
      </w:r>
      <w:r>
        <w:rPr>
          <w:rFonts w:hint="eastAsia" w:ascii="仿宋_GB2312" w:hAnsi="仿宋_GB2312" w:eastAsia="仿宋_GB2312" w:cs="仿宋_GB2312"/>
          <w:sz w:val="32"/>
          <w:szCs w:val="32"/>
          <w:u w:val="none"/>
          <w:lang w:val="en-US" w:eastAsia="zh-CN"/>
        </w:rPr>
        <w:t>建设</w:t>
      </w:r>
      <w:r>
        <w:rPr>
          <w:rFonts w:hint="eastAsia" w:ascii="仿宋_GB2312" w:hAnsi="仿宋_GB2312" w:eastAsia="仿宋_GB2312" w:cs="仿宋_GB2312"/>
          <w:sz w:val="32"/>
          <w:szCs w:val="32"/>
          <w:u w:val="none"/>
        </w:rPr>
        <w:t>。建立公共法律服务质量评价制度，开展群众满意度测评</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探索引入第三方评估机制。</w:t>
      </w:r>
    </w:p>
    <w:p>
      <w:pPr>
        <w:pStyle w:val="5"/>
        <w:keepNext w:val="0"/>
        <w:keepLines w:val="0"/>
        <w:pageBreakBefore w:val="0"/>
        <w:widowControl w:val="0"/>
        <w:kinsoku/>
        <w:wordWrap/>
        <w:overflowPunct/>
        <w:topLinePunct w:val="0"/>
        <w:autoSpaceDE w:val="0"/>
        <w:autoSpaceDN w:val="0"/>
        <w:bidi w:val="0"/>
        <w:adjustRightInd/>
        <w:snapToGrid/>
        <w:spacing w:before="0" w:line="580" w:lineRule="exact"/>
        <w:ind w:left="0" w:right="0"/>
        <w:jc w:val="both"/>
        <w:textAlignment w:val="auto"/>
        <w:rPr>
          <w:rFonts w:hint="eastAsia" w:ascii="仿宋_GB2312" w:hAnsi="仿宋_GB2312" w:eastAsia="仿宋_GB2312" w:cs="仿宋_GB2312"/>
          <w:sz w:val="32"/>
          <w:szCs w:val="32"/>
          <w:u w:val="none"/>
        </w:rPr>
      </w:pPr>
    </w:p>
    <w:p>
      <w:pPr>
        <w:pStyle w:val="5"/>
        <w:keepNext w:val="0"/>
        <w:keepLines w:val="0"/>
        <w:pageBreakBefore w:val="0"/>
        <w:widowControl w:val="0"/>
        <w:kinsoku/>
        <w:wordWrap/>
        <w:overflowPunct/>
        <w:topLinePunct w:val="0"/>
        <w:autoSpaceDE w:val="0"/>
        <w:autoSpaceDN w:val="0"/>
        <w:bidi w:val="0"/>
        <w:adjustRightInd/>
        <w:snapToGrid/>
        <w:spacing w:before="0" w:line="580" w:lineRule="exact"/>
        <w:ind w:left="0" w:right="0"/>
        <w:jc w:val="center"/>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 xml:space="preserve">第四节 </w:t>
      </w:r>
      <w:r>
        <w:rPr>
          <w:rFonts w:hint="eastAsia" w:ascii="楷体_GB2312" w:hAnsi="楷体_GB2312" w:eastAsia="楷体_GB2312" w:cs="楷体_GB2312"/>
          <w:sz w:val="32"/>
          <w:szCs w:val="32"/>
          <w:u w:val="none"/>
          <w:lang w:val="en-US" w:eastAsia="zh-CN"/>
        </w:rPr>
        <w:t xml:space="preserve"> </w:t>
      </w:r>
      <w:r>
        <w:rPr>
          <w:rFonts w:hint="eastAsia" w:ascii="楷体_GB2312" w:hAnsi="楷体_GB2312" w:eastAsia="楷体_GB2312" w:cs="楷体_GB2312"/>
          <w:sz w:val="32"/>
          <w:szCs w:val="32"/>
          <w:u w:val="none"/>
        </w:rPr>
        <w:t>推进公共法律服务文化发展</w:t>
      </w:r>
    </w:p>
    <w:p>
      <w:pPr>
        <w:pStyle w:val="5"/>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64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贯彻落实中共中央办公厅、国务院办公厅关于加强社会主义法治文化建设的意见，加强公共法律服务文化阵地建设，全力推动公共法律服务文化与传统文化、民族文化、红色文化、地方文化、行业文化、企业文化融合发展。根据防城港市地域特点，建立海边山法律服务机制，提升海边山法律服务水平。持续发展防城港地标式特色法治文化，努力建设一批有防城港本地特色的文化主题宣传教育阵地，不断深化“宪法边疆行”“法治三月三”“中越边境涉外民间纠纷调解室”“金花姐姐法律讲堂”等特色品牌创建。运用山歌、彩茶等村民喜闻乐见形式，制作广大群众的普法文化艺术作品。推广社区“法律之家”建设经验，打造基层普法一站式综合平台。</w:t>
      </w:r>
    </w:p>
    <w:p>
      <w:pPr>
        <w:pStyle w:val="5"/>
        <w:tabs>
          <w:tab w:val="left" w:pos="1944"/>
        </w:tabs>
        <w:spacing w:before="128"/>
        <w:jc w:val="center"/>
        <w:rPr>
          <w:rFonts w:hint="eastAsia" w:ascii="仿宋_GB2312" w:hAnsi="仿宋_GB2312" w:eastAsia="仿宋_GB2312" w:cs="仿宋_GB2312"/>
          <w:b/>
          <w:bCs/>
          <w:sz w:val="28"/>
          <w:szCs w:val="28"/>
        </w:rPr>
      </w:pPr>
      <w:r>
        <w:rPr>
          <w:sz w:val="32"/>
        </w:rPr>
        <mc:AlternateContent>
          <mc:Choice Requires="wps">
            <w:drawing>
              <wp:anchor distT="0" distB="0" distL="114300" distR="114300" simplePos="0" relativeHeight="251660288" behindDoc="0" locked="0" layoutInCell="1" allowOverlap="1">
                <wp:simplePos x="0" y="0"/>
                <wp:positionH relativeFrom="column">
                  <wp:posOffset>-58420</wp:posOffset>
                </wp:positionH>
                <wp:positionV relativeFrom="paragraph">
                  <wp:posOffset>574040</wp:posOffset>
                </wp:positionV>
                <wp:extent cx="5913120" cy="4493260"/>
                <wp:effectExtent l="4445" t="4445" r="6985" b="17145"/>
                <wp:wrapSquare wrapText="bothSides"/>
                <wp:docPr id="3" name="文本框 151"/>
                <wp:cNvGraphicFramePr/>
                <a:graphic xmlns:a="http://schemas.openxmlformats.org/drawingml/2006/main">
                  <a:graphicData uri="http://schemas.microsoft.com/office/word/2010/wordprocessingShape">
                    <wps:wsp>
                      <wps:cNvSpPr txBox="true"/>
                      <wps:spPr>
                        <a:xfrm>
                          <a:off x="0" y="0"/>
                          <a:ext cx="5913120" cy="44932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0" w:leftChars="0" w:right="179"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新建或改扩建</w:t>
                            </w:r>
                            <w:r>
                              <w:rPr>
                                <w:rFonts w:hint="eastAsia" w:ascii="仿宋_GB2312" w:hAnsi="仿宋_GB2312" w:eastAsia="仿宋_GB2312" w:cs="仿宋_GB2312"/>
                                <w:sz w:val="28"/>
                                <w:szCs w:val="28"/>
                                <w:u w:val="none"/>
                                <w:lang w:val="en-US" w:eastAsia="zh-CN"/>
                              </w:rPr>
                              <w:t>覆盖市、县、乡、村四级的“一站式、窗口化、综合性”公共法律服务实体平台350多个</w:t>
                            </w:r>
                            <w:r>
                              <w:rPr>
                                <w:rFonts w:hint="eastAsia" w:ascii="仿宋_GB2312" w:hAnsi="仿宋_GB2312" w:eastAsia="仿宋_GB2312" w:cs="仿宋_GB2312"/>
                                <w:sz w:val="28"/>
                                <w:szCs w:val="28"/>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0" w:leftChars="0" w:right="179" w:righ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加快司法所规范化建设；</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right="179" w:rightChars="0" w:firstLine="567"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推动公共法律服务实体平台配备自助服务终端、“互联网＋”智能展示、智能机器人、可视电话、服务评价器、流动公共法律服务车等设施设平台备，打造全天候服务“无人公共法律服务平台”；</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right="179" w:rightChars="0" w:firstLine="567"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推进“互联网＋”智能公共法律服务项目，建设智慧公共法律服务基础和应用支撑平台；</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right="179" w:rightChars="0" w:firstLine="567" w:firstLineChars="0"/>
                              <w:jc w:val="left"/>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制定实施</w:t>
                            </w:r>
                            <w:r>
                              <w:rPr>
                                <w:rFonts w:hint="eastAsia" w:ascii="仿宋_GB2312" w:hAnsi="仿宋_GB2312" w:eastAsia="仿宋_GB2312" w:cs="仿宋_GB2312"/>
                                <w:sz w:val="28"/>
                                <w:szCs w:val="28"/>
                                <w:u w:val="none"/>
                                <w:lang w:eastAsia="zh-CN"/>
                              </w:rPr>
                              <w:t>防城港</w:t>
                            </w:r>
                            <w:r>
                              <w:rPr>
                                <w:rFonts w:hint="eastAsia" w:ascii="仿宋_GB2312" w:hAnsi="仿宋_GB2312" w:eastAsia="仿宋_GB2312" w:cs="仿宋_GB2312"/>
                                <w:sz w:val="28"/>
                                <w:szCs w:val="28"/>
                                <w:u w:val="none"/>
                              </w:rPr>
                              <w:t>市公共法律服务平台规范化管理办法；</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right="179" w:rightChars="0" w:firstLine="567"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建</w:t>
                            </w:r>
                            <w:r>
                              <w:rPr>
                                <w:rFonts w:hint="eastAsia" w:ascii="仿宋_GB2312" w:hAnsi="仿宋_GB2312" w:eastAsia="仿宋_GB2312" w:cs="仿宋_GB2312"/>
                                <w:sz w:val="28"/>
                                <w:szCs w:val="28"/>
                              </w:rPr>
                              <w:t>立健全公共法律服务质量评价机制、监督机制、失信惩戒机制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推行岗位责任制、服务承诺制、首问负责制、限时办结制、服务公开制等服务制度；</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right="179" w:rightChars="0" w:firstLine="567"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完善律师、公证专业评级评价体系；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179"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开展公共法律服务同步评价，动态收集公共法律服务知晓率、首选率、满意率；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179"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开展一年一度的“法治三月三”活动；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179" w:rightChars="0" w:firstLine="560" w:firstLineChars="200"/>
                              <w:jc w:val="left"/>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lang w:val="en-US" w:eastAsia="zh-CN"/>
                              </w:rPr>
                              <w:t>10．制作一批有防城港特色的海边山普法文化艺术作品</w:t>
                            </w:r>
                            <w:r>
                              <w:rPr>
                                <w:rFonts w:hint="eastAsia" w:ascii="仿宋_GB2312" w:hAnsi="仿宋_GB2312" w:eastAsia="仿宋_GB2312" w:cs="仿宋_GB2312"/>
                                <w:sz w:val="28"/>
                                <w:szCs w:val="28"/>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179" w:rightChars="0" w:firstLine="560" w:firstLineChars="200"/>
                              <w:jc w:val="left"/>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lang w:val="en-US" w:eastAsia="zh-CN"/>
                              </w:rPr>
                              <w:t>11．建立一批有防城港本地特色的法治文化阵地</w:t>
                            </w:r>
                            <w:r>
                              <w:rPr>
                                <w:rFonts w:hint="eastAsia" w:ascii="仿宋_GB2312" w:hAnsi="仿宋_GB2312" w:eastAsia="仿宋_GB2312" w:cs="仿宋_GB2312"/>
                                <w:sz w:val="28"/>
                                <w:szCs w:val="28"/>
                                <w:u w:val="none"/>
                              </w:rPr>
                              <w:t>；</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u w:val="none"/>
                                <w:lang w:val="en-US" w:eastAsia="zh-CN"/>
                              </w:rPr>
                              <w:t>12．</w:t>
                            </w:r>
                            <w:r>
                              <w:rPr>
                                <w:rFonts w:hint="eastAsia" w:ascii="仿宋_GB2312" w:hAnsi="仿宋_GB2312" w:eastAsia="仿宋_GB2312" w:cs="仿宋_GB2312"/>
                                <w:sz w:val="28"/>
                                <w:szCs w:val="28"/>
                                <w:u w:val="none"/>
                              </w:rPr>
                              <w:t>贯彻落实自治区关于加强社会主义法治文化建设的意见</w:t>
                            </w:r>
                            <w:r>
                              <w:rPr>
                                <w:rFonts w:hint="eastAsia" w:ascii="仿宋_GB2312" w:hAnsi="仿宋_GB2312" w:eastAsia="仿宋_GB2312" w:cs="仿宋_GB2312"/>
                                <w:sz w:val="28"/>
                                <w:szCs w:val="28"/>
                              </w:rPr>
                              <w:t>。</w:t>
                            </w:r>
                          </w:p>
                        </w:txbxContent>
                      </wps:txbx>
                      <wps:bodyPr vert="horz" wrap="square" anchor="t" anchorCtr="false" upright="true"/>
                    </wps:wsp>
                  </a:graphicData>
                </a:graphic>
              </wp:anchor>
            </w:drawing>
          </mc:Choice>
          <mc:Fallback>
            <w:pict>
              <v:shape id="文本框 151" o:spid="_x0000_s1026" o:spt="202" type="#_x0000_t202" style="position:absolute;left:0pt;margin-left:-4.6pt;margin-top:45.2pt;height:353.8pt;width:465.6pt;mso-wrap-distance-bottom:0pt;mso-wrap-distance-left:9pt;mso-wrap-distance-right:9pt;mso-wrap-distance-top:0pt;z-index:251660288;mso-width-relative:page;mso-height-relative:page;" fillcolor="#FFFFFF" filled="t" stroked="t" coordsize="21600,21600" o:gfxdata="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uguWK9gAAAAJAQAADwAAAAAAAAABACAAAAA4AAAAZHJzL2Rvd25yZXYueG1sUEsB&#10;AhQAFAAAAAgAh07iQCWkkMYYAgAAKAQAAA4AAAAAAAAAAQAgAAAAPQEAAGRycy9lMm9Eb2MueG1s&#10;UEsFBgAAAAAGAAYAWQEAAMcFAAAAAA==&#10;">
                <v:fill on="t" focussize="0,0"/>
                <v:stroke color="#000000" joinstyle="miter"/>
                <v:imagedata o:title=""/>
                <o:lock v:ext="edit" aspectratio="f"/>
                <v:textbox>
                  <w:txbxContent>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0" w:leftChars="0" w:right="179"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新建或改扩建</w:t>
                      </w:r>
                      <w:r>
                        <w:rPr>
                          <w:rFonts w:hint="eastAsia" w:ascii="仿宋_GB2312" w:hAnsi="仿宋_GB2312" w:eastAsia="仿宋_GB2312" w:cs="仿宋_GB2312"/>
                          <w:sz w:val="28"/>
                          <w:szCs w:val="28"/>
                          <w:u w:val="none"/>
                          <w:lang w:val="en-US" w:eastAsia="zh-CN"/>
                        </w:rPr>
                        <w:t>覆盖市、县、乡、村四级的“一站式、窗口化、综合性”公共法律服务实体平台350多个</w:t>
                      </w:r>
                      <w:r>
                        <w:rPr>
                          <w:rFonts w:hint="eastAsia" w:ascii="仿宋_GB2312" w:hAnsi="仿宋_GB2312" w:eastAsia="仿宋_GB2312" w:cs="仿宋_GB2312"/>
                          <w:sz w:val="28"/>
                          <w:szCs w:val="28"/>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0" w:leftChars="0" w:right="179" w:righ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加快司法所规范化建设；</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right="179" w:rightChars="0" w:firstLine="567"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推动公共法律服务实体平台配备自助服务终端、“互联网＋”智能展示、智能机器人、可视电话、服务评价器、流动公共法律服务车等设施设平台备，打造全天候服务“无人公共法律服务平台”；</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right="179" w:rightChars="0" w:firstLine="567"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推进“互联网＋”智能公共法律服务项目，建设智慧公共法律服务基础和应用支撑平台；</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right="179" w:rightChars="0" w:firstLine="567" w:firstLineChars="0"/>
                        <w:jc w:val="left"/>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制定实施</w:t>
                      </w:r>
                      <w:r>
                        <w:rPr>
                          <w:rFonts w:hint="eastAsia" w:ascii="仿宋_GB2312" w:hAnsi="仿宋_GB2312" w:eastAsia="仿宋_GB2312" w:cs="仿宋_GB2312"/>
                          <w:sz w:val="28"/>
                          <w:szCs w:val="28"/>
                          <w:u w:val="none"/>
                          <w:lang w:eastAsia="zh-CN"/>
                        </w:rPr>
                        <w:t>防城港</w:t>
                      </w:r>
                      <w:r>
                        <w:rPr>
                          <w:rFonts w:hint="eastAsia" w:ascii="仿宋_GB2312" w:hAnsi="仿宋_GB2312" w:eastAsia="仿宋_GB2312" w:cs="仿宋_GB2312"/>
                          <w:sz w:val="28"/>
                          <w:szCs w:val="28"/>
                          <w:u w:val="none"/>
                        </w:rPr>
                        <w:t>市公共法律服务平台规范化管理办法；</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right="179" w:rightChars="0" w:firstLine="567"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建</w:t>
                      </w:r>
                      <w:r>
                        <w:rPr>
                          <w:rFonts w:hint="eastAsia" w:ascii="仿宋_GB2312" w:hAnsi="仿宋_GB2312" w:eastAsia="仿宋_GB2312" w:cs="仿宋_GB2312"/>
                          <w:sz w:val="28"/>
                          <w:szCs w:val="28"/>
                        </w:rPr>
                        <w:t>立健全公共法律服务质量评价机制、监督机制、失信惩戒机制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推行岗位责任制、服务承诺制、首问负责制、限时办结制、服务公开制等服务制度；</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right="179" w:rightChars="0" w:firstLine="567"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完善律师、公证专业评级评价体系；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179"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开展公共法律服务同步评价，动态收集公共法律服务知晓率、首选率、满意率；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179"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开展一年一度的“法治三月三”活动；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179" w:rightChars="0" w:firstLine="560" w:firstLineChars="200"/>
                        <w:jc w:val="left"/>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lang w:val="en-US" w:eastAsia="zh-CN"/>
                        </w:rPr>
                        <w:t>10．制作一批有防城港特色的海边山普法文化艺术作品</w:t>
                      </w:r>
                      <w:r>
                        <w:rPr>
                          <w:rFonts w:hint="eastAsia" w:ascii="仿宋_GB2312" w:hAnsi="仿宋_GB2312" w:eastAsia="仿宋_GB2312" w:cs="仿宋_GB2312"/>
                          <w:sz w:val="28"/>
                          <w:szCs w:val="28"/>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179" w:rightChars="0" w:firstLine="560" w:firstLineChars="200"/>
                        <w:jc w:val="left"/>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lang w:val="en-US" w:eastAsia="zh-CN"/>
                        </w:rPr>
                        <w:t>11．建立一批有防城港本地特色的法治文化阵地</w:t>
                      </w:r>
                      <w:r>
                        <w:rPr>
                          <w:rFonts w:hint="eastAsia" w:ascii="仿宋_GB2312" w:hAnsi="仿宋_GB2312" w:eastAsia="仿宋_GB2312" w:cs="仿宋_GB2312"/>
                          <w:sz w:val="28"/>
                          <w:szCs w:val="28"/>
                          <w:u w:val="none"/>
                        </w:rPr>
                        <w:t>；</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u w:val="none"/>
                          <w:lang w:val="en-US" w:eastAsia="zh-CN"/>
                        </w:rPr>
                        <w:t>12．</w:t>
                      </w:r>
                      <w:r>
                        <w:rPr>
                          <w:rFonts w:hint="eastAsia" w:ascii="仿宋_GB2312" w:hAnsi="仿宋_GB2312" w:eastAsia="仿宋_GB2312" w:cs="仿宋_GB2312"/>
                          <w:sz w:val="28"/>
                          <w:szCs w:val="28"/>
                          <w:u w:val="none"/>
                        </w:rPr>
                        <w:t>贯彻落实自治区关于加强社会主义法治文化建设的意见</w:t>
                      </w:r>
                      <w:r>
                        <w:rPr>
                          <w:rFonts w:hint="eastAsia" w:ascii="仿宋_GB2312" w:hAnsi="仿宋_GB2312" w:eastAsia="仿宋_GB2312" w:cs="仿宋_GB2312"/>
                          <w:sz w:val="28"/>
                          <w:szCs w:val="28"/>
                        </w:rPr>
                        <w:t>。</w:t>
                      </w:r>
                    </w:p>
                  </w:txbxContent>
                </v:textbox>
                <w10:wrap type="square"/>
              </v:shape>
            </w:pict>
          </mc:Fallback>
        </mc:AlternateContent>
      </w:r>
      <w:r>
        <w:rPr>
          <w:rFonts w:hint="eastAsia" w:ascii="仿宋_GB2312" w:hAnsi="仿宋_GB2312" w:eastAsia="仿宋_GB2312" w:cs="仿宋_GB2312"/>
          <w:b/>
          <w:bCs/>
          <w:sz w:val="28"/>
          <w:szCs w:val="28"/>
        </w:rPr>
        <w:t>专栏</w:t>
      </w:r>
      <w:r>
        <w:rPr>
          <w:rFonts w:hint="eastAsia" w:ascii="仿宋_GB2312" w:hAnsi="仿宋_GB2312" w:eastAsia="仿宋_GB2312" w:cs="仿宋_GB2312"/>
          <w:b/>
          <w:bCs/>
          <w:spacing w:val="-80"/>
          <w:sz w:val="28"/>
          <w:szCs w:val="28"/>
        </w:rPr>
        <w:t xml:space="preserve"> </w:t>
      </w:r>
      <w:r>
        <w:rPr>
          <w:rFonts w:hint="eastAsia" w:ascii="仿宋_GB2312" w:hAnsi="仿宋_GB2312" w:eastAsia="仿宋_GB2312" w:cs="仿宋_GB2312"/>
          <w:b/>
          <w:bCs/>
          <w:sz w:val="28"/>
          <w:szCs w:val="28"/>
        </w:rPr>
        <w:t>3</w:t>
      </w:r>
      <w:r>
        <w:rPr>
          <w:rFonts w:hint="eastAsia" w:ascii="仿宋_GB2312" w:hAnsi="仿宋_GB2312" w:eastAsia="仿宋_GB2312" w:cs="仿宋_GB2312"/>
          <w:b/>
          <w:bCs/>
          <w:sz w:val="28"/>
          <w:szCs w:val="28"/>
          <w:lang w:val="en-US" w:eastAsia="zh-CN"/>
        </w:rPr>
        <w:t xml:space="preserve">  </w:t>
      </w:r>
      <w:r>
        <w:rPr>
          <w:rFonts w:hint="eastAsia" w:hAnsi="仿宋_GB2312" w:cs="仿宋_GB2312"/>
          <w:b/>
          <w:bCs/>
          <w:sz w:val="28"/>
          <w:szCs w:val="28"/>
          <w:lang w:val="en-US" w:eastAsia="zh-CN"/>
        </w:rPr>
        <w:t xml:space="preserve"> </w:t>
      </w:r>
      <w:r>
        <w:rPr>
          <w:rFonts w:hint="eastAsia" w:ascii="仿宋_GB2312" w:hAnsi="仿宋_GB2312" w:eastAsia="仿宋_GB2312" w:cs="仿宋_GB2312"/>
          <w:b/>
          <w:bCs/>
          <w:sz w:val="28"/>
          <w:szCs w:val="28"/>
        </w:rPr>
        <w:t>加快推进公共法律服务体系建设重点任务</w:t>
      </w:r>
    </w:p>
    <w:p>
      <w:pPr>
        <w:pStyle w:val="6"/>
        <w:rPr>
          <w:rFonts w:hint="eastAsia" w:ascii="仿宋_GB2312" w:hAnsi="仿宋_GB2312" w:eastAsia="仿宋_GB2312" w:cs="仿宋_GB2312"/>
          <w:b/>
          <w:bCs/>
          <w:sz w:val="28"/>
          <w:szCs w:val="28"/>
        </w:rPr>
      </w:pPr>
    </w:p>
    <w:p>
      <w:pPr>
        <w:pStyle w:val="3"/>
        <w:keepNext w:val="0"/>
        <w:keepLines w:val="0"/>
        <w:pageBreakBefore w:val="0"/>
        <w:widowControl w:val="0"/>
        <w:tabs>
          <w:tab w:val="left" w:pos="1540"/>
        </w:tabs>
        <w:kinsoku/>
        <w:wordWrap/>
        <w:overflowPunct/>
        <w:topLinePunct w:val="0"/>
        <w:autoSpaceDE w:val="0"/>
        <w:autoSpaceDN w:val="0"/>
        <w:bidi w:val="0"/>
        <w:adjustRightInd/>
        <w:snapToGrid/>
        <w:spacing w:before="0" w:line="560" w:lineRule="exact"/>
        <w:ind w:left="0" w:right="0"/>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加强公共法律服务各领域发展</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default" w:ascii="Times New Roman" w:hAnsi="Times New Roman" w:cs="Times New Roman"/>
          <w:sz w:val="30"/>
        </w:rPr>
      </w:pPr>
    </w:p>
    <w:p>
      <w:pPr>
        <w:keepNext w:val="0"/>
        <w:keepLines w:val="0"/>
        <w:pageBreakBefore w:val="0"/>
        <w:widowControl w:val="0"/>
        <w:numPr>
          <w:ilvl w:val="0"/>
          <w:numId w:val="0"/>
        </w:numPr>
        <w:kinsoku/>
        <w:wordWrap/>
        <w:overflowPunct/>
        <w:topLinePunct w:val="0"/>
        <w:bidi w:val="0"/>
        <w:adjustRightInd/>
        <w:snapToGrid/>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第一节</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加强法治宣传教育</w:t>
      </w:r>
    </w:p>
    <w:p>
      <w:pPr>
        <w:pStyle w:val="2"/>
        <w:keepNext w:val="0"/>
        <w:keepLines w:val="0"/>
        <w:pageBreakBefore w:val="0"/>
        <w:widowControl w:val="0"/>
        <w:numPr>
          <w:ilvl w:val="0"/>
          <w:numId w:val="0"/>
        </w:numPr>
        <w:kinsoku/>
        <w:wordWrap/>
        <w:overflowPunct/>
        <w:topLinePunct w:val="0"/>
        <w:bidi w:val="0"/>
        <w:adjustRightInd/>
        <w:snapToGrid/>
        <w:spacing w:line="560" w:lineRule="exact"/>
        <w:ind w:firstLine="632" w:firstLineChars="200"/>
        <w:textAlignment w:val="auto"/>
        <w:rPr>
          <w:rFonts w:hint="eastAsia" w:ascii="仿宋_GB2312" w:hAnsi="仿宋_GB2312" w:eastAsia="仿宋_GB2312" w:cs="仿宋_GB2312"/>
          <w:spacing w:val="-2"/>
        </w:rPr>
      </w:pPr>
      <w:r>
        <w:rPr>
          <w:rFonts w:hint="eastAsia" w:ascii="仿宋_GB2312" w:hAnsi="仿宋_GB2312" w:eastAsia="仿宋_GB2312" w:cs="仿宋_GB2312"/>
          <w:spacing w:val="-2"/>
        </w:rPr>
        <w:t>深入学习宣传贯彻习近平法治思想，贯彻落实广西法治宣传教育条例，制定实施</w:t>
      </w:r>
      <w:r>
        <w:rPr>
          <w:rFonts w:hint="eastAsia" w:ascii="仿宋_GB2312" w:hAnsi="仿宋_GB2312" w:eastAsia="仿宋_GB2312" w:cs="仿宋_GB2312"/>
          <w:spacing w:val="-2"/>
          <w:lang w:val="en-US" w:eastAsia="zh-CN"/>
        </w:rPr>
        <w:t>防城港市</w:t>
      </w:r>
      <w:r>
        <w:rPr>
          <w:rFonts w:hint="eastAsia" w:ascii="仿宋_GB2312" w:hAnsi="仿宋_GB2312" w:eastAsia="仿宋_GB2312" w:cs="仿宋_GB2312"/>
          <w:spacing w:val="-2"/>
          <w:lang w:eastAsia="zh-CN"/>
        </w:rPr>
        <w:t>“</w:t>
      </w:r>
      <w:r>
        <w:rPr>
          <w:rFonts w:hint="eastAsia" w:ascii="仿宋_GB2312" w:hAnsi="仿宋_GB2312" w:eastAsia="仿宋_GB2312" w:cs="仿宋_GB2312"/>
          <w:spacing w:val="-2"/>
        </w:rPr>
        <w:t>八五</w:t>
      </w:r>
      <w:r>
        <w:rPr>
          <w:rFonts w:hint="eastAsia" w:ascii="仿宋_GB2312" w:hAnsi="仿宋_GB2312" w:eastAsia="仿宋_GB2312" w:cs="仿宋_GB2312"/>
          <w:spacing w:val="-2"/>
          <w:lang w:eastAsia="zh-CN"/>
        </w:rPr>
        <w:t>”</w:t>
      </w:r>
      <w:r>
        <w:rPr>
          <w:rFonts w:hint="eastAsia" w:ascii="仿宋_GB2312" w:hAnsi="仿宋_GB2312" w:eastAsia="仿宋_GB2312" w:cs="仿宋_GB2312"/>
          <w:spacing w:val="-2"/>
          <w:lang w:val="en-US" w:eastAsia="zh-CN"/>
        </w:rPr>
        <w:t>普法</w:t>
      </w:r>
      <w:r>
        <w:rPr>
          <w:rFonts w:hint="eastAsia" w:ascii="仿宋_GB2312" w:hAnsi="仿宋_GB2312" w:eastAsia="仿宋_GB2312" w:cs="仿宋_GB2312"/>
          <w:spacing w:val="-2"/>
        </w:rPr>
        <w:t>规划</w:t>
      </w:r>
      <w:r>
        <w:rPr>
          <w:rFonts w:hint="eastAsia" w:ascii="仿宋_GB2312" w:hAnsi="仿宋_GB2312" w:eastAsia="仿宋_GB2312" w:cs="仿宋_GB2312"/>
          <w:spacing w:val="-2"/>
          <w:lang w:eastAsia="zh-CN"/>
        </w:rPr>
        <w:t>。</w:t>
      </w:r>
      <w:r>
        <w:rPr>
          <w:rFonts w:hint="eastAsia" w:ascii="仿宋_GB2312" w:hAnsi="仿宋_GB2312" w:eastAsia="仿宋_GB2312" w:cs="仿宋_GB2312"/>
          <w:spacing w:val="-2"/>
          <w:lang w:val="en-US" w:eastAsia="zh-CN"/>
        </w:rPr>
        <w:t>严格</w:t>
      </w:r>
      <w:r>
        <w:rPr>
          <w:rFonts w:hint="eastAsia" w:ascii="仿宋_GB2312" w:hAnsi="仿宋_GB2312" w:eastAsia="仿宋_GB2312" w:cs="仿宋_GB2312"/>
          <w:spacing w:val="-2"/>
        </w:rPr>
        <w:t>落实国家机关“谁执法谁普法”责任制，将法治宣传贯穿立法、执法、司法全过程。深入宣传宪法</w:t>
      </w:r>
      <w:r>
        <w:rPr>
          <w:rFonts w:hint="eastAsia" w:ascii="仿宋_GB2312" w:hAnsi="仿宋_GB2312" w:eastAsia="仿宋_GB2312" w:cs="仿宋_GB2312"/>
          <w:spacing w:val="-2"/>
          <w:lang w:val="en-US" w:eastAsia="zh-CN"/>
        </w:rPr>
        <w:t>和</w:t>
      </w:r>
      <w:r>
        <w:rPr>
          <w:rFonts w:hint="eastAsia" w:ascii="仿宋_GB2312" w:hAnsi="仿宋_GB2312" w:eastAsia="仿宋_GB2312" w:cs="仿宋_GB2312"/>
          <w:spacing w:val="-2"/>
        </w:rPr>
        <w:t>民法典</w:t>
      </w:r>
      <w:r>
        <w:rPr>
          <w:rFonts w:hint="eastAsia" w:ascii="仿宋_GB2312" w:hAnsi="仿宋_GB2312" w:eastAsia="仿宋_GB2312" w:cs="仿宋_GB2312"/>
          <w:spacing w:val="-2"/>
          <w:lang w:val="en-US" w:eastAsia="zh-CN"/>
        </w:rPr>
        <w:t>等</w:t>
      </w:r>
      <w:r>
        <w:rPr>
          <w:rFonts w:hint="eastAsia" w:ascii="仿宋_GB2312" w:hAnsi="仿宋_GB2312" w:eastAsia="仿宋_GB2312" w:cs="仿宋_GB2312"/>
          <w:spacing w:val="-2"/>
        </w:rPr>
        <w:t>法律法规</w:t>
      </w:r>
      <w:r>
        <w:rPr>
          <w:rFonts w:hint="eastAsia" w:ascii="仿宋_GB2312" w:hAnsi="仿宋_GB2312" w:eastAsia="仿宋_GB2312" w:cs="仿宋_GB2312"/>
          <w:spacing w:val="-2"/>
          <w:lang w:eastAsia="zh-CN"/>
        </w:rPr>
        <w:t>，</w:t>
      </w:r>
      <w:r>
        <w:rPr>
          <w:rFonts w:hint="eastAsia" w:ascii="仿宋_GB2312" w:hAnsi="仿宋_GB2312" w:eastAsia="仿宋_GB2312" w:cs="仿宋_GB2312"/>
          <w:spacing w:val="-2"/>
          <w:lang w:val="en-US" w:eastAsia="zh-CN"/>
        </w:rPr>
        <w:t>积极</w:t>
      </w:r>
      <w:r>
        <w:rPr>
          <w:rFonts w:hint="eastAsia" w:ascii="仿宋_GB2312" w:hAnsi="仿宋_GB2312" w:eastAsia="仿宋_GB2312" w:cs="仿宋_GB2312"/>
          <w:spacing w:val="-2"/>
        </w:rPr>
        <w:t>开展“宪法宣传周”活动。</w:t>
      </w:r>
      <w:r>
        <w:rPr>
          <w:rFonts w:hint="eastAsia" w:ascii="仿宋_GB2312" w:hAnsi="仿宋_GB2312" w:eastAsia="仿宋_GB2312" w:cs="仿宋_GB2312"/>
          <w:spacing w:val="-2"/>
          <w:lang w:val="en-US" w:eastAsia="zh-CN"/>
        </w:rPr>
        <w:t>注重</w:t>
      </w:r>
      <w:r>
        <w:rPr>
          <w:rFonts w:hint="eastAsia" w:ascii="仿宋_GB2312" w:hAnsi="仿宋_GB2312" w:eastAsia="仿宋_GB2312" w:cs="仿宋_GB2312"/>
          <w:spacing w:val="-2"/>
        </w:rPr>
        <w:t>普法的针对性</w:t>
      </w:r>
      <w:r>
        <w:rPr>
          <w:rFonts w:hint="eastAsia" w:ascii="仿宋_GB2312" w:hAnsi="仿宋_GB2312" w:eastAsia="仿宋_GB2312" w:cs="仿宋_GB2312"/>
          <w:spacing w:val="-2"/>
          <w:lang w:val="en-US" w:eastAsia="zh-CN"/>
        </w:rPr>
        <w:t>和</w:t>
      </w:r>
      <w:r>
        <w:rPr>
          <w:rFonts w:hint="eastAsia" w:ascii="仿宋_GB2312" w:hAnsi="仿宋_GB2312" w:eastAsia="仿宋_GB2312" w:cs="仿宋_GB2312"/>
          <w:spacing w:val="-2"/>
        </w:rPr>
        <w:t>实效性</w:t>
      </w:r>
      <w:r>
        <w:rPr>
          <w:rFonts w:hint="eastAsia" w:ascii="仿宋_GB2312" w:hAnsi="仿宋_GB2312" w:eastAsia="仿宋_GB2312" w:cs="仿宋_GB2312"/>
          <w:spacing w:val="-2"/>
          <w:lang w:eastAsia="zh-CN"/>
        </w:rPr>
        <w:t>，</w:t>
      </w:r>
      <w:r>
        <w:rPr>
          <w:rFonts w:hint="eastAsia" w:ascii="仿宋_GB2312" w:hAnsi="仿宋_GB2312" w:eastAsia="仿宋_GB2312" w:cs="仿宋_GB2312"/>
          <w:spacing w:val="-2"/>
        </w:rPr>
        <w:t>运用社会力量开展普法，融合新技术新媒体开展精准普法。加强社会主义法治文化建设，培育</w:t>
      </w:r>
      <w:r>
        <w:rPr>
          <w:rFonts w:hint="eastAsia" w:ascii="仿宋_GB2312" w:hAnsi="仿宋_GB2312" w:eastAsia="仿宋_GB2312" w:cs="仿宋_GB2312"/>
          <w:spacing w:val="-2"/>
          <w:lang w:eastAsia="zh-CN"/>
        </w:rPr>
        <w:t>防城港</w:t>
      </w:r>
      <w:r>
        <w:rPr>
          <w:rFonts w:hint="eastAsia" w:ascii="仿宋_GB2312" w:hAnsi="仿宋_GB2312" w:eastAsia="仿宋_GB2312" w:cs="仿宋_GB2312"/>
          <w:spacing w:val="-2"/>
        </w:rPr>
        <w:t>本土特色普法宣传品牌，把法治文化阵地建设纳入城乡建设规划。加强法治乡村建设，</w:t>
      </w:r>
      <w:r>
        <w:rPr>
          <w:rFonts w:hint="eastAsia" w:ascii="仿宋_GB2312" w:hAnsi="仿宋_GB2312" w:eastAsia="仿宋_GB2312" w:cs="仿宋_GB2312"/>
          <w:spacing w:val="-2"/>
          <w:lang w:val="en-US" w:eastAsia="zh-CN"/>
        </w:rPr>
        <w:t>推进</w:t>
      </w:r>
      <w:r>
        <w:rPr>
          <w:rFonts w:hint="eastAsia" w:ascii="仿宋_GB2312" w:hAnsi="仿宋_GB2312" w:eastAsia="仿宋_GB2312" w:cs="仿宋_GB2312"/>
          <w:spacing w:val="-2"/>
        </w:rPr>
        <w:t>农村“法律明白人”培养工程，为基层普法锻造一支生力军。组建以律师、基层法律服务工作者等为主的普法志愿人才库，为普法工作提供专业服务。</w:t>
      </w:r>
    </w:p>
    <w:p>
      <w:pPr>
        <w:keepNext w:val="0"/>
        <w:keepLines w:val="0"/>
        <w:pageBreakBefore w:val="0"/>
        <w:widowControl w:val="0"/>
        <w:kinsoku/>
        <w:wordWrap/>
        <w:overflowPunct/>
        <w:topLinePunct w:val="0"/>
        <w:bidi w:val="0"/>
        <w:adjustRightInd/>
        <w:snapToGrid/>
        <w:spacing w:line="560" w:lineRule="exact"/>
        <w:textAlignment w:val="auto"/>
        <w:rPr>
          <w:rFonts w:hint="eastAsia"/>
        </w:rPr>
      </w:pPr>
    </w:p>
    <w:p>
      <w:pPr>
        <w:keepNext w:val="0"/>
        <w:keepLines w:val="0"/>
        <w:pageBreakBefore w:val="0"/>
        <w:widowControl w:val="0"/>
        <w:numPr>
          <w:ilvl w:val="0"/>
          <w:numId w:val="4"/>
        </w:numPr>
        <w:kinsoku/>
        <w:wordWrap/>
        <w:overflowPunct/>
        <w:topLinePunct w:val="0"/>
        <w:bidi w:val="0"/>
        <w:adjustRightInd/>
        <w:snapToGrid/>
        <w:spacing w:line="560" w:lineRule="exact"/>
        <w:jc w:val="center"/>
        <w:textAlignment w:val="auto"/>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推进律师工作发展</w:t>
      </w:r>
    </w:p>
    <w:p>
      <w:pPr>
        <w:pStyle w:val="2"/>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加强新时代律师行业党的建设，不断提高律师行业党的建设质量。积极拓展律师服务领域，充分发挥律师在服务经济社会发展、推进全面依法治市中的重要作用。推动各级党政机关普遍设立公职律师，国有企业设立公司律师。</w:t>
      </w:r>
      <w:r>
        <w:rPr>
          <w:rFonts w:hint="eastAsia" w:ascii="仿宋_GB2312" w:hAnsi="仿宋_GB2312" w:eastAsia="仿宋_GB2312" w:cs="仿宋_GB2312"/>
          <w:sz w:val="32"/>
          <w:szCs w:val="32"/>
          <w:lang w:val="en-US" w:eastAsia="zh-CN"/>
        </w:rPr>
        <w:t>探索</w:t>
      </w:r>
      <w:r>
        <w:rPr>
          <w:rFonts w:hint="eastAsia" w:ascii="仿宋_GB2312" w:hAnsi="仿宋_GB2312" w:eastAsia="仿宋_GB2312" w:cs="仿宋_GB2312"/>
          <w:sz w:val="32"/>
          <w:szCs w:val="32"/>
        </w:rPr>
        <w:t>建立公职律师参与行政机关处罚决定审核机制，鼓励公职律师加入党政机关法律顾问队伍。</w:t>
      </w:r>
      <w:r>
        <w:rPr>
          <w:rFonts w:hint="eastAsia" w:ascii="仿宋_GB2312" w:hAnsi="仿宋_GB2312" w:eastAsia="仿宋_GB2312" w:cs="仿宋_GB2312"/>
          <w:sz w:val="32"/>
          <w:szCs w:val="32"/>
          <w:lang w:val="en-US" w:eastAsia="zh-CN"/>
        </w:rPr>
        <w:t>落实</w:t>
      </w:r>
      <w:r>
        <w:rPr>
          <w:rFonts w:hint="eastAsia" w:ascii="仿宋_GB2312" w:hAnsi="仿宋_GB2312" w:eastAsia="仿宋_GB2312" w:cs="仿宋_GB2312"/>
          <w:sz w:val="32"/>
          <w:szCs w:val="32"/>
        </w:rPr>
        <w:t>律师执业权利保障机制，优化律师执业环境，深入推进刑事案件律师辩护全覆盖、律师调解、法律援助律师值班等工作。加强对律师和律师事务所的监督管理，全面规范律师执业行为。鼓励律师事务所到相对落后、律师资源匮乏的地区设立分所。鼓励律师事务所到境外设立分支机构，积极发展律师涉外法律服务，为</w:t>
      </w:r>
      <w:r>
        <w:rPr>
          <w:rFonts w:hint="eastAsia" w:ascii="仿宋_GB2312" w:hAnsi="仿宋_GB2312" w:eastAsia="仿宋_GB2312" w:cs="仿宋_GB2312"/>
          <w:sz w:val="32"/>
          <w:szCs w:val="32"/>
          <w:lang w:val="en-US" w:eastAsia="zh-CN"/>
        </w:rPr>
        <w:t>防城港国际医学开放试验区、边境旅游试验区和东兴国家重点开发开放试验区、跨境经济合作区建设</w:t>
      </w:r>
      <w:r>
        <w:rPr>
          <w:rFonts w:hint="eastAsia" w:ascii="仿宋_GB2312" w:hAnsi="仿宋_GB2312" w:eastAsia="仿宋_GB2312" w:cs="仿宋_GB2312"/>
          <w:sz w:val="32"/>
          <w:szCs w:val="32"/>
        </w:rPr>
        <w:t>提供优质法律服务。充分发挥村（居）法律顾问作用，打造“解忧超市+法律顾问”试点，着力解决基层群众“急难愁盼”法律问题，打通为民办实事“最后一公里”。</w:t>
      </w:r>
    </w:p>
    <w:p>
      <w:pPr>
        <w:keepNext w:val="0"/>
        <w:keepLines w:val="0"/>
        <w:pageBreakBefore w:val="0"/>
        <w:widowControl w:val="0"/>
        <w:kinsoku/>
        <w:wordWrap/>
        <w:overflowPunct/>
        <w:topLinePunct w:val="0"/>
        <w:bidi w:val="0"/>
        <w:adjustRightInd/>
        <w:snapToGrid/>
        <w:spacing w:line="560" w:lineRule="exact"/>
        <w:textAlignment w:val="auto"/>
        <w:rPr>
          <w:rFonts w:hint="eastAsia"/>
        </w:rPr>
      </w:pP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第三节 深化公证体制机制改革</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完善公证相关配套措施。深化事业体制公证机构改革，加强事业体制公证机构的配套制度建设，激发公证行业服务社会的活力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争取</w:t>
      </w:r>
      <w:r>
        <w:rPr>
          <w:rFonts w:hint="eastAsia" w:ascii="仿宋_GB2312" w:hAnsi="仿宋_GB2312" w:eastAsia="仿宋_GB2312" w:cs="仿宋_GB2312"/>
          <w:sz w:val="32"/>
          <w:szCs w:val="32"/>
          <w:lang w:eastAsia="zh-CN"/>
        </w:rPr>
        <w:t>再设立一家事业单位性质公证机构。</w:t>
      </w:r>
      <w:r>
        <w:rPr>
          <w:rFonts w:hint="eastAsia" w:ascii="仿宋_GB2312" w:hAnsi="仿宋_GB2312" w:eastAsia="仿宋_GB2312" w:cs="仿宋_GB2312"/>
          <w:sz w:val="32"/>
          <w:szCs w:val="32"/>
        </w:rPr>
        <w:t>在司法部和自治区司法厅的统一部署下，分类分步放开公证业务办理行政区划限定，鼓励和支持有条件的公证机构拓展公证业务，向公证服务薄弱地区延伸。建立健全公证执业监管机制，强化公证执业过错责任追究。拓展创新公证服务领域，</w:t>
      </w:r>
      <w:r>
        <w:rPr>
          <w:rFonts w:hint="eastAsia" w:ascii="仿宋_GB2312" w:hAnsi="仿宋_GB2312" w:eastAsia="仿宋_GB2312" w:cs="仿宋_GB2312"/>
          <w:sz w:val="32"/>
          <w:szCs w:val="32"/>
          <w:lang w:val="en-US" w:eastAsia="zh-CN"/>
        </w:rPr>
        <w:t>探索扩大公证参与人民法院司法辅助事务工作范围。加强公证机构党建工作，加强公证员队伍建设，严格执行公证员执业准入和退出制度</w:t>
      </w:r>
      <w:r>
        <w:rPr>
          <w:rFonts w:hint="eastAsia" w:ascii="仿宋_GB2312" w:hAnsi="仿宋_GB2312" w:eastAsia="仿宋_GB2312" w:cs="仿宋_GB2312"/>
          <w:sz w:val="32"/>
          <w:szCs w:val="32"/>
        </w:rPr>
        <w:t>。</w:t>
      </w:r>
    </w:p>
    <w:p>
      <w:pPr>
        <w:pStyle w:val="2"/>
        <w:keepNext w:val="0"/>
        <w:keepLines w:val="0"/>
        <w:pageBreakBefore w:val="0"/>
        <w:widowControl w:val="0"/>
        <w:kinsoku/>
        <w:wordWrap/>
        <w:overflowPunct/>
        <w:topLinePunct w:val="0"/>
        <w:bidi w:val="0"/>
        <w:adjustRightInd/>
        <w:snapToGrid/>
        <w:spacing w:line="560" w:lineRule="exact"/>
        <w:textAlignment w:val="auto"/>
        <w:rPr>
          <w:rFonts w:hint="eastAsia"/>
        </w:rPr>
      </w:pPr>
    </w:p>
    <w:p>
      <w:pPr>
        <w:pStyle w:val="2"/>
        <w:keepNext w:val="0"/>
        <w:keepLines w:val="0"/>
        <w:pageBreakBefore w:val="0"/>
        <w:widowControl w:val="0"/>
        <w:kinsoku/>
        <w:wordWrap/>
        <w:overflowPunct/>
        <w:topLinePunct w:val="0"/>
        <w:bidi w:val="0"/>
        <w:adjustRightInd/>
        <w:snapToGrid/>
        <w:spacing w:line="560" w:lineRule="exact"/>
        <w:jc w:val="center"/>
        <w:textAlignment w:val="auto"/>
        <w:rPr>
          <w:rFonts w:hint="default" w:ascii="Times New Roman" w:hAnsi="Times New Roman" w:eastAsia="楷体_GB2312" w:cs="Times New Roman"/>
        </w:rPr>
      </w:pPr>
      <w:r>
        <w:rPr>
          <w:rFonts w:hint="default" w:ascii="Times New Roman" w:hAnsi="Times New Roman" w:eastAsia="楷体_GB2312" w:cs="Times New Roman"/>
        </w:rPr>
        <w:t>第四节 完善法律援助制度</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贯彻落实《中华人民共和国法律援助法》，推动广西法律援助相关地方性法规及配套措施落地落实。重点保障低收入群体、残疾人、农民工、老年人、妇女、青少年等特殊群体和军人军属、退役军人及其他优抚对象的基本公共法律服务权益。</w:t>
      </w:r>
      <w:r>
        <w:rPr>
          <w:rFonts w:hint="eastAsia" w:ascii="仿宋_GB2312" w:hAnsi="仿宋_GB2312" w:eastAsia="仿宋_GB2312" w:cs="仿宋_GB2312"/>
          <w:sz w:val="32"/>
          <w:szCs w:val="32"/>
          <w:lang w:val="en-US" w:eastAsia="zh-CN"/>
        </w:rPr>
        <w:t>根据有关法律法规和自治区规定的经济困难标准，依法降低法律援助门槛，实现法律援助应援尽援。加大法律援助经费投入力度，建立健全法律援助补贴标准动态调整机制</w:t>
      </w:r>
      <w:r>
        <w:rPr>
          <w:rFonts w:hint="eastAsia" w:ascii="仿宋_GB2312" w:hAnsi="仿宋_GB2312" w:eastAsia="仿宋_GB2312" w:cs="仿宋_GB2312"/>
          <w:sz w:val="32"/>
          <w:szCs w:val="32"/>
        </w:rPr>
        <w:t>。引导律师、公证员、司法鉴定人、基层法律服务工作者自觉履行社会责任，积极参与公益性法律服务。</w:t>
      </w:r>
    </w:p>
    <w:p>
      <w:pPr>
        <w:pStyle w:val="2"/>
        <w:keepNext w:val="0"/>
        <w:keepLines w:val="0"/>
        <w:pageBreakBefore w:val="0"/>
        <w:widowControl w:val="0"/>
        <w:kinsoku/>
        <w:wordWrap/>
        <w:overflowPunct/>
        <w:topLinePunct w:val="0"/>
        <w:bidi w:val="0"/>
        <w:adjustRightInd/>
        <w:snapToGrid/>
        <w:spacing w:line="560" w:lineRule="exact"/>
        <w:textAlignment w:val="auto"/>
        <w:rPr>
          <w:rFonts w:hint="eastAsia"/>
        </w:rPr>
      </w:pPr>
    </w:p>
    <w:p>
      <w:pPr>
        <w:pStyle w:val="2"/>
        <w:keepNext w:val="0"/>
        <w:keepLines w:val="0"/>
        <w:pageBreakBefore w:val="0"/>
        <w:widowControl w:val="0"/>
        <w:numPr>
          <w:ilvl w:val="0"/>
          <w:numId w:val="5"/>
        </w:numPr>
        <w:kinsoku/>
        <w:wordWrap/>
        <w:overflowPunct/>
        <w:topLinePunct w:val="0"/>
        <w:bidi w:val="0"/>
        <w:adjustRightInd/>
        <w:snapToGrid/>
        <w:spacing w:line="560" w:lineRule="exact"/>
        <w:jc w:val="center"/>
        <w:textAlignment w:val="auto"/>
        <w:rPr>
          <w:rFonts w:hint="default" w:ascii="Times New Roman" w:hAnsi="Times New Roman" w:eastAsia="楷体_GB2312" w:cs="Times New Roman"/>
        </w:rPr>
      </w:pPr>
      <w:r>
        <w:rPr>
          <w:rFonts w:hint="default" w:ascii="Times New Roman" w:hAnsi="Times New Roman" w:eastAsia="楷体_GB2312" w:cs="Times New Roman"/>
        </w:rPr>
        <w:t>创新发展新时代调解工作</w:t>
      </w: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和发展新时代“枫桥经验”，深入开展矛盾纠纷排查化解工作。进一步完善以人民调解为基础，人民调解、行政调解、行业性专业性调解、司法调解、律师调解优势互补、有机衔接、协调联动的大调解工作格局。完善基层人民调解组织网络，加强人民调解工作规范化建设。积极发展专业化、职业化、专兼职人民调解员队伍。推动商事调解工作，指导建立商事调解组织。</w:t>
      </w:r>
    </w:p>
    <w:p>
      <w:pPr>
        <w:pStyle w:val="2"/>
        <w:keepNext w:val="0"/>
        <w:keepLines w:val="0"/>
        <w:pageBreakBefore w:val="0"/>
        <w:widowControl w:val="0"/>
        <w:kinsoku/>
        <w:wordWrap/>
        <w:overflowPunct/>
        <w:topLinePunct w:val="0"/>
        <w:bidi w:val="0"/>
        <w:adjustRightInd/>
        <w:snapToGrid/>
        <w:spacing w:line="560" w:lineRule="exact"/>
        <w:textAlignment w:val="auto"/>
        <w:rPr>
          <w:rFonts w:hint="eastAsia"/>
        </w:rPr>
      </w:pPr>
    </w:p>
    <w:p>
      <w:pPr>
        <w:pStyle w:val="2"/>
        <w:keepNext w:val="0"/>
        <w:keepLines w:val="0"/>
        <w:pageBreakBefore w:val="0"/>
        <w:widowControl w:val="0"/>
        <w:numPr>
          <w:ilvl w:val="0"/>
          <w:numId w:val="0"/>
        </w:numPr>
        <w:kinsoku/>
        <w:wordWrap/>
        <w:overflowPunct/>
        <w:topLinePunct w:val="0"/>
        <w:bidi w:val="0"/>
        <w:adjustRightInd/>
        <w:snapToGrid/>
        <w:spacing w:line="560" w:lineRule="exact"/>
        <w:jc w:val="center"/>
        <w:textAlignment w:val="auto"/>
        <w:rPr>
          <w:rFonts w:hint="default" w:ascii="Times New Roman" w:hAnsi="Times New Roman" w:eastAsia="楷体_GB2312" w:cs="Times New Roman"/>
        </w:rPr>
      </w:pPr>
      <w:r>
        <w:rPr>
          <w:rFonts w:hint="eastAsia" w:ascii="Times New Roman" w:hAnsi="Times New Roman" w:eastAsia="楷体_GB2312" w:cs="Times New Roman"/>
          <w:lang w:eastAsia="zh-CN"/>
        </w:rPr>
        <w:t>第六节</w:t>
      </w:r>
      <w:r>
        <w:rPr>
          <w:rFonts w:hint="eastAsia" w:ascii="Times New Roman" w:hAnsi="Times New Roman" w:eastAsia="楷体_GB2312" w:cs="Times New Roman"/>
          <w:lang w:val="en-US" w:eastAsia="zh-CN"/>
        </w:rPr>
        <w:t xml:space="preserve">  </w:t>
      </w:r>
      <w:r>
        <w:rPr>
          <w:rFonts w:hint="default" w:ascii="Times New Roman" w:hAnsi="Times New Roman" w:eastAsia="楷体_GB2312" w:cs="Times New Roman"/>
        </w:rPr>
        <w:t>推动仲裁事业高质量发展</w:t>
      </w: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贯彻落实中共中央办公厅、国务院办公厅关于完善仲裁管理制度提高仲裁公信力的若干意见和广西壮族自治区人民政府办公厅关于完善仲裁制度提高仲裁公信力若干措施。完善</w:t>
      </w:r>
      <w:r>
        <w:rPr>
          <w:rFonts w:hint="eastAsia" w:ascii="仿宋_GB2312" w:hAnsi="仿宋_GB2312" w:eastAsia="仿宋_GB2312" w:cs="仿宋_GB2312"/>
          <w:sz w:val="32"/>
          <w:szCs w:val="32"/>
          <w:lang w:eastAsia="zh-CN"/>
        </w:rPr>
        <w:t>防城港</w:t>
      </w:r>
      <w:r>
        <w:rPr>
          <w:rFonts w:hint="eastAsia" w:ascii="仿宋_GB2312" w:hAnsi="仿宋_GB2312" w:eastAsia="仿宋_GB2312" w:cs="仿宋_GB2312"/>
          <w:sz w:val="32"/>
          <w:szCs w:val="32"/>
        </w:rPr>
        <w:t>仲裁机构规范化建设，</w:t>
      </w:r>
      <w:r>
        <w:rPr>
          <w:rFonts w:hint="eastAsia" w:ascii="仿宋_GB2312" w:hAnsi="仿宋_GB2312" w:eastAsia="仿宋_GB2312" w:cs="仿宋_GB2312"/>
          <w:sz w:val="32"/>
          <w:szCs w:val="32"/>
          <w:lang w:eastAsia="zh-CN"/>
        </w:rPr>
        <w:t>推动防城港仲裁委员会依法改革，</w:t>
      </w:r>
      <w:r>
        <w:rPr>
          <w:rFonts w:hint="eastAsia" w:ascii="仿宋_GB2312" w:hAnsi="仿宋_GB2312" w:eastAsia="仿宋_GB2312" w:cs="仿宋_GB2312"/>
          <w:sz w:val="32"/>
          <w:szCs w:val="32"/>
        </w:rPr>
        <w:t>建立</w:t>
      </w:r>
      <w:r>
        <w:rPr>
          <w:rFonts w:hint="eastAsia" w:ascii="仿宋_GB2312" w:hAnsi="仿宋_GB2312" w:eastAsia="仿宋_GB2312" w:cs="仿宋_GB2312"/>
          <w:sz w:val="32"/>
          <w:szCs w:val="32"/>
          <w:lang w:val="en-US" w:eastAsia="zh-CN"/>
        </w:rPr>
        <w:t>健全</w:t>
      </w:r>
      <w:r>
        <w:rPr>
          <w:rFonts w:hint="eastAsia" w:ascii="仿宋_GB2312" w:hAnsi="仿宋_GB2312" w:eastAsia="仿宋_GB2312" w:cs="仿宋_GB2312"/>
          <w:sz w:val="32"/>
          <w:szCs w:val="32"/>
        </w:rPr>
        <w:t>仲裁监督制度。以信息化建设为抓手，推动互联网仲裁和智能仲裁健康发展。完善</w:t>
      </w:r>
      <w:r>
        <w:rPr>
          <w:rFonts w:hint="eastAsia" w:ascii="仿宋_GB2312" w:hAnsi="仿宋_GB2312" w:eastAsia="仿宋_GB2312" w:cs="仿宋_GB2312"/>
          <w:sz w:val="32"/>
          <w:szCs w:val="32"/>
          <w:lang w:eastAsia="zh-CN"/>
        </w:rPr>
        <w:t>防城港</w:t>
      </w:r>
      <w:r>
        <w:rPr>
          <w:rFonts w:hint="eastAsia" w:ascii="仿宋_GB2312" w:hAnsi="仿宋_GB2312" w:eastAsia="仿宋_GB2312" w:cs="仿宋_GB2312"/>
          <w:sz w:val="32"/>
          <w:szCs w:val="32"/>
        </w:rPr>
        <w:t>仲裁委员会与人民法院等部门的衔接机制，推动仲裁参与基层社会治理。加</w:t>
      </w:r>
      <w:r>
        <w:rPr>
          <w:rFonts w:hint="eastAsia" w:ascii="仿宋_GB2312" w:hAnsi="仿宋_GB2312" w:eastAsia="仿宋_GB2312" w:cs="仿宋_GB2312"/>
          <w:sz w:val="32"/>
          <w:szCs w:val="32"/>
          <w:lang w:val="en-US" w:eastAsia="zh-CN"/>
        </w:rPr>
        <w:t>强与东盟等国际仲裁机构的交流合作，拓展涉外仲裁业务</w:t>
      </w:r>
      <w:r>
        <w:rPr>
          <w:rFonts w:hint="eastAsia" w:ascii="仿宋_GB2312" w:hAnsi="仿宋_GB2312" w:eastAsia="仿宋_GB2312" w:cs="仿宋_GB2312"/>
          <w:sz w:val="32"/>
          <w:szCs w:val="32"/>
        </w:rPr>
        <w:t>。加强仲裁员队伍建设，定期开展仲裁业务培训工作，提升仲裁业务能力。</w:t>
      </w:r>
    </w:p>
    <w:p>
      <w:pPr>
        <w:pStyle w:val="2"/>
        <w:keepNext w:val="0"/>
        <w:keepLines w:val="0"/>
        <w:pageBreakBefore w:val="0"/>
        <w:widowControl w:val="0"/>
        <w:kinsoku/>
        <w:wordWrap/>
        <w:overflowPunct/>
        <w:topLinePunct w:val="0"/>
        <w:bidi w:val="0"/>
        <w:adjustRightInd/>
        <w:snapToGrid/>
        <w:spacing w:line="560" w:lineRule="exact"/>
        <w:textAlignment w:val="auto"/>
        <w:rPr>
          <w:rFonts w:hint="eastAsia"/>
        </w:rPr>
      </w:pPr>
    </w:p>
    <w:p>
      <w:pPr>
        <w:pStyle w:val="2"/>
        <w:keepNext w:val="0"/>
        <w:keepLines w:val="0"/>
        <w:pageBreakBefore w:val="0"/>
        <w:widowControl w:val="0"/>
        <w:numPr>
          <w:ilvl w:val="0"/>
          <w:numId w:val="0"/>
        </w:numPr>
        <w:kinsoku/>
        <w:wordWrap/>
        <w:overflowPunct/>
        <w:topLinePunct w:val="0"/>
        <w:bidi w:val="0"/>
        <w:adjustRightInd/>
        <w:snapToGrid/>
        <w:spacing w:line="560" w:lineRule="exact"/>
        <w:jc w:val="center"/>
        <w:textAlignment w:val="auto"/>
        <w:rPr>
          <w:rFonts w:hint="default" w:ascii="Times New Roman" w:hAnsi="Times New Roman" w:eastAsia="楷体_GB2312" w:cs="Times New Roman"/>
        </w:rPr>
      </w:pPr>
      <w:r>
        <w:rPr>
          <w:rFonts w:hint="eastAsia" w:ascii="Times New Roman" w:hAnsi="Times New Roman" w:eastAsia="楷体_GB2312" w:cs="Times New Roman"/>
          <w:lang w:eastAsia="zh-CN"/>
        </w:rPr>
        <w:t>第七节</w:t>
      </w:r>
      <w:r>
        <w:rPr>
          <w:rFonts w:hint="eastAsia" w:ascii="Times New Roman" w:hAnsi="Times New Roman" w:eastAsia="楷体_GB2312" w:cs="Times New Roman"/>
          <w:lang w:val="en-US" w:eastAsia="zh-CN"/>
        </w:rPr>
        <w:t xml:space="preserve">  </w:t>
      </w:r>
      <w:r>
        <w:rPr>
          <w:rFonts w:hint="default" w:ascii="Times New Roman" w:hAnsi="Times New Roman" w:eastAsia="楷体_GB2312" w:cs="Times New Roman"/>
        </w:rPr>
        <w:t>加强司法鉴定工作</w:t>
      </w: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司法鉴定行业党建工作，全面加强党对司法鉴定工作的领导。深入贯彻落实中共中央办公厅、国务院办公厅关于健全统一司法鉴定管理体制的实施意见和司法部关于进一步深化改革强化监管提高司法鉴定质量和公信力的意见，持续深化司法鉴定管理体制改革。加强司法鉴定质量建设和队伍建设，强化监督管理和行业自律，优化执业环境，进一步提高司法鉴定质量和公信力。强化司法鉴定公益属性，</w:t>
      </w:r>
      <w:r>
        <w:rPr>
          <w:rFonts w:hint="eastAsia" w:ascii="仿宋_GB2312" w:hAnsi="仿宋_GB2312" w:eastAsia="仿宋_GB2312" w:cs="仿宋_GB2312"/>
          <w:sz w:val="32"/>
          <w:szCs w:val="32"/>
          <w:lang w:val="en-US" w:eastAsia="zh-CN"/>
        </w:rPr>
        <w:t>加强</w:t>
      </w:r>
      <w:r>
        <w:rPr>
          <w:rFonts w:hint="eastAsia" w:ascii="仿宋_GB2312" w:hAnsi="仿宋_GB2312" w:eastAsia="仿宋_GB2312" w:cs="仿宋_GB2312"/>
          <w:sz w:val="32"/>
          <w:szCs w:val="32"/>
        </w:rPr>
        <w:t>司法鉴定与法律援助衔接工作，完善保障措施，有效满足司法机关和人民群众的鉴定需求，充分发挥司法鉴定服务诉讼的功能作用。</w:t>
      </w:r>
    </w:p>
    <w:p>
      <w:pPr>
        <w:pStyle w:val="2"/>
        <w:keepNext w:val="0"/>
        <w:keepLines w:val="0"/>
        <w:pageBreakBefore w:val="0"/>
        <w:widowControl w:val="0"/>
        <w:kinsoku/>
        <w:wordWrap/>
        <w:overflowPunct/>
        <w:topLinePunct w:val="0"/>
        <w:bidi w:val="0"/>
        <w:adjustRightInd/>
        <w:snapToGrid/>
        <w:spacing w:line="560" w:lineRule="exact"/>
        <w:textAlignment w:val="auto"/>
        <w:rPr>
          <w:rFonts w:hint="eastAsia"/>
        </w:rPr>
      </w:pPr>
    </w:p>
    <w:p>
      <w:pPr>
        <w:pStyle w:val="2"/>
        <w:keepNext w:val="0"/>
        <w:keepLines w:val="0"/>
        <w:pageBreakBefore w:val="0"/>
        <w:widowControl w:val="0"/>
        <w:kinsoku/>
        <w:wordWrap/>
        <w:overflowPunct/>
        <w:topLinePunct w:val="0"/>
        <w:bidi w:val="0"/>
        <w:adjustRightInd/>
        <w:snapToGrid/>
        <w:spacing w:line="560" w:lineRule="exact"/>
        <w:ind w:left="0" w:leftChars="0" w:firstLine="0" w:firstLineChars="0"/>
        <w:jc w:val="center"/>
        <w:textAlignment w:val="auto"/>
        <w:rPr>
          <w:rFonts w:hint="default" w:ascii="Times New Roman" w:hAnsi="Times New Roman" w:eastAsia="楷体_GB2312" w:cs="Times New Roman"/>
        </w:rPr>
      </w:pPr>
      <w:r>
        <w:rPr>
          <w:rFonts w:hint="eastAsia" w:ascii="Times New Roman" w:hAnsi="Times New Roman" w:eastAsia="楷体_GB2312" w:cs="Times New Roman"/>
          <w:lang w:eastAsia="zh-CN"/>
        </w:rPr>
        <w:t>第八节</w:t>
      </w:r>
      <w:r>
        <w:rPr>
          <w:rFonts w:hint="eastAsia" w:ascii="Times New Roman" w:hAnsi="Times New Roman" w:eastAsia="楷体_GB2312" w:cs="Times New Roman"/>
          <w:lang w:val="en-US" w:eastAsia="zh-CN"/>
        </w:rPr>
        <w:t xml:space="preserve">  </w:t>
      </w:r>
      <w:r>
        <w:rPr>
          <w:rFonts w:hint="default" w:ascii="Times New Roman" w:hAnsi="Times New Roman" w:eastAsia="楷体_GB2312" w:cs="Times New Roman"/>
        </w:rPr>
        <w:t>完善国家统一法律职业资格考试管理工作</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扎实做好国家统一法律职业资格考试组织实施工作，推动建立国家统一法律职业资格考试标准考点（计算机化考试），推动取得和吊销法律职业资格证书人员信息公开，推动国家统一法律职业资格考试信息管理服务系统运用，实现信息管理、数据查询、数据比对等功能。</w:t>
      </w: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right="282"/>
        <w:jc w:val="center"/>
        <w:textAlignment w:val="auto"/>
        <w:rPr>
          <w:rFonts w:hint="eastAsia" w:ascii="仿宋_GB2312" w:hAnsi="仿宋_GB2312" w:eastAsia="仿宋_GB2312" w:cs="仿宋_GB2312"/>
          <w:b/>
          <w:bCs/>
          <w:sz w:val="28"/>
          <w:szCs w:val="28"/>
        </w:rPr>
      </w:pP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right="282"/>
        <w:jc w:val="center"/>
        <w:textAlignment w:val="auto"/>
        <w:rPr>
          <w:rFonts w:hint="eastAsia" w:ascii="仿宋_GB2312" w:hAnsi="仿宋_GB2312" w:eastAsia="仿宋_GB2312" w:cs="仿宋_GB2312"/>
          <w:b/>
          <w:bCs/>
          <w:sz w:val="28"/>
          <w:szCs w:val="28"/>
        </w:rPr>
      </w:pP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right="282"/>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专栏</w:t>
      </w:r>
      <w:r>
        <w:rPr>
          <w:rFonts w:hint="eastAsia" w:ascii="仿宋_GB2312" w:hAnsi="仿宋_GB2312" w:eastAsia="仿宋_GB2312" w:cs="仿宋_GB2312"/>
          <w:b/>
          <w:bCs/>
          <w:spacing w:val="-80"/>
          <w:sz w:val="28"/>
          <w:szCs w:val="28"/>
        </w:rPr>
        <w:t xml:space="preserve"> </w:t>
      </w:r>
      <w:r>
        <w:rPr>
          <w:rFonts w:hint="eastAsia" w:ascii="仿宋_GB2312" w:hAnsi="仿宋_GB2312" w:eastAsia="仿宋_GB2312" w:cs="仿宋_GB2312"/>
          <w:b/>
          <w:bCs/>
          <w:sz w:val="28"/>
          <w:szCs w:val="28"/>
        </w:rPr>
        <w:t>4</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加强公共法律服务各领域发展重点任务</w:t>
      </w:r>
    </w:p>
    <w:p>
      <w:pPr>
        <w:pStyle w:val="2"/>
        <w:keepNext w:val="0"/>
        <w:keepLines w:val="0"/>
        <w:pageBreakBefore w:val="0"/>
        <w:widowControl w:val="0"/>
        <w:kinsoku/>
        <w:wordWrap/>
        <w:overflowPunct/>
        <w:topLinePunct w:val="0"/>
        <w:bidi w:val="0"/>
        <w:adjustRightInd/>
        <w:snapToGrid/>
        <w:spacing w:line="560" w:lineRule="exact"/>
        <w:textAlignment w:val="auto"/>
        <w:rPr>
          <w:sz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82550</wp:posOffset>
                </wp:positionV>
                <wp:extent cx="5760720" cy="5601335"/>
                <wp:effectExtent l="4445" t="4445" r="6985" b="13970"/>
                <wp:wrapSquare wrapText="bothSides"/>
                <wp:docPr id="2" name="文本框 152"/>
                <wp:cNvGraphicFramePr/>
                <a:graphic xmlns:a="http://schemas.openxmlformats.org/drawingml/2006/main">
                  <a:graphicData uri="http://schemas.microsoft.com/office/word/2010/wordprocessingShape">
                    <wps:wsp>
                      <wps:cNvSpPr txBox="true"/>
                      <wps:spPr>
                        <a:xfrm>
                          <a:off x="0" y="0"/>
                          <a:ext cx="5760720" cy="56013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1"/>
                              <w:keepNext w:val="0"/>
                              <w:keepLines w:val="0"/>
                              <w:pageBreakBefore w:val="0"/>
                              <w:widowControl w:val="0"/>
                              <w:numPr>
                                <w:ilvl w:val="0"/>
                                <w:numId w:val="6"/>
                              </w:numPr>
                              <w:tabs>
                                <w:tab w:val="left" w:pos="1093"/>
                              </w:tabs>
                              <w:kinsoku/>
                              <w:wordWrap/>
                              <w:overflowPunct/>
                              <w:topLinePunct w:val="0"/>
                              <w:autoSpaceDE/>
                              <w:autoSpaceDN/>
                              <w:bidi w:val="0"/>
                              <w:adjustRightInd/>
                              <w:snapToGrid/>
                              <w:spacing w:after="0" w:line="360" w:lineRule="exact"/>
                              <w:ind w:left="1092" w:right="0" w:hanging="282"/>
                              <w:jc w:val="both"/>
                              <w:textAlignment w:val="auto"/>
                              <w:rPr>
                                <w:rFonts w:hint="eastAsia" w:ascii="仿宋_GB2312" w:hAnsi="仿宋_GB2312" w:eastAsia="仿宋_GB2312" w:cs="仿宋_GB2312"/>
                                <w:spacing w:val="0"/>
                                <w:sz w:val="24"/>
                                <w:szCs w:val="24"/>
                                <w:u w:val="none"/>
                              </w:rPr>
                            </w:pPr>
                            <w:r>
                              <w:rPr>
                                <w:rFonts w:hint="eastAsia" w:ascii="仿宋_GB2312" w:hAnsi="仿宋_GB2312" w:eastAsia="仿宋_GB2312" w:cs="仿宋_GB2312"/>
                                <w:spacing w:val="0"/>
                                <w:sz w:val="24"/>
                                <w:szCs w:val="24"/>
                                <w:u w:val="none"/>
                              </w:rPr>
                              <w:t>贯彻落实广西法治宣传教育条例；</w:t>
                            </w:r>
                          </w:p>
                          <w:p>
                            <w:pPr>
                              <w:pStyle w:val="31"/>
                              <w:keepNext w:val="0"/>
                              <w:keepLines w:val="0"/>
                              <w:pageBreakBefore w:val="0"/>
                              <w:widowControl w:val="0"/>
                              <w:numPr>
                                <w:ilvl w:val="0"/>
                                <w:numId w:val="6"/>
                              </w:numPr>
                              <w:tabs>
                                <w:tab w:val="left" w:pos="1093"/>
                              </w:tabs>
                              <w:kinsoku/>
                              <w:wordWrap/>
                              <w:overflowPunct/>
                              <w:topLinePunct w:val="0"/>
                              <w:autoSpaceDE/>
                              <w:autoSpaceDN/>
                              <w:bidi w:val="0"/>
                              <w:adjustRightInd/>
                              <w:snapToGrid/>
                              <w:spacing w:after="0" w:line="360" w:lineRule="exact"/>
                              <w:ind w:left="1092" w:right="0" w:hanging="282"/>
                              <w:jc w:val="both"/>
                              <w:textAlignment w:val="auto"/>
                              <w:rPr>
                                <w:rFonts w:hint="eastAsia" w:ascii="仿宋_GB2312" w:hAnsi="仿宋_GB2312" w:eastAsia="仿宋_GB2312" w:cs="仿宋_GB2312"/>
                                <w:spacing w:val="0"/>
                                <w:sz w:val="24"/>
                                <w:szCs w:val="24"/>
                                <w:u w:val="none"/>
                              </w:rPr>
                            </w:pPr>
                            <w:r>
                              <w:rPr>
                                <w:rFonts w:hint="eastAsia" w:ascii="仿宋_GB2312" w:hAnsi="仿宋_GB2312" w:eastAsia="仿宋_GB2312" w:cs="仿宋_GB2312"/>
                                <w:spacing w:val="0"/>
                                <w:w w:val="100"/>
                                <w:sz w:val="24"/>
                                <w:szCs w:val="24"/>
                                <w:u w:val="none"/>
                              </w:rPr>
                              <w:t>制定实施</w:t>
                            </w:r>
                            <w:r>
                              <w:rPr>
                                <w:rFonts w:hint="eastAsia" w:ascii="仿宋_GB2312" w:hAnsi="仿宋_GB2312" w:eastAsia="仿宋_GB2312" w:cs="仿宋_GB2312"/>
                                <w:spacing w:val="0"/>
                                <w:w w:val="100"/>
                                <w:sz w:val="24"/>
                                <w:szCs w:val="24"/>
                                <w:u w:val="none"/>
                                <w:lang w:val="en-US" w:eastAsia="zh-CN"/>
                              </w:rPr>
                              <w:t>普法“</w:t>
                            </w:r>
                            <w:r>
                              <w:rPr>
                                <w:rFonts w:hint="eastAsia" w:ascii="仿宋_GB2312" w:hAnsi="仿宋_GB2312" w:eastAsia="仿宋_GB2312" w:cs="仿宋_GB2312"/>
                                <w:spacing w:val="0"/>
                                <w:w w:val="100"/>
                                <w:sz w:val="24"/>
                                <w:szCs w:val="24"/>
                                <w:u w:val="none"/>
                              </w:rPr>
                              <w:t>八五</w:t>
                            </w:r>
                            <w:r>
                              <w:rPr>
                                <w:rFonts w:hint="eastAsia" w:ascii="仿宋_GB2312" w:hAnsi="仿宋_GB2312" w:eastAsia="仿宋_GB2312" w:cs="仿宋_GB2312"/>
                                <w:spacing w:val="0"/>
                                <w:w w:val="100"/>
                                <w:sz w:val="24"/>
                                <w:szCs w:val="24"/>
                                <w:u w:val="none"/>
                                <w:lang w:val="en-US" w:eastAsia="zh-CN"/>
                              </w:rPr>
                              <w:t>”</w:t>
                            </w:r>
                            <w:r>
                              <w:rPr>
                                <w:rFonts w:hint="eastAsia" w:ascii="仿宋_GB2312" w:hAnsi="仿宋_GB2312" w:eastAsia="仿宋_GB2312" w:cs="仿宋_GB2312"/>
                                <w:spacing w:val="0"/>
                                <w:w w:val="100"/>
                                <w:sz w:val="24"/>
                                <w:szCs w:val="24"/>
                                <w:u w:val="none"/>
                              </w:rPr>
                              <w:t>规划；</w:t>
                            </w:r>
                          </w:p>
                          <w:p>
                            <w:pPr>
                              <w:pStyle w:val="31"/>
                              <w:keepNext w:val="0"/>
                              <w:keepLines w:val="0"/>
                              <w:pageBreakBefore w:val="0"/>
                              <w:widowControl w:val="0"/>
                              <w:numPr>
                                <w:ilvl w:val="0"/>
                                <w:numId w:val="6"/>
                              </w:numPr>
                              <w:tabs>
                                <w:tab w:val="left" w:pos="1093"/>
                              </w:tabs>
                              <w:kinsoku/>
                              <w:wordWrap/>
                              <w:overflowPunct/>
                              <w:topLinePunct w:val="0"/>
                              <w:autoSpaceDE/>
                              <w:autoSpaceDN/>
                              <w:bidi w:val="0"/>
                              <w:adjustRightInd/>
                              <w:snapToGrid/>
                              <w:spacing w:after="0" w:line="360" w:lineRule="exact"/>
                              <w:ind w:left="1092" w:right="0" w:hanging="282"/>
                              <w:jc w:val="both"/>
                              <w:textAlignment w:val="auto"/>
                              <w:rPr>
                                <w:rFonts w:hint="eastAsia" w:ascii="仿宋_GB2312" w:hAnsi="仿宋_GB2312" w:eastAsia="仿宋_GB2312" w:cs="仿宋_GB2312"/>
                                <w:spacing w:val="0"/>
                                <w:sz w:val="24"/>
                                <w:szCs w:val="24"/>
                                <w:u w:val="none"/>
                              </w:rPr>
                            </w:pPr>
                            <w:r>
                              <w:rPr>
                                <w:rFonts w:hint="eastAsia" w:ascii="仿宋_GB2312" w:hAnsi="仿宋_GB2312" w:eastAsia="仿宋_GB2312" w:cs="仿宋_GB2312"/>
                                <w:spacing w:val="0"/>
                                <w:sz w:val="24"/>
                                <w:szCs w:val="24"/>
                                <w:u w:val="none"/>
                              </w:rPr>
                              <w:t>建设普法融媒体服务平台，创建全国民主法治示范村（社区）约7个；</w:t>
                            </w:r>
                          </w:p>
                          <w:p>
                            <w:pPr>
                              <w:pStyle w:val="31"/>
                              <w:keepNext w:val="0"/>
                              <w:keepLines w:val="0"/>
                              <w:pageBreakBefore w:val="0"/>
                              <w:widowControl w:val="0"/>
                              <w:numPr>
                                <w:ilvl w:val="0"/>
                                <w:numId w:val="6"/>
                              </w:numPr>
                              <w:tabs>
                                <w:tab w:val="left" w:pos="1096"/>
                              </w:tabs>
                              <w:kinsoku/>
                              <w:wordWrap/>
                              <w:overflowPunct/>
                              <w:topLinePunct w:val="0"/>
                              <w:autoSpaceDE/>
                              <w:autoSpaceDN/>
                              <w:bidi w:val="0"/>
                              <w:adjustRightInd/>
                              <w:snapToGrid/>
                              <w:spacing w:after="0" w:line="360" w:lineRule="exact"/>
                              <w:ind w:left="1095" w:right="0" w:hanging="285"/>
                              <w:jc w:val="both"/>
                              <w:textAlignment w:val="auto"/>
                              <w:rPr>
                                <w:rFonts w:hint="eastAsia" w:ascii="仿宋_GB2312" w:hAnsi="仿宋_GB2312" w:eastAsia="仿宋_GB2312" w:cs="仿宋_GB2312"/>
                                <w:spacing w:val="0"/>
                                <w:sz w:val="24"/>
                                <w:szCs w:val="24"/>
                                <w:u w:val="none"/>
                              </w:rPr>
                            </w:pPr>
                            <w:r>
                              <w:rPr>
                                <w:rFonts w:hint="eastAsia" w:ascii="仿宋_GB2312" w:hAnsi="仿宋_GB2312" w:eastAsia="仿宋_GB2312" w:cs="仿宋_GB2312"/>
                                <w:spacing w:val="0"/>
                                <w:sz w:val="24"/>
                                <w:szCs w:val="24"/>
                                <w:u w:val="none"/>
                              </w:rPr>
                              <w:t>市</w:t>
                            </w:r>
                            <w:r>
                              <w:rPr>
                                <w:rFonts w:hint="eastAsia" w:ascii="仿宋_GB2312" w:hAnsi="仿宋_GB2312" w:eastAsia="仿宋_GB2312" w:cs="仿宋_GB2312"/>
                                <w:spacing w:val="0"/>
                                <w:sz w:val="24"/>
                                <w:szCs w:val="24"/>
                                <w:u w:val="none"/>
                                <w:lang w:val="en-US" w:eastAsia="zh-CN"/>
                              </w:rPr>
                              <w:t>本级、各</w:t>
                            </w:r>
                            <w:r>
                              <w:rPr>
                                <w:rFonts w:hint="eastAsia" w:ascii="仿宋_GB2312" w:hAnsi="仿宋_GB2312" w:eastAsia="仿宋_GB2312" w:cs="仿宋_GB2312"/>
                                <w:spacing w:val="0"/>
                                <w:sz w:val="24"/>
                                <w:szCs w:val="24"/>
                                <w:u w:val="none"/>
                              </w:rPr>
                              <w:t>县（</w:t>
                            </w:r>
                            <w:r>
                              <w:rPr>
                                <w:rFonts w:hint="eastAsia" w:ascii="仿宋_GB2312" w:hAnsi="仿宋_GB2312" w:eastAsia="仿宋_GB2312" w:cs="仿宋_GB2312"/>
                                <w:spacing w:val="0"/>
                                <w:sz w:val="24"/>
                                <w:szCs w:val="24"/>
                                <w:u w:val="none"/>
                                <w:lang w:val="en-US" w:eastAsia="zh-CN"/>
                              </w:rPr>
                              <w:t>市</w:t>
                            </w:r>
                            <w:r>
                              <w:rPr>
                                <w:rFonts w:hint="eastAsia" w:ascii="仿宋_GB2312" w:hAnsi="仿宋_GB2312" w:eastAsia="仿宋_GB2312" w:cs="仿宋_GB2312"/>
                                <w:spacing w:val="0"/>
                                <w:sz w:val="24"/>
                                <w:szCs w:val="24"/>
                                <w:u w:val="none"/>
                                <w:lang w:eastAsia="zh-CN"/>
                              </w:rPr>
                              <w:t>、</w:t>
                            </w:r>
                            <w:r>
                              <w:rPr>
                                <w:rFonts w:hint="eastAsia" w:ascii="仿宋_GB2312" w:hAnsi="仿宋_GB2312" w:eastAsia="仿宋_GB2312" w:cs="仿宋_GB2312"/>
                                <w:spacing w:val="0"/>
                                <w:sz w:val="24"/>
                                <w:szCs w:val="24"/>
                                <w:u w:val="none"/>
                              </w:rPr>
                              <w:t>区）建成 1 个以上青少年法治教育基地或法治资源</w:t>
                            </w:r>
                            <w:r>
                              <w:rPr>
                                <w:rFonts w:hint="eastAsia" w:ascii="仿宋_GB2312" w:hAnsi="仿宋_GB2312" w:eastAsia="仿宋_GB2312" w:cs="仿宋_GB2312"/>
                                <w:spacing w:val="0"/>
                                <w:w w:val="100"/>
                                <w:sz w:val="24"/>
                                <w:szCs w:val="24"/>
                                <w:u w:val="none"/>
                              </w:rPr>
                              <w:t>教室，每个村（社区）至少有</w:t>
                            </w:r>
                            <w:r>
                              <w:rPr>
                                <w:rFonts w:hint="eastAsia" w:ascii="仿宋_GB2312" w:hAnsi="仿宋_GB2312" w:eastAsia="仿宋_GB2312" w:cs="仿宋_GB2312"/>
                                <w:spacing w:val="0"/>
                                <w:sz w:val="24"/>
                                <w:szCs w:val="24"/>
                                <w:u w:val="none"/>
                              </w:rPr>
                              <w:t xml:space="preserve"> </w:t>
                            </w:r>
                            <w:r>
                              <w:rPr>
                                <w:rFonts w:hint="eastAsia" w:ascii="仿宋_GB2312" w:hAnsi="仿宋_GB2312" w:eastAsia="仿宋_GB2312" w:cs="仿宋_GB2312"/>
                                <w:spacing w:val="0"/>
                                <w:w w:val="100"/>
                                <w:sz w:val="24"/>
                                <w:szCs w:val="24"/>
                                <w:u w:val="none"/>
                              </w:rPr>
                              <w:t>1</w:t>
                            </w:r>
                            <w:r>
                              <w:rPr>
                                <w:rFonts w:hint="eastAsia" w:ascii="仿宋_GB2312" w:hAnsi="仿宋_GB2312" w:eastAsia="仿宋_GB2312" w:cs="仿宋_GB2312"/>
                                <w:spacing w:val="0"/>
                                <w:sz w:val="24"/>
                                <w:szCs w:val="24"/>
                                <w:u w:val="none"/>
                              </w:rPr>
                              <w:t xml:space="preserve"> </w:t>
                            </w:r>
                            <w:r>
                              <w:rPr>
                                <w:rFonts w:hint="eastAsia" w:ascii="仿宋_GB2312" w:hAnsi="仿宋_GB2312" w:eastAsia="仿宋_GB2312" w:cs="仿宋_GB2312"/>
                                <w:spacing w:val="0"/>
                                <w:w w:val="100"/>
                                <w:sz w:val="24"/>
                                <w:szCs w:val="24"/>
                                <w:u w:val="none"/>
                              </w:rPr>
                              <w:t>个法治文化宣传栏（长廊）；</w:t>
                            </w:r>
                          </w:p>
                          <w:p>
                            <w:pPr>
                              <w:pStyle w:val="31"/>
                              <w:keepNext w:val="0"/>
                              <w:keepLines w:val="0"/>
                              <w:pageBreakBefore w:val="0"/>
                              <w:widowControl w:val="0"/>
                              <w:numPr>
                                <w:ilvl w:val="0"/>
                                <w:numId w:val="6"/>
                              </w:numPr>
                              <w:tabs>
                                <w:tab w:val="left" w:pos="1093"/>
                              </w:tabs>
                              <w:kinsoku/>
                              <w:wordWrap/>
                              <w:overflowPunct/>
                              <w:topLinePunct w:val="0"/>
                              <w:autoSpaceDE/>
                              <w:autoSpaceDN/>
                              <w:bidi w:val="0"/>
                              <w:adjustRightInd/>
                              <w:snapToGrid/>
                              <w:spacing w:after="0" w:line="360" w:lineRule="exact"/>
                              <w:ind w:left="1092" w:right="0" w:hanging="282"/>
                              <w:jc w:val="both"/>
                              <w:textAlignment w:val="auto"/>
                              <w:rPr>
                                <w:rFonts w:hint="eastAsia" w:ascii="仿宋_GB2312" w:hAnsi="仿宋_GB2312" w:eastAsia="仿宋_GB2312" w:cs="仿宋_GB2312"/>
                                <w:spacing w:val="0"/>
                                <w:sz w:val="24"/>
                                <w:szCs w:val="24"/>
                                <w:u w:val="none"/>
                              </w:rPr>
                            </w:pPr>
                            <w:r>
                              <w:rPr>
                                <w:rFonts w:hint="eastAsia" w:ascii="仿宋_GB2312" w:hAnsi="仿宋_GB2312" w:eastAsia="仿宋_GB2312" w:cs="仿宋_GB2312"/>
                                <w:spacing w:val="0"/>
                                <w:w w:val="100"/>
                                <w:sz w:val="24"/>
                                <w:szCs w:val="24"/>
                                <w:u w:val="none"/>
                              </w:rPr>
                              <w:t>每个村（社区）培养 3 个以上“法律明白人”（实行动态调整）；</w:t>
                            </w:r>
                          </w:p>
                          <w:p>
                            <w:pPr>
                              <w:pStyle w:val="31"/>
                              <w:keepNext w:val="0"/>
                              <w:keepLines w:val="0"/>
                              <w:pageBreakBefore w:val="0"/>
                              <w:widowControl w:val="0"/>
                              <w:numPr>
                                <w:ilvl w:val="0"/>
                                <w:numId w:val="6"/>
                              </w:numPr>
                              <w:tabs>
                                <w:tab w:val="left" w:pos="1096"/>
                              </w:tabs>
                              <w:kinsoku/>
                              <w:wordWrap/>
                              <w:overflowPunct/>
                              <w:topLinePunct w:val="0"/>
                              <w:autoSpaceDE/>
                              <w:autoSpaceDN/>
                              <w:bidi w:val="0"/>
                              <w:adjustRightInd/>
                              <w:snapToGrid/>
                              <w:spacing w:after="0" w:line="360" w:lineRule="exact"/>
                              <w:ind w:left="252" w:right="373" w:firstLine="559"/>
                              <w:jc w:val="both"/>
                              <w:textAlignment w:val="auto"/>
                              <w:rPr>
                                <w:rFonts w:hint="eastAsia" w:ascii="仿宋_GB2312" w:hAnsi="仿宋_GB2312" w:eastAsia="仿宋_GB2312" w:cs="仿宋_GB2312"/>
                                <w:spacing w:val="0"/>
                                <w:sz w:val="24"/>
                                <w:szCs w:val="24"/>
                                <w:u w:val="none"/>
                              </w:rPr>
                            </w:pPr>
                            <w:r>
                              <w:rPr>
                                <w:rFonts w:hint="eastAsia" w:ascii="仿宋_GB2312" w:hAnsi="仿宋_GB2312" w:eastAsia="仿宋_GB2312" w:cs="仿宋_GB2312"/>
                                <w:spacing w:val="0"/>
                                <w:sz w:val="24"/>
                                <w:szCs w:val="24"/>
                                <w:u w:val="none"/>
                              </w:rPr>
                              <w:t>建设</w:t>
                            </w:r>
                            <w:r>
                              <w:rPr>
                                <w:rFonts w:hint="eastAsia" w:ascii="仿宋_GB2312" w:hAnsi="仿宋_GB2312" w:eastAsia="仿宋_GB2312" w:cs="仿宋_GB2312"/>
                                <w:spacing w:val="0"/>
                                <w:sz w:val="24"/>
                                <w:szCs w:val="24"/>
                                <w:u w:val="none"/>
                                <w:lang w:eastAsia="zh-CN"/>
                              </w:rPr>
                              <w:t>防城港</w:t>
                            </w:r>
                            <w:r>
                              <w:rPr>
                                <w:rFonts w:hint="eastAsia" w:ascii="仿宋_GB2312" w:hAnsi="仿宋_GB2312" w:eastAsia="仿宋_GB2312" w:cs="仿宋_GB2312"/>
                                <w:spacing w:val="0"/>
                                <w:sz w:val="24"/>
                                <w:szCs w:val="24"/>
                                <w:u w:val="none"/>
                              </w:rPr>
                              <w:t>市律师行业党群活动服务中心，</w:t>
                            </w:r>
                            <w:r>
                              <w:rPr>
                                <w:rFonts w:hint="eastAsia" w:ascii="仿宋_GB2312" w:hAnsi="仿宋_GB2312" w:eastAsia="仿宋_GB2312" w:cs="仿宋_GB2312"/>
                                <w:spacing w:val="0"/>
                                <w:sz w:val="24"/>
                                <w:szCs w:val="24"/>
                                <w:u w:val="none"/>
                                <w:lang w:val="en-US" w:eastAsia="zh-CN"/>
                              </w:rPr>
                              <w:t>争创自治区级</w:t>
                            </w:r>
                            <w:r>
                              <w:rPr>
                                <w:rFonts w:hint="eastAsia" w:ascii="仿宋_GB2312" w:hAnsi="仿宋_GB2312" w:eastAsia="仿宋_GB2312" w:cs="仿宋_GB2312"/>
                                <w:spacing w:val="0"/>
                                <w:sz w:val="24"/>
                                <w:szCs w:val="24"/>
                                <w:u w:val="none"/>
                              </w:rPr>
                              <w:t>律师行业党建工作示范点；</w:t>
                            </w:r>
                          </w:p>
                          <w:p>
                            <w:pPr>
                              <w:pStyle w:val="31"/>
                              <w:keepNext w:val="0"/>
                              <w:keepLines w:val="0"/>
                              <w:pageBreakBefore w:val="0"/>
                              <w:widowControl w:val="0"/>
                              <w:numPr>
                                <w:ilvl w:val="0"/>
                                <w:numId w:val="6"/>
                              </w:numPr>
                              <w:tabs>
                                <w:tab w:val="left" w:pos="1096"/>
                              </w:tabs>
                              <w:kinsoku/>
                              <w:wordWrap/>
                              <w:overflowPunct/>
                              <w:topLinePunct w:val="0"/>
                              <w:autoSpaceDE/>
                              <w:autoSpaceDN/>
                              <w:bidi w:val="0"/>
                              <w:adjustRightInd/>
                              <w:snapToGrid/>
                              <w:spacing w:after="0" w:line="360" w:lineRule="exact"/>
                              <w:ind w:left="252" w:right="370" w:firstLine="559"/>
                              <w:jc w:val="both"/>
                              <w:textAlignment w:val="auto"/>
                              <w:rPr>
                                <w:rFonts w:hint="eastAsia" w:ascii="仿宋_GB2312" w:hAnsi="仿宋_GB2312" w:eastAsia="仿宋_GB2312" w:cs="仿宋_GB2312"/>
                                <w:spacing w:val="0"/>
                                <w:sz w:val="24"/>
                                <w:szCs w:val="24"/>
                                <w:u w:val="none"/>
                              </w:rPr>
                            </w:pPr>
                            <w:r>
                              <w:rPr>
                                <w:rFonts w:hint="eastAsia" w:ascii="仿宋_GB2312" w:hAnsi="仿宋_GB2312" w:eastAsia="仿宋_GB2312" w:cs="仿宋_GB2312"/>
                                <w:spacing w:val="0"/>
                                <w:sz w:val="24"/>
                                <w:szCs w:val="24"/>
                                <w:u w:val="none"/>
                              </w:rPr>
                              <w:t>培养一批精通中国—东盟自由贸易区协定、东盟国家法律适用、WTO争端解决、反倾销、反补贴等领域业务的涉外律师人才；</w:t>
                            </w:r>
                          </w:p>
                          <w:p>
                            <w:pPr>
                              <w:pStyle w:val="31"/>
                              <w:keepNext w:val="0"/>
                              <w:keepLines w:val="0"/>
                              <w:pageBreakBefore w:val="0"/>
                              <w:widowControl w:val="0"/>
                              <w:numPr>
                                <w:ilvl w:val="0"/>
                                <w:numId w:val="6"/>
                              </w:numPr>
                              <w:tabs>
                                <w:tab w:val="left" w:pos="1093"/>
                              </w:tabs>
                              <w:kinsoku/>
                              <w:wordWrap/>
                              <w:overflowPunct/>
                              <w:topLinePunct w:val="0"/>
                              <w:autoSpaceDE/>
                              <w:autoSpaceDN/>
                              <w:bidi w:val="0"/>
                              <w:adjustRightInd/>
                              <w:snapToGrid/>
                              <w:spacing w:after="0" w:line="360" w:lineRule="exact"/>
                              <w:ind w:left="1092" w:right="0" w:hanging="282"/>
                              <w:jc w:val="both"/>
                              <w:textAlignment w:val="auto"/>
                              <w:rPr>
                                <w:rFonts w:hint="eastAsia" w:ascii="仿宋_GB2312" w:hAnsi="仿宋_GB2312" w:eastAsia="仿宋_GB2312" w:cs="仿宋_GB2312"/>
                                <w:spacing w:val="0"/>
                                <w:sz w:val="24"/>
                                <w:szCs w:val="24"/>
                                <w:u w:val="none"/>
                              </w:rPr>
                            </w:pPr>
                            <w:r>
                              <w:rPr>
                                <w:rFonts w:hint="eastAsia" w:ascii="仿宋_GB2312" w:hAnsi="仿宋_GB2312" w:eastAsia="仿宋_GB2312" w:cs="仿宋_GB2312"/>
                                <w:spacing w:val="0"/>
                                <w:sz w:val="24"/>
                                <w:szCs w:val="24"/>
                                <w:u w:val="none"/>
                              </w:rPr>
                              <w:t>贯彻落实广西合作制公证机构管理办法；</w:t>
                            </w:r>
                          </w:p>
                          <w:p>
                            <w:pPr>
                              <w:pStyle w:val="31"/>
                              <w:keepNext w:val="0"/>
                              <w:keepLines w:val="0"/>
                              <w:pageBreakBefore w:val="0"/>
                              <w:widowControl w:val="0"/>
                              <w:numPr>
                                <w:ilvl w:val="0"/>
                                <w:numId w:val="6"/>
                              </w:numPr>
                              <w:tabs>
                                <w:tab w:val="left" w:pos="1096"/>
                              </w:tabs>
                              <w:kinsoku/>
                              <w:wordWrap/>
                              <w:overflowPunct/>
                              <w:topLinePunct w:val="0"/>
                              <w:autoSpaceDE/>
                              <w:autoSpaceDN/>
                              <w:bidi w:val="0"/>
                              <w:adjustRightInd/>
                              <w:snapToGrid/>
                              <w:spacing w:after="0" w:line="360" w:lineRule="exact"/>
                              <w:ind w:left="252" w:right="370" w:firstLine="559"/>
                              <w:jc w:val="both"/>
                              <w:textAlignment w:val="auto"/>
                              <w:rPr>
                                <w:rFonts w:hint="eastAsia" w:ascii="仿宋_GB2312" w:hAnsi="仿宋_GB2312" w:eastAsia="仿宋_GB2312" w:cs="仿宋_GB2312"/>
                                <w:spacing w:val="0"/>
                                <w:sz w:val="24"/>
                                <w:szCs w:val="24"/>
                                <w:u w:val="none"/>
                              </w:rPr>
                            </w:pPr>
                            <w:r>
                              <w:rPr>
                                <w:rFonts w:hint="eastAsia" w:ascii="仿宋_GB2312" w:hAnsi="仿宋_GB2312" w:eastAsia="仿宋_GB2312" w:cs="仿宋_GB2312"/>
                                <w:spacing w:val="0"/>
                                <w:sz w:val="24"/>
                                <w:szCs w:val="24"/>
                                <w:u w:val="none"/>
                              </w:rPr>
                              <w:t>开展公证行业规范化建设，推广应用远程视频公证，推进公证参与人民法院司法辅助业务；</w:t>
                            </w:r>
                          </w:p>
                          <w:p>
                            <w:pPr>
                              <w:pStyle w:val="31"/>
                              <w:keepNext w:val="0"/>
                              <w:keepLines w:val="0"/>
                              <w:pageBreakBefore w:val="0"/>
                              <w:widowControl w:val="0"/>
                              <w:numPr>
                                <w:ilvl w:val="0"/>
                                <w:numId w:val="6"/>
                              </w:numPr>
                              <w:tabs>
                                <w:tab w:val="left" w:pos="1096"/>
                              </w:tabs>
                              <w:kinsoku/>
                              <w:wordWrap/>
                              <w:overflowPunct/>
                              <w:topLinePunct w:val="0"/>
                              <w:autoSpaceDE/>
                              <w:autoSpaceDN/>
                              <w:bidi w:val="0"/>
                              <w:adjustRightInd/>
                              <w:snapToGrid/>
                              <w:spacing w:after="0" w:line="360" w:lineRule="exact"/>
                              <w:ind w:left="252" w:right="370" w:firstLine="559"/>
                              <w:jc w:val="both"/>
                              <w:textAlignment w:val="auto"/>
                              <w:rPr>
                                <w:rFonts w:hint="eastAsia" w:ascii="仿宋_GB2312" w:hAnsi="仿宋_GB2312" w:eastAsia="仿宋_GB2312" w:cs="仿宋_GB2312"/>
                                <w:spacing w:val="0"/>
                                <w:sz w:val="24"/>
                                <w:szCs w:val="24"/>
                                <w:u w:val="none"/>
                              </w:rPr>
                            </w:pPr>
                            <w:r>
                              <w:rPr>
                                <w:rFonts w:hint="eastAsia" w:ascii="仿宋_GB2312" w:hAnsi="仿宋_GB2312" w:eastAsia="仿宋_GB2312" w:cs="仿宋_GB2312"/>
                                <w:spacing w:val="0"/>
                                <w:sz w:val="24"/>
                                <w:szCs w:val="24"/>
                                <w:u w:val="none"/>
                                <w:lang w:val="en-US" w:eastAsia="zh-CN"/>
                              </w:rPr>
                              <w:t>配合开展“1＋1”广西法律援助志愿者行动</w:t>
                            </w:r>
                            <w:r>
                              <w:rPr>
                                <w:rFonts w:hint="eastAsia" w:ascii="仿宋_GB2312" w:hAnsi="仿宋_GB2312" w:eastAsia="仿宋_GB2312" w:cs="仿宋_GB2312"/>
                                <w:spacing w:val="0"/>
                                <w:sz w:val="24"/>
                                <w:szCs w:val="24"/>
                                <w:u w:val="none"/>
                              </w:rPr>
                              <w:t>；</w:t>
                            </w:r>
                          </w:p>
                          <w:p>
                            <w:pPr>
                              <w:pStyle w:val="31"/>
                              <w:keepNext w:val="0"/>
                              <w:keepLines w:val="0"/>
                              <w:pageBreakBefore w:val="0"/>
                              <w:widowControl w:val="0"/>
                              <w:numPr>
                                <w:ilvl w:val="0"/>
                                <w:numId w:val="6"/>
                              </w:numPr>
                              <w:tabs>
                                <w:tab w:val="left" w:pos="1096"/>
                              </w:tabs>
                              <w:kinsoku/>
                              <w:wordWrap/>
                              <w:overflowPunct/>
                              <w:topLinePunct w:val="0"/>
                              <w:autoSpaceDE/>
                              <w:autoSpaceDN/>
                              <w:bidi w:val="0"/>
                              <w:adjustRightInd/>
                              <w:snapToGrid/>
                              <w:spacing w:after="0" w:line="360" w:lineRule="exact"/>
                              <w:ind w:left="252" w:right="370" w:firstLine="559"/>
                              <w:jc w:val="both"/>
                              <w:textAlignment w:val="auto"/>
                              <w:rPr>
                                <w:rFonts w:hint="default" w:ascii="仿宋_GB2312" w:hAnsi="仿宋_GB2312" w:eastAsia="仿宋_GB2312" w:cs="仿宋_GB2312"/>
                                <w:spacing w:val="0"/>
                                <w:sz w:val="24"/>
                                <w:szCs w:val="24"/>
                                <w:u w:val="none"/>
                              </w:rPr>
                            </w:pPr>
                            <w:r>
                              <w:rPr>
                                <w:rFonts w:hint="eastAsia" w:ascii="仿宋_GB2312" w:hAnsi="仿宋_GB2312" w:eastAsia="仿宋_GB2312" w:cs="仿宋_GB2312"/>
                                <w:spacing w:val="0"/>
                                <w:sz w:val="24"/>
                                <w:szCs w:val="24"/>
                                <w:u w:val="none"/>
                                <w:lang w:val="en-US" w:eastAsia="zh-CN"/>
                              </w:rPr>
                              <w:t>探索</w:t>
                            </w:r>
                            <w:r>
                              <w:rPr>
                                <w:rFonts w:hint="eastAsia" w:ascii="仿宋_GB2312" w:hAnsi="仿宋_GB2312" w:eastAsia="仿宋_GB2312" w:cs="仿宋_GB2312"/>
                                <w:spacing w:val="0"/>
                                <w:sz w:val="24"/>
                                <w:szCs w:val="24"/>
                                <w:u w:val="none"/>
                              </w:rPr>
                              <w:t>建立</w:t>
                            </w:r>
                            <w:r>
                              <w:rPr>
                                <w:rFonts w:hint="eastAsia" w:ascii="仿宋_GB2312" w:hAnsi="仿宋_GB2312" w:eastAsia="仿宋_GB2312" w:cs="仿宋_GB2312"/>
                                <w:spacing w:val="0"/>
                                <w:sz w:val="24"/>
                                <w:szCs w:val="24"/>
                                <w:u w:val="none"/>
                                <w:lang w:eastAsia="zh-CN"/>
                              </w:rPr>
                              <w:t>防城港</w:t>
                            </w:r>
                            <w:r>
                              <w:rPr>
                                <w:rFonts w:hint="eastAsia" w:ascii="仿宋_GB2312" w:hAnsi="仿宋_GB2312" w:eastAsia="仿宋_GB2312" w:cs="仿宋_GB2312"/>
                                <w:spacing w:val="0"/>
                                <w:sz w:val="24"/>
                                <w:szCs w:val="24"/>
                                <w:u w:val="none"/>
                              </w:rPr>
                              <w:t>市法律援助律师人才库和重大法律援助案件律师专</w:t>
                            </w:r>
                            <w:r>
                              <w:rPr>
                                <w:rFonts w:hint="default" w:ascii="仿宋_GB2312" w:hAnsi="仿宋_GB2312" w:eastAsia="仿宋_GB2312" w:cs="仿宋_GB2312"/>
                                <w:spacing w:val="0"/>
                                <w:sz w:val="24"/>
                                <w:szCs w:val="24"/>
                                <w:u w:val="none"/>
                              </w:rPr>
                              <w:t>家库；</w:t>
                            </w:r>
                          </w:p>
                          <w:p>
                            <w:pPr>
                              <w:pStyle w:val="31"/>
                              <w:keepNext w:val="0"/>
                              <w:keepLines w:val="0"/>
                              <w:pageBreakBefore w:val="0"/>
                              <w:widowControl w:val="0"/>
                              <w:numPr>
                                <w:ilvl w:val="0"/>
                                <w:numId w:val="6"/>
                              </w:numPr>
                              <w:tabs>
                                <w:tab w:val="left" w:pos="1096"/>
                              </w:tabs>
                              <w:kinsoku/>
                              <w:wordWrap/>
                              <w:overflowPunct/>
                              <w:topLinePunct w:val="0"/>
                              <w:autoSpaceDE/>
                              <w:autoSpaceDN/>
                              <w:bidi w:val="0"/>
                              <w:adjustRightInd/>
                              <w:snapToGrid/>
                              <w:spacing w:after="0" w:line="360" w:lineRule="exact"/>
                              <w:ind w:left="252" w:right="370" w:firstLine="559"/>
                              <w:jc w:val="both"/>
                              <w:textAlignment w:val="auto"/>
                              <w:rPr>
                                <w:rFonts w:hint="default" w:ascii="仿宋_GB2312" w:hAnsi="仿宋_GB2312" w:eastAsia="仿宋_GB2312" w:cs="仿宋_GB2312"/>
                                <w:spacing w:val="0"/>
                                <w:sz w:val="24"/>
                                <w:szCs w:val="24"/>
                                <w:u w:val="none"/>
                              </w:rPr>
                            </w:pPr>
                            <w:r>
                              <w:rPr>
                                <w:rFonts w:hint="default" w:ascii="仿宋_GB2312" w:hAnsi="仿宋_GB2312" w:eastAsia="仿宋_GB2312" w:cs="仿宋_GB2312"/>
                                <w:spacing w:val="0"/>
                                <w:sz w:val="24"/>
                                <w:szCs w:val="24"/>
                                <w:u w:val="none"/>
                                <w:lang w:val="en-US" w:eastAsia="zh-CN"/>
                              </w:rPr>
                              <w:t>争取按自治区标准要求</w:t>
                            </w:r>
                            <w:r>
                              <w:rPr>
                                <w:rFonts w:hint="default" w:ascii="仿宋_GB2312" w:hAnsi="仿宋_GB2312" w:eastAsia="仿宋_GB2312" w:cs="仿宋_GB2312"/>
                                <w:spacing w:val="0"/>
                                <w:sz w:val="24"/>
                                <w:szCs w:val="24"/>
                                <w:u w:val="none"/>
                              </w:rPr>
                              <w:t>成</w:t>
                            </w:r>
                            <w:r>
                              <w:rPr>
                                <w:rFonts w:hint="default" w:ascii="仿宋_GB2312" w:hAnsi="仿宋_GB2312" w:eastAsia="仿宋_GB2312" w:cs="仿宋_GB2312"/>
                                <w:spacing w:val="0"/>
                                <w:sz w:val="24"/>
                                <w:szCs w:val="24"/>
                                <w:u w:val="none"/>
                                <w:lang w:val="en-US" w:eastAsia="zh-CN"/>
                              </w:rPr>
                              <w:t>立市、县（市、区）两级法律援助中心</w:t>
                            </w:r>
                            <w:r>
                              <w:rPr>
                                <w:rFonts w:hint="default" w:ascii="仿宋_GB2312" w:hAnsi="仿宋_GB2312" w:eastAsia="仿宋_GB2312" w:cs="仿宋_GB2312"/>
                                <w:spacing w:val="0"/>
                                <w:sz w:val="24"/>
                                <w:szCs w:val="24"/>
                                <w:u w:val="none"/>
                              </w:rPr>
                              <w:t>；</w:t>
                            </w:r>
                          </w:p>
                          <w:p>
                            <w:pPr>
                              <w:pStyle w:val="31"/>
                              <w:keepNext w:val="0"/>
                              <w:keepLines w:val="0"/>
                              <w:pageBreakBefore w:val="0"/>
                              <w:widowControl w:val="0"/>
                              <w:numPr>
                                <w:ilvl w:val="0"/>
                                <w:numId w:val="6"/>
                              </w:numPr>
                              <w:tabs>
                                <w:tab w:val="left" w:pos="1096"/>
                              </w:tabs>
                              <w:kinsoku/>
                              <w:wordWrap/>
                              <w:overflowPunct/>
                              <w:topLinePunct w:val="0"/>
                              <w:autoSpaceDE/>
                              <w:autoSpaceDN/>
                              <w:bidi w:val="0"/>
                              <w:adjustRightInd/>
                              <w:snapToGrid/>
                              <w:spacing w:after="0" w:line="360" w:lineRule="exact"/>
                              <w:ind w:left="252" w:right="370" w:firstLine="559"/>
                              <w:jc w:val="both"/>
                              <w:textAlignment w:val="auto"/>
                              <w:rPr>
                                <w:rFonts w:hint="default" w:ascii="仿宋_GB2312" w:hAnsi="仿宋_GB2312" w:eastAsia="仿宋_GB2312" w:cs="仿宋_GB2312"/>
                                <w:spacing w:val="0"/>
                                <w:sz w:val="24"/>
                                <w:szCs w:val="24"/>
                                <w:u w:val="none"/>
                              </w:rPr>
                            </w:pPr>
                            <w:r>
                              <w:rPr>
                                <w:rFonts w:hint="default" w:ascii="仿宋_GB2312" w:hAnsi="仿宋_GB2312" w:eastAsia="仿宋_GB2312" w:cs="仿宋_GB2312"/>
                                <w:spacing w:val="0"/>
                                <w:sz w:val="24"/>
                                <w:szCs w:val="24"/>
                                <w:u w:val="none"/>
                              </w:rPr>
                              <w:t>积极发展专业化、职业化、专兼职人民调解员队伍；</w:t>
                            </w:r>
                          </w:p>
                          <w:p>
                            <w:pPr>
                              <w:pStyle w:val="31"/>
                              <w:keepNext w:val="0"/>
                              <w:keepLines w:val="0"/>
                              <w:pageBreakBefore w:val="0"/>
                              <w:widowControl w:val="0"/>
                              <w:numPr>
                                <w:ilvl w:val="0"/>
                                <w:numId w:val="6"/>
                              </w:numPr>
                              <w:tabs>
                                <w:tab w:val="left" w:pos="1096"/>
                              </w:tabs>
                              <w:kinsoku/>
                              <w:wordWrap/>
                              <w:overflowPunct/>
                              <w:topLinePunct w:val="0"/>
                              <w:autoSpaceDE/>
                              <w:autoSpaceDN/>
                              <w:bidi w:val="0"/>
                              <w:adjustRightInd/>
                              <w:snapToGrid/>
                              <w:spacing w:after="0" w:line="360" w:lineRule="exact"/>
                              <w:ind w:left="252" w:right="370" w:firstLine="559"/>
                              <w:jc w:val="both"/>
                              <w:textAlignment w:val="auto"/>
                              <w:rPr>
                                <w:rFonts w:hint="default" w:ascii="仿宋_GB2312" w:hAnsi="仿宋_GB2312" w:eastAsia="仿宋_GB2312" w:cs="仿宋_GB2312"/>
                                <w:spacing w:val="0"/>
                                <w:sz w:val="24"/>
                                <w:szCs w:val="24"/>
                                <w:u w:val="none"/>
                              </w:rPr>
                            </w:pPr>
                            <w:r>
                              <w:rPr>
                                <w:rFonts w:hint="default" w:ascii="仿宋_GB2312" w:hAnsi="仿宋_GB2312" w:eastAsia="仿宋_GB2312" w:cs="仿宋_GB2312"/>
                                <w:spacing w:val="0"/>
                                <w:sz w:val="24"/>
                                <w:szCs w:val="24"/>
                                <w:u w:val="none"/>
                                <w:lang w:val="en-US" w:eastAsia="zh-CN"/>
                              </w:rPr>
                              <w:t>探索建立边境涉外调解组织；</w:t>
                            </w:r>
                          </w:p>
                          <w:p>
                            <w:pPr>
                              <w:pStyle w:val="31"/>
                              <w:keepNext w:val="0"/>
                              <w:keepLines w:val="0"/>
                              <w:pageBreakBefore w:val="0"/>
                              <w:widowControl w:val="0"/>
                              <w:numPr>
                                <w:ilvl w:val="0"/>
                                <w:numId w:val="6"/>
                              </w:numPr>
                              <w:tabs>
                                <w:tab w:val="left" w:pos="1096"/>
                              </w:tabs>
                              <w:kinsoku/>
                              <w:wordWrap/>
                              <w:overflowPunct/>
                              <w:topLinePunct w:val="0"/>
                              <w:autoSpaceDE/>
                              <w:autoSpaceDN/>
                              <w:bidi w:val="0"/>
                              <w:adjustRightInd/>
                              <w:snapToGrid/>
                              <w:spacing w:after="0" w:line="360" w:lineRule="exact"/>
                              <w:ind w:left="252" w:right="370" w:firstLine="559"/>
                              <w:jc w:val="both"/>
                              <w:textAlignment w:val="auto"/>
                              <w:rPr>
                                <w:rFonts w:hint="default" w:ascii="仿宋_GB2312" w:hAnsi="仿宋_GB2312" w:eastAsia="仿宋_GB2312" w:cs="仿宋_GB2312"/>
                                <w:spacing w:val="0"/>
                                <w:sz w:val="24"/>
                                <w:szCs w:val="24"/>
                                <w:u w:val="none"/>
                              </w:rPr>
                            </w:pPr>
                            <w:r>
                              <w:rPr>
                                <w:rFonts w:hint="default" w:ascii="仿宋_GB2312" w:hAnsi="仿宋_GB2312" w:eastAsia="仿宋_GB2312" w:cs="仿宋_GB2312"/>
                                <w:spacing w:val="0"/>
                                <w:sz w:val="24"/>
                                <w:szCs w:val="24"/>
                                <w:u w:val="none"/>
                              </w:rPr>
                              <w:t>贯彻落实广西完善仲裁管理制度提高仲裁公信力的若干措施；</w:t>
                            </w:r>
                          </w:p>
                          <w:p>
                            <w:pPr>
                              <w:pStyle w:val="31"/>
                              <w:keepNext w:val="0"/>
                              <w:keepLines w:val="0"/>
                              <w:pageBreakBefore w:val="0"/>
                              <w:widowControl w:val="0"/>
                              <w:numPr>
                                <w:ilvl w:val="0"/>
                                <w:numId w:val="6"/>
                              </w:numPr>
                              <w:tabs>
                                <w:tab w:val="left" w:pos="1096"/>
                              </w:tabs>
                              <w:kinsoku/>
                              <w:wordWrap/>
                              <w:overflowPunct/>
                              <w:topLinePunct w:val="0"/>
                              <w:autoSpaceDE/>
                              <w:autoSpaceDN/>
                              <w:bidi w:val="0"/>
                              <w:adjustRightInd/>
                              <w:snapToGrid/>
                              <w:spacing w:after="0" w:line="360" w:lineRule="exact"/>
                              <w:ind w:left="252" w:right="370" w:firstLine="559"/>
                              <w:jc w:val="both"/>
                              <w:textAlignment w:val="auto"/>
                              <w:rPr>
                                <w:rFonts w:hint="default" w:ascii="仿宋_GB2312" w:hAnsi="仿宋_GB2312" w:eastAsia="仿宋_GB2312" w:cs="仿宋_GB2312"/>
                                <w:spacing w:val="0"/>
                                <w:sz w:val="24"/>
                                <w:szCs w:val="24"/>
                                <w:u w:val="none"/>
                                <w:lang w:val="en-US" w:eastAsia="zh-CN"/>
                              </w:rPr>
                            </w:pPr>
                            <w:r>
                              <w:rPr>
                                <w:rFonts w:hint="default" w:ascii="仿宋_GB2312" w:hAnsi="仿宋_GB2312" w:eastAsia="仿宋_GB2312" w:cs="仿宋_GB2312"/>
                                <w:spacing w:val="0"/>
                                <w:sz w:val="24"/>
                                <w:szCs w:val="24"/>
                                <w:u w:val="none"/>
                                <w:lang w:val="en-US" w:eastAsia="zh-CN"/>
                              </w:rPr>
                              <w:t>推广应用全区仲裁案件统一受理平台，完善仲裁立案与法院执行互认机制；</w:t>
                            </w:r>
                          </w:p>
                          <w:p>
                            <w:pPr>
                              <w:pStyle w:val="31"/>
                              <w:keepNext w:val="0"/>
                              <w:keepLines w:val="0"/>
                              <w:pageBreakBefore w:val="0"/>
                              <w:widowControl w:val="0"/>
                              <w:numPr>
                                <w:ilvl w:val="0"/>
                                <w:numId w:val="6"/>
                              </w:numPr>
                              <w:tabs>
                                <w:tab w:val="left" w:pos="1096"/>
                              </w:tabs>
                              <w:kinsoku/>
                              <w:wordWrap/>
                              <w:overflowPunct/>
                              <w:topLinePunct w:val="0"/>
                              <w:autoSpaceDE/>
                              <w:autoSpaceDN/>
                              <w:bidi w:val="0"/>
                              <w:adjustRightInd/>
                              <w:snapToGrid/>
                              <w:spacing w:after="0" w:line="360" w:lineRule="exact"/>
                              <w:ind w:left="252" w:right="370" w:firstLine="559"/>
                              <w:jc w:val="both"/>
                              <w:textAlignment w:val="auto"/>
                              <w:rPr>
                                <w:rFonts w:hint="eastAsia" w:ascii="仿宋_GB2312" w:hAnsi="仿宋_GB2312" w:eastAsia="仿宋_GB2312" w:cs="仿宋_GB2312"/>
                                <w:spacing w:val="0"/>
                                <w:sz w:val="24"/>
                                <w:szCs w:val="24"/>
                                <w:u w:val="none"/>
                              </w:rPr>
                            </w:pPr>
                            <w:r>
                              <w:rPr>
                                <w:rFonts w:hint="default" w:ascii="仿宋_GB2312" w:hAnsi="仿宋_GB2312" w:eastAsia="仿宋_GB2312" w:cs="仿宋_GB2312"/>
                                <w:spacing w:val="0"/>
                                <w:sz w:val="24"/>
                                <w:szCs w:val="24"/>
                                <w:u w:val="none"/>
                                <w:lang w:val="en-US" w:eastAsia="zh-CN"/>
                              </w:rPr>
                              <w:t>贯彻落实广西进一步深化改革、强化监管、提高司法鉴定质量和</w:t>
                            </w:r>
                            <w:r>
                              <w:rPr>
                                <w:rFonts w:hint="eastAsia" w:ascii="仿宋_GB2312" w:hAnsi="仿宋_GB2312" w:eastAsia="仿宋_GB2312" w:cs="仿宋_GB2312"/>
                                <w:spacing w:val="0"/>
                                <w:sz w:val="24"/>
                                <w:szCs w:val="24"/>
                                <w:u w:val="none"/>
                                <w:lang w:val="en-US" w:eastAsia="zh-CN"/>
                              </w:rPr>
                              <w:t>公</w:t>
                            </w:r>
                            <w:r>
                              <w:rPr>
                                <w:rFonts w:hint="default" w:ascii="仿宋_GB2312" w:hAnsi="仿宋_GB2312" w:eastAsia="仿宋_GB2312" w:cs="仿宋_GB2312"/>
                                <w:spacing w:val="0"/>
                                <w:sz w:val="24"/>
                                <w:szCs w:val="24"/>
                                <w:u w:val="none"/>
                                <w:lang w:val="en-US" w:eastAsia="zh-CN"/>
                              </w:rPr>
                              <w:t>信力的措施。</w:t>
                            </w:r>
                          </w:p>
                        </w:txbxContent>
                      </wps:txbx>
                      <wps:bodyPr vert="horz" wrap="square" anchor="t" anchorCtr="false" upright="true"/>
                    </wps:wsp>
                  </a:graphicData>
                </a:graphic>
              </wp:anchor>
            </w:drawing>
          </mc:Choice>
          <mc:Fallback>
            <w:pict>
              <v:shape id="文本框 152" o:spid="_x0000_s1026" o:spt="202" type="#_x0000_t202" style="position:absolute;left:0pt;margin-left:5.35pt;margin-top:6.5pt;height:441.05pt;width:453.6pt;mso-wrap-distance-bottom:0pt;mso-wrap-distance-left:9pt;mso-wrap-distance-right:9pt;mso-wrap-distance-top:0pt;z-index:251659264;mso-width-relative:page;mso-height-relative:page;" fillcolor="#FFFFFF" filled="t" stroked="t" coordsize="21600,21600" o:gfxdata="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GAKtBdgAAAAJAQAADwAAAAAAAAABACAAAAA4AAAAZHJzL2Rvd25yZXYueG1sUEsBAhQA&#10;FAAAAAgAh07iQG3YmYEVAgAAKAQAAA4AAAAAAAAAAQAgAAAAPQEAAGRycy9lMm9Eb2MueG1sUEsF&#10;BgAAAAAGAAYAWQEAAMQFAAAAAA==&#10;">
                <v:fill on="t" focussize="0,0"/>
                <v:stroke color="#000000" joinstyle="miter"/>
                <v:imagedata o:title=""/>
                <o:lock v:ext="edit" aspectratio="f"/>
                <v:textbox>
                  <w:txbxContent>
                    <w:p>
                      <w:pPr>
                        <w:pStyle w:val="31"/>
                        <w:keepNext w:val="0"/>
                        <w:keepLines w:val="0"/>
                        <w:pageBreakBefore w:val="0"/>
                        <w:widowControl w:val="0"/>
                        <w:numPr>
                          <w:ilvl w:val="0"/>
                          <w:numId w:val="6"/>
                        </w:numPr>
                        <w:tabs>
                          <w:tab w:val="left" w:pos="1093"/>
                        </w:tabs>
                        <w:kinsoku/>
                        <w:wordWrap/>
                        <w:overflowPunct/>
                        <w:topLinePunct w:val="0"/>
                        <w:autoSpaceDE/>
                        <w:autoSpaceDN/>
                        <w:bidi w:val="0"/>
                        <w:adjustRightInd/>
                        <w:snapToGrid/>
                        <w:spacing w:after="0" w:line="360" w:lineRule="exact"/>
                        <w:ind w:left="1092" w:right="0" w:hanging="282"/>
                        <w:jc w:val="both"/>
                        <w:textAlignment w:val="auto"/>
                        <w:rPr>
                          <w:rFonts w:hint="eastAsia" w:ascii="仿宋_GB2312" w:hAnsi="仿宋_GB2312" w:eastAsia="仿宋_GB2312" w:cs="仿宋_GB2312"/>
                          <w:spacing w:val="0"/>
                          <w:sz w:val="24"/>
                          <w:szCs w:val="24"/>
                          <w:u w:val="none"/>
                        </w:rPr>
                      </w:pPr>
                      <w:r>
                        <w:rPr>
                          <w:rFonts w:hint="eastAsia" w:ascii="仿宋_GB2312" w:hAnsi="仿宋_GB2312" w:eastAsia="仿宋_GB2312" w:cs="仿宋_GB2312"/>
                          <w:spacing w:val="0"/>
                          <w:sz w:val="24"/>
                          <w:szCs w:val="24"/>
                          <w:u w:val="none"/>
                        </w:rPr>
                        <w:t>贯彻落实广西法治宣传教育条例；</w:t>
                      </w:r>
                    </w:p>
                    <w:p>
                      <w:pPr>
                        <w:pStyle w:val="31"/>
                        <w:keepNext w:val="0"/>
                        <w:keepLines w:val="0"/>
                        <w:pageBreakBefore w:val="0"/>
                        <w:widowControl w:val="0"/>
                        <w:numPr>
                          <w:ilvl w:val="0"/>
                          <w:numId w:val="6"/>
                        </w:numPr>
                        <w:tabs>
                          <w:tab w:val="left" w:pos="1093"/>
                        </w:tabs>
                        <w:kinsoku/>
                        <w:wordWrap/>
                        <w:overflowPunct/>
                        <w:topLinePunct w:val="0"/>
                        <w:autoSpaceDE/>
                        <w:autoSpaceDN/>
                        <w:bidi w:val="0"/>
                        <w:adjustRightInd/>
                        <w:snapToGrid/>
                        <w:spacing w:after="0" w:line="360" w:lineRule="exact"/>
                        <w:ind w:left="1092" w:right="0" w:hanging="282"/>
                        <w:jc w:val="both"/>
                        <w:textAlignment w:val="auto"/>
                        <w:rPr>
                          <w:rFonts w:hint="eastAsia" w:ascii="仿宋_GB2312" w:hAnsi="仿宋_GB2312" w:eastAsia="仿宋_GB2312" w:cs="仿宋_GB2312"/>
                          <w:spacing w:val="0"/>
                          <w:sz w:val="24"/>
                          <w:szCs w:val="24"/>
                          <w:u w:val="none"/>
                        </w:rPr>
                      </w:pPr>
                      <w:r>
                        <w:rPr>
                          <w:rFonts w:hint="eastAsia" w:ascii="仿宋_GB2312" w:hAnsi="仿宋_GB2312" w:eastAsia="仿宋_GB2312" w:cs="仿宋_GB2312"/>
                          <w:spacing w:val="0"/>
                          <w:w w:val="100"/>
                          <w:sz w:val="24"/>
                          <w:szCs w:val="24"/>
                          <w:u w:val="none"/>
                        </w:rPr>
                        <w:t>制定实施</w:t>
                      </w:r>
                      <w:r>
                        <w:rPr>
                          <w:rFonts w:hint="eastAsia" w:ascii="仿宋_GB2312" w:hAnsi="仿宋_GB2312" w:eastAsia="仿宋_GB2312" w:cs="仿宋_GB2312"/>
                          <w:spacing w:val="0"/>
                          <w:w w:val="100"/>
                          <w:sz w:val="24"/>
                          <w:szCs w:val="24"/>
                          <w:u w:val="none"/>
                          <w:lang w:val="en-US" w:eastAsia="zh-CN"/>
                        </w:rPr>
                        <w:t>普法“</w:t>
                      </w:r>
                      <w:r>
                        <w:rPr>
                          <w:rFonts w:hint="eastAsia" w:ascii="仿宋_GB2312" w:hAnsi="仿宋_GB2312" w:eastAsia="仿宋_GB2312" w:cs="仿宋_GB2312"/>
                          <w:spacing w:val="0"/>
                          <w:w w:val="100"/>
                          <w:sz w:val="24"/>
                          <w:szCs w:val="24"/>
                          <w:u w:val="none"/>
                        </w:rPr>
                        <w:t>八五</w:t>
                      </w:r>
                      <w:r>
                        <w:rPr>
                          <w:rFonts w:hint="eastAsia" w:ascii="仿宋_GB2312" w:hAnsi="仿宋_GB2312" w:eastAsia="仿宋_GB2312" w:cs="仿宋_GB2312"/>
                          <w:spacing w:val="0"/>
                          <w:w w:val="100"/>
                          <w:sz w:val="24"/>
                          <w:szCs w:val="24"/>
                          <w:u w:val="none"/>
                          <w:lang w:val="en-US" w:eastAsia="zh-CN"/>
                        </w:rPr>
                        <w:t>”</w:t>
                      </w:r>
                      <w:r>
                        <w:rPr>
                          <w:rFonts w:hint="eastAsia" w:ascii="仿宋_GB2312" w:hAnsi="仿宋_GB2312" w:eastAsia="仿宋_GB2312" w:cs="仿宋_GB2312"/>
                          <w:spacing w:val="0"/>
                          <w:w w:val="100"/>
                          <w:sz w:val="24"/>
                          <w:szCs w:val="24"/>
                          <w:u w:val="none"/>
                        </w:rPr>
                        <w:t>规划；</w:t>
                      </w:r>
                    </w:p>
                    <w:p>
                      <w:pPr>
                        <w:pStyle w:val="31"/>
                        <w:keepNext w:val="0"/>
                        <w:keepLines w:val="0"/>
                        <w:pageBreakBefore w:val="0"/>
                        <w:widowControl w:val="0"/>
                        <w:numPr>
                          <w:ilvl w:val="0"/>
                          <w:numId w:val="6"/>
                        </w:numPr>
                        <w:tabs>
                          <w:tab w:val="left" w:pos="1093"/>
                        </w:tabs>
                        <w:kinsoku/>
                        <w:wordWrap/>
                        <w:overflowPunct/>
                        <w:topLinePunct w:val="0"/>
                        <w:autoSpaceDE/>
                        <w:autoSpaceDN/>
                        <w:bidi w:val="0"/>
                        <w:adjustRightInd/>
                        <w:snapToGrid/>
                        <w:spacing w:after="0" w:line="360" w:lineRule="exact"/>
                        <w:ind w:left="1092" w:right="0" w:hanging="282"/>
                        <w:jc w:val="both"/>
                        <w:textAlignment w:val="auto"/>
                        <w:rPr>
                          <w:rFonts w:hint="eastAsia" w:ascii="仿宋_GB2312" w:hAnsi="仿宋_GB2312" w:eastAsia="仿宋_GB2312" w:cs="仿宋_GB2312"/>
                          <w:spacing w:val="0"/>
                          <w:sz w:val="24"/>
                          <w:szCs w:val="24"/>
                          <w:u w:val="none"/>
                        </w:rPr>
                      </w:pPr>
                      <w:r>
                        <w:rPr>
                          <w:rFonts w:hint="eastAsia" w:ascii="仿宋_GB2312" w:hAnsi="仿宋_GB2312" w:eastAsia="仿宋_GB2312" w:cs="仿宋_GB2312"/>
                          <w:spacing w:val="0"/>
                          <w:sz w:val="24"/>
                          <w:szCs w:val="24"/>
                          <w:u w:val="none"/>
                        </w:rPr>
                        <w:t>建设普法融媒体服务平台，创建全国民主法治示范村（社区）约7个；</w:t>
                      </w:r>
                    </w:p>
                    <w:p>
                      <w:pPr>
                        <w:pStyle w:val="31"/>
                        <w:keepNext w:val="0"/>
                        <w:keepLines w:val="0"/>
                        <w:pageBreakBefore w:val="0"/>
                        <w:widowControl w:val="0"/>
                        <w:numPr>
                          <w:ilvl w:val="0"/>
                          <w:numId w:val="6"/>
                        </w:numPr>
                        <w:tabs>
                          <w:tab w:val="left" w:pos="1096"/>
                        </w:tabs>
                        <w:kinsoku/>
                        <w:wordWrap/>
                        <w:overflowPunct/>
                        <w:topLinePunct w:val="0"/>
                        <w:autoSpaceDE/>
                        <w:autoSpaceDN/>
                        <w:bidi w:val="0"/>
                        <w:adjustRightInd/>
                        <w:snapToGrid/>
                        <w:spacing w:after="0" w:line="360" w:lineRule="exact"/>
                        <w:ind w:left="1095" w:right="0" w:hanging="285"/>
                        <w:jc w:val="both"/>
                        <w:textAlignment w:val="auto"/>
                        <w:rPr>
                          <w:rFonts w:hint="eastAsia" w:ascii="仿宋_GB2312" w:hAnsi="仿宋_GB2312" w:eastAsia="仿宋_GB2312" w:cs="仿宋_GB2312"/>
                          <w:spacing w:val="0"/>
                          <w:sz w:val="24"/>
                          <w:szCs w:val="24"/>
                          <w:u w:val="none"/>
                        </w:rPr>
                      </w:pPr>
                      <w:r>
                        <w:rPr>
                          <w:rFonts w:hint="eastAsia" w:ascii="仿宋_GB2312" w:hAnsi="仿宋_GB2312" w:eastAsia="仿宋_GB2312" w:cs="仿宋_GB2312"/>
                          <w:spacing w:val="0"/>
                          <w:sz w:val="24"/>
                          <w:szCs w:val="24"/>
                          <w:u w:val="none"/>
                        </w:rPr>
                        <w:t>市</w:t>
                      </w:r>
                      <w:r>
                        <w:rPr>
                          <w:rFonts w:hint="eastAsia" w:ascii="仿宋_GB2312" w:hAnsi="仿宋_GB2312" w:eastAsia="仿宋_GB2312" w:cs="仿宋_GB2312"/>
                          <w:spacing w:val="0"/>
                          <w:sz w:val="24"/>
                          <w:szCs w:val="24"/>
                          <w:u w:val="none"/>
                          <w:lang w:val="en-US" w:eastAsia="zh-CN"/>
                        </w:rPr>
                        <w:t>本级、各</w:t>
                      </w:r>
                      <w:r>
                        <w:rPr>
                          <w:rFonts w:hint="eastAsia" w:ascii="仿宋_GB2312" w:hAnsi="仿宋_GB2312" w:eastAsia="仿宋_GB2312" w:cs="仿宋_GB2312"/>
                          <w:spacing w:val="0"/>
                          <w:sz w:val="24"/>
                          <w:szCs w:val="24"/>
                          <w:u w:val="none"/>
                        </w:rPr>
                        <w:t>县（</w:t>
                      </w:r>
                      <w:r>
                        <w:rPr>
                          <w:rFonts w:hint="eastAsia" w:ascii="仿宋_GB2312" w:hAnsi="仿宋_GB2312" w:eastAsia="仿宋_GB2312" w:cs="仿宋_GB2312"/>
                          <w:spacing w:val="0"/>
                          <w:sz w:val="24"/>
                          <w:szCs w:val="24"/>
                          <w:u w:val="none"/>
                          <w:lang w:val="en-US" w:eastAsia="zh-CN"/>
                        </w:rPr>
                        <w:t>市</w:t>
                      </w:r>
                      <w:r>
                        <w:rPr>
                          <w:rFonts w:hint="eastAsia" w:ascii="仿宋_GB2312" w:hAnsi="仿宋_GB2312" w:eastAsia="仿宋_GB2312" w:cs="仿宋_GB2312"/>
                          <w:spacing w:val="0"/>
                          <w:sz w:val="24"/>
                          <w:szCs w:val="24"/>
                          <w:u w:val="none"/>
                          <w:lang w:eastAsia="zh-CN"/>
                        </w:rPr>
                        <w:t>、</w:t>
                      </w:r>
                      <w:r>
                        <w:rPr>
                          <w:rFonts w:hint="eastAsia" w:ascii="仿宋_GB2312" w:hAnsi="仿宋_GB2312" w:eastAsia="仿宋_GB2312" w:cs="仿宋_GB2312"/>
                          <w:spacing w:val="0"/>
                          <w:sz w:val="24"/>
                          <w:szCs w:val="24"/>
                          <w:u w:val="none"/>
                        </w:rPr>
                        <w:t>区）建成 1 个以上青少年法治教育基地或法治资源</w:t>
                      </w:r>
                      <w:r>
                        <w:rPr>
                          <w:rFonts w:hint="eastAsia" w:ascii="仿宋_GB2312" w:hAnsi="仿宋_GB2312" w:eastAsia="仿宋_GB2312" w:cs="仿宋_GB2312"/>
                          <w:spacing w:val="0"/>
                          <w:w w:val="100"/>
                          <w:sz w:val="24"/>
                          <w:szCs w:val="24"/>
                          <w:u w:val="none"/>
                        </w:rPr>
                        <w:t>教室，每个村（社区）至少有</w:t>
                      </w:r>
                      <w:r>
                        <w:rPr>
                          <w:rFonts w:hint="eastAsia" w:ascii="仿宋_GB2312" w:hAnsi="仿宋_GB2312" w:eastAsia="仿宋_GB2312" w:cs="仿宋_GB2312"/>
                          <w:spacing w:val="0"/>
                          <w:sz w:val="24"/>
                          <w:szCs w:val="24"/>
                          <w:u w:val="none"/>
                        </w:rPr>
                        <w:t xml:space="preserve"> </w:t>
                      </w:r>
                      <w:r>
                        <w:rPr>
                          <w:rFonts w:hint="eastAsia" w:ascii="仿宋_GB2312" w:hAnsi="仿宋_GB2312" w:eastAsia="仿宋_GB2312" w:cs="仿宋_GB2312"/>
                          <w:spacing w:val="0"/>
                          <w:w w:val="100"/>
                          <w:sz w:val="24"/>
                          <w:szCs w:val="24"/>
                          <w:u w:val="none"/>
                        </w:rPr>
                        <w:t>1</w:t>
                      </w:r>
                      <w:r>
                        <w:rPr>
                          <w:rFonts w:hint="eastAsia" w:ascii="仿宋_GB2312" w:hAnsi="仿宋_GB2312" w:eastAsia="仿宋_GB2312" w:cs="仿宋_GB2312"/>
                          <w:spacing w:val="0"/>
                          <w:sz w:val="24"/>
                          <w:szCs w:val="24"/>
                          <w:u w:val="none"/>
                        </w:rPr>
                        <w:t xml:space="preserve"> </w:t>
                      </w:r>
                      <w:r>
                        <w:rPr>
                          <w:rFonts w:hint="eastAsia" w:ascii="仿宋_GB2312" w:hAnsi="仿宋_GB2312" w:eastAsia="仿宋_GB2312" w:cs="仿宋_GB2312"/>
                          <w:spacing w:val="0"/>
                          <w:w w:val="100"/>
                          <w:sz w:val="24"/>
                          <w:szCs w:val="24"/>
                          <w:u w:val="none"/>
                        </w:rPr>
                        <w:t>个法治文化宣传栏（长廊）；</w:t>
                      </w:r>
                    </w:p>
                    <w:p>
                      <w:pPr>
                        <w:pStyle w:val="31"/>
                        <w:keepNext w:val="0"/>
                        <w:keepLines w:val="0"/>
                        <w:pageBreakBefore w:val="0"/>
                        <w:widowControl w:val="0"/>
                        <w:numPr>
                          <w:ilvl w:val="0"/>
                          <w:numId w:val="6"/>
                        </w:numPr>
                        <w:tabs>
                          <w:tab w:val="left" w:pos="1093"/>
                        </w:tabs>
                        <w:kinsoku/>
                        <w:wordWrap/>
                        <w:overflowPunct/>
                        <w:topLinePunct w:val="0"/>
                        <w:autoSpaceDE/>
                        <w:autoSpaceDN/>
                        <w:bidi w:val="0"/>
                        <w:adjustRightInd/>
                        <w:snapToGrid/>
                        <w:spacing w:after="0" w:line="360" w:lineRule="exact"/>
                        <w:ind w:left="1092" w:right="0" w:hanging="282"/>
                        <w:jc w:val="both"/>
                        <w:textAlignment w:val="auto"/>
                        <w:rPr>
                          <w:rFonts w:hint="eastAsia" w:ascii="仿宋_GB2312" w:hAnsi="仿宋_GB2312" w:eastAsia="仿宋_GB2312" w:cs="仿宋_GB2312"/>
                          <w:spacing w:val="0"/>
                          <w:sz w:val="24"/>
                          <w:szCs w:val="24"/>
                          <w:u w:val="none"/>
                        </w:rPr>
                      </w:pPr>
                      <w:r>
                        <w:rPr>
                          <w:rFonts w:hint="eastAsia" w:ascii="仿宋_GB2312" w:hAnsi="仿宋_GB2312" w:eastAsia="仿宋_GB2312" w:cs="仿宋_GB2312"/>
                          <w:spacing w:val="0"/>
                          <w:w w:val="100"/>
                          <w:sz w:val="24"/>
                          <w:szCs w:val="24"/>
                          <w:u w:val="none"/>
                        </w:rPr>
                        <w:t>每个村（社区）培养 3 个以上“法律明白人”（实行动态调整）；</w:t>
                      </w:r>
                    </w:p>
                    <w:p>
                      <w:pPr>
                        <w:pStyle w:val="31"/>
                        <w:keepNext w:val="0"/>
                        <w:keepLines w:val="0"/>
                        <w:pageBreakBefore w:val="0"/>
                        <w:widowControl w:val="0"/>
                        <w:numPr>
                          <w:ilvl w:val="0"/>
                          <w:numId w:val="6"/>
                        </w:numPr>
                        <w:tabs>
                          <w:tab w:val="left" w:pos="1096"/>
                        </w:tabs>
                        <w:kinsoku/>
                        <w:wordWrap/>
                        <w:overflowPunct/>
                        <w:topLinePunct w:val="0"/>
                        <w:autoSpaceDE/>
                        <w:autoSpaceDN/>
                        <w:bidi w:val="0"/>
                        <w:adjustRightInd/>
                        <w:snapToGrid/>
                        <w:spacing w:after="0" w:line="360" w:lineRule="exact"/>
                        <w:ind w:left="252" w:right="373" w:firstLine="559"/>
                        <w:jc w:val="both"/>
                        <w:textAlignment w:val="auto"/>
                        <w:rPr>
                          <w:rFonts w:hint="eastAsia" w:ascii="仿宋_GB2312" w:hAnsi="仿宋_GB2312" w:eastAsia="仿宋_GB2312" w:cs="仿宋_GB2312"/>
                          <w:spacing w:val="0"/>
                          <w:sz w:val="24"/>
                          <w:szCs w:val="24"/>
                          <w:u w:val="none"/>
                        </w:rPr>
                      </w:pPr>
                      <w:r>
                        <w:rPr>
                          <w:rFonts w:hint="eastAsia" w:ascii="仿宋_GB2312" w:hAnsi="仿宋_GB2312" w:eastAsia="仿宋_GB2312" w:cs="仿宋_GB2312"/>
                          <w:spacing w:val="0"/>
                          <w:sz w:val="24"/>
                          <w:szCs w:val="24"/>
                          <w:u w:val="none"/>
                        </w:rPr>
                        <w:t>建设</w:t>
                      </w:r>
                      <w:r>
                        <w:rPr>
                          <w:rFonts w:hint="eastAsia" w:ascii="仿宋_GB2312" w:hAnsi="仿宋_GB2312" w:eastAsia="仿宋_GB2312" w:cs="仿宋_GB2312"/>
                          <w:spacing w:val="0"/>
                          <w:sz w:val="24"/>
                          <w:szCs w:val="24"/>
                          <w:u w:val="none"/>
                          <w:lang w:eastAsia="zh-CN"/>
                        </w:rPr>
                        <w:t>防城港</w:t>
                      </w:r>
                      <w:r>
                        <w:rPr>
                          <w:rFonts w:hint="eastAsia" w:ascii="仿宋_GB2312" w:hAnsi="仿宋_GB2312" w:eastAsia="仿宋_GB2312" w:cs="仿宋_GB2312"/>
                          <w:spacing w:val="0"/>
                          <w:sz w:val="24"/>
                          <w:szCs w:val="24"/>
                          <w:u w:val="none"/>
                        </w:rPr>
                        <w:t>市律师行业党群活动服务中心，</w:t>
                      </w:r>
                      <w:r>
                        <w:rPr>
                          <w:rFonts w:hint="eastAsia" w:ascii="仿宋_GB2312" w:hAnsi="仿宋_GB2312" w:eastAsia="仿宋_GB2312" w:cs="仿宋_GB2312"/>
                          <w:spacing w:val="0"/>
                          <w:sz w:val="24"/>
                          <w:szCs w:val="24"/>
                          <w:u w:val="none"/>
                          <w:lang w:val="en-US" w:eastAsia="zh-CN"/>
                        </w:rPr>
                        <w:t>争创自治区级</w:t>
                      </w:r>
                      <w:r>
                        <w:rPr>
                          <w:rFonts w:hint="eastAsia" w:ascii="仿宋_GB2312" w:hAnsi="仿宋_GB2312" w:eastAsia="仿宋_GB2312" w:cs="仿宋_GB2312"/>
                          <w:spacing w:val="0"/>
                          <w:sz w:val="24"/>
                          <w:szCs w:val="24"/>
                          <w:u w:val="none"/>
                        </w:rPr>
                        <w:t>律师行业党建工作示范点；</w:t>
                      </w:r>
                    </w:p>
                    <w:p>
                      <w:pPr>
                        <w:pStyle w:val="31"/>
                        <w:keepNext w:val="0"/>
                        <w:keepLines w:val="0"/>
                        <w:pageBreakBefore w:val="0"/>
                        <w:widowControl w:val="0"/>
                        <w:numPr>
                          <w:ilvl w:val="0"/>
                          <w:numId w:val="6"/>
                        </w:numPr>
                        <w:tabs>
                          <w:tab w:val="left" w:pos="1096"/>
                        </w:tabs>
                        <w:kinsoku/>
                        <w:wordWrap/>
                        <w:overflowPunct/>
                        <w:topLinePunct w:val="0"/>
                        <w:autoSpaceDE/>
                        <w:autoSpaceDN/>
                        <w:bidi w:val="0"/>
                        <w:adjustRightInd/>
                        <w:snapToGrid/>
                        <w:spacing w:after="0" w:line="360" w:lineRule="exact"/>
                        <w:ind w:left="252" w:right="370" w:firstLine="559"/>
                        <w:jc w:val="both"/>
                        <w:textAlignment w:val="auto"/>
                        <w:rPr>
                          <w:rFonts w:hint="eastAsia" w:ascii="仿宋_GB2312" w:hAnsi="仿宋_GB2312" w:eastAsia="仿宋_GB2312" w:cs="仿宋_GB2312"/>
                          <w:spacing w:val="0"/>
                          <w:sz w:val="24"/>
                          <w:szCs w:val="24"/>
                          <w:u w:val="none"/>
                        </w:rPr>
                      </w:pPr>
                      <w:r>
                        <w:rPr>
                          <w:rFonts w:hint="eastAsia" w:ascii="仿宋_GB2312" w:hAnsi="仿宋_GB2312" w:eastAsia="仿宋_GB2312" w:cs="仿宋_GB2312"/>
                          <w:spacing w:val="0"/>
                          <w:sz w:val="24"/>
                          <w:szCs w:val="24"/>
                          <w:u w:val="none"/>
                        </w:rPr>
                        <w:t>培养一批精通中国—东盟自由贸易区协定、东盟国家法律适用、WTO争端解决、反倾销、反补贴等领域业务的涉外律师人才；</w:t>
                      </w:r>
                    </w:p>
                    <w:p>
                      <w:pPr>
                        <w:pStyle w:val="31"/>
                        <w:keepNext w:val="0"/>
                        <w:keepLines w:val="0"/>
                        <w:pageBreakBefore w:val="0"/>
                        <w:widowControl w:val="0"/>
                        <w:numPr>
                          <w:ilvl w:val="0"/>
                          <w:numId w:val="6"/>
                        </w:numPr>
                        <w:tabs>
                          <w:tab w:val="left" w:pos="1093"/>
                        </w:tabs>
                        <w:kinsoku/>
                        <w:wordWrap/>
                        <w:overflowPunct/>
                        <w:topLinePunct w:val="0"/>
                        <w:autoSpaceDE/>
                        <w:autoSpaceDN/>
                        <w:bidi w:val="0"/>
                        <w:adjustRightInd/>
                        <w:snapToGrid/>
                        <w:spacing w:after="0" w:line="360" w:lineRule="exact"/>
                        <w:ind w:left="1092" w:right="0" w:hanging="282"/>
                        <w:jc w:val="both"/>
                        <w:textAlignment w:val="auto"/>
                        <w:rPr>
                          <w:rFonts w:hint="eastAsia" w:ascii="仿宋_GB2312" w:hAnsi="仿宋_GB2312" w:eastAsia="仿宋_GB2312" w:cs="仿宋_GB2312"/>
                          <w:spacing w:val="0"/>
                          <w:sz w:val="24"/>
                          <w:szCs w:val="24"/>
                          <w:u w:val="none"/>
                        </w:rPr>
                      </w:pPr>
                      <w:r>
                        <w:rPr>
                          <w:rFonts w:hint="eastAsia" w:ascii="仿宋_GB2312" w:hAnsi="仿宋_GB2312" w:eastAsia="仿宋_GB2312" w:cs="仿宋_GB2312"/>
                          <w:spacing w:val="0"/>
                          <w:sz w:val="24"/>
                          <w:szCs w:val="24"/>
                          <w:u w:val="none"/>
                        </w:rPr>
                        <w:t>贯彻落实广西合作制公证机构管理办法；</w:t>
                      </w:r>
                    </w:p>
                    <w:p>
                      <w:pPr>
                        <w:pStyle w:val="31"/>
                        <w:keepNext w:val="0"/>
                        <w:keepLines w:val="0"/>
                        <w:pageBreakBefore w:val="0"/>
                        <w:widowControl w:val="0"/>
                        <w:numPr>
                          <w:ilvl w:val="0"/>
                          <w:numId w:val="6"/>
                        </w:numPr>
                        <w:tabs>
                          <w:tab w:val="left" w:pos="1096"/>
                        </w:tabs>
                        <w:kinsoku/>
                        <w:wordWrap/>
                        <w:overflowPunct/>
                        <w:topLinePunct w:val="0"/>
                        <w:autoSpaceDE/>
                        <w:autoSpaceDN/>
                        <w:bidi w:val="0"/>
                        <w:adjustRightInd/>
                        <w:snapToGrid/>
                        <w:spacing w:after="0" w:line="360" w:lineRule="exact"/>
                        <w:ind w:left="252" w:right="370" w:firstLine="559"/>
                        <w:jc w:val="both"/>
                        <w:textAlignment w:val="auto"/>
                        <w:rPr>
                          <w:rFonts w:hint="eastAsia" w:ascii="仿宋_GB2312" w:hAnsi="仿宋_GB2312" w:eastAsia="仿宋_GB2312" w:cs="仿宋_GB2312"/>
                          <w:spacing w:val="0"/>
                          <w:sz w:val="24"/>
                          <w:szCs w:val="24"/>
                          <w:u w:val="none"/>
                        </w:rPr>
                      </w:pPr>
                      <w:r>
                        <w:rPr>
                          <w:rFonts w:hint="eastAsia" w:ascii="仿宋_GB2312" w:hAnsi="仿宋_GB2312" w:eastAsia="仿宋_GB2312" w:cs="仿宋_GB2312"/>
                          <w:spacing w:val="0"/>
                          <w:sz w:val="24"/>
                          <w:szCs w:val="24"/>
                          <w:u w:val="none"/>
                        </w:rPr>
                        <w:t>开展公证行业规范化建设，推广应用远程视频公证，推进公证参与人民法院司法辅助业务；</w:t>
                      </w:r>
                    </w:p>
                    <w:p>
                      <w:pPr>
                        <w:pStyle w:val="31"/>
                        <w:keepNext w:val="0"/>
                        <w:keepLines w:val="0"/>
                        <w:pageBreakBefore w:val="0"/>
                        <w:widowControl w:val="0"/>
                        <w:numPr>
                          <w:ilvl w:val="0"/>
                          <w:numId w:val="6"/>
                        </w:numPr>
                        <w:tabs>
                          <w:tab w:val="left" w:pos="1096"/>
                        </w:tabs>
                        <w:kinsoku/>
                        <w:wordWrap/>
                        <w:overflowPunct/>
                        <w:topLinePunct w:val="0"/>
                        <w:autoSpaceDE/>
                        <w:autoSpaceDN/>
                        <w:bidi w:val="0"/>
                        <w:adjustRightInd/>
                        <w:snapToGrid/>
                        <w:spacing w:after="0" w:line="360" w:lineRule="exact"/>
                        <w:ind w:left="252" w:right="370" w:firstLine="559"/>
                        <w:jc w:val="both"/>
                        <w:textAlignment w:val="auto"/>
                        <w:rPr>
                          <w:rFonts w:hint="eastAsia" w:ascii="仿宋_GB2312" w:hAnsi="仿宋_GB2312" w:eastAsia="仿宋_GB2312" w:cs="仿宋_GB2312"/>
                          <w:spacing w:val="0"/>
                          <w:sz w:val="24"/>
                          <w:szCs w:val="24"/>
                          <w:u w:val="none"/>
                        </w:rPr>
                      </w:pPr>
                      <w:r>
                        <w:rPr>
                          <w:rFonts w:hint="eastAsia" w:ascii="仿宋_GB2312" w:hAnsi="仿宋_GB2312" w:eastAsia="仿宋_GB2312" w:cs="仿宋_GB2312"/>
                          <w:spacing w:val="0"/>
                          <w:sz w:val="24"/>
                          <w:szCs w:val="24"/>
                          <w:u w:val="none"/>
                          <w:lang w:val="en-US" w:eastAsia="zh-CN"/>
                        </w:rPr>
                        <w:t>配合开展“1＋1”广西法律援助志愿者行动</w:t>
                      </w:r>
                      <w:r>
                        <w:rPr>
                          <w:rFonts w:hint="eastAsia" w:ascii="仿宋_GB2312" w:hAnsi="仿宋_GB2312" w:eastAsia="仿宋_GB2312" w:cs="仿宋_GB2312"/>
                          <w:spacing w:val="0"/>
                          <w:sz w:val="24"/>
                          <w:szCs w:val="24"/>
                          <w:u w:val="none"/>
                        </w:rPr>
                        <w:t>；</w:t>
                      </w:r>
                    </w:p>
                    <w:p>
                      <w:pPr>
                        <w:pStyle w:val="31"/>
                        <w:keepNext w:val="0"/>
                        <w:keepLines w:val="0"/>
                        <w:pageBreakBefore w:val="0"/>
                        <w:widowControl w:val="0"/>
                        <w:numPr>
                          <w:ilvl w:val="0"/>
                          <w:numId w:val="6"/>
                        </w:numPr>
                        <w:tabs>
                          <w:tab w:val="left" w:pos="1096"/>
                        </w:tabs>
                        <w:kinsoku/>
                        <w:wordWrap/>
                        <w:overflowPunct/>
                        <w:topLinePunct w:val="0"/>
                        <w:autoSpaceDE/>
                        <w:autoSpaceDN/>
                        <w:bidi w:val="0"/>
                        <w:adjustRightInd/>
                        <w:snapToGrid/>
                        <w:spacing w:after="0" w:line="360" w:lineRule="exact"/>
                        <w:ind w:left="252" w:right="370" w:firstLine="559"/>
                        <w:jc w:val="both"/>
                        <w:textAlignment w:val="auto"/>
                        <w:rPr>
                          <w:rFonts w:hint="default" w:ascii="仿宋_GB2312" w:hAnsi="仿宋_GB2312" w:eastAsia="仿宋_GB2312" w:cs="仿宋_GB2312"/>
                          <w:spacing w:val="0"/>
                          <w:sz w:val="24"/>
                          <w:szCs w:val="24"/>
                          <w:u w:val="none"/>
                        </w:rPr>
                      </w:pPr>
                      <w:r>
                        <w:rPr>
                          <w:rFonts w:hint="eastAsia" w:ascii="仿宋_GB2312" w:hAnsi="仿宋_GB2312" w:eastAsia="仿宋_GB2312" w:cs="仿宋_GB2312"/>
                          <w:spacing w:val="0"/>
                          <w:sz w:val="24"/>
                          <w:szCs w:val="24"/>
                          <w:u w:val="none"/>
                          <w:lang w:val="en-US" w:eastAsia="zh-CN"/>
                        </w:rPr>
                        <w:t>探索</w:t>
                      </w:r>
                      <w:r>
                        <w:rPr>
                          <w:rFonts w:hint="eastAsia" w:ascii="仿宋_GB2312" w:hAnsi="仿宋_GB2312" w:eastAsia="仿宋_GB2312" w:cs="仿宋_GB2312"/>
                          <w:spacing w:val="0"/>
                          <w:sz w:val="24"/>
                          <w:szCs w:val="24"/>
                          <w:u w:val="none"/>
                        </w:rPr>
                        <w:t>建立</w:t>
                      </w:r>
                      <w:r>
                        <w:rPr>
                          <w:rFonts w:hint="eastAsia" w:ascii="仿宋_GB2312" w:hAnsi="仿宋_GB2312" w:eastAsia="仿宋_GB2312" w:cs="仿宋_GB2312"/>
                          <w:spacing w:val="0"/>
                          <w:sz w:val="24"/>
                          <w:szCs w:val="24"/>
                          <w:u w:val="none"/>
                          <w:lang w:eastAsia="zh-CN"/>
                        </w:rPr>
                        <w:t>防城港</w:t>
                      </w:r>
                      <w:r>
                        <w:rPr>
                          <w:rFonts w:hint="eastAsia" w:ascii="仿宋_GB2312" w:hAnsi="仿宋_GB2312" w:eastAsia="仿宋_GB2312" w:cs="仿宋_GB2312"/>
                          <w:spacing w:val="0"/>
                          <w:sz w:val="24"/>
                          <w:szCs w:val="24"/>
                          <w:u w:val="none"/>
                        </w:rPr>
                        <w:t>市法律援助律师人才库和重大法律援助案件律师专</w:t>
                      </w:r>
                      <w:r>
                        <w:rPr>
                          <w:rFonts w:hint="default" w:ascii="仿宋_GB2312" w:hAnsi="仿宋_GB2312" w:eastAsia="仿宋_GB2312" w:cs="仿宋_GB2312"/>
                          <w:spacing w:val="0"/>
                          <w:sz w:val="24"/>
                          <w:szCs w:val="24"/>
                          <w:u w:val="none"/>
                        </w:rPr>
                        <w:t>家库；</w:t>
                      </w:r>
                    </w:p>
                    <w:p>
                      <w:pPr>
                        <w:pStyle w:val="31"/>
                        <w:keepNext w:val="0"/>
                        <w:keepLines w:val="0"/>
                        <w:pageBreakBefore w:val="0"/>
                        <w:widowControl w:val="0"/>
                        <w:numPr>
                          <w:ilvl w:val="0"/>
                          <w:numId w:val="6"/>
                        </w:numPr>
                        <w:tabs>
                          <w:tab w:val="left" w:pos="1096"/>
                        </w:tabs>
                        <w:kinsoku/>
                        <w:wordWrap/>
                        <w:overflowPunct/>
                        <w:topLinePunct w:val="0"/>
                        <w:autoSpaceDE/>
                        <w:autoSpaceDN/>
                        <w:bidi w:val="0"/>
                        <w:adjustRightInd/>
                        <w:snapToGrid/>
                        <w:spacing w:after="0" w:line="360" w:lineRule="exact"/>
                        <w:ind w:left="252" w:right="370" w:firstLine="559"/>
                        <w:jc w:val="both"/>
                        <w:textAlignment w:val="auto"/>
                        <w:rPr>
                          <w:rFonts w:hint="default" w:ascii="仿宋_GB2312" w:hAnsi="仿宋_GB2312" w:eastAsia="仿宋_GB2312" w:cs="仿宋_GB2312"/>
                          <w:spacing w:val="0"/>
                          <w:sz w:val="24"/>
                          <w:szCs w:val="24"/>
                          <w:u w:val="none"/>
                        </w:rPr>
                      </w:pPr>
                      <w:r>
                        <w:rPr>
                          <w:rFonts w:hint="default" w:ascii="仿宋_GB2312" w:hAnsi="仿宋_GB2312" w:eastAsia="仿宋_GB2312" w:cs="仿宋_GB2312"/>
                          <w:spacing w:val="0"/>
                          <w:sz w:val="24"/>
                          <w:szCs w:val="24"/>
                          <w:u w:val="none"/>
                          <w:lang w:val="en-US" w:eastAsia="zh-CN"/>
                        </w:rPr>
                        <w:t>争取按自治区标准要求</w:t>
                      </w:r>
                      <w:r>
                        <w:rPr>
                          <w:rFonts w:hint="default" w:ascii="仿宋_GB2312" w:hAnsi="仿宋_GB2312" w:eastAsia="仿宋_GB2312" w:cs="仿宋_GB2312"/>
                          <w:spacing w:val="0"/>
                          <w:sz w:val="24"/>
                          <w:szCs w:val="24"/>
                          <w:u w:val="none"/>
                        </w:rPr>
                        <w:t>成</w:t>
                      </w:r>
                      <w:r>
                        <w:rPr>
                          <w:rFonts w:hint="default" w:ascii="仿宋_GB2312" w:hAnsi="仿宋_GB2312" w:eastAsia="仿宋_GB2312" w:cs="仿宋_GB2312"/>
                          <w:spacing w:val="0"/>
                          <w:sz w:val="24"/>
                          <w:szCs w:val="24"/>
                          <w:u w:val="none"/>
                          <w:lang w:val="en-US" w:eastAsia="zh-CN"/>
                        </w:rPr>
                        <w:t>立市、县（市、区）两级法律援助中心</w:t>
                      </w:r>
                      <w:r>
                        <w:rPr>
                          <w:rFonts w:hint="default" w:ascii="仿宋_GB2312" w:hAnsi="仿宋_GB2312" w:eastAsia="仿宋_GB2312" w:cs="仿宋_GB2312"/>
                          <w:spacing w:val="0"/>
                          <w:sz w:val="24"/>
                          <w:szCs w:val="24"/>
                          <w:u w:val="none"/>
                        </w:rPr>
                        <w:t>；</w:t>
                      </w:r>
                    </w:p>
                    <w:p>
                      <w:pPr>
                        <w:pStyle w:val="31"/>
                        <w:keepNext w:val="0"/>
                        <w:keepLines w:val="0"/>
                        <w:pageBreakBefore w:val="0"/>
                        <w:widowControl w:val="0"/>
                        <w:numPr>
                          <w:ilvl w:val="0"/>
                          <w:numId w:val="6"/>
                        </w:numPr>
                        <w:tabs>
                          <w:tab w:val="left" w:pos="1096"/>
                        </w:tabs>
                        <w:kinsoku/>
                        <w:wordWrap/>
                        <w:overflowPunct/>
                        <w:topLinePunct w:val="0"/>
                        <w:autoSpaceDE/>
                        <w:autoSpaceDN/>
                        <w:bidi w:val="0"/>
                        <w:adjustRightInd/>
                        <w:snapToGrid/>
                        <w:spacing w:after="0" w:line="360" w:lineRule="exact"/>
                        <w:ind w:left="252" w:right="370" w:firstLine="559"/>
                        <w:jc w:val="both"/>
                        <w:textAlignment w:val="auto"/>
                        <w:rPr>
                          <w:rFonts w:hint="default" w:ascii="仿宋_GB2312" w:hAnsi="仿宋_GB2312" w:eastAsia="仿宋_GB2312" w:cs="仿宋_GB2312"/>
                          <w:spacing w:val="0"/>
                          <w:sz w:val="24"/>
                          <w:szCs w:val="24"/>
                          <w:u w:val="none"/>
                        </w:rPr>
                      </w:pPr>
                      <w:r>
                        <w:rPr>
                          <w:rFonts w:hint="default" w:ascii="仿宋_GB2312" w:hAnsi="仿宋_GB2312" w:eastAsia="仿宋_GB2312" w:cs="仿宋_GB2312"/>
                          <w:spacing w:val="0"/>
                          <w:sz w:val="24"/>
                          <w:szCs w:val="24"/>
                          <w:u w:val="none"/>
                        </w:rPr>
                        <w:t>积极发展专业化、职业化、专兼职人民调解员队伍；</w:t>
                      </w:r>
                    </w:p>
                    <w:p>
                      <w:pPr>
                        <w:pStyle w:val="31"/>
                        <w:keepNext w:val="0"/>
                        <w:keepLines w:val="0"/>
                        <w:pageBreakBefore w:val="0"/>
                        <w:widowControl w:val="0"/>
                        <w:numPr>
                          <w:ilvl w:val="0"/>
                          <w:numId w:val="6"/>
                        </w:numPr>
                        <w:tabs>
                          <w:tab w:val="left" w:pos="1096"/>
                        </w:tabs>
                        <w:kinsoku/>
                        <w:wordWrap/>
                        <w:overflowPunct/>
                        <w:topLinePunct w:val="0"/>
                        <w:autoSpaceDE/>
                        <w:autoSpaceDN/>
                        <w:bidi w:val="0"/>
                        <w:adjustRightInd/>
                        <w:snapToGrid/>
                        <w:spacing w:after="0" w:line="360" w:lineRule="exact"/>
                        <w:ind w:left="252" w:right="370" w:firstLine="559"/>
                        <w:jc w:val="both"/>
                        <w:textAlignment w:val="auto"/>
                        <w:rPr>
                          <w:rFonts w:hint="default" w:ascii="仿宋_GB2312" w:hAnsi="仿宋_GB2312" w:eastAsia="仿宋_GB2312" w:cs="仿宋_GB2312"/>
                          <w:spacing w:val="0"/>
                          <w:sz w:val="24"/>
                          <w:szCs w:val="24"/>
                          <w:u w:val="none"/>
                        </w:rPr>
                      </w:pPr>
                      <w:r>
                        <w:rPr>
                          <w:rFonts w:hint="default" w:ascii="仿宋_GB2312" w:hAnsi="仿宋_GB2312" w:eastAsia="仿宋_GB2312" w:cs="仿宋_GB2312"/>
                          <w:spacing w:val="0"/>
                          <w:sz w:val="24"/>
                          <w:szCs w:val="24"/>
                          <w:u w:val="none"/>
                          <w:lang w:val="en-US" w:eastAsia="zh-CN"/>
                        </w:rPr>
                        <w:t>探索建立边境涉外调解组织；</w:t>
                      </w:r>
                    </w:p>
                    <w:p>
                      <w:pPr>
                        <w:pStyle w:val="31"/>
                        <w:keepNext w:val="0"/>
                        <w:keepLines w:val="0"/>
                        <w:pageBreakBefore w:val="0"/>
                        <w:widowControl w:val="0"/>
                        <w:numPr>
                          <w:ilvl w:val="0"/>
                          <w:numId w:val="6"/>
                        </w:numPr>
                        <w:tabs>
                          <w:tab w:val="left" w:pos="1096"/>
                        </w:tabs>
                        <w:kinsoku/>
                        <w:wordWrap/>
                        <w:overflowPunct/>
                        <w:topLinePunct w:val="0"/>
                        <w:autoSpaceDE/>
                        <w:autoSpaceDN/>
                        <w:bidi w:val="0"/>
                        <w:adjustRightInd/>
                        <w:snapToGrid/>
                        <w:spacing w:after="0" w:line="360" w:lineRule="exact"/>
                        <w:ind w:left="252" w:right="370" w:firstLine="559"/>
                        <w:jc w:val="both"/>
                        <w:textAlignment w:val="auto"/>
                        <w:rPr>
                          <w:rFonts w:hint="default" w:ascii="仿宋_GB2312" w:hAnsi="仿宋_GB2312" w:eastAsia="仿宋_GB2312" w:cs="仿宋_GB2312"/>
                          <w:spacing w:val="0"/>
                          <w:sz w:val="24"/>
                          <w:szCs w:val="24"/>
                          <w:u w:val="none"/>
                        </w:rPr>
                      </w:pPr>
                      <w:r>
                        <w:rPr>
                          <w:rFonts w:hint="default" w:ascii="仿宋_GB2312" w:hAnsi="仿宋_GB2312" w:eastAsia="仿宋_GB2312" w:cs="仿宋_GB2312"/>
                          <w:spacing w:val="0"/>
                          <w:sz w:val="24"/>
                          <w:szCs w:val="24"/>
                          <w:u w:val="none"/>
                        </w:rPr>
                        <w:t>贯彻落实广西完善仲裁管理制度提高仲裁公信力的若干措施；</w:t>
                      </w:r>
                    </w:p>
                    <w:p>
                      <w:pPr>
                        <w:pStyle w:val="31"/>
                        <w:keepNext w:val="0"/>
                        <w:keepLines w:val="0"/>
                        <w:pageBreakBefore w:val="0"/>
                        <w:widowControl w:val="0"/>
                        <w:numPr>
                          <w:ilvl w:val="0"/>
                          <w:numId w:val="6"/>
                        </w:numPr>
                        <w:tabs>
                          <w:tab w:val="left" w:pos="1096"/>
                        </w:tabs>
                        <w:kinsoku/>
                        <w:wordWrap/>
                        <w:overflowPunct/>
                        <w:topLinePunct w:val="0"/>
                        <w:autoSpaceDE/>
                        <w:autoSpaceDN/>
                        <w:bidi w:val="0"/>
                        <w:adjustRightInd/>
                        <w:snapToGrid/>
                        <w:spacing w:after="0" w:line="360" w:lineRule="exact"/>
                        <w:ind w:left="252" w:right="370" w:firstLine="559"/>
                        <w:jc w:val="both"/>
                        <w:textAlignment w:val="auto"/>
                        <w:rPr>
                          <w:rFonts w:hint="default" w:ascii="仿宋_GB2312" w:hAnsi="仿宋_GB2312" w:eastAsia="仿宋_GB2312" w:cs="仿宋_GB2312"/>
                          <w:spacing w:val="0"/>
                          <w:sz w:val="24"/>
                          <w:szCs w:val="24"/>
                          <w:u w:val="none"/>
                          <w:lang w:val="en-US" w:eastAsia="zh-CN"/>
                        </w:rPr>
                      </w:pPr>
                      <w:r>
                        <w:rPr>
                          <w:rFonts w:hint="default" w:ascii="仿宋_GB2312" w:hAnsi="仿宋_GB2312" w:eastAsia="仿宋_GB2312" w:cs="仿宋_GB2312"/>
                          <w:spacing w:val="0"/>
                          <w:sz w:val="24"/>
                          <w:szCs w:val="24"/>
                          <w:u w:val="none"/>
                          <w:lang w:val="en-US" w:eastAsia="zh-CN"/>
                        </w:rPr>
                        <w:t>推广应用全区仲裁案件统一受理平台，完善仲裁立案与法院执行互认机制；</w:t>
                      </w:r>
                    </w:p>
                    <w:p>
                      <w:pPr>
                        <w:pStyle w:val="31"/>
                        <w:keepNext w:val="0"/>
                        <w:keepLines w:val="0"/>
                        <w:pageBreakBefore w:val="0"/>
                        <w:widowControl w:val="0"/>
                        <w:numPr>
                          <w:ilvl w:val="0"/>
                          <w:numId w:val="6"/>
                        </w:numPr>
                        <w:tabs>
                          <w:tab w:val="left" w:pos="1096"/>
                        </w:tabs>
                        <w:kinsoku/>
                        <w:wordWrap/>
                        <w:overflowPunct/>
                        <w:topLinePunct w:val="0"/>
                        <w:autoSpaceDE/>
                        <w:autoSpaceDN/>
                        <w:bidi w:val="0"/>
                        <w:adjustRightInd/>
                        <w:snapToGrid/>
                        <w:spacing w:after="0" w:line="360" w:lineRule="exact"/>
                        <w:ind w:left="252" w:right="370" w:firstLine="559"/>
                        <w:jc w:val="both"/>
                        <w:textAlignment w:val="auto"/>
                        <w:rPr>
                          <w:rFonts w:hint="eastAsia" w:ascii="仿宋_GB2312" w:hAnsi="仿宋_GB2312" w:eastAsia="仿宋_GB2312" w:cs="仿宋_GB2312"/>
                          <w:spacing w:val="0"/>
                          <w:sz w:val="24"/>
                          <w:szCs w:val="24"/>
                          <w:u w:val="none"/>
                        </w:rPr>
                      </w:pPr>
                      <w:r>
                        <w:rPr>
                          <w:rFonts w:hint="default" w:ascii="仿宋_GB2312" w:hAnsi="仿宋_GB2312" w:eastAsia="仿宋_GB2312" w:cs="仿宋_GB2312"/>
                          <w:spacing w:val="0"/>
                          <w:sz w:val="24"/>
                          <w:szCs w:val="24"/>
                          <w:u w:val="none"/>
                          <w:lang w:val="en-US" w:eastAsia="zh-CN"/>
                        </w:rPr>
                        <w:t>贯彻落实广西进一步深化改革、强化监管、提高司法鉴定质量和</w:t>
                      </w:r>
                      <w:r>
                        <w:rPr>
                          <w:rFonts w:hint="eastAsia" w:ascii="仿宋_GB2312" w:hAnsi="仿宋_GB2312" w:eastAsia="仿宋_GB2312" w:cs="仿宋_GB2312"/>
                          <w:spacing w:val="0"/>
                          <w:sz w:val="24"/>
                          <w:szCs w:val="24"/>
                          <w:u w:val="none"/>
                          <w:lang w:val="en-US" w:eastAsia="zh-CN"/>
                        </w:rPr>
                        <w:t>公</w:t>
                      </w:r>
                      <w:r>
                        <w:rPr>
                          <w:rFonts w:hint="default" w:ascii="仿宋_GB2312" w:hAnsi="仿宋_GB2312" w:eastAsia="仿宋_GB2312" w:cs="仿宋_GB2312"/>
                          <w:spacing w:val="0"/>
                          <w:sz w:val="24"/>
                          <w:szCs w:val="24"/>
                          <w:u w:val="none"/>
                          <w:lang w:val="en-US" w:eastAsia="zh-CN"/>
                        </w:rPr>
                        <w:t>信力的措施。</w:t>
                      </w:r>
                    </w:p>
                  </w:txbxContent>
                </v:textbox>
                <w10:wrap type="square"/>
              </v:shape>
            </w:pict>
          </mc:Fallback>
        </mc:AlternateContent>
      </w:r>
    </w:p>
    <w:p>
      <w:pPr>
        <w:pStyle w:val="3"/>
        <w:keepNext w:val="0"/>
        <w:keepLines w:val="0"/>
        <w:pageBreakBefore w:val="0"/>
        <w:widowControl w:val="0"/>
        <w:tabs>
          <w:tab w:val="left" w:pos="1540"/>
        </w:tabs>
        <w:kinsoku/>
        <w:wordWrap/>
        <w:overflowPunct/>
        <w:topLinePunct w:val="0"/>
        <w:autoSpaceDE w:val="0"/>
        <w:autoSpaceDN w:val="0"/>
        <w:bidi w:val="0"/>
        <w:adjustRightInd/>
        <w:snapToGrid/>
        <w:spacing w:before="0" w:line="560" w:lineRule="exact"/>
        <w:ind w:left="0" w:right="0"/>
        <w:jc w:val="center"/>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rPr>
        <w:tab/>
      </w:r>
      <w:r>
        <w:rPr>
          <w:rFonts w:hint="eastAsia" w:ascii="黑体" w:hAnsi="黑体" w:eastAsia="黑体" w:cs="黑体"/>
          <w:sz w:val="32"/>
          <w:szCs w:val="32"/>
        </w:rPr>
        <w:t>全面提高公共法律服务保障能力</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default" w:ascii="Times New Roman" w:hAnsi="Times New Roman" w:cs="Times New Roman"/>
          <w:sz w:val="30"/>
        </w:rPr>
      </w:pPr>
    </w:p>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第一节 健全公共法律服务统筹协调机制</w:t>
      </w:r>
    </w:p>
    <w:p>
      <w:pPr>
        <w:pStyle w:val="2"/>
        <w:keepNext w:val="0"/>
        <w:keepLines w:val="0"/>
        <w:pageBreakBefore w:val="0"/>
        <w:widowControl w:val="0"/>
        <w:kinsoku/>
        <w:wordWrap/>
        <w:overflowPunct/>
        <w:topLinePunct w:val="0"/>
        <w:bidi w:val="0"/>
        <w:adjustRightInd/>
        <w:snapToGrid/>
        <w:spacing w:line="560" w:lineRule="exact"/>
        <w:ind w:left="0" w:leftChars="0"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rPr>
        <w:t>健全党委领导、政府主导、部门协同、社会参与的公共法律服务管理体制和工作机制。将公共法律服务体系纳入法治</w:t>
      </w:r>
      <w:r>
        <w:rPr>
          <w:rFonts w:hint="eastAsia" w:ascii="仿宋_GB2312" w:hAnsi="仿宋_GB2312" w:eastAsia="仿宋_GB2312" w:cs="仿宋_GB2312"/>
          <w:lang w:eastAsia="zh-CN"/>
        </w:rPr>
        <w:t>防城港</w:t>
      </w:r>
      <w:r>
        <w:rPr>
          <w:rFonts w:hint="eastAsia" w:ascii="仿宋_GB2312" w:hAnsi="仿宋_GB2312" w:eastAsia="仿宋_GB2312" w:cs="仿宋_GB2312"/>
        </w:rPr>
        <w:t>、法治政府、法治社会一体建设，在全面依法治市中协调推进，与行政复议、行政立法、行政执法、公正司法、守法普法工作融合衔接。完善公共法律服务协调合作运行机制，在规划编制、政策衔接、标准制定实施、服务运行、财政保障等方面加强整体设计、协调推进。健全公共法律服务与诉讼服务、社会服务等领域的工作对接机制，实现公共法律服务资源整合和互联互通。鼓励和支持社会力量通过投资或捐助设施设备、资助项目、赞助活动、提供产品和服务等方式参与公共法律服务体系建设，共同构建覆盖城乡、便捷高效、均等普惠的现代公共法律服务体系。</w:t>
      </w:r>
    </w:p>
    <w:p>
      <w:pPr>
        <w:keepNext w:val="0"/>
        <w:keepLines w:val="0"/>
        <w:pageBreakBefore w:val="0"/>
        <w:widowControl w:val="0"/>
        <w:kinsoku/>
        <w:wordWrap/>
        <w:overflowPunct/>
        <w:topLinePunct w:val="0"/>
        <w:bidi w:val="0"/>
        <w:adjustRightInd/>
        <w:snapToGrid/>
        <w:spacing w:line="560" w:lineRule="exact"/>
        <w:jc w:val="center"/>
        <w:textAlignment w:val="auto"/>
        <w:rPr>
          <w:rFonts w:hint="default" w:ascii="Times New Roman" w:hAnsi="Times New Roman" w:eastAsia="楷体_GB2312" w:cs="Times New Roman"/>
          <w:sz w:val="32"/>
          <w:szCs w:val="32"/>
        </w:rPr>
      </w:pPr>
    </w:p>
    <w:p>
      <w:pPr>
        <w:keepNext w:val="0"/>
        <w:keepLines w:val="0"/>
        <w:pageBreakBefore w:val="0"/>
        <w:widowControl w:val="0"/>
        <w:kinsoku/>
        <w:wordWrap/>
        <w:overflowPunct/>
        <w:topLinePunct w:val="0"/>
        <w:bidi w:val="0"/>
        <w:adjustRightInd/>
        <w:snapToGrid/>
        <w:spacing w:line="560" w:lineRule="exact"/>
        <w:jc w:val="center"/>
        <w:textAlignment w:val="auto"/>
        <w:rPr>
          <w:sz w:val="32"/>
          <w:szCs w:val="32"/>
        </w:rPr>
      </w:pPr>
      <w:r>
        <w:rPr>
          <w:rFonts w:hint="default" w:ascii="Times New Roman" w:hAnsi="Times New Roman" w:eastAsia="楷体_GB2312" w:cs="Times New Roman"/>
          <w:sz w:val="32"/>
          <w:szCs w:val="32"/>
        </w:rPr>
        <w:t>第二节 加强公共法律服务队伍建设</w:t>
      </w:r>
    </w:p>
    <w:p>
      <w:pPr>
        <w:pStyle w:val="2"/>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推进公共法律服务队伍革命化建设，通过加强党建、抓好科学理论武装，教育引导广大公共法律服务工作者增强“四个意识”、坚定“四个自信”、做到“两个维护”</w:t>
      </w:r>
      <w:r>
        <w:rPr>
          <w:rFonts w:hint="eastAsia" w:ascii="仿宋_GB2312" w:hAnsi="仿宋_GB2312" w:eastAsia="仿宋_GB2312" w:cs="仿宋_GB2312"/>
          <w:lang w:eastAsia="zh-CN"/>
        </w:rPr>
        <w:t>，</w:t>
      </w:r>
      <w:r>
        <w:rPr>
          <w:rFonts w:hint="eastAsia" w:ascii="仿宋_GB2312" w:hAnsi="仿宋_GB2312" w:eastAsia="仿宋_GB2312" w:cs="仿宋_GB2312"/>
        </w:rPr>
        <w:t>不忘初心、牢记使命，全心全意为人民服务。推进公共法律服务队伍正规化建设，健全公共法律服务各领域执业规范和标准，深化公共法律服务人才准入和管理体制机制改革，稳步增加律师、公证员、法律援助人员数量，加快发展政府法律顾问队伍，适需发展司法鉴定人</w:t>
      </w:r>
      <w:r>
        <w:rPr>
          <w:rFonts w:hint="eastAsia" w:ascii="仿宋_GB2312" w:hAnsi="仿宋_GB2312" w:eastAsia="仿宋_GB2312" w:cs="仿宋_GB2312"/>
          <w:lang w:eastAsia="zh-CN"/>
        </w:rPr>
        <w:t>才</w:t>
      </w:r>
      <w:r>
        <w:rPr>
          <w:rFonts w:hint="eastAsia" w:ascii="仿宋_GB2312" w:hAnsi="仿宋_GB2312" w:eastAsia="仿宋_GB2312" w:cs="仿宋_GB2312"/>
        </w:rPr>
        <w:t>队伍，积极发展专职人民调解员队伍，规范发展基层法律服务工作者队伍，努力解决基层公共法律服务资源不足问题。推进公共法律服务队伍专业化建设，按照分类、分级、按需施训原则，根据岗位标准和履职要求，通过“以案说法”形式，加大对司法所工作人员、人民调解员等基层公共法律服务队伍的培训力度；着重培养和引进社会稀缺、急需、涉外等公共法律服务人才，通过完善队伍建设制度、加强交流培训等措施，全面提升公共法律服务队伍专业化水平和综合能力。加强公共法律服务各领域领军人物和学科带头人队伍建设，发展壮大涉外法律服务队伍。推进公共法律服务队伍职业化建设，完善职业道德规范制度体系，促进公共法律服务行风建设和诚信体系建设，不断提高公共法律服务队伍职业素养。</w:t>
      </w:r>
    </w:p>
    <w:p>
      <w:pPr>
        <w:keepNext w:val="0"/>
        <w:keepLines w:val="0"/>
        <w:pageBreakBefore w:val="0"/>
        <w:widowControl w:val="0"/>
        <w:kinsoku/>
        <w:wordWrap/>
        <w:overflowPunct/>
        <w:topLinePunct w:val="0"/>
        <w:bidi w:val="0"/>
        <w:adjustRightInd/>
        <w:snapToGrid/>
        <w:spacing w:line="560" w:lineRule="exact"/>
        <w:textAlignment w:val="auto"/>
        <w:rPr>
          <w:rFonts w:hint="eastAsia"/>
        </w:rPr>
      </w:pPr>
    </w:p>
    <w:p>
      <w:pPr>
        <w:keepNext w:val="0"/>
        <w:keepLines w:val="0"/>
        <w:pageBreakBefore w:val="0"/>
        <w:widowControl w:val="0"/>
        <w:numPr>
          <w:ilvl w:val="0"/>
          <w:numId w:val="4"/>
        </w:numPr>
        <w:kinsoku/>
        <w:wordWrap/>
        <w:overflowPunct/>
        <w:topLinePunct w:val="0"/>
        <w:bidi w:val="0"/>
        <w:adjustRightInd/>
        <w:snapToGrid/>
        <w:spacing w:line="560" w:lineRule="exact"/>
        <w:ind w:left="0" w:leftChars="0" w:firstLine="0" w:firstLine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加强公共法律服务理论研究</w:t>
      </w:r>
    </w:p>
    <w:p>
      <w:pPr>
        <w:pStyle w:val="2"/>
        <w:keepNext w:val="0"/>
        <w:keepLines w:val="0"/>
        <w:pageBreakBefore w:val="0"/>
        <w:widowControl w:val="0"/>
        <w:numPr>
          <w:ilvl w:val="0"/>
          <w:numId w:val="0"/>
        </w:numPr>
        <w:kinsoku/>
        <w:wordWrap/>
        <w:overflowPunct/>
        <w:topLinePunct w:val="0"/>
        <w:bidi w:val="0"/>
        <w:adjustRightInd/>
        <w:snapToGrid/>
        <w:spacing w:line="560" w:lineRule="exact"/>
        <w:ind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加强公共法律服务理论研究</w:t>
      </w:r>
      <w:r>
        <w:rPr>
          <w:rFonts w:hint="eastAsia" w:ascii="仿宋_GB2312" w:hAnsi="仿宋_GB2312" w:eastAsia="仿宋_GB2312" w:cs="仿宋_GB2312"/>
          <w:lang w:eastAsia="zh-CN"/>
        </w:rPr>
        <w:t>，</w:t>
      </w:r>
      <w:r>
        <w:rPr>
          <w:rFonts w:hint="eastAsia" w:ascii="仿宋_GB2312" w:hAnsi="仿宋_GB2312" w:eastAsia="仿宋_GB2312" w:cs="仿宋_GB2312"/>
        </w:rPr>
        <w:t>推动公共法律服务理论与实践相结合、推进公共法律服务国内</w:t>
      </w:r>
      <w:r>
        <w:rPr>
          <w:rFonts w:hint="eastAsia" w:ascii="仿宋_GB2312" w:hAnsi="仿宋_GB2312" w:eastAsia="仿宋_GB2312" w:cs="仿宋_GB2312"/>
          <w:lang w:val="en-US" w:eastAsia="zh-CN"/>
        </w:rPr>
        <w:t>外</w:t>
      </w:r>
      <w:r>
        <w:rPr>
          <w:rFonts w:hint="eastAsia" w:ascii="仿宋_GB2312" w:hAnsi="仿宋_GB2312" w:eastAsia="仿宋_GB2312" w:cs="仿宋_GB2312"/>
        </w:rPr>
        <w:t>交流合作等事项落实，围绕</w:t>
      </w:r>
      <w:r>
        <w:rPr>
          <w:rFonts w:hint="eastAsia" w:ascii="仿宋_GB2312" w:hAnsi="仿宋_GB2312" w:eastAsia="仿宋_GB2312" w:cs="仿宋_GB2312"/>
          <w:lang w:val="en-US" w:eastAsia="zh-CN"/>
        </w:rPr>
        <w:t>我市经济社会发展大局和市委、市政府中心工作</w:t>
      </w:r>
      <w:r>
        <w:rPr>
          <w:rFonts w:hint="eastAsia" w:ascii="仿宋_GB2312" w:hAnsi="仿宋_GB2312" w:eastAsia="仿宋_GB2312" w:cs="仿宋_GB2312"/>
        </w:rPr>
        <w:t>，强化问题导向，聚焦社会热点、难点、重点公共法律服务事项，组织公共法律服务专项研究，为市委、市政府更好了解社情民意、掌握社会动态、科学民主决策提供理论支撑和实践参考。</w:t>
      </w:r>
    </w:p>
    <w:p>
      <w:pPr>
        <w:keepNext w:val="0"/>
        <w:keepLines w:val="0"/>
        <w:pageBreakBefore w:val="0"/>
        <w:widowControl w:val="0"/>
        <w:kinsoku/>
        <w:wordWrap/>
        <w:overflowPunct/>
        <w:topLinePunct w:val="0"/>
        <w:bidi w:val="0"/>
        <w:adjustRightInd/>
        <w:snapToGrid/>
        <w:spacing w:line="560" w:lineRule="exact"/>
        <w:textAlignment w:val="auto"/>
        <w:rPr>
          <w:rFonts w:hint="eastAsia"/>
        </w:rPr>
      </w:pPr>
    </w:p>
    <w:p>
      <w:pPr>
        <w:keepNext w:val="0"/>
        <w:keepLines w:val="0"/>
        <w:pageBreakBefore w:val="0"/>
        <w:widowControl w:val="0"/>
        <w:numPr>
          <w:ilvl w:val="0"/>
          <w:numId w:val="4"/>
        </w:numPr>
        <w:kinsoku/>
        <w:wordWrap/>
        <w:overflowPunct/>
        <w:topLinePunct w:val="0"/>
        <w:bidi w:val="0"/>
        <w:adjustRightInd/>
        <w:snapToGrid/>
        <w:spacing w:line="560" w:lineRule="exact"/>
        <w:ind w:left="0" w:leftChars="0" w:firstLine="0" w:firstLineChars="0"/>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注重经费投入确保实效</w:t>
      </w:r>
    </w:p>
    <w:p>
      <w:pPr>
        <w:pStyle w:val="2"/>
        <w:keepNext w:val="0"/>
        <w:keepLines w:val="0"/>
        <w:pageBreakBefore w:val="0"/>
        <w:widowControl w:val="0"/>
        <w:numPr>
          <w:ilvl w:val="0"/>
          <w:numId w:val="0"/>
        </w:numPr>
        <w:kinsoku/>
        <w:wordWrap/>
        <w:overflowPunct/>
        <w:topLinePunct w:val="0"/>
        <w:bidi w:val="0"/>
        <w:adjustRightInd/>
        <w:snapToGrid/>
        <w:spacing w:line="560" w:lineRule="exact"/>
        <w:ind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逐步建立完善与公共法律服务事业发展相适应的经费保障机制，将公共法律服务体系建设、法律援助等经费纳入同级政府财政预算，制定分类保障标准，加强公共法律服务基础设施、信息化建设、法律援助、司法鉴定、人民调解等各项经费保障。足额落实建设、服务、设备、运维管理等各方面资金，保障公共法律服务可持续发展。在充分利用中央转移支付资金、地方财政专项建设资金以及配套资金的基础上，创新公共法律服务经费投入方式，拓展资金筹集渠道。鼓励通过社会捐赠等方式，引导社会资金投向公共法律服务领域，有序推进公共法律服务协调发展。</w:t>
      </w:r>
    </w:p>
    <w:p>
      <w:pPr>
        <w:pStyle w:val="5"/>
        <w:tabs>
          <w:tab w:val="left" w:pos="2115"/>
        </w:tabs>
        <w:spacing w:before="138"/>
        <w:jc w:val="center"/>
        <w:rPr>
          <w:rFonts w:hint="eastAsia" w:ascii="黑体" w:eastAsia="黑体"/>
          <w:sz w:val="28"/>
          <w:szCs w:val="28"/>
        </w:rPr>
      </w:pPr>
      <w:r>
        <w:rPr>
          <w:rFonts w:hint="eastAsia" w:ascii="黑体" w:eastAsia="黑体"/>
          <w:sz w:val="28"/>
          <w:szCs w:val="28"/>
        </w:rPr>
        <w:t>专栏</w:t>
      </w:r>
      <w:r>
        <w:rPr>
          <w:rFonts w:hint="eastAsia" w:ascii="黑体" w:eastAsia="黑体"/>
          <w:spacing w:val="-80"/>
          <w:sz w:val="28"/>
          <w:szCs w:val="28"/>
        </w:rPr>
        <w:t xml:space="preserve"> </w:t>
      </w:r>
      <w:r>
        <w:rPr>
          <w:rFonts w:hint="eastAsia" w:ascii="黑体" w:eastAsia="黑体"/>
          <w:sz w:val="28"/>
          <w:szCs w:val="28"/>
        </w:rPr>
        <w:t>5</w:t>
      </w:r>
      <w:r>
        <w:rPr>
          <w:rFonts w:hint="eastAsia" w:ascii="黑体" w:eastAsia="黑体"/>
          <w:sz w:val="28"/>
          <w:szCs w:val="28"/>
          <w:lang w:val="en-US" w:eastAsia="zh-CN"/>
        </w:rPr>
        <w:t xml:space="preserve">  </w:t>
      </w:r>
      <w:r>
        <w:rPr>
          <w:rFonts w:hint="eastAsia" w:ascii="黑体" w:eastAsia="黑体"/>
          <w:sz w:val="28"/>
          <w:szCs w:val="28"/>
        </w:rPr>
        <w:t>全面提高公共法律服务保障能力重点任务</w:t>
      </w:r>
    </w:p>
    <w:p>
      <w:pPr>
        <w:rPr>
          <w:rFonts w:hint="eastAsia"/>
          <w:lang w:val="en-US" w:eastAsia="zh-CN"/>
        </w:rPr>
      </w:pPr>
      <w:r>
        <w:rPr>
          <w:sz w:val="32"/>
          <w:szCs w:val="32"/>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83185</wp:posOffset>
                </wp:positionV>
                <wp:extent cx="5417820" cy="2225675"/>
                <wp:effectExtent l="4445" t="5080" r="6985" b="17145"/>
                <wp:wrapSquare wrapText="bothSides"/>
                <wp:docPr id="4" name="文本框 153"/>
                <wp:cNvGraphicFramePr/>
                <a:graphic xmlns:a="http://schemas.openxmlformats.org/drawingml/2006/main">
                  <a:graphicData uri="http://schemas.microsoft.com/office/word/2010/wordprocessingShape">
                    <wps:wsp>
                      <wps:cNvSpPr txBox="true"/>
                      <wps:spPr>
                        <a:xfrm>
                          <a:off x="0" y="0"/>
                          <a:ext cx="5417820" cy="22256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numPr>
                                <w:ilvl w:val="0"/>
                                <w:numId w:val="7"/>
                              </w:numPr>
                              <w:tabs>
                                <w:tab w:val="left" w:pos="853"/>
                              </w:tabs>
                              <w:kinsoku/>
                              <w:wordWrap/>
                              <w:overflowPunct/>
                              <w:topLinePunct w:val="0"/>
                              <w:autoSpaceDE/>
                              <w:autoSpaceDN/>
                              <w:bidi w:val="0"/>
                              <w:adjustRightInd/>
                              <w:snapToGrid/>
                              <w:spacing w:line="360" w:lineRule="exact"/>
                              <w:ind w:left="11" w:right="6"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建设</w:t>
                            </w:r>
                            <w:r>
                              <w:rPr>
                                <w:rFonts w:hint="eastAsia" w:ascii="仿宋_GB2312" w:hAnsi="仿宋_GB2312" w:eastAsia="仿宋_GB2312" w:cs="仿宋_GB2312"/>
                                <w:sz w:val="28"/>
                                <w:lang w:val="en-US" w:eastAsia="zh-CN"/>
                              </w:rPr>
                              <w:t>完善市、</w:t>
                            </w:r>
                            <w:r>
                              <w:rPr>
                                <w:rFonts w:hint="eastAsia" w:ascii="仿宋_GB2312" w:hAnsi="仿宋_GB2312" w:eastAsia="仿宋_GB2312" w:cs="仿宋_GB2312"/>
                                <w:sz w:val="28"/>
                                <w:lang w:eastAsia="zh-CN"/>
                              </w:rPr>
                              <w:t>县</w:t>
                            </w:r>
                            <w:r>
                              <w:rPr>
                                <w:rFonts w:hint="eastAsia" w:ascii="仿宋_GB2312" w:hAnsi="仿宋_GB2312" w:eastAsia="仿宋_GB2312" w:cs="仿宋_GB2312"/>
                                <w:sz w:val="28"/>
                              </w:rPr>
                              <w:t>两级行政复议服务中心，完善公共法律服务与</w:t>
                            </w:r>
                            <w:r>
                              <w:rPr>
                                <w:rFonts w:hint="eastAsia" w:ascii="仿宋_GB2312" w:hAnsi="仿宋_GB2312" w:eastAsia="仿宋_GB2312" w:cs="仿宋_GB2312"/>
                                <w:spacing w:val="-3"/>
                                <w:sz w:val="28"/>
                              </w:rPr>
                              <w:t>行政复议联动解决行政争议机制；</w:t>
                            </w:r>
                          </w:p>
                          <w:p>
                            <w:pPr>
                              <w:keepNext w:val="0"/>
                              <w:keepLines w:val="0"/>
                              <w:pageBreakBefore w:val="0"/>
                              <w:widowControl w:val="0"/>
                              <w:numPr>
                                <w:ilvl w:val="0"/>
                                <w:numId w:val="7"/>
                              </w:numPr>
                              <w:tabs>
                                <w:tab w:val="left" w:pos="853"/>
                              </w:tabs>
                              <w:kinsoku/>
                              <w:wordWrap/>
                              <w:overflowPunct/>
                              <w:topLinePunct w:val="0"/>
                              <w:autoSpaceDE/>
                              <w:autoSpaceDN/>
                              <w:bidi w:val="0"/>
                              <w:adjustRightInd/>
                              <w:snapToGrid/>
                              <w:spacing w:line="360" w:lineRule="exact"/>
                              <w:ind w:left="11" w:right="6"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培育扶持法治建设示范地区、示范项目、示范点，建立和完善引</w:t>
                            </w:r>
                            <w:r>
                              <w:rPr>
                                <w:rFonts w:hint="eastAsia" w:ascii="仿宋_GB2312" w:hAnsi="仿宋_GB2312" w:eastAsia="仿宋_GB2312" w:cs="仿宋_GB2312"/>
                                <w:spacing w:val="-3"/>
                                <w:sz w:val="28"/>
                              </w:rPr>
                              <w:t>领推动公共法律服务体系建设机制；</w:t>
                            </w:r>
                          </w:p>
                          <w:p>
                            <w:pPr>
                              <w:keepNext w:val="0"/>
                              <w:keepLines w:val="0"/>
                              <w:pageBreakBefore w:val="0"/>
                              <w:widowControl w:val="0"/>
                              <w:numPr>
                                <w:ilvl w:val="0"/>
                                <w:numId w:val="7"/>
                              </w:numPr>
                              <w:tabs>
                                <w:tab w:val="left" w:pos="853"/>
                              </w:tabs>
                              <w:kinsoku/>
                              <w:wordWrap/>
                              <w:overflowPunct/>
                              <w:topLinePunct w:val="0"/>
                              <w:autoSpaceDE/>
                              <w:autoSpaceDN/>
                              <w:bidi w:val="0"/>
                              <w:adjustRightInd/>
                              <w:snapToGrid/>
                              <w:spacing w:line="360" w:lineRule="exact"/>
                              <w:ind w:left="11" w:right="6"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加强公共法律服务队伍思想政治、职业道德、业务技能等职业教</w:t>
                            </w:r>
                            <w:r>
                              <w:rPr>
                                <w:rFonts w:hint="eastAsia" w:ascii="仿宋_GB2312" w:hAnsi="仿宋_GB2312" w:eastAsia="仿宋_GB2312" w:cs="仿宋_GB2312"/>
                                <w:spacing w:val="-3"/>
                                <w:sz w:val="28"/>
                              </w:rPr>
                              <w:t>育培训，提高培训水平；</w:t>
                            </w:r>
                          </w:p>
                          <w:p>
                            <w:pPr>
                              <w:keepNext w:val="0"/>
                              <w:keepLines w:val="0"/>
                              <w:pageBreakBefore w:val="0"/>
                              <w:widowControl w:val="0"/>
                              <w:numPr>
                                <w:ilvl w:val="0"/>
                                <w:numId w:val="7"/>
                              </w:numPr>
                              <w:tabs>
                                <w:tab w:val="left" w:pos="853"/>
                              </w:tabs>
                              <w:kinsoku/>
                              <w:wordWrap/>
                              <w:overflowPunct/>
                              <w:topLinePunct w:val="0"/>
                              <w:autoSpaceDE/>
                              <w:autoSpaceDN/>
                              <w:bidi w:val="0"/>
                              <w:adjustRightInd/>
                              <w:snapToGrid/>
                              <w:spacing w:line="360" w:lineRule="exact"/>
                              <w:ind w:left="11" w:right="6"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加强公共法律服务各领域领军人物和学科带头人队伍建设，推进</w:t>
                            </w:r>
                            <w:r>
                              <w:rPr>
                                <w:rFonts w:hint="eastAsia" w:ascii="仿宋_GB2312" w:hAnsi="仿宋_GB2312" w:eastAsia="仿宋_GB2312" w:cs="仿宋_GB2312"/>
                                <w:spacing w:val="-3"/>
                                <w:sz w:val="28"/>
                              </w:rPr>
                              <w:t>公共法律服务队伍专业化建设；</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lang w:val="en-US" w:eastAsia="zh-CN"/>
                              </w:rPr>
                            </w:pPr>
                            <w:r>
                              <w:rPr>
                                <w:rFonts w:hint="eastAsia" w:ascii="仿宋_GB2312" w:hAnsi="仿宋_GB2312" w:eastAsia="仿宋_GB2312" w:cs="仿宋_GB2312"/>
                                <w:spacing w:val="-3"/>
                                <w:sz w:val="28"/>
                                <w:lang w:val="en-US" w:eastAsia="zh-CN"/>
                              </w:rPr>
                              <w:t>5.加强理论研究，建立公共法律服务和研究协同机制。</w:t>
                            </w:r>
                          </w:p>
                        </w:txbxContent>
                      </wps:txbx>
                      <wps:bodyPr vert="horz" wrap="square" anchor="t" anchorCtr="false" upright="true"/>
                    </wps:wsp>
                  </a:graphicData>
                </a:graphic>
              </wp:anchor>
            </w:drawing>
          </mc:Choice>
          <mc:Fallback>
            <w:pict>
              <v:shape id="文本框 153" o:spid="_x0000_s1026" o:spt="202" type="#_x0000_t202" style="position:absolute;left:0pt;margin-left:-1.65pt;margin-top:6.55pt;height:175.25pt;width:426.6pt;mso-wrap-distance-bottom:0pt;mso-wrap-distance-left:9pt;mso-wrap-distance-right:9pt;mso-wrap-distance-top:0pt;z-index:251661312;mso-width-relative:page;mso-height-relative:page;" fillcolor="#FFFFFF" filled="t" stroked="t" coordsize="21600,21600" o:gfxdata="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BlH3LrYAAAACQEAAA8AAAAAAAAAAQAgAAAAOAAAAGRycy9kb3ducmV2LnhtbFBLAQIU&#10;ABQAAAAIAIdO4kDHnVyMFgIAACgEAAAOAAAAAAAAAAEAIAAAAD0BAABkcnMvZTJvRG9jLnhtbFBL&#10;BQYAAAAABgAGAFkBAADFBQAAAAA=&#10;">
                <v:fill on="t" focussize="0,0"/>
                <v:stroke color="#000000" joinstyle="miter"/>
                <v:imagedata o:title=""/>
                <o:lock v:ext="edit" aspectratio="f"/>
                <v:textbox>
                  <w:txbxContent>
                    <w:p>
                      <w:pPr>
                        <w:keepNext w:val="0"/>
                        <w:keepLines w:val="0"/>
                        <w:pageBreakBefore w:val="0"/>
                        <w:widowControl w:val="0"/>
                        <w:numPr>
                          <w:ilvl w:val="0"/>
                          <w:numId w:val="7"/>
                        </w:numPr>
                        <w:tabs>
                          <w:tab w:val="left" w:pos="853"/>
                        </w:tabs>
                        <w:kinsoku/>
                        <w:wordWrap/>
                        <w:overflowPunct/>
                        <w:topLinePunct w:val="0"/>
                        <w:autoSpaceDE/>
                        <w:autoSpaceDN/>
                        <w:bidi w:val="0"/>
                        <w:adjustRightInd/>
                        <w:snapToGrid/>
                        <w:spacing w:line="360" w:lineRule="exact"/>
                        <w:ind w:left="11" w:right="6"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建设</w:t>
                      </w:r>
                      <w:r>
                        <w:rPr>
                          <w:rFonts w:hint="eastAsia" w:ascii="仿宋_GB2312" w:hAnsi="仿宋_GB2312" w:eastAsia="仿宋_GB2312" w:cs="仿宋_GB2312"/>
                          <w:sz w:val="28"/>
                          <w:lang w:val="en-US" w:eastAsia="zh-CN"/>
                        </w:rPr>
                        <w:t>完善市、</w:t>
                      </w:r>
                      <w:r>
                        <w:rPr>
                          <w:rFonts w:hint="eastAsia" w:ascii="仿宋_GB2312" w:hAnsi="仿宋_GB2312" w:eastAsia="仿宋_GB2312" w:cs="仿宋_GB2312"/>
                          <w:sz w:val="28"/>
                          <w:lang w:eastAsia="zh-CN"/>
                        </w:rPr>
                        <w:t>县</w:t>
                      </w:r>
                      <w:r>
                        <w:rPr>
                          <w:rFonts w:hint="eastAsia" w:ascii="仿宋_GB2312" w:hAnsi="仿宋_GB2312" w:eastAsia="仿宋_GB2312" w:cs="仿宋_GB2312"/>
                          <w:sz w:val="28"/>
                        </w:rPr>
                        <w:t>两级行政复议服务中心，完善公共法律服务与</w:t>
                      </w:r>
                      <w:r>
                        <w:rPr>
                          <w:rFonts w:hint="eastAsia" w:ascii="仿宋_GB2312" w:hAnsi="仿宋_GB2312" w:eastAsia="仿宋_GB2312" w:cs="仿宋_GB2312"/>
                          <w:spacing w:val="-3"/>
                          <w:sz w:val="28"/>
                        </w:rPr>
                        <w:t>行政复议联动解决行政争议机制；</w:t>
                      </w:r>
                    </w:p>
                    <w:p>
                      <w:pPr>
                        <w:keepNext w:val="0"/>
                        <w:keepLines w:val="0"/>
                        <w:pageBreakBefore w:val="0"/>
                        <w:widowControl w:val="0"/>
                        <w:numPr>
                          <w:ilvl w:val="0"/>
                          <w:numId w:val="7"/>
                        </w:numPr>
                        <w:tabs>
                          <w:tab w:val="left" w:pos="853"/>
                        </w:tabs>
                        <w:kinsoku/>
                        <w:wordWrap/>
                        <w:overflowPunct/>
                        <w:topLinePunct w:val="0"/>
                        <w:autoSpaceDE/>
                        <w:autoSpaceDN/>
                        <w:bidi w:val="0"/>
                        <w:adjustRightInd/>
                        <w:snapToGrid/>
                        <w:spacing w:line="360" w:lineRule="exact"/>
                        <w:ind w:left="11" w:right="6"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培育扶持法治建设示范地区、示范项目、示范点，建立和完善引</w:t>
                      </w:r>
                      <w:r>
                        <w:rPr>
                          <w:rFonts w:hint="eastAsia" w:ascii="仿宋_GB2312" w:hAnsi="仿宋_GB2312" w:eastAsia="仿宋_GB2312" w:cs="仿宋_GB2312"/>
                          <w:spacing w:val="-3"/>
                          <w:sz w:val="28"/>
                        </w:rPr>
                        <w:t>领推动公共法律服务体系建设机制；</w:t>
                      </w:r>
                    </w:p>
                    <w:p>
                      <w:pPr>
                        <w:keepNext w:val="0"/>
                        <w:keepLines w:val="0"/>
                        <w:pageBreakBefore w:val="0"/>
                        <w:widowControl w:val="0"/>
                        <w:numPr>
                          <w:ilvl w:val="0"/>
                          <w:numId w:val="7"/>
                        </w:numPr>
                        <w:tabs>
                          <w:tab w:val="left" w:pos="853"/>
                        </w:tabs>
                        <w:kinsoku/>
                        <w:wordWrap/>
                        <w:overflowPunct/>
                        <w:topLinePunct w:val="0"/>
                        <w:autoSpaceDE/>
                        <w:autoSpaceDN/>
                        <w:bidi w:val="0"/>
                        <w:adjustRightInd/>
                        <w:snapToGrid/>
                        <w:spacing w:line="360" w:lineRule="exact"/>
                        <w:ind w:left="11" w:right="6"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加强公共法律服务队伍思想政治、职业道德、业务技能等职业教</w:t>
                      </w:r>
                      <w:r>
                        <w:rPr>
                          <w:rFonts w:hint="eastAsia" w:ascii="仿宋_GB2312" w:hAnsi="仿宋_GB2312" w:eastAsia="仿宋_GB2312" w:cs="仿宋_GB2312"/>
                          <w:spacing w:val="-3"/>
                          <w:sz w:val="28"/>
                        </w:rPr>
                        <w:t>育培训，提高培训水平；</w:t>
                      </w:r>
                    </w:p>
                    <w:p>
                      <w:pPr>
                        <w:keepNext w:val="0"/>
                        <w:keepLines w:val="0"/>
                        <w:pageBreakBefore w:val="0"/>
                        <w:widowControl w:val="0"/>
                        <w:numPr>
                          <w:ilvl w:val="0"/>
                          <w:numId w:val="7"/>
                        </w:numPr>
                        <w:tabs>
                          <w:tab w:val="left" w:pos="853"/>
                        </w:tabs>
                        <w:kinsoku/>
                        <w:wordWrap/>
                        <w:overflowPunct/>
                        <w:topLinePunct w:val="0"/>
                        <w:autoSpaceDE/>
                        <w:autoSpaceDN/>
                        <w:bidi w:val="0"/>
                        <w:adjustRightInd/>
                        <w:snapToGrid/>
                        <w:spacing w:line="360" w:lineRule="exact"/>
                        <w:ind w:left="11" w:right="6"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加强公共法律服务各领域领军人物和学科带头人队伍建设，推进</w:t>
                      </w:r>
                      <w:r>
                        <w:rPr>
                          <w:rFonts w:hint="eastAsia" w:ascii="仿宋_GB2312" w:hAnsi="仿宋_GB2312" w:eastAsia="仿宋_GB2312" w:cs="仿宋_GB2312"/>
                          <w:spacing w:val="-3"/>
                          <w:sz w:val="28"/>
                        </w:rPr>
                        <w:t>公共法律服务队伍专业化建设；</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lang w:val="en-US" w:eastAsia="zh-CN"/>
                        </w:rPr>
                      </w:pPr>
                      <w:r>
                        <w:rPr>
                          <w:rFonts w:hint="eastAsia" w:ascii="仿宋_GB2312" w:hAnsi="仿宋_GB2312" w:eastAsia="仿宋_GB2312" w:cs="仿宋_GB2312"/>
                          <w:spacing w:val="-3"/>
                          <w:sz w:val="28"/>
                          <w:lang w:val="en-US" w:eastAsia="zh-CN"/>
                        </w:rPr>
                        <w:t>5.加强理论研究，建立公共法律服务和研究协同机制。</w:t>
                      </w:r>
                    </w:p>
                  </w:txbxContent>
                </v:textbox>
                <w10:wrap type="square"/>
              </v:shape>
            </w:pict>
          </mc:Fallback>
        </mc:AlternateConten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黑体" w:hAnsi="黑体" w:eastAsia="黑体" w:cs="黑体"/>
          <w:sz w:val="32"/>
          <w:szCs w:val="32"/>
          <w:u w:val="none"/>
        </w:rPr>
      </w:pPr>
      <w:r>
        <w:rPr>
          <w:rFonts w:hint="eastAsia" w:ascii="黑体" w:hAnsi="黑体" w:eastAsia="黑体" w:cs="黑体"/>
          <w:sz w:val="32"/>
          <w:szCs w:val="32"/>
          <w:u w:val="none"/>
        </w:rPr>
        <w:t>第六章</w:t>
      </w:r>
      <w:r>
        <w:rPr>
          <w:rFonts w:hint="eastAsia" w:ascii="黑体" w:hAnsi="黑体" w:eastAsia="黑体" w:cs="黑体"/>
          <w:sz w:val="32"/>
          <w:szCs w:val="32"/>
          <w:u w:val="none"/>
        </w:rPr>
        <w:tab/>
      </w:r>
      <w:r>
        <w:rPr>
          <w:rFonts w:hint="eastAsia" w:ascii="黑体" w:hAnsi="黑体" w:eastAsia="黑体" w:cs="黑体"/>
          <w:sz w:val="32"/>
          <w:szCs w:val="32"/>
          <w:u w:val="none"/>
        </w:rPr>
        <w:t>加强规划的组织实施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z w:val="32"/>
          <w:szCs w:val="32"/>
          <w:u w:val="none"/>
        </w:rPr>
      </w:pPr>
      <w:r>
        <w:rPr>
          <w:rFonts w:hint="default" w:ascii="Times New Roman" w:hAnsi="Times New Roman" w:eastAsia="楷体_GB2312" w:cs="Times New Roman"/>
          <w:sz w:val="32"/>
          <w:szCs w:val="32"/>
          <w:u w:val="none"/>
        </w:rPr>
        <w:t>第一节</w:t>
      </w:r>
      <w:r>
        <w:rPr>
          <w:rFonts w:hint="eastAsia" w:ascii="Times New Roman" w:hAnsi="Times New Roman" w:eastAsia="楷体_GB2312" w:cs="Times New Roman"/>
          <w:sz w:val="32"/>
          <w:szCs w:val="32"/>
          <w:u w:val="none"/>
          <w:lang w:val="en-US" w:eastAsia="zh-CN"/>
        </w:rPr>
        <w:t xml:space="preserve"> </w:t>
      </w:r>
      <w:r>
        <w:rPr>
          <w:rFonts w:hint="default" w:ascii="Times New Roman" w:hAnsi="Times New Roman" w:eastAsia="楷体_GB2312" w:cs="Times New Roman"/>
          <w:sz w:val="32"/>
          <w:szCs w:val="32"/>
          <w:u w:val="none"/>
        </w:rPr>
        <w:t xml:space="preserve"> 加强统筹推进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各级政府要加强对公共法律服务体系建设的领导，结合本地区实际，紧紧围绕中央、自治区及防城港市有关决策部署，将公共法律服务体系建设摆上重要议事日程，纳入本地区国民经济和社会发展总体规划同部署、同推进、同考核，纳入法治建设总体规划，列入为民办实事项目并抓好落实。各地各相关部门要集中力量、突出重点抓好规划具体项目的推进落实，在项目审批和实施过程中应给予政策倾斜和有力配合，将规划项目纳入财政年度预算统筹安排。各建设单位要及时做好规划项目前期准备，按照规定程序报当地人民政府或相关职能部门审批，确保本规划落地落实。</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u w:val="none"/>
        </w:rPr>
      </w:pPr>
      <w:r>
        <w:rPr>
          <w:rFonts w:hint="eastAsia" w:ascii="Times New Roman" w:hAnsi="Times New Roman" w:eastAsia="楷体_GB2312" w:cs="Times New Roman"/>
          <w:u w:val="none"/>
          <w:lang w:eastAsia="zh-CN"/>
        </w:rPr>
        <w:t>第二节</w:t>
      </w:r>
      <w:r>
        <w:rPr>
          <w:rFonts w:hint="eastAsia" w:ascii="Times New Roman" w:hAnsi="Times New Roman" w:eastAsia="楷体_GB2312" w:cs="Times New Roman"/>
          <w:u w:val="none"/>
          <w:lang w:val="en-US" w:eastAsia="zh-CN"/>
        </w:rPr>
        <w:t xml:space="preserve">  </w:t>
      </w:r>
      <w:r>
        <w:rPr>
          <w:rFonts w:hint="default" w:ascii="Times New Roman" w:hAnsi="Times New Roman" w:eastAsia="楷体_GB2312" w:cs="Times New Roman"/>
          <w:u w:val="none"/>
        </w:rPr>
        <w:t>建立考评机制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实行目标责任制，各地各相关部门要将本规划目标任务分解细化，实施清单化管理，明确时间表、路线图和责任人。要定期对公共法律服务体系建设任务落实、进展及保障情况进行督促指导，及时解决规划实施过程中遇到的问题和困难，确保按时按质按量完成规划的各项目标任务。</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32"/>
          <w:szCs w:val="32"/>
          <w:u w:val="none"/>
          <w:lang w:eastAsia="zh-CN"/>
        </w:rPr>
      </w:pPr>
      <w:r>
        <w:rPr>
          <w:rFonts w:hint="default" w:ascii="Times New Roman" w:hAnsi="Times New Roman" w:eastAsia="楷体_GB2312" w:cs="Times New Roman"/>
          <w:sz w:val="32"/>
          <w:szCs w:val="32"/>
          <w:u w:val="none"/>
        </w:rPr>
        <w:t xml:space="preserve">第三节 </w:t>
      </w:r>
      <w:r>
        <w:rPr>
          <w:rFonts w:hint="eastAsia" w:ascii="Times New Roman" w:hAnsi="Times New Roman" w:eastAsia="楷体_GB2312" w:cs="Times New Roman"/>
          <w:sz w:val="32"/>
          <w:szCs w:val="32"/>
          <w:u w:val="none"/>
          <w:lang w:val="en-US" w:eastAsia="zh-CN"/>
        </w:rPr>
        <w:t xml:space="preserve"> </w:t>
      </w:r>
      <w:r>
        <w:rPr>
          <w:rFonts w:hint="default" w:ascii="Times New Roman" w:hAnsi="Times New Roman" w:eastAsia="楷体_GB2312" w:cs="Times New Roman"/>
          <w:sz w:val="32"/>
          <w:szCs w:val="32"/>
          <w:u w:val="none"/>
        </w:rPr>
        <w:t>注重工作实效</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u w:val="none"/>
          <w:lang w:eastAsia="zh-CN"/>
        </w:rPr>
      </w:pPr>
      <w:r>
        <w:rPr>
          <w:rFonts w:hint="eastAsia" w:ascii="仿宋_GB2312" w:hAnsi="仿宋_GB2312" w:eastAsia="仿宋_GB2312" w:cs="仿宋_GB2312"/>
          <w:u w:val="none"/>
          <w:lang w:eastAsia="zh-CN"/>
        </w:rPr>
        <w:t>要紧紧结合实际，不折不扣落实本规划各项举措，实现各项目标，确保防城港市公共法律服务体系建设持续健康科学发展，与防城港发展战略相匹配，有效解决公共法律服务体系建设短板弱项，全面提升防城港市公共法律服务水平，为打造品质防城港、魅力防城港发挥职能作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附件：</w:t>
      </w:r>
      <w:r>
        <w:rPr>
          <w:rFonts w:hint="eastAsia" w:ascii="仿宋_GB2312" w:hAnsi="仿宋_GB2312" w:eastAsia="仿宋_GB2312" w:cs="仿宋_GB2312"/>
          <w:spacing w:val="-6"/>
          <w:sz w:val="32"/>
          <w:szCs w:val="32"/>
          <w:u w:val="none"/>
          <w:lang w:eastAsia="zh-CN"/>
        </w:rPr>
        <w:t>防城港</w:t>
      </w:r>
      <w:r>
        <w:rPr>
          <w:rFonts w:hint="eastAsia" w:ascii="仿宋_GB2312" w:hAnsi="仿宋_GB2312" w:eastAsia="仿宋_GB2312" w:cs="仿宋_GB2312"/>
          <w:spacing w:val="-6"/>
          <w:sz w:val="32"/>
          <w:szCs w:val="32"/>
          <w:u w:val="none"/>
        </w:rPr>
        <w:t>市</w:t>
      </w:r>
      <w:r>
        <w:rPr>
          <w:rFonts w:hint="eastAsia" w:ascii="仿宋_GB2312" w:hAnsi="仿宋_GB2312" w:eastAsia="仿宋_GB2312" w:cs="仿宋_GB2312"/>
          <w:spacing w:val="-6"/>
          <w:sz w:val="32"/>
          <w:szCs w:val="32"/>
          <w:u w:val="none"/>
          <w:lang w:eastAsia="zh-CN"/>
        </w:rPr>
        <w:t>公共法律服务体系建设“十四五”规划项目表</w:t>
      </w:r>
    </w:p>
    <w:p>
      <w:pPr>
        <w:pStyle w:val="2"/>
        <w:rPr>
          <w:rFonts w:hint="eastAsia"/>
          <w:lang w:val="en-US" w:eastAsia="zh-CN"/>
        </w:rPr>
      </w:pPr>
    </w:p>
    <w:p>
      <w:pPr>
        <w:rPr>
          <w:rFonts w:hint="eastAsia"/>
          <w:lang w:val="en-US" w:eastAsia="zh-CN"/>
        </w:rPr>
      </w:pPr>
    </w:p>
    <w:p>
      <w:pPr>
        <w:pStyle w:val="2"/>
        <w:ind w:left="0" w:leftChars="0" w:firstLine="0" w:firstLineChars="0"/>
        <w:rPr>
          <w:rFonts w:hint="eastAsia"/>
          <w:lang w:val="en-US" w:eastAsia="zh-CN"/>
        </w:rPr>
        <w:sectPr>
          <w:footerReference r:id="rId3" w:type="default"/>
          <w:footerReference r:id="rId4" w:type="even"/>
          <w:pgSz w:w="11906" w:h="16838"/>
          <w:pgMar w:top="2098" w:right="1474" w:bottom="1985" w:left="1588" w:header="1418" w:footer="1418" w:gutter="0"/>
          <w:cols w:space="720" w:num="1"/>
          <w:titlePg/>
          <w:docGrid w:type="lines" w:linePitch="312" w:charSpace="0"/>
        </w:sectPr>
      </w:pPr>
    </w:p>
    <w:p>
      <w:pPr>
        <w:pStyle w:val="5"/>
        <w:spacing w:before="15"/>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p>
    <w:p>
      <w:pPr>
        <w:pStyle w:val="3"/>
        <w:ind w:right="-65" w:rightChars="0"/>
        <w:jc w:val="center"/>
        <w:rPr>
          <w:rFonts w:hint="default" w:ascii="Times New Roman" w:hAnsi="Times New Roman" w:cs="Times New Roman"/>
        </w:rPr>
      </w:pPr>
      <w:r>
        <w:rPr>
          <w:rFonts w:hint="default" w:ascii="Times New Roman" w:hAnsi="Times New Roman" w:cs="Times New Roman"/>
          <w:lang w:eastAsia="zh-CN"/>
        </w:rPr>
        <w:t>防城港</w:t>
      </w:r>
      <w:r>
        <w:rPr>
          <w:rFonts w:hint="default" w:ascii="Times New Roman" w:hAnsi="Times New Roman" w:cs="Times New Roman"/>
        </w:rPr>
        <w:t>市公共法律服务体系建设“十四五”规划项目表</w:t>
      </w:r>
    </w:p>
    <w:tbl>
      <w:tblPr>
        <w:tblStyle w:val="19"/>
        <w:tblW w:w="14543" w:type="dxa"/>
        <w:jc w:val="center"/>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680"/>
        <w:gridCol w:w="1547"/>
        <w:gridCol w:w="1162"/>
        <w:gridCol w:w="6709"/>
        <w:gridCol w:w="1934"/>
        <w:gridCol w:w="1626"/>
        <w:gridCol w:w="885"/>
      </w:tblGrid>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290" w:hRule="atLeast"/>
          <w:jc w:val="center"/>
        </w:trPr>
        <w:tc>
          <w:tcPr>
            <w:tcW w:w="680" w:type="dxa"/>
            <w:tcBorders>
              <w:bottom w:val="single" w:color="000000" w:sz="6" w:space="0"/>
              <w:right w:val="single" w:color="000000" w:sz="6" w:space="0"/>
            </w:tcBorders>
            <w:noWrap w:val="0"/>
            <w:vAlign w:val="center"/>
          </w:tcPr>
          <w:p>
            <w:pPr>
              <w:pStyle w:val="40"/>
              <w:spacing w:before="251"/>
              <w:ind w:left="40" w:right="24"/>
              <w:jc w:val="center"/>
              <w:rPr>
                <w:rFonts w:hint="default" w:ascii="Times New Roman" w:hAnsi="Times New Roman" w:eastAsia="黑体" w:cs="Times New Roman"/>
                <w:sz w:val="28"/>
              </w:rPr>
            </w:pPr>
            <w:r>
              <w:rPr>
                <w:rFonts w:hint="default" w:ascii="Times New Roman" w:hAnsi="Times New Roman" w:eastAsia="黑体" w:cs="Times New Roman"/>
                <w:sz w:val="28"/>
              </w:rPr>
              <w:t>序号</w:t>
            </w:r>
          </w:p>
        </w:tc>
        <w:tc>
          <w:tcPr>
            <w:tcW w:w="1547" w:type="dxa"/>
            <w:tcBorders>
              <w:left w:val="single" w:color="000000" w:sz="6" w:space="0"/>
              <w:bottom w:val="single" w:color="000000" w:sz="6" w:space="0"/>
              <w:right w:val="single" w:color="000000" w:sz="6" w:space="0"/>
            </w:tcBorders>
            <w:noWrap w:val="0"/>
            <w:vAlign w:val="center"/>
          </w:tcPr>
          <w:p>
            <w:pPr>
              <w:pStyle w:val="40"/>
              <w:spacing w:before="251"/>
              <w:ind w:left="212"/>
              <w:jc w:val="center"/>
              <w:rPr>
                <w:rFonts w:hint="default" w:ascii="Times New Roman" w:hAnsi="Times New Roman" w:eastAsia="黑体" w:cs="Times New Roman"/>
                <w:sz w:val="28"/>
              </w:rPr>
            </w:pPr>
            <w:r>
              <w:rPr>
                <w:rFonts w:hint="default" w:ascii="Times New Roman" w:hAnsi="Times New Roman" w:eastAsia="黑体" w:cs="Times New Roman"/>
                <w:sz w:val="28"/>
              </w:rPr>
              <w:t>项目名称</w:t>
            </w:r>
          </w:p>
        </w:tc>
        <w:tc>
          <w:tcPr>
            <w:tcW w:w="1162" w:type="dxa"/>
            <w:tcBorders>
              <w:left w:val="single" w:color="000000" w:sz="6" w:space="0"/>
              <w:bottom w:val="single" w:color="000000" w:sz="6" w:space="0"/>
              <w:right w:val="single" w:color="000000" w:sz="6" w:space="0"/>
            </w:tcBorders>
            <w:noWrap w:val="0"/>
            <w:vAlign w:val="center"/>
          </w:tcPr>
          <w:p>
            <w:pPr>
              <w:pStyle w:val="40"/>
              <w:spacing w:before="251"/>
              <w:ind w:left="16"/>
              <w:jc w:val="center"/>
              <w:rPr>
                <w:rFonts w:hint="default" w:ascii="Times New Roman" w:hAnsi="Times New Roman" w:eastAsia="黑体" w:cs="Times New Roman"/>
                <w:sz w:val="28"/>
              </w:rPr>
            </w:pPr>
            <w:r>
              <w:rPr>
                <w:rFonts w:hint="default" w:ascii="Times New Roman" w:hAnsi="Times New Roman" w:eastAsia="黑体" w:cs="Times New Roman"/>
                <w:sz w:val="28"/>
              </w:rPr>
              <w:t>项目性质</w:t>
            </w:r>
          </w:p>
        </w:tc>
        <w:tc>
          <w:tcPr>
            <w:tcW w:w="6709" w:type="dxa"/>
            <w:tcBorders>
              <w:left w:val="single" w:color="000000" w:sz="6" w:space="0"/>
              <w:bottom w:val="single" w:color="000000" w:sz="6" w:space="0"/>
              <w:right w:val="single" w:color="000000" w:sz="6" w:space="0"/>
            </w:tcBorders>
            <w:noWrap w:val="0"/>
            <w:vAlign w:val="center"/>
          </w:tcPr>
          <w:p>
            <w:pPr>
              <w:pStyle w:val="40"/>
              <w:spacing w:before="251"/>
              <w:ind w:left="2787" w:right="2775"/>
              <w:jc w:val="center"/>
              <w:rPr>
                <w:rFonts w:hint="default" w:ascii="Times New Roman" w:hAnsi="Times New Roman" w:eastAsia="黑体" w:cs="Times New Roman"/>
                <w:sz w:val="28"/>
              </w:rPr>
            </w:pPr>
            <w:r>
              <w:rPr>
                <w:rFonts w:hint="default" w:ascii="Times New Roman" w:hAnsi="Times New Roman" w:eastAsia="黑体" w:cs="Times New Roman"/>
                <w:sz w:val="28"/>
              </w:rPr>
              <w:t>项目概况</w:t>
            </w:r>
          </w:p>
        </w:tc>
        <w:tc>
          <w:tcPr>
            <w:tcW w:w="1934" w:type="dxa"/>
            <w:tcBorders>
              <w:left w:val="single" w:color="000000" w:sz="6" w:space="0"/>
              <w:bottom w:val="single" w:color="000000" w:sz="6" w:space="0"/>
              <w:right w:val="single" w:color="000000" w:sz="6" w:space="0"/>
            </w:tcBorders>
            <w:noWrap w:val="0"/>
            <w:vAlign w:val="center"/>
          </w:tcPr>
          <w:p>
            <w:pPr>
              <w:pStyle w:val="40"/>
              <w:spacing w:before="251"/>
              <w:ind w:left="391"/>
              <w:jc w:val="center"/>
              <w:rPr>
                <w:rFonts w:hint="default" w:ascii="Times New Roman" w:hAnsi="Times New Roman" w:eastAsia="黑体" w:cs="Times New Roman"/>
                <w:sz w:val="28"/>
              </w:rPr>
            </w:pPr>
            <w:r>
              <w:rPr>
                <w:rFonts w:hint="default" w:ascii="Times New Roman" w:hAnsi="Times New Roman" w:eastAsia="黑体" w:cs="Times New Roman"/>
                <w:sz w:val="28"/>
              </w:rPr>
              <w:t>建设单位</w:t>
            </w:r>
          </w:p>
        </w:tc>
        <w:tc>
          <w:tcPr>
            <w:tcW w:w="1626" w:type="dxa"/>
            <w:tcBorders>
              <w:left w:val="single" w:color="000000" w:sz="6" w:space="0"/>
              <w:bottom w:val="single" w:color="000000" w:sz="6" w:space="0"/>
              <w:right w:val="single" w:color="000000" w:sz="6" w:space="0"/>
            </w:tcBorders>
            <w:noWrap w:val="0"/>
            <w:vAlign w:val="center"/>
          </w:tcPr>
          <w:p>
            <w:pPr>
              <w:pStyle w:val="40"/>
              <w:spacing w:before="251"/>
              <w:ind w:left="15"/>
              <w:jc w:val="center"/>
              <w:rPr>
                <w:rFonts w:hint="default" w:ascii="Times New Roman" w:hAnsi="Times New Roman" w:eastAsia="黑体" w:cs="Times New Roman"/>
                <w:sz w:val="28"/>
              </w:rPr>
            </w:pPr>
            <w:r>
              <w:rPr>
                <w:rFonts w:hint="default" w:ascii="Times New Roman" w:hAnsi="Times New Roman" w:eastAsia="黑体" w:cs="Times New Roman"/>
                <w:sz w:val="28"/>
              </w:rPr>
              <w:t>完成时限</w:t>
            </w:r>
          </w:p>
        </w:tc>
        <w:tc>
          <w:tcPr>
            <w:tcW w:w="885" w:type="dxa"/>
            <w:tcBorders>
              <w:left w:val="single" w:color="000000" w:sz="6" w:space="0"/>
              <w:bottom w:val="single" w:color="000000" w:sz="6" w:space="0"/>
            </w:tcBorders>
            <w:noWrap w:val="0"/>
            <w:vAlign w:val="center"/>
          </w:tcPr>
          <w:p>
            <w:pPr>
              <w:pStyle w:val="40"/>
              <w:spacing w:before="251"/>
              <w:ind w:left="88"/>
              <w:jc w:val="center"/>
              <w:rPr>
                <w:rFonts w:hint="default" w:ascii="Times New Roman" w:hAnsi="Times New Roman" w:eastAsia="黑体" w:cs="Times New Roman"/>
                <w:sz w:val="28"/>
              </w:rPr>
            </w:pPr>
            <w:r>
              <w:rPr>
                <w:rFonts w:hint="default" w:ascii="Times New Roman" w:hAnsi="Times New Roman" w:eastAsia="黑体" w:cs="Times New Roman"/>
                <w:sz w:val="28"/>
              </w:rPr>
              <w:t>备注</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450" w:hRule="atLeast"/>
          <w:jc w:val="center"/>
        </w:trPr>
        <w:tc>
          <w:tcPr>
            <w:tcW w:w="10098" w:type="dxa"/>
            <w:gridSpan w:val="4"/>
            <w:tcBorders>
              <w:top w:val="single" w:color="000000" w:sz="6" w:space="0"/>
              <w:bottom w:val="single" w:color="000000" w:sz="6" w:space="0"/>
              <w:right w:val="single" w:color="000000" w:sz="6" w:space="0"/>
            </w:tcBorders>
            <w:noWrap w:val="0"/>
            <w:vAlign w:val="top"/>
          </w:tcPr>
          <w:p>
            <w:pPr>
              <w:pStyle w:val="40"/>
              <w:spacing w:before="195"/>
              <w:ind w:left="6"/>
              <w:jc w:val="both"/>
              <w:rPr>
                <w:rFonts w:hint="default" w:ascii="Times New Roman" w:hAnsi="Times New Roman" w:cs="Times New Roman"/>
                <w:b/>
                <w:bCs/>
                <w:sz w:val="28"/>
              </w:rPr>
            </w:pPr>
            <w:r>
              <w:rPr>
                <w:rFonts w:hint="default" w:ascii="Times New Roman" w:hAnsi="Times New Roman" w:cs="Times New Roman"/>
                <w:b/>
                <w:bCs/>
                <w:sz w:val="28"/>
              </w:rPr>
              <w:t>一、公共法律服务实体项目</w:t>
            </w:r>
          </w:p>
        </w:tc>
        <w:tc>
          <w:tcPr>
            <w:tcW w:w="1934" w:type="dxa"/>
            <w:tcBorders>
              <w:top w:val="single" w:color="000000" w:sz="6" w:space="0"/>
              <w:left w:val="single" w:color="000000" w:sz="6" w:space="0"/>
              <w:bottom w:val="single" w:color="000000" w:sz="6" w:space="0"/>
              <w:right w:val="single" w:color="000000" w:sz="6" w:space="0"/>
            </w:tcBorders>
            <w:noWrap w:val="0"/>
            <w:vAlign w:val="top"/>
          </w:tcPr>
          <w:p>
            <w:pPr>
              <w:pStyle w:val="40"/>
              <w:jc w:val="both"/>
              <w:rPr>
                <w:rFonts w:hint="default" w:ascii="Times New Roman" w:hAnsi="Times New Roman" w:cs="Times New Roman"/>
                <w:b/>
                <w:bCs/>
                <w:sz w:val="28"/>
              </w:rPr>
            </w:pPr>
          </w:p>
        </w:tc>
        <w:tc>
          <w:tcPr>
            <w:tcW w:w="1626" w:type="dxa"/>
            <w:tcBorders>
              <w:top w:val="single" w:color="000000" w:sz="6" w:space="0"/>
              <w:left w:val="single" w:color="000000" w:sz="6" w:space="0"/>
              <w:bottom w:val="single" w:color="000000" w:sz="6" w:space="0"/>
              <w:right w:val="single" w:color="000000" w:sz="6" w:space="0"/>
            </w:tcBorders>
            <w:noWrap w:val="0"/>
            <w:vAlign w:val="top"/>
          </w:tcPr>
          <w:p>
            <w:pPr>
              <w:pStyle w:val="40"/>
              <w:jc w:val="both"/>
              <w:rPr>
                <w:rFonts w:hint="default" w:ascii="Times New Roman" w:hAnsi="Times New Roman" w:cs="Times New Roman"/>
                <w:b/>
                <w:bCs/>
                <w:sz w:val="28"/>
              </w:rPr>
            </w:pPr>
          </w:p>
        </w:tc>
        <w:tc>
          <w:tcPr>
            <w:tcW w:w="885" w:type="dxa"/>
            <w:tcBorders>
              <w:top w:val="single" w:color="000000" w:sz="6" w:space="0"/>
              <w:left w:val="single" w:color="000000" w:sz="6" w:space="0"/>
              <w:bottom w:val="single" w:color="000000" w:sz="6" w:space="0"/>
            </w:tcBorders>
            <w:noWrap w:val="0"/>
            <w:vAlign w:val="top"/>
          </w:tcPr>
          <w:p>
            <w:pPr>
              <w:pStyle w:val="40"/>
              <w:jc w:val="both"/>
              <w:rPr>
                <w:rFonts w:hint="default" w:ascii="Times New Roman" w:hAnsi="Times New Roman" w:cs="Times New Roman"/>
                <w:b/>
                <w:bCs/>
                <w:sz w:val="28"/>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5278" w:hRule="atLeast"/>
          <w:jc w:val="center"/>
        </w:trPr>
        <w:tc>
          <w:tcPr>
            <w:tcW w:w="680" w:type="dxa"/>
            <w:tcBorders>
              <w:top w:val="single" w:color="000000" w:sz="6" w:space="0"/>
              <w:bottom w:val="single" w:color="000000" w:sz="6" w:space="0"/>
              <w:right w:val="single" w:color="000000" w:sz="6" w:space="0"/>
            </w:tcBorders>
            <w:noWrap w:val="0"/>
            <w:vAlign w:val="center"/>
          </w:tcPr>
          <w:p>
            <w:pPr>
              <w:pStyle w:val="40"/>
              <w:ind w:left="12"/>
              <w:jc w:val="center"/>
              <w:rPr>
                <w:rFonts w:hint="eastAsia" w:ascii="仿宋_GB2312" w:hAnsi="仿宋_GB2312" w:eastAsia="仿宋_GB2312" w:cs="仿宋_GB2312"/>
                <w:sz w:val="28"/>
                <w:szCs w:val="28"/>
              </w:rPr>
            </w:pPr>
            <w:r>
              <w:rPr>
                <w:rFonts w:hint="eastAsia" w:ascii="仿宋_GB2312" w:hAnsi="仿宋_GB2312" w:eastAsia="仿宋_GB2312" w:cs="仿宋_GB2312"/>
                <w:w w:val="100"/>
                <w:sz w:val="28"/>
                <w:szCs w:val="28"/>
              </w:rPr>
              <w:t>1</w:t>
            </w:r>
          </w:p>
        </w:tc>
        <w:tc>
          <w:tcPr>
            <w:tcW w:w="1547" w:type="dxa"/>
            <w:tcBorders>
              <w:top w:val="single" w:color="000000" w:sz="6" w:space="0"/>
              <w:left w:val="single" w:color="000000" w:sz="6" w:space="0"/>
              <w:bottom w:val="single" w:color="000000" w:sz="6" w:space="0"/>
              <w:right w:val="single" w:color="000000" w:sz="6" w:space="0"/>
            </w:tcBorders>
            <w:noWrap w:val="0"/>
            <w:vAlign w:val="center"/>
          </w:tcPr>
          <w:p>
            <w:pPr>
              <w:pStyle w:val="40"/>
              <w:spacing w:line="376" w:lineRule="auto"/>
              <w:ind w:left="73" w:right="54"/>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市级公共法律服务中心</w:t>
            </w:r>
          </w:p>
        </w:tc>
        <w:tc>
          <w:tcPr>
            <w:tcW w:w="1162" w:type="dxa"/>
            <w:tcBorders>
              <w:top w:val="single" w:color="000000" w:sz="6" w:space="0"/>
              <w:left w:val="single" w:color="000000" w:sz="6" w:space="0"/>
              <w:bottom w:val="single" w:color="000000" w:sz="6" w:space="0"/>
              <w:right w:val="single" w:color="000000" w:sz="6" w:space="0"/>
            </w:tcBorders>
            <w:noWrap w:val="0"/>
            <w:vAlign w:val="center"/>
          </w:tcPr>
          <w:p>
            <w:pPr>
              <w:pStyle w:val="40"/>
              <w:ind w:left="14"/>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改扩建</w:t>
            </w:r>
          </w:p>
        </w:tc>
        <w:tc>
          <w:tcPr>
            <w:tcW w:w="6709" w:type="dxa"/>
            <w:tcBorders>
              <w:top w:val="single" w:color="000000" w:sz="6" w:space="0"/>
              <w:left w:val="single" w:color="000000" w:sz="6" w:space="0"/>
              <w:bottom w:val="single" w:color="000000" w:sz="6" w:space="0"/>
              <w:right w:val="single" w:color="000000" w:sz="6" w:space="0"/>
            </w:tcBorders>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48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项目地点：</w:t>
            </w:r>
            <w:r>
              <w:rPr>
                <w:rFonts w:hint="eastAsia" w:ascii="仿宋_GB2312" w:hAnsi="仿宋_GB2312" w:eastAsia="仿宋_GB2312" w:cs="仿宋_GB2312"/>
                <w:sz w:val="28"/>
                <w:szCs w:val="28"/>
                <w:lang w:eastAsia="zh-CN"/>
              </w:rPr>
              <w:t>防城港</w:t>
            </w:r>
            <w:r>
              <w:rPr>
                <w:rFonts w:hint="eastAsia" w:ascii="仿宋_GB2312" w:hAnsi="仿宋_GB2312" w:eastAsia="仿宋_GB2312" w:cs="仿宋_GB2312"/>
                <w:sz w:val="28"/>
                <w:szCs w:val="28"/>
              </w:rPr>
              <w:t>市</w:t>
            </w:r>
          </w:p>
          <w:p>
            <w:pPr>
              <w:pStyle w:val="40"/>
              <w:keepNext w:val="0"/>
              <w:keepLines w:val="0"/>
              <w:pageBreakBefore w:val="0"/>
              <w:widowControl w:val="0"/>
              <w:kinsoku/>
              <w:wordWrap/>
              <w:overflowPunct/>
              <w:topLinePunct w:val="0"/>
              <w:autoSpaceDE w:val="0"/>
              <w:autoSpaceDN w:val="0"/>
              <w:bidi w:val="0"/>
              <w:adjustRightInd/>
              <w:snapToGrid/>
              <w:spacing w:before="0" w:line="48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建设内容：建立市级司法行政服务大厅，市级“</w:t>
            </w:r>
            <w:r>
              <w:rPr>
                <w:rFonts w:hint="eastAsia" w:ascii="仿宋_GB2312" w:hAnsi="仿宋_GB2312" w:eastAsia="仿宋_GB2312" w:cs="仿宋_GB2312"/>
                <w:sz w:val="28"/>
                <w:szCs w:val="28"/>
              </w:rPr>
              <w:t>12348</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pacing w:val="-3"/>
                <w:sz w:val="28"/>
                <w:szCs w:val="28"/>
              </w:rPr>
              <w:t>公共法律服务热线，法治宣传教育、律师、公证、法律援助、基层法律服务、法律顾问、调解、仲裁、司法鉴</w:t>
            </w:r>
            <w:r>
              <w:rPr>
                <w:rFonts w:hint="eastAsia" w:ascii="仿宋_GB2312" w:hAnsi="仿宋_GB2312" w:eastAsia="仿宋_GB2312" w:cs="仿宋_GB2312"/>
                <w:spacing w:val="-20"/>
                <w:sz w:val="28"/>
                <w:szCs w:val="28"/>
              </w:rPr>
              <w:t>定、法律职业资格考试等各类司法行政业务全进驻的“一</w:t>
            </w:r>
            <w:r>
              <w:rPr>
                <w:rFonts w:hint="eastAsia" w:ascii="仿宋_GB2312" w:hAnsi="仿宋_GB2312" w:eastAsia="仿宋_GB2312" w:cs="仿宋_GB2312"/>
                <w:spacing w:val="-5"/>
                <w:sz w:val="28"/>
                <w:szCs w:val="28"/>
              </w:rPr>
              <w:t>站式、窗口化、综合性”市级公共法律服务平台。</w:t>
            </w:r>
          </w:p>
          <w:p>
            <w:pPr>
              <w:pStyle w:val="40"/>
              <w:keepNext w:val="0"/>
              <w:keepLines w:val="0"/>
              <w:pageBreakBefore w:val="0"/>
              <w:widowControl w:val="0"/>
              <w:kinsoku/>
              <w:wordWrap/>
              <w:overflowPunct/>
              <w:topLinePunct w:val="0"/>
              <w:autoSpaceDE w:val="0"/>
              <w:autoSpaceDN w:val="0"/>
              <w:bidi w:val="0"/>
              <w:adjustRightInd/>
              <w:snapToGrid/>
              <w:spacing w:before="0" w:line="48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配备设备：包含但不限于办公电脑、打印机、电子显示</w:t>
            </w:r>
            <w:r>
              <w:rPr>
                <w:rFonts w:hint="eastAsia" w:ascii="仿宋_GB2312" w:hAnsi="仿宋_GB2312" w:eastAsia="仿宋_GB2312" w:cs="仿宋_GB2312"/>
                <w:spacing w:val="-8"/>
                <w:sz w:val="28"/>
                <w:szCs w:val="28"/>
              </w:rPr>
              <w:t>屏、自助服务终端</w:t>
            </w:r>
            <w:r>
              <w:rPr>
                <w:rFonts w:hint="eastAsia" w:ascii="仿宋_GB2312" w:hAnsi="仿宋_GB2312" w:eastAsia="仿宋_GB2312" w:cs="仿宋_GB2312"/>
                <w:spacing w:val="-18"/>
                <w:sz w:val="28"/>
                <w:szCs w:val="28"/>
              </w:rPr>
              <w:t>、“互联网＋”智能展示平台、法律服</w:t>
            </w:r>
            <w:r>
              <w:rPr>
                <w:rFonts w:hint="eastAsia" w:ascii="仿宋_GB2312" w:hAnsi="仿宋_GB2312" w:eastAsia="仿宋_GB2312" w:cs="仿宋_GB2312"/>
                <w:spacing w:val="-3"/>
                <w:sz w:val="28"/>
                <w:szCs w:val="28"/>
              </w:rPr>
              <w:t>务智能机器人、可视电话、服务评价器等设施设备。有完善的服务群众、信息公示、宣传教育和评议监督等设</w:t>
            </w:r>
            <w:r>
              <w:rPr>
                <w:rFonts w:hint="eastAsia" w:ascii="仿宋_GB2312" w:hAnsi="仿宋_GB2312" w:eastAsia="仿宋_GB2312" w:cs="仿宋_GB2312"/>
                <w:sz w:val="28"/>
                <w:szCs w:val="28"/>
              </w:rPr>
              <w:t>施。</w:t>
            </w:r>
          </w:p>
        </w:tc>
        <w:tc>
          <w:tcPr>
            <w:tcW w:w="1934" w:type="dxa"/>
            <w:tcBorders>
              <w:top w:val="single" w:color="000000" w:sz="6" w:space="0"/>
              <w:left w:val="single" w:color="000000" w:sz="6" w:space="0"/>
              <w:bottom w:val="single" w:color="000000" w:sz="6" w:space="0"/>
              <w:right w:val="single" w:color="000000" w:sz="6" w:space="0"/>
            </w:tcBorders>
            <w:noWrap w:val="0"/>
            <w:vAlign w:val="center"/>
          </w:tcPr>
          <w:p>
            <w:pPr>
              <w:pStyle w:val="4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市司法局</w:t>
            </w:r>
          </w:p>
        </w:tc>
        <w:tc>
          <w:tcPr>
            <w:tcW w:w="1626" w:type="dxa"/>
            <w:tcBorders>
              <w:top w:val="single" w:color="000000" w:sz="6" w:space="0"/>
              <w:left w:val="single" w:color="000000" w:sz="6" w:space="0"/>
              <w:bottom w:val="single" w:color="000000" w:sz="6" w:space="0"/>
              <w:right w:val="single" w:color="000000" w:sz="6" w:space="0"/>
            </w:tcBorders>
            <w:noWrap w:val="0"/>
            <w:vAlign w:val="center"/>
          </w:tcPr>
          <w:p>
            <w:pPr>
              <w:pStyle w:val="40"/>
              <w:ind w:left="1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2025.12</w:t>
            </w:r>
          </w:p>
        </w:tc>
        <w:tc>
          <w:tcPr>
            <w:tcW w:w="885" w:type="dxa"/>
            <w:tcBorders>
              <w:top w:val="single" w:color="000000" w:sz="6" w:space="0"/>
              <w:left w:val="single" w:color="000000" w:sz="6" w:space="0"/>
              <w:bottom w:val="single" w:color="000000" w:sz="6" w:space="0"/>
            </w:tcBorders>
            <w:noWrap w:val="0"/>
            <w:vAlign w:val="center"/>
          </w:tcPr>
          <w:p>
            <w:pPr>
              <w:pStyle w:val="40"/>
              <w:jc w:val="center"/>
              <w:rPr>
                <w:rFonts w:hint="eastAsia" w:ascii="仿宋_GB2312" w:hAnsi="仿宋_GB2312" w:eastAsia="仿宋_GB2312" w:cs="仿宋_GB2312"/>
                <w:sz w:val="28"/>
                <w:szCs w:val="28"/>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4639" w:hRule="atLeast"/>
          <w:jc w:val="center"/>
        </w:trPr>
        <w:tc>
          <w:tcPr>
            <w:tcW w:w="680" w:type="dxa"/>
            <w:tcBorders>
              <w:top w:val="single" w:color="000000" w:sz="6" w:space="0"/>
              <w:bottom w:val="single" w:color="000000" w:sz="6" w:space="0"/>
              <w:right w:val="single" w:color="000000" w:sz="6" w:space="0"/>
            </w:tcBorders>
            <w:noWrap w:val="0"/>
            <w:vAlign w:val="center"/>
          </w:tcPr>
          <w:p>
            <w:pPr>
              <w:pStyle w:val="40"/>
              <w:jc w:val="center"/>
              <w:rPr>
                <w:rFonts w:hint="eastAsia" w:ascii="仿宋_GB2312" w:hAnsi="仿宋_GB2312" w:eastAsia="仿宋_GB2312" w:cs="仿宋_GB2312"/>
                <w:w w:val="100"/>
                <w:sz w:val="28"/>
                <w:szCs w:val="28"/>
              </w:rPr>
            </w:pPr>
            <w:r>
              <w:rPr>
                <w:rFonts w:hint="eastAsia" w:ascii="仿宋_GB2312" w:hAnsi="仿宋_GB2312" w:eastAsia="仿宋_GB2312" w:cs="仿宋_GB2312"/>
                <w:w w:val="100"/>
                <w:sz w:val="28"/>
                <w:szCs w:val="28"/>
              </w:rPr>
              <w:t>2</w:t>
            </w:r>
          </w:p>
        </w:tc>
        <w:tc>
          <w:tcPr>
            <w:tcW w:w="1547" w:type="dxa"/>
            <w:tcBorders>
              <w:top w:val="single" w:color="000000" w:sz="6" w:space="0"/>
              <w:left w:val="single" w:color="000000" w:sz="6" w:space="0"/>
              <w:bottom w:val="single" w:color="000000" w:sz="6" w:space="0"/>
              <w:right w:val="single" w:color="000000" w:sz="6" w:space="0"/>
            </w:tcBorders>
            <w:noWrap w:val="0"/>
            <w:vAlign w:val="center"/>
          </w:tcPr>
          <w:p>
            <w:pPr>
              <w:bidi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县级公共法律服务中心</w:t>
            </w:r>
          </w:p>
        </w:tc>
        <w:tc>
          <w:tcPr>
            <w:tcW w:w="1162" w:type="dxa"/>
            <w:tcBorders>
              <w:top w:val="single" w:color="000000" w:sz="6" w:space="0"/>
              <w:left w:val="single" w:color="000000" w:sz="6" w:space="0"/>
              <w:bottom w:val="single" w:color="000000" w:sz="6" w:space="0"/>
              <w:right w:val="single" w:color="000000" w:sz="6" w:space="0"/>
            </w:tcBorders>
            <w:noWrap w:val="0"/>
            <w:vAlign w:val="center"/>
          </w:tcPr>
          <w:p>
            <w:pPr>
              <w:pStyle w:val="40"/>
              <w:ind w:left="160" w:left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改扩建</w:t>
            </w:r>
          </w:p>
        </w:tc>
        <w:tc>
          <w:tcPr>
            <w:tcW w:w="6709" w:type="dxa"/>
            <w:tcBorders>
              <w:top w:val="single" w:color="000000" w:sz="6" w:space="0"/>
              <w:left w:val="single" w:color="000000" w:sz="6" w:space="0"/>
              <w:bottom w:val="single" w:color="000000" w:sz="6" w:space="0"/>
              <w:right w:val="single" w:color="000000" w:sz="6" w:space="0"/>
            </w:tcBorders>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480" w:lineRule="exact"/>
              <w:ind w:lef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项目地点：各县（</w:t>
            </w:r>
            <w:r>
              <w:rPr>
                <w:rFonts w:hint="eastAsia" w:ascii="仿宋_GB2312" w:hAnsi="仿宋_GB2312" w:eastAsia="仿宋_GB2312" w:cs="仿宋_GB2312"/>
                <w:sz w:val="28"/>
                <w:szCs w:val="28"/>
                <w:lang w:eastAsia="zh-CN"/>
              </w:rPr>
              <w:t>市、</w:t>
            </w:r>
            <w:r>
              <w:rPr>
                <w:rFonts w:hint="eastAsia" w:ascii="仿宋_GB2312" w:hAnsi="仿宋_GB2312" w:eastAsia="仿宋_GB2312" w:cs="仿宋_GB2312"/>
                <w:sz w:val="28"/>
                <w:szCs w:val="28"/>
              </w:rPr>
              <w:t>区）</w:t>
            </w:r>
          </w:p>
          <w:p>
            <w:pPr>
              <w:pStyle w:val="40"/>
              <w:keepNext w:val="0"/>
              <w:keepLines w:val="0"/>
              <w:pageBreakBefore w:val="0"/>
              <w:widowControl w:val="0"/>
              <w:kinsoku/>
              <w:wordWrap/>
              <w:overflowPunct/>
              <w:topLinePunct w:val="0"/>
              <w:autoSpaceDE w:val="0"/>
              <w:autoSpaceDN w:val="0"/>
              <w:bidi w:val="0"/>
              <w:adjustRightInd/>
              <w:snapToGrid/>
              <w:spacing w:before="0" w:line="480" w:lineRule="exact"/>
              <w:ind w:lef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建设内容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建立县级司法行政服务大厅，县级“12348”公共法律服务热线，法治宣传教育、律师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公证、法律援助、基层法律服务、法律顾问、调解等各类司法行政业务进驻的“一站式、窗口化、综合性”县级公共法律服务平台。</w:t>
            </w:r>
          </w:p>
          <w:p>
            <w:pPr>
              <w:pStyle w:val="40"/>
              <w:keepNext w:val="0"/>
              <w:keepLines w:val="0"/>
              <w:pageBreakBefore w:val="0"/>
              <w:widowControl w:val="0"/>
              <w:kinsoku/>
              <w:wordWrap/>
              <w:overflowPunct/>
              <w:topLinePunct w:val="0"/>
              <w:autoSpaceDE w:val="0"/>
              <w:autoSpaceDN w:val="0"/>
              <w:bidi w:val="0"/>
              <w:adjustRightInd/>
              <w:snapToGrid/>
              <w:spacing w:before="0" w:line="480" w:lineRule="exact"/>
              <w:ind w:left="0" w:leftChars="0"/>
              <w:jc w:val="both"/>
              <w:textAlignment w:val="auto"/>
              <w:rPr>
                <w:rFonts w:hint="eastAsia" w:ascii="仿宋_GB2312" w:hAnsi="仿宋_GB2312" w:eastAsia="仿宋_GB2312" w:cs="仿宋_GB2312"/>
                <w:spacing w:val="-3"/>
                <w:sz w:val="28"/>
                <w:szCs w:val="28"/>
              </w:rPr>
            </w:pPr>
            <w:r>
              <w:rPr>
                <w:rFonts w:hint="eastAsia" w:ascii="仿宋_GB2312" w:hAnsi="仿宋_GB2312" w:eastAsia="仿宋_GB2312" w:cs="仿宋_GB2312"/>
                <w:sz w:val="28"/>
                <w:szCs w:val="28"/>
              </w:rPr>
              <w:t>配备设备：包含但不限于办公电脑、打印机、自助服务终端</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“互联网＋”智能展示平台、可视电话、服务评价器等设施设备。有完善的服务群众、信息公示、宣传教育和评议监督等设施。</w:t>
            </w:r>
          </w:p>
        </w:tc>
        <w:tc>
          <w:tcPr>
            <w:tcW w:w="1934" w:type="dxa"/>
            <w:tcBorders>
              <w:top w:val="single" w:color="000000" w:sz="6" w:space="0"/>
              <w:left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autoSpaceDE w:val="0"/>
              <w:autoSpaceDN w:val="0"/>
              <w:bidi w:val="0"/>
              <w:adjustRightInd/>
              <w:snapToGrid/>
              <w:spacing w:line="480" w:lineRule="exact"/>
              <w:ind w:left="0" w:leftChars="0" w:right="0"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4"/>
                <w:sz w:val="28"/>
                <w:szCs w:val="28"/>
              </w:rPr>
              <w:t>县</w:t>
            </w:r>
            <w:r>
              <w:rPr>
                <w:rFonts w:hint="eastAsia" w:ascii="仿宋_GB2312" w:hAnsi="仿宋_GB2312" w:eastAsia="仿宋_GB2312" w:cs="仿宋_GB2312"/>
                <w:spacing w:val="-3"/>
                <w:sz w:val="28"/>
                <w:szCs w:val="28"/>
              </w:rPr>
              <w:t>（</w:t>
            </w:r>
            <w:r>
              <w:rPr>
                <w:rFonts w:hint="eastAsia" w:ascii="仿宋_GB2312" w:hAnsi="仿宋_GB2312" w:eastAsia="仿宋_GB2312" w:cs="仿宋_GB2312"/>
                <w:sz w:val="28"/>
                <w:szCs w:val="28"/>
                <w:lang w:eastAsia="zh-CN"/>
              </w:rPr>
              <w:t>市、</w:t>
            </w:r>
            <w:r>
              <w:rPr>
                <w:rFonts w:hint="eastAsia" w:ascii="仿宋_GB2312" w:hAnsi="仿宋_GB2312" w:eastAsia="仿宋_GB2312" w:cs="仿宋_GB2312"/>
                <w:sz w:val="28"/>
                <w:szCs w:val="28"/>
              </w:rPr>
              <w:t>区</w:t>
            </w:r>
            <w:r>
              <w:rPr>
                <w:rFonts w:hint="eastAsia" w:ascii="仿宋_GB2312" w:hAnsi="仿宋_GB2312" w:eastAsia="仿宋_GB2312" w:cs="仿宋_GB2312"/>
                <w:spacing w:val="-37"/>
                <w:sz w:val="28"/>
                <w:szCs w:val="28"/>
              </w:rPr>
              <w:t>）</w:t>
            </w:r>
            <w:r>
              <w:rPr>
                <w:rFonts w:hint="eastAsia" w:ascii="仿宋_GB2312" w:hAnsi="仿宋_GB2312" w:eastAsia="仿宋_GB2312" w:cs="仿宋_GB2312"/>
                <w:spacing w:val="-2"/>
                <w:sz w:val="28"/>
                <w:szCs w:val="28"/>
              </w:rPr>
              <w:t>司法局</w:t>
            </w:r>
          </w:p>
        </w:tc>
        <w:tc>
          <w:tcPr>
            <w:tcW w:w="1626" w:type="dxa"/>
            <w:tcBorders>
              <w:top w:val="single" w:color="000000" w:sz="6" w:space="0"/>
              <w:left w:val="single" w:color="000000" w:sz="6" w:space="0"/>
              <w:bottom w:val="single" w:color="000000" w:sz="6" w:space="0"/>
              <w:right w:val="single" w:color="000000" w:sz="6" w:space="0"/>
            </w:tcBorders>
            <w:noWrap w:val="0"/>
            <w:vAlign w:val="center"/>
          </w:tcPr>
          <w:p>
            <w:pPr>
              <w:pStyle w:val="4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2025.12</w:t>
            </w:r>
          </w:p>
        </w:tc>
        <w:tc>
          <w:tcPr>
            <w:tcW w:w="885" w:type="dxa"/>
            <w:tcBorders>
              <w:top w:val="single" w:color="000000" w:sz="6" w:space="0"/>
              <w:left w:val="single" w:color="000000" w:sz="6" w:space="0"/>
              <w:bottom w:val="single" w:color="000000" w:sz="6" w:space="0"/>
            </w:tcBorders>
            <w:noWrap w:val="0"/>
            <w:vAlign w:val="top"/>
          </w:tcPr>
          <w:p>
            <w:pPr>
              <w:pStyle w:val="40"/>
              <w:jc w:val="both"/>
              <w:rPr>
                <w:rFonts w:hint="eastAsia" w:ascii="仿宋_GB2312" w:hAnsi="仿宋_GB2312" w:eastAsia="仿宋_GB2312" w:cs="仿宋_GB2312"/>
                <w:sz w:val="28"/>
                <w:szCs w:val="28"/>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378" w:hRule="atLeast"/>
          <w:jc w:val="center"/>
        </w:trPr>
        <w:tc>
          <w:tcPr>
            <w:tcW w:w="680" w:type="dxa"/>
            <w:tcBorders>
              <w:top w:val="single" w:color="000000" w:sz="6" w:space="0"/>
              <w:bottom w:val="single" w:color="000000" w:sz="6" w:space="0"/>
              <w:right w:val="single" w:color="000000" w:sz="6" w:space="0"/>
            </w:tcBorders>
            <w:noWrap w:val="0"/>
            <w:vAlign w:val="center"/>
          </w:tcPr>
          <w:p>
            <w:pPr>
              <w:pStyle w:val="40"/>
              <w:spacing w:before="232"/>
              <w:ind w:left="12" w:leftChars="0"/>
              <w:jc w:val="center"/>
              <w:rPr>
                <w:rFonts w:hint="eastAsia" w:ascii="仿宋_GB2312" w:hAnsi="仿宋_GB2312" w:eastAsia="仿宋_GB2312" w:cs="仿宋_GB2312"/>
                <w:w w:val="100"/>
                <w:sz w:val="28"/>
                <w:szCs w:val="28"/>
              </w:rPr>
            </w:pPr>
            <w:r>
              <w:rPr>
                <w:rFonts w:hint="eastAsia" w:ascii="仿宋_GB2312" w:hAnsi="仿宋_GB2312" w:eastAsia="仿宋_GB2312" w:cs="仿宋_GB2312"/>
                <w:sz w:val="28"/>
                <w:szCs w:val="28"/>
              </w:rPr>
              <w:t>3</w:t>
            </w:r>
          </w:p>
        </w:tc>
        <w:tc>
          <w:tcPr>
            <w:tcW w:w="1547" w:type="dxa"/>
            <w:tcBorders>
              <w:top w:val="single" w:color="000000" w:sz="6" w:space="0"/>
              <w:left w:val="single" w:color="000000" w:sz="6" w:space="0"/>
              <w:bottom w:val="single" w:color="000000" w:sz="6" w:space="0"/>
              <w:right w:val="single" w:color="000000" w:sz="6" w:space="0"/>
            </w:tcBorders>
            <w:noWrap w:val="0"/>
            <w:vAlign w:val="center"/>
          </w:tcPr>
          <w:p>
            <w:pPr>
              <w:pStyle w:val="40"/>
              <w:spacing w:line="313" w:lineRule="exact"/>
              <w:ind w:left="34" w:right="-15"/>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4"/>
                <w:sz w:val="28"/>
                <w:szCs w:val="28"/>
              </w:rPr>
              <w:t>乡级公共法律</w:t>
            </w:r>
          </w:p>
          <w:p>
            <w:pPr>
              <w:pStyle w:val="40"/>
              <w:spacing w:before="200"/>
              <w:ind w:left="157" w:leftChars="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0"/>
                <w:sz w:val="28"/>
                <w:szCs w:val="28"/>
              </w:rPr>
              <w:t>服务工作站</w:t>
            </w:r>
          </w:p>
        </w:tc>
        <w:tc>
          <w:tcPr>
            <w:tcW w:w="1162" w:type="dxa"/>
            <w:tcBorders>
              <w:top w:val="single" w:color="000000" w:sz="6" w:space="0"/>
              <w:left w:val="single" w:color="000000" w:sz="6" w:space="0"/>
              <w:bottom w:val="single" w:color="000000" w:sz="6" w:space="0"/>
              <w:right w:val="single" w:color="000000" w:sz="6" w:space="0"/>
            </w:tcBorders>
            <w:noWrap w:val="0"/>
            <w:vAlign w:val="center"/>
          </w:tcPr>
          <w:p>
            <w:pPr>
              <w:pStyle w:val="40"/>
              <w:ind w:left="160" w:left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改扩建</w:t>
            </w:r>
          </w:p>
        </w:tc>
        <w:tc>
          <w:tcPr>
            <w:tcW w:w="6709" w:type="dxa"/>
            <w:tcBorders>
              <w:top w:val="single" w:color="000000" w:sz="6" w:space="0"/>
              <w:left w:val="single" w:color="000000" w:sz="6" w:space="0"/>
              <w:bottom w:val="single" w:color="000000" w:sz="6" w:space="0"/>
              <w:right w:val="single" w:color="000000" w:sz="6" w:space="0"/>
            </w:tcBorders>
            <w:noWrap w:val="0"/>
            <w:vAlign w:val="top"/>
          </w:tcPr>
          <w:p>
            <w:pPr>
              <w:pStyle w:val="40"/>
              <w:keepNext w:val="0"/>
              <w:keepLines w:val="0"/>
              <w:pageBreakBefore w:val="0"/>
              <w:widowControl w:val="0"/>
              <w:kinsoku/>
              <w:wordWrap/>
              <w:overflowPunct/>
              <w:topLinePunct w:val="0"/>
              <w:autoSpaceDE w:val="0"/>
              <w:autoSpaceDN w:val="0"/>
              <w:bidi w:val="0"/>
              <w:adjustRightInd/>
              <w:snapToGrid/>
              <w:spacing w:before="0" w:line="48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项目地点：各乡镇（街道）</w:t>
            </w:r>
          </w:p>
          <w:p>
            <w:pPr>
              <w:pStyle w:val="40"/>
              <w:keepNext w:val="0"/>
              <w:keepLines w:val="0"/>
              <w:pageBreakBefore w:val="0"/>
              <w:widowControl w:val="0"/>
              <w:kinsoku/>
              <w:wordWrap/>
              <w:overflowPunct/>
              <w:topLinePunct w:val="0"/>
              <w:autoSpaceDE w:val="0"/>
              <w:autoSpaceDN w:val="0"/>
              <w:bidi w:val="0"/>
              <w:adjustRightInd/>
              <w:snapToGrid/>
              <w:spacing w:before="0" w:line="480" w:lineRule="exact"/>
              <w:ind w:left="0" w:right="0"/>
              <w:jc w:val="both"/>
              <w:textAlignment w:val="auto"/>
              <w:rPr>
                <w:rFonts w:hint="eastAsia" w:ascii="仿宋_GB2312" w:hAnsi="仿宋_GB2312" w:eastAsia="仿宋_GB2312" w:cs="仿宋_GB2312"/>
                <w:spacing w:val="-3"/>
                <w:sz w:val="28"/>
                <w:szCs w:val="28"/>
              </w:rPr>
            </w:pPr>
            <w:r>
              <w:rPr>
                <w:rFonts w:hint="eastAsia" w:ascii="仿宋_GB2312" w:hAnsi="仿宋_GB2312" w:eastAsia="仿宋_GB2312" w:cs="仿宋_GB2312"/>
                <w:spacing w:val="-3"/>
                <w:sz w:val="28"/>
                <w:szCs w:val="28"/>
              </w:rPr>
              <w:t>建设内容：建立法治宣传、律师、公证、法律援助、调</w:t>
            </w:r>
            <w:r>
              <w:rPr>
                <w:rFonts w:hint="eastAsia" w:ascii="仿宋_GB2312" w:hAnsi="仿宋_GB2312" w:eastAsia="仿宋_GB2312" w:cs="仿宋_GB2312"/>
                <w:spacing w:val="-3"/>
                <w:sz w:val="28"/>
                <w:szCs w:val="28"/>
                <w:lang w:val="en-US" w:eastAsia="zh-CN"/>
              </w:rPr>
              <w:t>解等</w:t>
            </w:r>
            <w:r>
              <w:rPr>
                <w:rFonts w:hint="eastAsia" w:ascii="仿宋_GB2312" w:hAnsi="仿宋_GB2312" w:eastAsia="仿宋_GB2312" w:cs="仿宋_GB2312"/>
                <w:spacing w:val="-3"/>
                <w:sz w:val="28"/>
                <w:szCs w:val="28"/>
              </w:rPr>
              <w:t>司法行政业务进驻的“一站式、窗口化、综合性”</w:t>
            </w:r>
          </w:p>
          <w:p>
            <w:pPr>
              <w:pStyle w:val="40"/>
              <w:keepNext w:val="0"/>
              <w:keepLines w:val="0"/>
              <w:pageBreakBefore w:val="0"/>
              <w:widowControl w:val="0"/>
              <w:kinsoku/>
              <w:wordWrap/>
              <w:overflowPunct/>
              <w:topLinePunct w:val="0"/>
              <w:autoSpaceDE w:val="0"/>
              <w:autoSpaceDN w:val="0"/>
              <w:bidi w:val="0"/>
              <w:adjustRightInd/>
              <w:snapToGrid/>
              <w:spacing w:before="0" w:line="48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乡镇（街道）级公共法律服务平台。</w:t>
            </w:r>
          </w:p>
          <w:p>
            <w:pPr>
              <w:pStyle w:val="40"/>
              <w:keepNext w:val="0"/>
              <w:keepLines w:val="0"/>
              <w:pageBreakBefore w:val="0"/>
              <w:widowControl w:val="0"/>
              <w:kinsoku/>
              <w:wordWrap/>
              <w:overflowPunct/>
              <w:topLinePunct w:val="0"/>
              <w:autoSpaceDE w:val="0"/>
              <w:autoSpaceDN w:val="0"/>
              <w:bidi w:val="0"/>
              <w:adjustRightInd/>
              <w:snapToGrid/>
              <w:spacing w:before="0" w:line="480" w:lineRule="exact"/>
              <w:ind w:left="0" w:leftChars="0" w:right="0" w:righ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配备设备：</w:t>
            </w:r>
            <w:r>
              <w:rPr>
                <w:rFonts w:hint="eastAsia" w:ascii="仿宋_GB2312" w:hAnsi="仿宋_GB2312" w:eastAsia="仿宋_GB2312" w:cs="仿宋_GB2312"/>
                <w:spacing w:val="0"/>
                <w:sz w:val="28"/>
                <w:szCs w:val="28"/>
              </w:rPr>
              <w:t>包含但不限于办公电脑、打印机、自助服务终</w:t>
            </w:r>
            <w:r>
              <w:rPr>
                <w:rFonts w:hint="eastAsia" w:ascii="仿宋_GB2312" w:hAnsi="仿宋_GB2312" w:eastAsia="仿宋_GB2312" w:cs="仿宋_GB2312"/>
                <w:sz w:val="28"/>
                <w:szCs w:val="28"/>
              </w:rPr>
              <w:t>端</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可视电话、服务评价器等设施设备。</w:t>
            </w:r>
          </w:p>
        </w:tc>
        <w:tc>
          <w:tcPr>
            <w:tcW w:w="1934" w:type="dxa"/>
            <w:tcBorders>
              <w:top w:val="single" w:color="000000" w:sz="6" w:space="0"/>
              <w:left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autoSpaceDE w:val="0"/>
              <w:autoSpaceDN w:val="0"/>
              <w:bidi w:val="0"/>
              <w:adjustRightInd/>
              <w:snapToGrid/>
              <w:spacing w:before="0" w:line="480" w:lineRule="exact"/>
              <w:ind w:right="0" w:rightChars="0"/>
              <w:jc w:val="center"/>
              <w:textAlignment w:val="auto"/>
              <w:rPr>
                <w:rFonts w:hint="eastAsia" w:ascii="仿宋_GB2312" w:hAnsi="仿宋_GB2312" w:eastAsia="仿宋_GB2312" w:cs="仿宋_GB2312"/>
                <w:spacing w:val="-34"/>
                <w:sz w:val="28"/>
                <w:szCs w:val="28"/>
              </w:rPr>
            </w:pPr>
            <w:r>
              <w:rPr>
                <w:rFonts w:hint="eastAsia" w:ascii="仿宋_GB2312" w:hAnsi="仿宋_GB2312" w:eastAsia="仿宋_GB2312" w:cs="仿宋_GB2312"/>
                <w:spacing w:val="-3"/>
                <w:sz w:val="28"/>
                <w:szCs w:val="28"/>
                <w:lang w:val="en-US" w:eastAsia="zh-CN"/>
              </w:rPr>
              <w:t>县</w:t>
            </w:r>
            <w:r>
              <w:rPr>
                <w:rFonts w:hint="eastAsia" w:ascii="仿宋_GB2312" w:hAnsi="仿宋_GB2312" w:eastAsia="仿宋_GB2312" w:cs="仿宋_GB2312"/>
                <w:spacing w:val="-3"/>
                <w:sz w:val="28"/>
                <w:szCs w:val="28"/>
              </w:rPr>
              <w:t>（</w:t>
            </w:r>
            <w:r>
              <w:rPr>
                <w:rFonts w:hint="eastAsia" w:ascii="仿宋_GB2312" w:hAnsi="仿宋_GB2312" w:eastAsia="仿宋_GB2312" w:cs="仿宋_GB2312"/>
                <w:sz w:val="28"/>
                <w:szCs w:val="28"/>
                <w:lang w:eastAsia="zh-CN"/>
              </w:rPr>
              <w:t>市、</w:t>
            </w:r>
            <w:r>
              <w:rPr>
                <w:rFonts w:hint="eastAsia" w:ascii="仿宋_GB2312" w:hAnsi="仿宋_GB2312" w:eastAsia="仿宋_GB2312" w:cs="仿宋_GB2312"/>
                <w:sz w:val="28"/>
                <w:szCs w:val="28"/>
              </w:rPr>
              <w:t>区</w:t>
            </w:r>
            <w:r>
              <w:rPr>
                <w:rFonts w:hint="eastAsia" w:ascii="仿宋_GB2312" w:hAnsi="仿宋_GB2312" w:eastAsia="仿宋_GB2312" w:cs="仿宋_GB2312"/>
                <w:spacing w:val="-37"/>
                <w:sz w:val="28"/>
                <w:szCs w:val="28"/>
              </w:rPr>
              <w:t>）</w:t>
            </w:r>
            <w:r>
              <w:rPr>
                <w:rFonts w:hint="eastAsia" w:ascii="仿宋_GB2312" w:hAnsi="仿宋_GB2312" w:eastAsia="仿宋_GB2312" w:cs="仿宋_GB2312"/>
                <w:spacing w:val="-2"/>
                <w:sz w:val="28"/>
                <w:szCs w:val="28"/>
              </w:rPr>
              <w:t>司法局</w:t>
            </w:r>
          </w:p>
        </w:tc>
        <w:tc>
          <w:tcPr>
            <w:tcW w:w="1626" w:type="dxa"/>
            <w:tcBorders>
              <w:top w:val="single" w:color="000000" w:sz="6" w:space="0"/>
              <w:left w:val="single" w:color="000000" w:sz="6" w:space="0"/>
              <w:bottom w:val="single" w:color="000000" w:sz="6" w:space="0"/>
              <w:right w:val="single" w:color="000000" w:sz="6" w:space="0"/>
            </w:tcBorders>
            <w:noWrap w:val="0"/>
            <w:vAlign w:val="center"/>
          </w:tcPr>
          <w:p>
            <w:pPr>
              <w:pStyle w:val="40"/>
              <w:spacing w:before="232"/>
              <w:ind w:left="-25" w:leftChars="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w w:val="100"/>
                <w:sz w:val="28"/>
                <w:szCs w:val="28"/>
              </w:rPr>
              <w:t>202</w:t>
            </w:r>
            <w:r>
              <w:rPr>
                <w:rFonts w:hint="eastAsia" w:ascii="仿宋_GB2312" w:hAnsi="仿宋_GB2312" w:eastAsia="仿宋_GB2312" w:cs="仿宋_GB2312"/>
                <w:spacing w:val="1"/>
                <w:w w:val="100"/>
                <w:sz w:val="28"/>
                <w:szCs w:val="28"/>
              </w:rPr>
              <w:t>5</w:t>
            </w:r>
            <w:r>
              <w:rPr>
                <w:rFonts w:hint="eastAsia" w:ascii="仿宋_GB2312" w:hAnsi="仿宋_GB2312" w:eastAsia="仿宋_GB2312" w:cs="仿宋_GB2312"/>
                <w:spacing w:val="-2"/>
                <w:w w:val="100"/>
                <w:sz w:val="28"/>
                <w:szCs w:val="28"/>
              </w:rPr>
              <w:t>.1</w:t>
            </w:r>
            <w:r>
              <w:rPr>
                <w:rFonts w:hint="eastAsia" w:ascii="仿宋_GB2312" w:hAnsi="仿宋_GB2312" w:eastAsia="仿宋_GB2312" w:cs="仿宋_GB2312"/>
                <w:w w:val="100"/>
                <w:sz w:val="28"/>
                <w:szCs w:val="28"/>
              </w:rPr>
              <w:t>2</w:t>
            </w:r>
          </w:p>
        </w:tc>
        <w:tc>
          <w:tcPr>
            <w:tcW w:w="885" w:type="dxa"/>
            <w:tcBorders>
              <w:top w:val="single" w:color="000000" w:sz="6" w:space="0"/>
              <w:left w:val="single" w:color="000000" w:sz="6" w:space="0"/>
              <w:bottom w:val="single" w:color="000000" w:sz="6" w:space="0"/>
            </w:tcBorders>
            <w:noWrap w:val="0"/>
            <w:vAlign w:val="top"/>
          </w:tcPr>
          <w:p>
            <w:pPr>
              <w:pStyle w:val="40"/>
              <w:jc w:val="both"/>
              <w:rPr>
                <w:rFonts w:hint="eastAsia" w:ascii="仿宋_GB2312" w:hAnsi="仿宋_GB2312" w:eastAsia="仿宋_GB2312" w:cs="仿宋_GB2312"/>
                <w:sz w:val="28"/>
                <w:szCs w:val="28"/>
              </w:rPr>
            </w:pPr>
          </w:p>
          <w:p>
            <w:pPr>
              <w:pStyle w:val="40"/>
              <w:jc w:val="both"/>
              <w:rPr>
                <w:rFonts w:hint="eastAsia" w:ascii="仿宋_GB2312" w:hAnsi="仿宋_GB2312" w:eastAsia="仿宋_GB2312" w:cs="仿宋_GB2312"/>
                <w:sz w:val="28"/>
                <w:szCs w:val="28"/>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2897" w:hRule="atLeast"/>
          <w:jc w:val="center"/>
        </w:trPr>
        <w:tc>
          <w:tcPr>
            <w:tcW w:w="680" w:type="dxa"/>
            <w:tcBorders>
              <w:top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autoSpaceDE/>
              <w:autoSpaceDN/>
              <w:bidi w:val="0"/>
              <w:adjustRightInd/>
              <w:snapToGrid/>
              <w:spacing w:line="520" w:lineRule="exact"/>
              <w:ind w:left="12" w:leftChars="0"/>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4</w:t>
            </w:r>
          </w:p>
        </w:tc>
        <w:tc>
          <w:tcPr>
            <w:tcW w:w="1547" w:type="dxa"/>
            <w:tcBorders>
              <w:top w:val="single" w:color="000000" w:sz="6" w:space="0"/>
              <w:left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autoSpaceDE/>
              <w:autoSpaceDN/>
              <w:bidi w:val="0"/>
              <w:adjustRightInd/>
              <w:snapToGrid/>
              <w:spacing w:line="520" w:lineRule="exact"/>
              <w:ind w:left="6" w:leftChars="0" w:right="-44" w:rightChars="0"/>
              <w:jc w:val="center"/>
              <w:textAlignment w:val="auto"/>
              <w:rPr>
                <w:rFonts w:hint="eastAsia" w:ascii="仿宋_GB2312" w:hAnsi="仿宋_GB2312" w:eastAsia="仿宋_GB2312" w:cs="仿宋_GB2312"/>
                <w:spacing w:val="-30"/>
                <w:sz w:val="28"/>
              </w:rPr>
            </w:pPr>
            <w:r>
              <w:rPr>
                <w:rFonts w:hint="eastAsia" w:ascii="仿宋_GB2312" w:hAnsi="仿宋_GB2312" w:eastAsia="仿宋_GB2312" w:cs="仿宋_GB2312"/>
                <w:spacing w:val="-24"/>
                <w:sz w:val="28"/>
              </w:rPr>
              <w:t>村级公共法律</w:t>
            </w:r>
            <w:r>
              <w:rPr>
                <w:rFonts w:hint="eastAsia" w:ascii="仿宋_GB2312" w:hAnsi="仿宋_GB2312" w:eastAsia="仿宋_GB2312" w:cs="仿宋_GB2312"/>
                <w:spacing w:val="-30"/>
                <w:sz w:val="28"/>
              </w:rPr>
              <w:t>服务工作室</w:t>
            </w:r>
          </w:p>
        </w:tc>
        <w:tc>
          <w:tcPr>
            <w:tcW w:w="1162" w:type="dxa"/>
            <w:tcBorders>
              <w:top w:val="single" w:color="000000" w:sz="6" w:space="0"/>
              <w:left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autoSpaceDE/>
              <w:autoSpaceDN/>
              <w:bidi w:val="0"/>
              <w:adjustRightInd/>
              <w:snapToGrid/>
              <w:spacing w:line="520" w:lineRule="exact"/>
              <w:ind w:left="14" w:leftChars="0"/>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改扩建</w:t>
            </w:r>
          </w:p>
        </w:tc>
        <w:tc>
          <w:tcPr>
            <w:tcW w:w="6709" w:type="dxa"/>
            <w:tcBorders>
              <w:top w:val="single" w:color="000000" w:sz="6" w:space="0"/>
              <w:left w:val="single" w:color="000000" w:sz="6" w:space="0"/>
              <w:bottom w:val="single" w:color="000000" w:sz="6" w:space="0"/>
              <w:right w:val="single" w:color="000000" w:sz="6" w:space="0"/>
            </w:tcBorders>
            <w:noWrap w:val="0"/>
            <w:vAlign w:val="top"/>
          </w:tcPr>
          <w:p>
            <w:pPr>
              <w:pStyle w:val="40"/>
              <w:keepNext w:val="0"/>
              <w:keepLines w:val="0"/>
              <w:pageBreakBefore w:val="0"/>
              <w:widowControl w:val="0"/>
              <w:kinsoku/>
              <w:wordWrap/>
              <w:overflowPunct/>
              <w:topLinePunct w:val="0"/>
              <w:autoSpaceDE/>
              <w:autoSpaceDN/>
              <w:bidi w:val="0"/>
              <w:adjustRightInd/>
              <w:snapToGrid/>
              <w:spacing w:line="520" w:lineRule="exact"/>
              <w:ind w:left="6"/>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项目地点：各村（</w:t>
            </w:r>
            <w:r>
              <w:rPr>
                <w:rFonts w:hint="eastAsia" w:ascii="仿宋_GB2312" w:hAnsi="仿宋_GB2312" w:eastAsia="仿宋_GB2312" w:cs="仿宋_GB2312"/>
                <w:sz w:val="28"/>
                <w:lang w:val="en-US" w:eastAsia="zh-CN"/>
              </w:rPr>
              <w:t>社区</w:t>
            </w:r>
            <w:r>
              <w:rPr>
                <w:rFonts w:hint="eastAsia" w:ascii="仿宋_GB2312" w:hAnsi="仿宋_GB2312" w:eastAsia="仿宋_GB2312" w:cs="仿宋_GB2312"/>
                <w:sz w:val="28"/>
              </w:rPr>
              <w:t>）</w:t>
            </w:r>
          </w:p>
          <w:p>
            <w:pPr>
              <w:pStyle w:val="40"/>
              <w:keepNext w:val="0"/>
              <w:keepLines w:val="0"/>
              <w:pageBreakBefore w:val="0"/>
              <w:widowControl w:val="0"/>
              <w:kinsoku/>
              <w:wordWrap/>
              <w:overflowPunct/>
              <w:topLinePunct w:val="0"/>
              <w:autoSpaceDE/>
              <w:autoSpaceDN/>
              <w:bidi w:val="0"/>
              <w:adjustRightInd/>
              <w:snapToGrid/>
              <w:spacing w:line="520" w:lineRule="exact"/>
              <w:ind w:left="6" w:right="-15"/>
              <w:jc w:val="both"/>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建设内容：建立法治宣传、律师、公证、法律援助、调解等司法行政业务进驻村（</w:t>
            </w:r>
            <w:r>
              <w:rPr>
                <w:rFonts w:hint="eastAsia" w:ascii="仿宋_GB2312" w:hAnsi="仿宋_GB2312" w:eastAsia="仿宋_GB2312" w:cs="仿宋_GB2312"/>
                <w:sz w:val="28"/>
                <w:lang w:val="en-US" w:eastAsia="zh-CN"/>
              </w:rPr>
              <w:t>社区</w:t>
            </w:r>
            <w:r>
              <w:rPr>
                <w:rFonts w:hint="eastAsia" w:ascii="仿宋_GB2312" w:hAnsi="仿宋_GB2312" w:eastAsia="仿宋_GB2312" w:cs="仿宋_GB2312"/>
                <w:sz w:val="28"/>
              </w:rPr>
              <w:t>）公共法律服务平台。配备设备：包含但不限于自助服务终端、可视电话等设</w:t>
            </w:r>
          </w:p>
          <w:p>
            <w:pPr>
              <w:pStyle w:val="40"/>
              <w:keepNext w:val="0"/>
              <w:keepLines w:val="0"/>
              <w:pageBreakBefore w:val="0"/>
              <w:widowControl w:val="0"/>
              <w:kinsoku/>
              <w:wordWrap/>
              <w:overflowPunct/>
              <w:topLinePunct w:val="0"/>
              <w:autoSpaceDE/>
              <w:autoSpaceDN/>
              <w:bidi w:val="0"/>
              <w:adjustRightInd/>
              <w:snapToGrid/>
              <w:spacing w:line="520" w:lineRule="exact"/>
              <w:ind w:left="6" w:leftChars="0"/>
              <w:textAlignment w:val="auto"/>
              <w:rPr>
                <w:rFonts w:hint="eastAsia" w:ascii="仿宋_GB2312" w:hAnsi="仿宋_GB2312" w:eastAsia="仿宋_GB2312" w:cs="仿宋_GB2312"/>
                <w:spacing w:val="-3"/>
                <w:sz w:val="28"/>
              </w:rPr>
            </w:pPr>
            <w:r>
              <w:rPr>
                <w:rFonts w:hint="eastAsia" w:ascii="仿宋_GB2312" w:hAnsi="仿宋_GB2312" w:eastAsia="仿宋_GB2312" w:cs="仿宋_GB2312"/>
                <w:sz w:val="28"/>
              </w:rPr>
              <w:t>施设备。</w:t>
            </w:r>
          </w:p>
        </w:tc>
        <w:tc>
          <w:tcPr>
            <w:tcW w:w="1934" w:type="dxa"/>
            <w:tcBorders>
              <w:top w:val="single" w:color="000000" w:sz="6" w:space="0"/>
              <w:left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autoSpaceDE/>
              <w:autoSpaceDN/>
              <w:bidi w:val="0"/>
              <w:adjustRightInd/>
              <w:snapToGrid/>
              <w:spacing w:line="520" w:lineRule="exact"/>
              <w:ind w:left="5" w:leftChars="0" w:right="-15" w:rightChars="0"/>
              <w:jc w:val="center"/>
              <w:textAlignment w:val="auto"/>
              <w:rPr>
                <w:rFonts w:hint="eastAsia" w:ascii="仿宋_GB2312" w:hAnsi="仿宋_GB2312" w:eastAsia="仿宋_GB2312" w:cs="仿宋_GB2312"/>
                <w:spacing w:val="-3"/>
                <w:sz w:val="28"/>
                <w:lang w:val="en-US" w:eastAsia="zh-CN"/>
              </w:rPr>
            </w:pPr>
            <w:r>
              <w:rPr>
                <w:rFonts w:hint="eastAsia" w:ascii="仿宋_GB2312" w:hAnsi="仿宋_GB2312" w:eastAsia="仿宋_GB2312" w:cs="仿宋_GB2312"/>
                <w:spacing w:val="33"/>
                <w:sz w:val="28"/>
                <w:lang w:eastAsia="zh-CN"/>
              </w:rPr>
              <w:t>县（市、区）司法局</w:t>
            </w:r>
          </w:p>
        </w:tc>
        <w:tc>
          <w:tcPr>
            <w:tcW w:w="1626" w:type="dxa"/>
            <w:tcBorders>
              <w:top w:val="single" w:color="000000" w:sz="6" w:space="0"/>
              <w:left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autoSpaceDE/>
              <w:autoSpaceDN/>
              <w:bidi w:val="0"/>
              <w:adjustRightInd/>
              <w:snapToGrid/>
              <w:spacing w:line="520" w:lineRule="exact"/>
              <w:ind w:left="-107" w:leftChars="0"/>
              <w:jc w:val="center"/>
              <w:textAlignment w:val="auto"/>
              <w:rPr>
                <w:rFonts w:hint="eastAsia" w:ascii="仿宋_GB2312" w:hAnsi="仿宋_GB2312" w:eastAsia="仿宋_GB2312" w:cs="仿宋_GB2312"/>
                <w:spacing w:val="-2"/>
                <w:w w:val="100"/>
                <w:sz w:val="28"/>
              </w:rPr>
            </w:pPr>
            <w:r>
              <w:rPr>
                <w:rFonts w:hint="eastAsia" w:ascii="仿宋_GB2312" w:hAnsi="仿宋_GB2312" w:eastAsia="仿宋_GB2312" w:cs="仿宋_GB2312"/>
                <w:spacing w:val="-12"/>
                <w:sz w:val="28"/>
                <w:lang w:val="en-US" w:eastAsia="zh-CN"/>
              </w:rPr>
              <w:t>2</w:t>
            </w:r>
            <w:r>
              <w:rPr>
                <w:rFonts w:hint="eastAsia" w:ascii="仿宋_GB2312" w:hAnsi="仿宋_GB2312" w:eastAsia="仿宋_GB2312" w:cs="仿宋_GB2312"/>
                <w:spacing w:val="-12"/>
                <w:sz w:val="28"/>
              </w:rPr>
              <w:t>2025.12</w:t>
            </w:r>
          </w:p>
        </w:tc>
        <w:tc>
          <w:tcPr>
            <w:tcW w:w="885" w:type="dxa"/>
            <w:tcBorders>
              <w:top w:val="single" w:color="000000" w:sz="6" w:space="0"/>
              <w:left w:val="single" w:color="000000" w:sz="6" w:space="0"/>
              <w:bottom w:val="single" w:color="000000" w:sz="6" w:space="0"/>
            </w:tcBorders>
            <w:noWrap w:val="0"/>
            <w:vAlign w:val="top"/>
          </w:tcPr>
          <w:p>
            <w:pPr>
              <w:pStyle w:val="40"/>
              <w:keepNext w:val="0"/>
              <w:keepLines w:val="0"/>
              <w:pageBreakBefore w:val="0"/>
              <w:widowControl w:val="0"/>
              <w:kinsoku/>
              <w:wordWrap/>
              <w:overflowPunct/>
              <w:topLinePunct w:val="0"/>
              <w:bidi w:val="0"/>
              <w:adjustRightInd/>
              <w:snapToGrid/>
              <w:spacing w:line="520" w:lineRule="exact"/>
              <w:textAlignment w:val="auto"/>
              <w:rPr>
                <w:rFonts w:hint="eastAsia" w:ascii="仿宋_GB2312" w:hAnsi="仿宋_GB2312" w:eastAsia="仿宋_GB2312" w:cs="仿宋_GB2312"/>
                <w:sz w:val="28"/>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631" w:hRule="atLeast"/>
          <w:jc w:val="center"/>
        </w:trPr>
        <w:tc>
          <w:tcPr>
            <w:tcW w:w="12032" w:type="dxa"/>
            <w:gridSpan w:val="5"/>
            <w:tcBorders>
              <w:top w:val="single" w:color="000000" w:sz="6" w:space="0"/>
              <w:bottom w:val="single" w:color="000000" w:sz="6" w:space="0"/>
              <w:right w:val="single" w:color="000000" w:sz="6" w:space="0"/>
            </w:tcBorders>
            <w:noWrap w:val="0"/>
            <w:vAlign w:val="top"/>
          </w:tcPr>
          <w:p>
            <w:pPr>
              <w:pStyle w:val="40"/>
              <w:keepNext w:val="0"/>
              <w:keepLines w:val="0"/>
              <w:pageBreakBefore w:val="0"/>
              <w:widowControl w:val="0"/>
              <w:kinsoku/>
              <w:wordWrap/>
              <w:overflowPunct/>
              <w:topLinePunct w:val="0"/>
              <w:bidi w:val="0"/>
              <w:adjustRightInd/>
              <w:snapToGrid/>
              <w:spacing w:before="238" w:line="520" w:lineRule="exact"/>
              <w:ind w:left="6" w:leftChars="0"/>
              <w:textAlignment w:val="auto"/>
              <w:rPr>
                <w:rFonts w:hint="default" w:ascii="Times New Roman" w:hAnsi="Times New Roman" w:cs="Times New Roman"/>
                <w:b/>
                <w:bCs/>
                <w:spacing w:val="-3"/>
                <w:sz w:val="28"/>
                <w:lang w:val="en-US" w:eastAsia="zh-CN"/>
              </w:rPr>
            </w:pPr>
            <w:r>
              <w:rPr>
                <w:b/>
                <w:bCs/>
                <w:sz w:val="28"/>
              </w:rPr>
              <w:t>二、公共法律服务基础保障项目</w:t>
            </w:r>
          </w:p>
        </w:tc>
        <w:tc>
          <w:tcPr>
            <w:tcW w:w="1626" w:type="dxa"/>
            <w:tcBorders>
              <w:top w:val="single" w:color="000000" w:sz="6" w:space="0"/>
              <w:left w:val="single" w:color="000000" w:sz="6" w:space="0"/>
              <w:bottom w:val="single" w:color="000000" w:sz="6" w:space="0"/>
              <w:right w:val="single" w:color="000000" w:sz="6" w:space="0"/>
            </w:tcBorders>
            <w:noWrap w:val="0"/>
            <w:vAlign w:val="top"/>
          </w:tcPr>
          <w:p>
            <w:pPr>
              <w:pStyle w:val="40"/>
              <w:keepNext w:val="0"/>
              <w:keepLines w:val="0"/>
              <w:pageBreakBefore w:val="0"/>
              <w:widowControl w:val="0"/>
              <w:kinsoku/>
              <w:wordWrap/>
              <w:overflowPunct/>
              <w:topLinePunct w:val="0"/>
              <w:bidi w:val="0"/>
              <w:adjustRightInd/>
              <w:snapToGrid/>
              <w:spacing w:line="520" w:lineRule="exact"/>
              <w:textAlignment w:val="auto"/>
              <w:rPr>
                <w:rFonts w:hint="default" w:ascii="Times New Roman" w:hAnsi="Times New Roman" w:cs="Times New Roman"/>
                <w:b/>
                <w:bCs/>
                <w:spacing w:val="-2"/>
                <w:w w:val="100"/>
                <w:sz w:val="28"/>
              </w:rPr>
            </w:pPr>
          </w:p>
        </w:tc>
        <w:tc>
          <w:tcPr>
            <w:tcW w:w="885" w:type="dxa"/>
            <w:tcBorders>
              <w:top w:val="single" w:color="000000" w:sz="6" w:space="0"/>
              <w:left w:val="single" w:color="000000" w:sz="6" w:space="0"/>
              <w:bottom w:val="single" w:color="000000" w:sz="6" w:space="0"/>
            </w:tcBorders>
            <w:noWrap w:val="0"/>
            <w:vAlign w:val="top"/>
          </w:tcPr>
          <w:p>
            <w:pPr>
              <w:pStyle w:val="40"/>
              <w:keepNext w:val="0"/>
              <w:keepLines w:val="0"/>
              <w:pageBreakBefore w:val="0"/>
              <w:widowControl w:val="0"/>
              <w:kinsoku/>
              <w:wordWrap/>
              <w:overflowPunct/>
              <w:topLinePunct w:val="0"/>
              <w:bidi w:val="0"/>
              <w:adjustRightInd/>
              <w:snapToGrid/>
              <w:spacing w:line="520" w:lineRule="exact"/>
              <w:textAlignment w:val="auto"/>
              <w:rPr>
                <w:rFonts w:hint="default" w:ascii="Times New Roman" w:hAnsi="Times New Roman" w:eastAsia="仿宋_GB2312" w:cs="Times New Roman"/>
                <w:b/>
                <w:bCs/>
                <w:spacing w:val="-3"/>
                <w:kern w:val="2"/>
                <w:sz w:val="28"/>
                <w:szCs w:val="24"/>
                <w:lang w:val="en-US" w:eastAsia="zh-CN" w:bidi="zh-CN"/>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300" w:hRule="atLeast"/>
          <w:jc w:val="center"/>
        </w:trPr>
        <w:tc>
          <w:tcPr>
            <w:tcW w:w="680" w:type="dxa"/>
            <w:tcBorders>
              <w:top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bidi w:val="0"/>
              <w:adjustRightInd/>
              <w:snapToGrid/>
              <w:spacing w:line="520" w:lineRule="exact"/>
              <w:ind w:left="12" w:leftChars="0"/>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5</w:t>
            </w:r>
          </w:p>
        </w:tc>
        <w:tc>
          <w:tcPr>
            <w:tcW w:w="1547" w:type="dxa"/>
            <w:tcBorders>
              <w:top w:val="single" w:color="000000" w:sz="6" w:space="0"/>
              <w:left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bidi w:val="0"/>
              <w:adjustRightInd/>
              <w:snapToGrid/>
              <w:spacing w:line="520" w:lineRule="exact"/>
              <w:ind w:left="73" w:leftChars="0" w:right="54" w:rightChars="0"/>
              <w:jc w:val="center"/>
              <w:textAlignment w:val="auto"/>
              <w:rPr>
                <w:rFonts w:hint="eastAsia" w:ascii="仿宋_GB2312" w:hAnsi="仿宋_GB2312" w:eastAsia="仿宋_GB2312" w:cs="仿宋_GB2312"/>
                <w:spacing w:val="-30"/>
                <w:sz w:val="28"/>
              </w:rPr>
            </w:pPr>
            <w:r>
              <w:rPr>
                <w:rFonts w:hint="eastAsia" w:ascii="仿宋_GB2312" w:hAnsi="仿宋_GB2312" w:eastAsia="仿宋_GB2312" w:cs="仿宋_GB2312"/>
                <w:sz w:val="28"/>
              </w:rPr>
              <w:t>村（</w:t>
            </w:r>
            <w:r>
              <w:rPr>
                <w:rFonts w:hint="eastAsia" w:ascii="仿宋_GB2312" w:hAnsi="仿宋_GB2312" w:eastAsia="仿宋_GB2312" w:cs="仿宋_GB2312"/>
                <w:sz w:val="28"/>
                <w:lang w:val="en-US" w:eastAsia="zh-CN"/>
              </w:rPr>
              <w:t>社区</w:t>
            </w:r>
            <w:r>
              <w:rPr>
                <w:rFonts w:hint="eastAsia" w:ascii="仿宋_GB2312" w:hAnsi="仿宋_GB2312" w:eastAsia="仿宋_GB2312" w:cs="仿宋_GB2312"/>
                <w:sz w:val="28"/>
              </w:rPr>
              <w:t>）法律顾问</w:t>
            </w:r>
          </w:p>
        </w:tc>
        <w:tc>
          <w:tcPr>
            <w:tcW w:w="1162" w:type="dxa"/>
            <w:tcBorders>
              <w:top w:val="single" w:color="000000" w:sz="6" w:space="0"/>
              <w:left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bidi w:val="0"/>
              <w:adjustRightInd/>
              <w:snapToGrid/>
              <w:spacing w:line="520" w:lineRule="exact"/>
              <w:ind w:left="16" w:leftChars="0"/>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急需建设</w:t>
            </w:r>
          </w:p>
        </w:tc>
        <w:tc>
          <w:tcPr>
            <w:tcW w:w="6709" w:type="dxa"/>
            <w:tcBorders>
              <w:top w:val="single" w:color="000000" w:sz="6" w:space="0"/>
              <w:left w:val="single" w:color="000000" w:sz="6" w:space="0"/>
              <w:bottom w:val="single" w:color="000000" w:sz="6" w:space="0"/>
              <w:right w:val="single" w:color="000000" w:sz="6" w:space="0"/>
            </w:tcBorders>
            <w:noWrap w:val="0"/>
            <w:vAlign w:val="top"/>
          </w:tcPr>
          <w:p>
            <w:pPr>
              <w:pStyle w:val="40"/>
              <w:keepNext w:val="0"/>
              <w:keepLines w:val="0"/>
              <w:pageBreakBefore w:val="0"/>
              <w:widowControl w:val="0"/>
              <w:kinsoku/>
              <w:wordWrap/>
              <w:overflowPunct/>
              <w:topLinePunct w:val="0"/>
              <w:bidi w:val="0"/>
              <w:adjustRightInd/>
              <w:snapToGrid/>
              <w:spacing w:line="520" w:lineRule="exact"/>
              <w:ind w:left="6" w:leftChars="0" w:right="-15" w:rightChars="0"/>
              <w:textAlignment w:val="auto"/>
              <w:rPr>
                <w:rFonts w:hint="eastAsia" w:ascii="仿宋_GB2312" w:hAnsi="仿宋_GB2312" w:eastAsia="仿宋_GB2312" w:cs="仿宋_GB2312"/>
                <w:spacing w:val="-3"/>
                <w:sz w:val="28"/>
              </w:rPr>
            </w:pPr>
            <w:r>
              <w:rPr>
                <w:rFonts w:hint="eastAsia" w:ascii="仿宋_GB2312" w:hAnsi="仿宋_GB2312" w:eastAsia="仿宋_GB2312" w:cs="仿宋_GB2312"/>
                <w:sz w:val="28"/>
              </w:rPr>
              <w:t>提高全市村</w:t>
            </w:r>
            <w:r>
              <w:rPr>
                <w:rFonts w:hint="eastAsia" w:ascii="仿宋_GB2312" w:hAnsi="仿宋_GB2312" w:eastAsia="仿宋_GB2312" w:cs="仿宋_GB2312"/>
                <w:spacing w:val="-3"/>
                <w:sz w:val="28"/>
              </w:rPr>
              <w:t>（</w:t>
            </w:r>
            <w:r>
              <w:rPr>
                <w:rFonts w:hint="eastAsia" w:ascii="仿宋_GB2312" w:hAnsi="仿宋_GB2312" w:eastAsia="仿宋_GB2312" w:cs="仿宋_GB2312"/>
                <w:sz w:val="28"/>
                <w:lang w:val="en-US" w:eastAsia="zh-CN"/>
              </w:rPr>
              <w:t>社区</w:t>
            </w:r>
            <w:r>
              <w:rPr>
                <w:rFonts w:hint="eastAsia" w:ascii="仿宋_GB2312" w:hAnsi="仿宋_GB2312" w:eastAsia="仿宋_GB2312" w:cs="仿宋_GB2312"/>
                <w:sz w:val="28"/>
              </w:rPr>
              <w:t>）</w:t>
            </w:r>
            <w:r>
              <w:rPr>
                <w:rFonts w:hint="eastAsia" w:ascii="仿宋_GB2312" w:hAnsi="仿宋_GB2312" w:eastAsia="仿宋_GB2312" w:cs="仿宋_GB2312"/>
                <w:spacing w:val="-3"/>
                <w:sz w:val="28"/>
              </w:rPr>
              <w:t>法律顾问保障水平，强化公共法律服</w:t>
            </w:r>
            <w:r>
              <w:rPr>
                <w:rFonts w:hint="eastAsia" w:ascii="仿宋_GB2312" w:hAnsi="仿宋_GB2312" w:eastAsia="仿宋_GB2312" w:cs="仿宋_GB2312"/>
                <w:sz w:val="28"/>
              </w:rPr>
              <w:t>务全覆盖。</w:t>
            </w:r>
          </w:p>
        </w:tc>
        <w:tc>
          <w:tcPr>
            <w:tcW w:w="1934" w:type="dxa"/>
            <w:tcBorders>
              <w:top w:val="single" w:color="000000" w:sz="6" w:space="0"/>
              <w:left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bidi w:val="0"/>
              <w:adjustRightInd/>
              <w:snapToGrid/>
              <w:spacing w:line="520" w:lineRule="exact"/>
              <w:ind w:left="5" w:leftChars="0" w:right="-15" w:rightChars="0"/>
              <w:jc w:val="center"/>
              <w:textAlignment w:val="auto"/>
              <w:rPr>
                <w:rFonts w:hint="eastAsia" w:ascii="仿宋_GB2312" w:hAnsi="仿宋_GB2312" w:eastAsia="仿宋_GB2312" w:cs="仿宋_GB2312"/>
                <w:spacing w:val="-3"/>
                <w:sz w:val="28"/>
                <w:lang w:val="en-US" w:eastAsia="zh-CN"/>
              </w:rPr>
            </w:pPr>
            <w:r>
              <w:rPr>
                <w:rFonts w:hint="eastAsia" w:ascii="仿宋_GB2312" w:hAnsi="仿宋_GB2312" w:eastAsia="仿宋_GB2312" w:cs="仿宋_GB2312"/>
                <w:spacing w:val="-6"/>
                <w:sz w:val="28"/>
              </w:rPr>
              <w:t>市、县</w:t>
            </w:r>
            <w:r>
              <w:rPr>
                <w:rFonts w:hint="eastAsia" w:ascii="仿宋_GB2312" w:hAnsi="仿宋_GB2312" w:eastAsia="仿宋_GB2312" w:cs="仿宋_GB2312"/>
                <w:sz w:val="28"/>
              </w:rPr>
              <w:t>（</w:t>
            </w:r>
            <w:r>
              <w:rPr>
                <w:rFonts w:hint="eastAsia" w:ascii="仿宋_GB2312" w:hAnsi="仿宋_GB2312" w:eastAsia="仿宋_GB2312" w:cs="仿宋_GB2312"/>
                <w:spacing w:val="-17"/>
                <w:sz w:val="28"/>
                <w:lang w:eastAsia="zh-CN"/>
              </w:rPr>
              <w:t>市、</w:t>
            </w:r>
            <w:r>
              <w:rPr>
                <w:rFonts w:hint="eastAsia" w:ascii="仿宋_GB2312" w:hAnsi="仿宋_GB2312" w:eastAsia="仿宋_GB2312" w:cs="仿宋_GB2312"/>
                <w:sz w:val="28"/>
              </w:rPr>
              <w:t>区）司法局</w:t>
            </w:r>
          </w:p>
        </w:tc>
        <w:tc>
          <w:tcPr>
            <w:tcW w:w="1626" w:type="dxa"/>
            <w:tcBorders>
              <w:top w:val="single" w:color="000000" w:sz="6" w:space="0"/>
              <w:left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bidi w:val="0"/>
              <w:adjustRightInd/>
              <w:snapToGrid/>
              <w:spacing w:line="520" w:lineRule="exact"/>
              <w:ind w:left="92" w:leftChars="0"/>
              <w:jc w:val="center"/>
              <w:textAlignment w:val="auto"/>
              <w:rPr>
                <w:rFonts w:hint="eastAsia" w:ascii="仿宋_GB2312" w:hAnsi="仿宋_GB2312" w:eastAsia="仿宋_GB2312" w:cs="仿宋_GB2312"/>
                <w:spacing w:val="-2"/>
                <w:w w:val="100"/>
                <w:sz w:val="28"/>
              </w:rPr>
            </w:pPr>
            <w:r>
              <w:rPr>
                <w:rFonts w:hint="eastAsia" w:ascii="仿宋_GB2312" w:hAnsi="仿宋_GB2312" w:eastAsia="仿宋_GB2312" w:cs="仿宋_GB2312"/>
                <w:sz w:val="28"/>
              </w:rPr>
              <w:t>2025.12</w:t>
            </w:r>
          </w:p>
        </w:tc>
        <w:tc>
          <w:tcPr>
            <w:tcW w:w="885" w:type="dxa"/>
            <w:tcBorders>
              <w:top w:val="single" w:color="000000" w:sz="6" w:space="0"/>
              <w:left w:val="single" w:color="000000" w:sz="6" w:space="0"/>
              <w:bottom w:val="single" w:color="000000" w:sz="6" w:space="0"/>
            </w:tcBorders>
            <w:noWrap w:val="0"/>
            <w:vAlign w:val="top"/>
          </w:tcPr>
          <w:p>
            <w:pPr>
              <w:pStyle w:val="40"/>
              <w:keepNext w:val="0"/>
              <w:keepLines w:val="0"/>
              <w:pageBreakBefore w:val="0"/>
              <w:widowControl w:val="0"/>
              <w:kinsoku/>
              <w:wordWrap/>
              <w:overflowPunct/>
              <w:topLinePunct w:val="0"/>
              <w:bidi w:val="0"/>
              <w:adjustRightInd/>
              <w:snapToGrid/>
              <w:spacing w:line="520" w:lineRule="exact"/>
              <w:textAlignment w:val="auto"/>
              <w:rPr>
                <w:rFonts w:hint="eastAsia" w:ascii="仿宋_GB2312" w:hAnsi="仿宋_GB2312" w:eastAsia="仿宋_GB2312" w:cs="仿宋_GB2312"/>
                <w:sz w:val="28"/>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893" w:hRule="atLeast"/>
          <w:jc w:val="center"/>
        </w:trPr>
        <w:tc>
          <w:tcPr>
            <w:tcW w:w="680" w:type="dxa"/>
            <w:tcBorders>
              <w:top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bidi w:val="0"/>
              <w:adjustRightInd/>
              <w:snapToGrid/>
              <w:spacing w:line="520" w:lineRule="exact"/>
              <w:ind w:left="12" w:leftChars="0"/>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6</w:t>
            </w:r>
          </w:p>
        </w:tc>
        <w:tc>
          <w:tcPr>
            <w:tcW w:w="1547" w:type="dxa"/>
            <w:tcBorders>
              <w:top w:val="single" w:color="000000" w:sz="6" w:space="0"/>
              <w:left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bidi w:val="0"/>
              <w:adjustRightInd/>
              <w:snapToGrid/>
              <w:spacing w:line="520" w:lineRule="exact"/>
              <w:ind w:left="6" w:leftChars="0" w:right="-15" w:rightChars="0"/>
              <w:jc w:val="center"/>
              <w:textAlignment w:val="auto"/>
              <w:rPr>
                <w:rFonts w:hint="eastAsia" w:ascii="仿宋_GB2312" w:hAnsi="仿宋_GB2312" w:eastAsia="仿宋_GB2312" w:cs="仿宋_GB2312"/>
                <w:spacing w:val="-30"/>
                <w:sz w:val="28"/>
              </w:rPr>
            </w:pPr>
            <w:r>
              <w:rPr>
                <w:rFonts w:hint="eastAsia" w:ascii="仿宋_GB2312" w:hAnsi="仿宋_GB2312" w:eastAsia="仿宋_GB2312" w:cs="仿宋_GB2312"/>
                <w:sz w:val="28"/>
              </w:rPr>
              <w:t>公共法律服务队伍教育培训</w:t>
            </w:r>
          </w:p>
        </w:tc>
        <w:tc>
          <w:tcPr>
            <w:tcW w:w="1162" w:type="dxa"/>
            <w:tcBorders>
              <w:top w:val="single" w:color="000000" w:sz="6" w:space="0"/>
              <w:left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bidi w:val="0"/>
              <w:adjustRightInd/>
              <w:snapToGrid/>
              <w:spacing w:line="520" w:lineRule="exact"/>
              <w:ind w:left="16" w:leftChars="0"/>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急需建设</w:t>
            </w:r>
          </w:p>
        </w:tc>
        <w:tc>
          <w:tcPr>
            <w:tcW w:w="6709" w:type="dxa"/>
            <w:tcBorders>
              <w:top w:val="single" w:color="000000" w:sz="6" w:space="0"/>
              <w:left w:val="single" w:color="000000" w:sz="6" w:space="0"/>
              <w:bottom w:val="single" w:color="000000" w:sz="6" w:space="0"/>
              <w:right w:val="single" w:color="000000" w:sz="6" w:space="0"/>
            </w:tcBorders>
            <w:noWrap w:val="0"/>
            <w:vAlign w:val="top"/>
          </w:tcPr>
          <w:p>
            <w:pPr>
              <w:pStyle w:val="40"/>
              <w:keepNext w:val="0"/>
              <w:keepLines w:val="0"/>
              <w:pageBreakBefore w:val="0"/>
              <w:widowControl w:val="0"/>
              <w:kinsoku/>
              <w:wordWrap/>
              <w:overflowPunct/>
              <w:topLinePunct w:val="0"/>
              <w:bidi w:val="0"/>
              <w:adjustRightInd/>
              <w:snapToGrid/>
              <w:spacing w:line="520" w:lineRule="exact"/>
              <w:ind w:left="6" w:leftChars="0" w:right="-15" w:rightChars="0"/>
              <w:jc w:val="both"/>
              <w:textAlignment w:val="auto"/>
              <w:rPr>
                <w:rFonts w:hint="eastAsia" w:ascii="仿宋_GB2312" w:hAnsi="仿宋_GB2312" w:eastAsia="仿宋_GB2312" w:cs="仿宋_GB2312"/>
                <w:spacing w:val="-3"/>
                <w:sz w:val="28"/>
              </w:rPr>
            </w:pPr>
            <w:r>
              <w:rPr>
                <w:rFonts w:hint="eastAsia" w:ascii="仿宋_GB2312" w:hAnsi="仿宋_GB2312" w:eastAsia="仿宋_GB2312" w:cs="仿宋_GB2312"/>
                <w:sz w:val="28"/>
              </w:rPr>
              <w:t>每年对律师、基层法律服务工作者、公证员、法律援助人员、仲裁员、司法鉴定人等公共法律服务从业人员开展思想政治、职业道德、业务技能等培训。</w:t>
            </w:r>
          </w:p>
        </w:tc>
        <w:tc>
          <w:tcPr>
            <w:tcW w:w="1934" w:type="dxa"/>
            <w:tcBorders>
              <w:top w:val="single" w:color="000000" w:sz="6" w:space="0"/>
              <w:left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bidi w:val="0"/>
              <w:adjustRightInd/>
              <w:snapToGrid/>
              <w:spacing w:line="520" w:lineRule="exact"/>
              <w:ind w:left="5" w:leftChars="0" w:right="-15" w:rightChars="0"/>
              <w:jc w:val="center"/>
              <w:textAlignment w:val="auto"/>
              <w:rPr>
                <w:rFonts w:hint="eastAsia" w:ascii="仿宋_GB2312" w:hAnsi="仿宋_GB2312" w:eastAsia="仿宋_GB2312" w:cs="仿宋_GB2312"/>
                <w:spacing w:val="-3"/>
                <w:sz w:val="28"/>
                <w:lang w:val="en-US" w:eastAsia="zh-CN"/>
              </w:rPr>
            </w:pPr>
            <w:r>
              <w:rPr>
                <w:rFonts w:hint="eastAsia" w:ascii="仿宋_GB2312" w:hAnsi="仿宋_GB2312" w:eastAsia="仿宋_GB2312" w:cs="仿宋_GB2312"/>
                <w:spacing w:val="-6"/>
                <w:sz w:val="28"/>
              </w:rPr>
              <w:t>市、县</w:t>
            </w:r>
            <w:r>
              <w:rPr>
                <w:rFonts w:hint="eastAsia" w:ascii="仿宋_GB2312" w:hAnsi="仿宋_GB2312" w:eastAsia="仿宋_GB2312" w:cs="仿宋_GB2312"/>
                <w:sz w:val="28"/>
              </w:rPr>
              <w:t>（</w:t>
            </w:r>
            <w:r>
              <w:rPr>
                <w:rFonts w:hint="eastAsia" w:ascii="仿宋_GB2312" w:hAnsi="仿宋_GB2312" w:eastAsia="仿宋_GB2312" w:cs="仿宋_GB2312"/>
                <w:spacing w:val="-17"/>
                <w:sz w:val="28"/>
                <w:lang w:eastAsia="zh-CN"/>
              </w:rPr>
              <w:t>市、</w:t>
            </w:r>
            <w:r>
              <w:rPr>
                <w:rFonts w:hint="eastAsia" w:ascii="仿宋_GB2312" w:hAnsi="仿宋_GB2312" w:eastAsia="仿宋_GB2312" w:cs="仿宋_GB2312"/>
                <w:sz w:val="28"/>
              </w:rPr>
              <w:t>区）司法局</w:t>
            </w:r>
          </w:p>
        </w:tc>
        <w:tc>
          <w:tcPr>
            <w:tcW w:w="1626" w:type="dxa"/>
            <w:tcBorders>
              <w:top w:val="single" w:color="000000" w:sz="6" w:space="0"/>
              <w:left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bidi w:val="0"/>
              <w:adjustRightInd/>
              <w:snapToGrid/>
              <w:spacing w:line="520" w:lineRule="exact"/>
              <w:ind w:left="92" w:leftChars="0"/>
              <w:jc w:val="center"/>
              <w:textAlignment w:val="auto"/>
              <w:rPr>
                <w:rFonts w:hint="eastAsia" w:ascii="仿宋_GB2312" w:hAnsi="仿宋_GB2312" w:eastAsia="仿宋_GB2312" w:cs="仿宋_GB2312"/>
                <w:spacing w:val="-2"/>
                <w:w w:val="100"/>
                <w:sz w:val="28"/>
              </w:rPr>
            </w:pPr>
            <w:r>
              <w:rPr>
                <w:rFonts w:hint="eastAsia" w:ascii="仿宋_GB2312" w:hAnsi="仿宋_GB2312" w:eastAsia="仿宋_GB2312" w:cs="仿宋_GB2312"/>
                <w:sz w:val="28"/>
              </w:rPr>
              <w:t>2025.12</w:t>
            </w:r>
          </w:p>
        </w:tc>
        <w:tc>
          <w:tcPr>
            <w:tcW w:w="885" w:type="dxa"/>
            <w:tcBorders>
              <w:top w:val="single" w:color="000000" w:sz="6" w:space="0"/>
              <w:left w:val="single" w:color="000000" w:sz="6" w:space="0"/>
              <w:bottom w:val="single" w:color="000000" w:sz="6" w:space="0"/>
            </w:tcBorders>
            <w:noWrap w:val="0"/>
            <w:vAlign w:val="top"/>
          </w:tcPr>
          <w:p>
            <w:pPr>
              <w:pStyle w:val="40"/>
              <w:keepNext w:val="0"/>
              <w:keepLines w:val="0"/>
              <w:pageBreakBefore w:val="0"/>
              <w:widowControl w:val="0"/>
              <w:kinsoku/>
              <w:wordWrap/>
              <w:overflowPunct/>
              <w:topLinePunct w:val="0"/>
              <w:bidi w:val="0"/>
              <w:adjustRightInd/>
              <w:snapToGrid/>
              <w:spacing w:line="520" w:lineRule="exact"/>
              <w:textAlignment w:val="auto"/>
              <w:rPr>
                <w:rFonts w:hint="eastAsia" w:ascii="仿宋_GB2312" w:hAnsi="仿宋_GB2312" w:eastAsia="仿宋_GB2312" w:cs="仿宋_GB2312"/>
                <w:sz w:val="28"/>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378" w:hRule="atLeast"/>
          <w:jc w:val="center"/>
        </w:trPr>
        <w:tc>
          <w:tcPr>
            <w:tcW w:w="680" w:type="dxa"/>
            <w:tcBorders>
              <w:top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bidi w:val="0"/>
              <w:adjustRightInd/>
              <w:snapToGrid/>
              <w:spacing w:line="520" w:lineRule="exact"/>
              <w:ind w:left="12" w:leftChars="0"/>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7</w:t>
            </w:r>
          </w:p>
        </w:tc>
        <w:tc>
          <w:tcPr>
            <w:tcW w:w="1547" w:type="dxa"/>
            <w:tcBorders>
              <w:top w:val="single" w:color="000000" w:sz="6" w:space="0"/>
              <w:left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bidi w:val="0"/>
              <w:adjustRightInd/>
              <w:snapToGrid/>
              <w:spacing w:line="520" w:lineRule="exact"/>
              <w:ind w:left="6" w:leftChars="0" w:right="-15" w:rightChars="0"/>
              <w:jc w:val="center"/>
              <w:textAlignment w:val="auto"/>
              <w:rPr>
                <w:rFonts w:hint="eastAsia" w:ascii="仿宋_GB2312" w:hAnsi="仿宋_GB2312" w:eastAsia="仿宋_GB2312" w:cs="仿宋_GB2312"/>
                <w:spacing w:val="-30"/>
                <w:sz w:val="28"/>
              </w:rPr>
            </w:pPr>
            <w:r>
              <w:rPr>
                <w:rFonts w:hint="eastAsia" w:ascii="仿宋_GB2312" w:hAnsi="仿宋_GB2312" w:eastAsia="仿宋_GB2312" w:cs="仿宋_GB2312"/>
                <w:spacing w:val="22"/>
                <w:sz w:val="28"/>
              </w:rPr>
              <w:t>律师行业党群活动服务</w:t>
            </w:r>
            <w:r>
              <w:rPr>
                <w:rFonts w:hint="eastAsia" w:ascii="仿宋_GB2312" w:hAnsi="仿宋_GB2312" w:eastAsia="仿宋_GB2312" w:cs="仿宋_GB2312"/>
                <w:sz w:val="28"/>
              </w:rPr>
              <w:t>中心</w:t>
            </w:r>
          </w:p>
        </w:tc>
        <w:tc>
          <w:tcPr>
            <w:tcW w:w="1162" w:type="dxa"/>
            <w:tcBorders>
              <w:top w:val="single" w:color="000000" w:sz="6" w:space="0"/>
              <w:left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bidi w:val="0"/>
              <w:adjustRightInd/>
              <w:snapToGrid/>
              <w:spacing w:line="520" w:lineRule="exact"/>
              <w:ind w:left="21" w:leftChars="0"/>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急需建设</w:t>
            </w:r>
          </w:p>
        </w:tc>
        <w:tc>
          <w:tcPr>
            <w:tcW w:w="6709" w:type="dxa"/>
            <w:tcBorders>
              <w:top w:val="single" w:color="000000" w:sz="6" w:space="0"/>
              <w:left w:val="single" w:color="000000" w:sz="6" w:space="0"/>
              <w:bottom w:val="single" w:color="000000" w:sz="6" w:space="0"/>
              <w:right w:val="single" w:color="000000" w:sz="6" w:space="0"/>
            </w:tcBorders>
            <w:noWrap w:val="0"/>
            <w:vAlign w:val="top"/>
          </w:tcPr>
          <w:p>
            <w:pPr>
              <w:pStyle w:val="40"/>
              <w:keepNext w:val="0"/>
              <w:keepLines w:val="0"/>
              <w:pageBreakBefore w:val="0"/>
              <w:widowControl w:val="0"/>
              <w:kinsoku/>
              <w:wordWrap/>
              <w:overflowPunct/>
              <w:topLinePunct w:val="0"/>
              <w:bidi w:val="0"/>
              <w:adjustRightInd/>
              <w:snapToGrid/>
              <w:spacing w:line="520" w:lineRule="exact"/>
              <w:ind w:left="6" w:leftChars="0"/>
              <w:jc w:val="both"/>
              <w:textAlignment w:val="auto"/>
              <w:rPr>
                <w:rFonts w:hint="eastAsia" w:ascii="仿宋_GB2312" w:hAnsi="仿宋_GB2312" w:eastAsia="仿宋_GB2312" w:cs="仿宋_GB2312"/>
                <w:spacing w:val="-3"/>
                <w:sz w:val="28"/>
              </w:rPr>
            </w:pPr>
            <w:r>
              <w:rPr>
                <w:rFonts w:hint="eastAsia" w:ascii="仿宋_GB2312" w:hAnsi="仿宋_GB2312" w:eastAsia="仿宋_GB2312" w:cs="仿宋_GB2312"/>
                <w:sz w:val="28"/>
              </w:rPr>
              <w:t>建立</w:t>
            </w:r>
            <w:r>
              <w:rPr>
                <w:rFonts w:hint="eastAsia" w:ascii="仿宋_GB2312" w:hAnsi="仿宋_GB2312" w:eastAsia="仿宋_GB2312" w:cs="仿宋_GB2312"/>
                <w:sz w:val="28"/>
                <w:u w:val="none"/>
                <w:lang w:eastAsia="zh-CN"/>
              </w:rPr>
              <w:t>防城港</w:t>
            </w:r>
            <w:r>
              <w:rPr>
                <w:rFonts w:hint="eastAsia" w:ascii="仿宋_GB2312" w:hAnsi="仿宋_GB2312" w:eastAsia="仿宋_GB2312" w:cs="仿宋_GB2312"/>
                <w:sz w:val="28"/>
                <w:u w:val="none"/>
              </w:rPr>
              <w:t>市</w:t>
            </w:r>
            <w:r>
              <w:rPr>
                <w:rFonts w:hint="eastAsia" w:ascii="仿宋_GB2312" w:hAnsi="仿宋_GB2312" w:eastAsia="仿宋_GB2312" w:cs="仿宋_GB2312"/>
                <w:sz w:val="28"/>
              </w:rPr>
              <w:t>律师行业党群活动服务中心。</w:t>
            </w:r>
          </w:p>
        </w:tc>
        <w:tc>
          <w:tcPr>
            <w:tcW w:w="1934" w:type="dxa"/>
            <w:tcBorders>
              <w:top w:val="single" w:color="000000" w:sz="6" w:space="0"/>
              <w:left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autoSpaceDE w:val="0"/>
              <w:autoSpaceDN w:val="0"/>
              <w:bidi w:val="0"/>
              <w:adjustRightInd/>
              <w:snapToGrid/>
              <w:spacing w:line="520" w:lineRule="exact"/>
              <w:ind w:left="0" w:leftChars="0" w:right="0" w:rightChars="0"/>
              <w:jc w:val="center"/>
              <w:textAlignment w:val="auto"/>
              <w:rPr>
                <w:rFonts w:hint="eastAsia" w:ascii="仿宋_GB2312" w:hAnsi="仿宋_GB2312" w:eastAsia="仿宋_GB2312" w:cs="仿宋_GB2312"/>
                <w:spacing w:val="-3"/>
                <w:sz w:val="28"/>
                <w:lang w:val="en-US" w:eastAsia="zh-CN"/>
              </w:rPr>
            </w:pPr>
            <w:r>
              <w:rPr>
                <w:rFonts w:hint="eastAsia" w:ascii="仿宋_GB2312" w:hAnsi="仿宋_GB2312" w:eastAsia="仿宋_GB2312" w:cs="仿宋_GB2312"/>
                <w:spacing w:val="33"/>
                <w:sz w:val="28"/>
                <w:lang w:eastAsia="zh-CN"/>
              </w:rPr>
              <w:t>防城港</w:t>
            </w:r>
            <w:r>
              <w:rPr>
                <w:rFonts w:hint="eastAsia" w:ascii="仿宋_GB2312" w:hAnsi="仿宋_GB2312" w:eastAsia="仿宋_GB2312" w:cs="仿宋_GB2312"/>
                <w:spacing w:val="33"/>
                <w:sz w:val="28"/>
              </w:rPr>
              <w:t>市律师行</w:t>
            </w:r>
            <w:r>
              <w:rPr>
                <w:rFonts w:hint="eastAsia" w:ascii="仿宋_GB2312" w:hAnsi="仿宋_GB2312" w:eastAsia="仿宋_GB2312" w:cs="仿宋_GB2312"/>
                <w:spacing w:val="10"/>
                <w:sz w:val="28"/>
              </w:rPr>
              <w:t>业党委</w:t>
            </w:r>
          </w:p>
        </w:tc>
        <w:tc>
          <w:tcPr>
            <w:tcW w:w="1626" w:type="dxa"/>
            <w:tcBorders>
              <w:top w:val="single" w:color="000000" w:sz="6" w:space="0"/>
              <w:left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bidi w:val="0"/>
              <w:adjustRightInd/>
              <w:snapToGrid/>
              <w:spacing w:line="520" w:lineRule="exact"/>
              <w:ind w:left="12" w:leftChars="0"/>
              <w:jc w:val="center"/>
              <w:textAlignment w:val="auto"/>
              <w:rPr>
                <w:rFonts w:hint="eastAsia" w:ascii="仿宋_GB2312" w:hAnsi="仿宋_GB2312" w:eastAsia="仿宋_GB2312" w:cs="仿宋_GB2312"/>
                <w:spacing w:val="-2"/>
                <w:w w:val="100"/>
                <w:sz w:val="28"/>
              </w:rPr>
            </w:pPr>
            <w:r>
              <w:rPr>
                <w:rFonts w:hint="eastAsia" w:ascii="仿宋_GB2312" w:hAnsi="仿宋_GB2312" w:eastAsia="仿宋_GB2312" w:cs="仿宋_GB2312"/>
                <w:sz w:val="28"/>
              </w:rPr>
              <w:t>2025.12</w:t>
            </w:r>
          </w:p>
        </w:tc>
        <w:tc>
          <w:tcPr>
            <w:tcW w:w="885" w:type="dxa"/>
            <w:tcBorders>
              <w:top w:val="single" w:color="000000" w:sz="6" w:space="0"/>
              <w:left w:val="single" w:color="000000" w:sz="6" w:space="0"/>
              <w:bottom w:val="single" w:color="000000" w:sz="6" w:space="0"/>
            </w:tcBorders>
            <w:noWrap w:val="0"/>
            <w:vAlign w:val="top"/>
          </w:tcPr>
          <w:p>
            <w:pPr>
              <w:pStyle w:val="40"/>
              <w:keepNext w:val="0"/>
              <w:keepLines w:val="0"/>
              <w:pageBreakBefore w:val="0"/>
              <w:widowControl w:val="0"/>
              <w:kinsoku/>
              <w:wordWrap/>
              <w:overflowPunct/>
              <w:topLinePunct w:val="0"/>
              <w:bidi w:val="0"/>
              <w:adjustRightInd/>
              <w:snapToGrid/>
              <w:spacing w:line="520" w:lineRule="exact"/>
              <w:jc w:val="both"/>
              <w:textAlignment w:val="auto"/>
              <w:rPr>
                <w:rFonts w:hint="eastAsia" w:ascii="仿宋_GB2312" w:hAnsi="仿宋_GB2312" w:eastAsia="仿宋_GB2312" w:cs="仿宋_GB2312"/>
                <w:sz w:val="28"/>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677" w:hRule="atLeast"/>
          <w:jc w:val="center"/>
        </w:trPr>
        <w:tc>
          <w:tcPr>
            <w:tcW w:w="680" w:type="dxa"/>
            <w:tcBorders>
              <w:top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bidi w:val="0"/>
              <w:adjustRightInd/>
              <w:snapToGrid/>
              <w:spacing w:line="520" w:lineRule="exact"/>
              <w:ind w:left="12" w:left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w w:val="100"/>
                <w:sz w:val="28"/>
                <w:szCs w:val="28"/>
              </w:rPr>
              <w:t>8</w:t>
            </w:r>
          </w:p>
        </w:tc>
        <w:tc>
          <w:tcPr>
            <w:tcW w:w="1547" w:type="dxa"/>
            <w:tcBorders>
              <w:top w:val="single" w:color="000000" w:sz="6" w:space="0"/>
              <w:left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bidi w:val="0"/>
              <w:adjustRightInd/>
              <w:snapToGrid/>
              <w:spacing w:line="520" w:lineRule="exact"/>
              <w:ind w:left="6" w:leftChars="0" w:right="-44" w:right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律师行业党建工作示范点</w:t>
            </w:r>
          </w:p>
        </w:tc>
        <w:tc>
          <w:tcPr>
            <w:tcW w:w="1162" w:type="dxa"/>
            <w:tcBorders>
              <w:top w:val="single" w:color="000000" w:sz="6" w:space="0"/>
              <w:left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bidi w:val="0"/>
              <w:adjustRightInd/>
              <w:snapToGrid/>
              <w:spacing w:line="520" w:lineRule="exact"/>
              <w:ind w:left="21" w:left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急需建设</w:t>
            </w:r>
          </w:p>
        </w:tc>
        <w:tc>
          <w:tcPr>
            <w:tcW w:w="6709" w:type="dxa"/>
            <w:tcBorders>
              <w:top w:val="single" w:color="000000" w:sz="6" w:space="0"/>
              <w:left w:val="single" w:color="000000" w:sz="6" w:space="0"/>
              <w:bottom w:val="single" w:color="000000" w:sz="6" w:space="0"/>
              <w:right w:val="single" w:color="000000" w:sz="6" w:space="0"/>
            </w:tcBorders>
            <w:noWrap w:val="0"/>
            <w:vAlign w:val="top"/>
          </w:tcPr>
          <w:p>
            <w:pPr>
              <w:pStyle w:val="40"/>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u w:val="none"/>
              </w:rPr>
              <w:t>树立 3 个市级律师行业党建工作示范点</w:t>
            </w:r>
            <w:r>
              <w:rPr>
                <w:rFonts w:hint="eastAsia" w:ascii="仿宋_GB2312" w:hAnsi="仿宋_GB2312" w:eastAsia="仿宋_GB2312" w:cs="仿宋_GB2312"/>
                <w:spacing w:val="0"/>
                <w:sz w:val="28"/>
                <w:szCs w:val="28"/>
                <w:u w:val="none"/>
                <w:lang w:eastAsia="zh-CN"/>
              </w:rPr>
              <w:t>，</w:t>
            </w:r>
            <w:r>
              <w:rPr>
                <w:rFonts w:hint="eastAsia" w:ascii="仿宋_GB2312" w:hAnsi="仿宋_GB2312" w:eastAsia="仿宋_GB2312" w:cs="仿宋_GB2312"/>
                <w:spacing w:val="0"/>
                <w:sz w:val="28"/>
                <w:szCs w:val="28"/>
                <w:u w:val="none"/>
                <w:lang w:val="en-US" w:eastAsia="zh-CN"/>
              </w:rPr>
              <w:t>争取创立</w:t>
            </w:r>
            <w:r>
              <w:rPr>
                <w:rFonts w:hint="eastAsia" w:ascii="仿宋_GB2312" w:hAnsi="仿宋_GB2312" w:eastAsia="仿宋_GB2312" w:cs="仿宋_GB2312"/>
                <w:spacing w:val="0"/>
                <w:sz w:val="28"/>
                <w:szCs w:val="28"/>
                <w:lang w:val="en-US" w:eastAsia="zh-CN"/>
              </w:rPr>
              <w:t>自治区级</w:t>
            </w:r>
            <w:r>
              <w:rPr>
                <w:rFonts w:hint="eastAsia" w:ascii="仿宋_GB2312" w:hAnsi="仿宋_GB2312" w:eastAsia="仿宋_GB2312" w:cs="仿宋_GB2312"/>
                <w:spacing w:val="0"/>
                <w:sz w:val="28"/>
                <w:szCs w:val="28"/>
              </w:rPr>
              <w:t>律师行业党建工作示范点。</w:t>
            </w:r>
          </w:p>
        </w:tc>
        <w:tc>
          <w:tcPr>
            <w:tcW w:w="1934" w:type="dxa"/>
            <w:tcBorders>
              <w:top w:val="single" w:color="000000" w:sz="6" w:space="0"/>
              <w:left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autoSpaceDE w:val="0"/>
              <w:autoSpaceDN w:val="0"/>
              <w:bidi w:val="0"/>
              <w:adjustRightInd/>
              <w:snapToGrid/>
              <w:spacing w:line="520" w:lineRule="exact"/>
              <w:ind w:left="0" w:leftChars="0" w:right="0" w:rightChars="0"/>
              <w:jc w:val="center"/>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防城港</w:t>
            </w:r>
            <w:r>
              <w:rPr>
                <w:rFonts w:hint="eastAsia" w:ascii="仿宋_GB2312" w:hAnsi="仿宋_GB2312" w:eastAsia="仿宋_GB2312" w:cs="仿宋_GB2312"/>
                <w:spacing w:val="0"/>
                <w:sz w:val="28"/>
                <w:szCs w:val="28"/>
              </w:rPr>
              <w:t>市律师行业党委</w:t>
            </w:r>
          </w:p>
        </w:tc>
        <w:tc>
          <w:tcPr>
            <w:tcW w:w="1626" w:type="dxa"/>
            <w:tcBorders>
              <w:top w:val="single" w:color="000000" w:sz="6" w:space="0"/>
              <w:left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bidi w:val="0"/>
              <w:adjustRightInd/>
              <w:snapToGrid/>
              <w:spacing w:line="520" w:lineRule="exact"/>
              <w:ind w:left="12" w:leftChars="0"/>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2025.12</w:t>
            </w:r>
          </w:p>
        </w:tc>
        <w:tc>
          <w:tcPr>
            <w:tcW w:w="885" w:type="dxa"/>
            <w:tcBorders>
              <w:top w:val="single" w:color="000000" w:sz="6" w:space="0"/>
              <w:left w:val="single" w:color="000000" w:sz="6" w:space="0"/>
              <w:bottom w:val="single" w:color="000000" w:sz="6" w:space="0"/>
            </w:tcBorders>
            <w:noWrap w:val="0"/>
            <w:vAlign w:val="top"/>
          </w:tcPr>
          <w:p>
            <w:pPr>
              <w:pStyle w:val="40"/>
              <w:keepNext w:val="0"/>
              <w:keepLines w:val="0"/>
              <w:pageBreakBefore w:val="0"/>
              <w:widowControl w:val="0"/>
              <w:kinsoku/>
              <w:wordWrap/>
              <w:overflowPunct/>
              <w:topLinePunct w:val="0"/>
              <w:bidi w:val="0"/>
              <w:adjustRightInd/>
              <w:snapToGrid/>
              <w:spacing w:line="520" w:lineRule="exact"/>
              <w:jc w:val="both"/>
              <w:textAlignment w:val="auto"/>
              <w:rPr>
                <w:rFonts w:hint="eastAsia" w:ascii="仿宋_GB2312" w:hAnsi="仿宋_GB2312" w:eastAsia="仿宋_GB2312" w:cs="仿宋_GB2312"/>
                <w:spacing w:val="0"/>
                <w:sz w:val="28"/>
                <w:szCs w:val="28"/>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737" w:hRule="atLeast"/>
          <w:jc w:val="center"/>
        </w:trPr>
        <w:tc>
          <w:tcPr>
            <w:tcW w:w="680" w:type="dxa"/>
            <w:tcBorders>
              <w:top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bidi w:val="0"/>
              <w:adjustRightInd/>
              <w:snapToGrid/>
              <w:spacing w:line="520" w:lineRule="exact"/>
              <w:ind w:left="12"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w w:val="100"/>
                <w:sz w:val="28"/>
                <w:szCs w:val="28"/>
              </w:rPr>
              <w:t>9</w:t>
            </w:r>
          </w:p>
        </w:tc>
        <w:tc>
          <w:tcPr>
            <w:tcW w:w="1547" w:type="dxa"/>
            <w:tcBorders>
              <w:top w:val="single" w:color="000000" w:sz="6" w:space="0"/>
              <w:left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bidi w:val="0"/>
              <w:adjustRightInd/>
              <w:snapToGrid/>
              <w:spacing w:line="520" w:lineRule="exact"/>
              <w:ind w:left="6" w:leftChars="0" w:right="-15" w:rightChars="0"/>
              <w:jc w:val="center"/>
              <w:textAlignment w:val="auto"/>
              <w:rPr>
                <w:rFonts w:hint="eastAsia" w:ascii="仿宋_GB2312" w:hAnsi="仿宋_GB2312" w:eastAsia="仿宋_GB2312" w:cs="仿宋_GB2312"/>
                <w:spacing w:val="-30"/>
                <w:sz w:val="28"/>
                <w:szCs w:val="28"/>
              </w:rPr>
            </w:pPr>
            <w:r>
              <w:rPr>
                <w:rFonts w:hint="eastAsia" w:ascii="仿宋_GB2312" w:hAnsi="仿宋_GB2312" w:eastAsia="仿宋_GB2312" w:cs="仿宋_GB2312"/>
                <w:spacing w:val="22"/>
                <w:sz w:val="28"/>
                <w:szCs w:val="28"/>
                <w:u w:val="none"/>
                <w:lang w:eastAsia="zh-CN"/>
              </w:rPr>
              <w:t>防城港</w:t>
            </w:r>
            <w:r>
              <w:rPr>
                <w:rFonts w:hint="eastAsia" w:ascii="仿宋_GB2312" w:hAnsi="仿宋_GB2312" w:eastAsia="仿宋_GB2312" w:cs="仿宋_GB2312"/>
                <w:spacing w:val="22"/>
                <w:sz w:val="28"/>
                <w:szCs w:val="28"/>
                <w:u w:val="none"/>
              </w:rPr>
              <w:t>特色法</w:t>
            </w:r>
            <w:r>
              <w:rPr>
                <w:rFonts w:hint="eastAsia" w:ascii="仿宋_GB2312" w:hAnsi="仿宋_GB2312" w:eastAsia="仿宋_GB2312" w:cs="仿宋_GB2312"/>
                <w:spacing w:val="-2"/>
                <w:sz w:val="28"/>
                <w:szCs w:val="28"/>
                <w:u w:val="none"/>
              </w:rPr>
              <w:t>治文化建设</w:t>
            </w:r>
          </w:p>
        </w:tc>
        <w:tc>
          <w:tcPr>
            <w:tcW w:w="1162" w:type="dxa"/>
            <w:tcBorders>
              <w:top w:val="single" w:color="000000" w:sz="6" w:space="0"/>
              <w:left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bidi w:val="0"/>
              <w:adjustRightInd/>
              <w:snapToGrid/>
              <w:spacing w:line="520" w:lineRule="exact"/>
              <w:ind w:left="21"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急需建设</w:t>
            </w:r>
          </w:p>
        </w:tc>
        <w:tc>
          <w:tcPr>
            <w:tcW w:w="6709" w:type="dxa"/>
            <w:tcBorders>
              <w:top w:val="single" w:color="000000" w:sz="6" w:space="0"/>
              <w:left w:val="single" w:color="000000" w:sz="6" w:space="0"/>
              <w:bottom w:val="single" w:color="000000" w:sz="6" w:space="0"/>
              <w:right w:val="single" w:color="000000" w:sz="6" w:space="0"/>
            </w:tcBorders>
            <w:noWrap w:val="0"/>
            <w:vAlign w:val="top"/>
          </w:tcPr>
          <w:p>
            <w:pPr>
              <w:pStyle w:val="40"/>
              <w:keepNext w:val="0"/>
              <w:keepLines w:val="0"/>
              <w:pageBreakBefore w:val="0"/>
              <w:widowControl w:val="0"/>
              <w:kinsoku/>
              <w:wordWrap/>
              <w:overflowPunct/>
              <w:topLinePunct w:val="0"/>
              <w:bidi w:val="0"/>
              <w:adjustRightInd/>
              <w:snapToGrid/>
              <w:spacing w:line="520" w:lineRule="exact"/>
              <w:ind w:left="6" w:right="-15"/>
              <w:jc w:val="both"/>
              <w:textAlignment w:val="auto"/>
              <w:rPr>
                <w:rFonts w:hint="eastAsia" w:ascii="仿宋_GB2312" w:hAnsi="仿宋_GB2312" w:eastAsia="仿宋_GB2312" w:cs="仿宋_GB2312"/>
                <w:spacing w:val="-3"/>
                <w:sz w:val="28"/>
                <w:szCs w:val="28"/>
              </w:rPr>
            </w:pPr>
            <w:r>
              <w:rPr>
                <w:rFonts w:hint="eastAsia" w:ascii="仿宋_GB2312" w:hAnsi="仿宋_GB2312" w:eastAsia="仿宋_GB2312" w:cs="仿宋_GB2312"/>
                <w:spacing w:val="-3"/>
                <w:sz w:val="28"/>
                <w:szCs w:val="28"/>
              </w:rPr>
              <w:t>加强法治文化广场、普法融媒体中心、</w:t>
            </w:r>
            <w:r>
              <w:rPr>
                <w:rFonts w:hint="eastAsia" w:ascii="仿宋_GB2312" w:hAnsi="仿宋_GB2312" w:eastAsia="仿宋_GB2312" w:cs="仿宋_GB2312"/>
                <w:spacing w:val="-3"/>
                <w:sz w:val="28"/>
                <w:szCs w:val="28"/>
                <w:lang w:eastAsia="zh-CN"/>
              </w:rPr>
              <w:t>防城港</w:t>
            </w:r>
            <w:r>
              <w:rPr>
                <w:rFonts w:hint="eastAsia" w:ascii="仿宋_GB2312" w:hAnsi="仿宋_GB2312" w:eastAsia="仿宋_GB2312" w:cs="仿宋_GB2312"/>
                <w:spacing w:val="-3"/>
                <w:sz w:val="28"/>
                <w:szCs w:val="28"/>
              </w:rPr>
              <w:t>普法平台、民主法治示范村等基础设施建设，发展具有</w:t>
            </w:r>
            <w:r>
              <w:rPr>
                <w:rFonts w:hint="eastAsia" w:ascii="仿宋_GB2312" w:hAnsi="仿宋_GB2312" w:eastAsia="仿宋_GB2312" w:cs="仿宋_GB2312"/>
                <w:spacing w:val="-3"/>
                <w:sz w:val="28"/>
                <w:szCs w:val="28"/>
                <w:lang w:eastAsia="zh-CN"/>
              </w:rPr>
              <w:t>防城港</w:t>
            </w:r>
            <w:r>
              <w:rPr>
                <w:rFonts w:hint="eastAsia" w:ascii="仿宋_GB2312" w:hAnsi="仿宋_GB2312" w:eastAsia="仿宋_GB2312" w:cs="仿宋_GB2312"/>
                <w:spacing w:val="-3"/>
                <w:sz w:val="28"/>
                <w:szCs w:val="28"/>
              </w:rPr>
              <w:t>特色的</w:t>
            </w:r>
            <w:r>
              <w:rPr>
                <w:rFonts w:hint="eastAsia" w:ascii="仿宋_GB2312" w:hAnsi="仿宋_GB2312" w:eastAsia="仿宋_GB2312" w:cs="仿宋_GB2312"/>
                <w:sz w:val="28"/>
                <w:szCs w:val="28"/>
              </w:rPr>
              <w:t>法治文化。</w:t>
            </w:r>
          </w:p>
        </w:tc>
        <w:tc>
          <w:tcPr>
            <w:tcW w:w="1934" w:type="dxa"/>
            <w:tcBorders>
              <w:top w:val="single" w:color="000000" w:sz="6" w:space="0"/>
              <w:left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autoSpaceDE w:val="0"/>
              <w:autoSpaceDN w:val="0"/>
              <w:bidi w:val="0"/>
              <w:adjustRightInd/>
              <w:snapToGrid/>
              <w:spacing w:line="520" w:lineRule="exact"/>
              <w:ind w:left="0" w:leftChars="0" w:right="0" w:rightChars="0"/>
              <w:jc w:val="center"/>
              <w:textAlignment w:val="auto"/>
              <w:rPr>
                <w:rFonts w:hint="eastAsia" w:ascii="仿宋_GB2312" w:hAnsi="仿宋_GB2312" w:eastAsia="仿宋_GB2312" w:cs="仿宋_GB2312"/>
                <w:spacing w:val="-3"/>
                <w:sz w:val="28"/>
                <w:szCs w:val="28"/>
                <w:lang w:val="en-US" w:eastAsia="zh-CN"/>
              </w:rPr>
            </w:pPr>
            <w:r>
              <w:rPr>
                <w:rFonts w:hint="eastAsia" w:ascii="仿宋_GB2312" w:hAnsi="仿宋_GB2312" w:eastAsia="仿宋_GB2312" w:cs="仿宋_GB2312"/>
                <w:spacing w:val="-17"/>
                <w:sz w:val="28"/>
                <w:szCs w:val="28"/>
                <w:lang w:val="en-US" w:eastAsia="zh-CN"/>
              </w:rPr>
              <w:t>市、</w:t>
            </w:r>
            <w:r>
              <w:rPr>
                <w:rFonts w:hint="eastAsia" w:ascii="仿宋_GB2312" w:hAnsi="仿宋_GB2312" w:eastAsia="仿宋_GB2312" w:cs="仿宋_GB2312"/>
                <w:spacing w:val="-17"/>
                <w:sz w:val="28"/>
                <w:szCs w:val="28"/>
                <w:lang w:eastAsia="zh-CN"/>
              </w:rPr>
              <w:t>县（市、区）</w:t>
            </w:r>
            <w:r>
              <w:rPr>
                <w:rFonts w:hint="eastAsia" w:ascii="仿宋_GB2312" w:hAnsi="仿宋_GB2312" w:eastAsia="仿宋_GB2312" w:cs="仿宋_GB2312"/>
                <w:sz w:val="28"/>
                <w:szCs w:val="28"/>
              </w:rPr>
              <w:t>司</w:t>
            </w:r>
            <w:r>
              <w:rPr>
                <w:rFonts w:hint="eastAsia" w:ascii="仿宋_GB2312" w:hAnsi="仿宋_GB2312" w:eastAsia="仿宋_GB2312" w:cs="仿宋_GB2312"/>
                <w:spacing w:val="-16"/>
                <w:sz w:val="28"/>
                <w:szCs w:val="28"/>
              </w:rPr>
              <w:t>法局，乡镇</w:t>
            </w:r>
            <w:r>
              <w:rPr>
                <w:rFonts w:hint="eastAsia" w:ascii="仿宋_GB2312" w:hAnsi="仿宋_GB2312" w:eastAsia="仿宋_GB2312" w:cs="仿宋_GB2312"/>
                <w:sz w:val="28"/>
                <w:szCs w:val="28"/>
              </w:rPr>
              <w:t>（街</w:t>
            </w:r>
            <w:r>
              <w:rPr>
                <w:rFonts w:hint="eastAsia" w:ascii="仿宋_GB2312" w:hAnsi="仿宋_GB2312" w:eastAsia="仿宋_GB2312" w:cs="仿宋_GB2312"/>
                <w:sz w:val="28"/>
                <w:szCs w:val="28"/>
                <w:lang w:val="en-US" w:eastAsia="zh-CN"/>
              </w:rPr>
              <w:t>道）司法所</w:t>
            </w:r>
          </w:p>
        </w:tc>
        <w:tc>
          <w:tcPr>
            <w:tcW w:w="1626" w:type="dxa"/>
            <w:tcBorders>
              <w:top w:val="single" w:color="000000" w:sz="6" w:space="0"/>
              <w:left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bidi w:val="0"/>
              <w:adjustRightInd/>
              <w:snapToGrid/>
              <w:spacing w:line="520" w:lineRule="exact"/>
              <w:ind w:left="12" w:leftChars="0"/>
              <w:jc w:val="center"/>
              <w:textAlignment w:val="auto"/>
              <w:rPr>
                <w:rFonts w:hint="eastAsia" w:ascii="仿宋_GB2312" w:hAnsi="仿宋_GB2312" w:eastAsia="仿宋_GB2312" w:cs="仿宋_GB2312"/>
                <w:spacing w:val="-2"/>
                <w:w w:val="100"/>
                <w:sz w:val="28"/>
                <w:szCs w:val="28"/>
              </w:rPr>
            </w:pPr>
            <w:r>
              <w:rPr>
                <w:rFonts w:hint="eastAsia" w:ascii="仿宋_GB2312" w:hAnsi="仿宋_GB2312" w:eastAsia="仿宋_GB2312" w:cs="仿宋_GB2312"/>
                <w:sz w:val="28"/>
                <w:szCs w:val="28"/>
              </w:rPr>
              <w:t>2025.12</w:t>
            </w:r>
          </w:p>
        </w:tc>
        <w:tc>
          <w:tcPr>
            <w:tcW w:w="885" w:type="dxa"/>
            <w:tcBorders>
              <w:top w:val="single" w:color="000000" w:sz="6" w:space="0"/>
              <w:left w:val="single" w:color="000000" w:sz="6" w:space="0"/>
              <w:bottom w:val="single" w:color="000000" w:sz="6" w:space="0"/>
            </w:tcBorders>
            <w:noWrap w:val="0"/>
            <w:vAlign w:val="top"/>
          </w:tcPr>
          <w:p>
            <w:pPr>
              <w:pStyle w:val="40"/>
              <w:keepNext w:val="0"/>
              <w:keepLines w:val="0"/>
              <w:pageBreakBefore w:val="0"/>
              <w:widowControl w:val="0"/>
              <w:kinsoku/>
              <w:wordWrap/>
              <w:overflowPunct/>
              <w:topLinePunct w:val="0"/>
              <w:bidi w:val="0"/>
              <w:adjustRightInd/>
              <w:snapToGrid/>
              <w:spacing w:line="520" w:lineRule="exact"/>
              <w:jc w:val="both"/>
              <w:textAlignment w:val="auto"/>
              <w:rPr>
                <w:rFonts w:hint="eastAsia" w:ascii="仿宋_GB2312" w:hAnsi="仿宋_GB2312" w:eastAsia="仿宋_GB2312" w:cs="仿宋_GB2312"/>
                <w:sz w:val="28"/>
                <w:szCs w:val="28"/>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998" w:hRule="atLeast"/>
          <w:jc w:val="center"/>
        </w:trPr>
        <w:tc>
          <w:tcPr>
            <w:tcW w:w="680" w:type="dxa"/>
            <w:tcBorders>
              <w:top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bidi w:val="0"/>
              <w:adjustRightInd/>
              <w:snapToGrid/>
              <w:spacing w:line="520" w:lineRule="exact"/>
              <w:ind w:left="36" w:leftChars="0" w:right="24"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547" w:type="dxa"/>
            <w:tcBorders>
              <w:top w:val="single" w:color="000000" w:sz="6" w:space="0"/>
              <w:left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bidi w:val="0"/>
              <w:adjustRightInd/>
              <w:snapToGrid/>
              <w:spacing w:line="520" w:lineRule="exact"/>
              <w:ind w:left="6" w:leftChars="0" w:right="-15" w:rightChars="0"/>
              <w:jc w:val="center"/>
              <w:textAlignment w:val="auto"/>
              <w:rPr>
                <w:rFonts w:hint="eastAsia" w:ascii="仿宋_GB2312" w:hAnsi="仿宋_GB2312" w:eastAsia="仿宋_GB2312" w:cs="仿宋_GB2312"/>
                <w:spacing w:val="-30"/>
                <w:sz w:val="28"/>
                <w:szCs w:val="28"/>
              </w:rPr>
            </w:pPr>
            <w:r>
              <w:rPr>
                <w:rFonts w:hint="eastAsia" w:ascii="仿宋_GB2312" w:hAnsi="仿宋_GB2312" w:eastAsia="仿宋_GB2312" w:cs="仿宋_GB2312"/>
                <w:spacing w:val="22"/>
                <w:sz w:val="28"/>
                <w:szCs w:val="28"/>
              </w:rPr>
              <w:t>建设法律服</w:t>
            </w:r>
            <w:r>
              <w:rPr>
                <w:rFonts w:hint="eastAsia" w:ascii="仿宋_GB2312" w:hAnsi="仿宋_GB2312" w:eastAsia="仿宋_GB2312" w:cs="仿宋_GB2312"/>
                <w:spacing w:val="-2"/>
                <w:sz w:val="28"/>
                <w:szCs w:val="28"/>
              </w:rPr>
              <w:t>务评价系统</w:t>
            </w:r>
          </w:p>
        </w:tc>
        <w:tc>
          <w:tcPr>
            <w:tcW w:w="1162" w:type="dxa"/>
            <w:tcBorders>
              <w:top w:val="single" w:color="000000" w:sz="6" w:space="0"/>
              <w:left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bidi w:val="0"/>
              <w:adjustRightInd/>
              <w:snapToGrid/>
              <w:spacing w:line="520" w:lineRule="exact"/>
              <w:ind w:left="21"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急需建设</w:t>
            </w:r>
          </w:p>
        </w:tc>
        <w:tc>
          <w:tcPr>
            <w:tcW w:w="6709" w:type="dxa"/>
            <w:tcBorders>
              <w:top w:val="single" w:color="000000" w:sz="6" w:space="0"/>
              <w:left w:val="single" w:color="000000" w:sz="6" w:space="0"/>
              <w:bottom w:val="single" w:color="000000" w:sz="6" w:space="0"/>
              <w:right w:val="single" w:color="000000" w:sz="6" w:space="0"/>
            </w:tcBorders>
            <w:noWrap w:val="0"/>
            <w:vAlign w:val="top"/>
          </w:tcPr>
          <w:p>
            <w:pPr>
              <w:pStyle w:val="40"/>
              <w:keepNext w:val="0"/>
              <w:keepLines w:val="0"/>
              <w:pageBreakBefore w:val="0"/>
              <w:widowControl w:val="0"/>
              <w:kinsoku/>
              <w:wordWrap/>
              <w:overflowPunct/>
              <w:topLinePunct w:val="0"/>
              <w:bidi w:val="0"/>
              <w:adjustRightInd/>
              <w:snapToGrid/>
              <w:spacing w:line="520" w:lineRule="exact"/>
              <w:ind w:left="6" w:leftChars="0" w:right="-15" w:rightChars="0"/>
              <w:jc w:val="both"/>
              <w:textAlignment w:val="auto"/>
              <w:rPr>
                <w:rFonts w:hint="eastAsia" w:ascii="仿宋_GB2312" w:hAnsi="仿宋_GB2312" w:eastAsia="仿宋_GB2312" w:cs="仿宋_GB2312"/>
                <w:spacing w:val="-3"/>
                <w:sz w:val="28"/>
                <w:szCs w:val="28"/>
              </w:rPr>
            </w:pPr>
            <w:r>
              <w:rPr>
                <w:rFonts w:hint="eastAsia" w:ascii="仿宋_GB2312" w:hAnsi="仿宋_GB2312" w:eastAsia="仿宋_GB2312" w:cs="仿宋_GB2312"/>
                <w:spacing w:val="-16"/>
                <w:sz w:val="28"/>
                <w:szCs w:val="28"/>
              </w:rPr>
              <w:t>在</w:t>
            </w:r>
            <w:r>
              <w:rPr>
                <w:rFonts w:hint="eastAsia" w:ascii="仿宋_GB2312" w:hAnsi="仿宋_GB2312" w:eastAsia="仿宋_GB2312" w:cs="仿宋_GB2312"/>
                <w:spacing w:val="-16"/>
                <w:sz w:val="28"/>
                <w:szCs w:val="28"/>
                <w:lang w:val="en-US" w:eastAsia="zh-CN"/>
              </w:rPr>
              <w:t>市、</w:t>
            </w:r>
            <w:r>
              <w:rPr>
                <w:rFonts w:hint="eastAsia" w:ascii="仿宋_GB2312" w:hAnsi="仿宋_GB2312" w:eastAsia="仿宋_GB2312" w:cs="仿宋_GB2312"/>
                <w:spacing w:val="-16"/>
                <w:sz w:val="28"/>
                <w:szCs w:val="28"/>
                <w:lang w:eastAsia="zh-CN"/>
              </w:rPr>
              <w:t>县（市、区）</w:t>
            </w:r>
            <w:r>
              <w:rPr>
                <w:rFonts w:hint="eastAsia" w:ascii="仿宋_GB2312" w:hAnsi="仿宋_GB2312" w:eastAsia="仿宋_GB2312" w:cs="仿宋_GB2312"/>
                <w:spacing w:val="-19"/>
                <w:sz w:val="28"/>
                <w:szCs w:val="28"/>
              </w:rPr>
              <w:t>、乡镇</w:t>
            </w:r>
            <w:r>
              <w:rPr>
                <w:rFonts w:hint="eastAsia" w:ascii="仿宋_GB2312" w:hAnsi="仿宋_GB2312" w:eastAsia="仿宋_GB2312" w:cs="仿宋_GB2312"/>
                <w:spacing w:val="-3"/>
                <w:sz w:val="28"/>
                <w:szCs w:val="28"/>
              </w:rPr>
              <w:t>（</w:t>
            </w:r>
            <w:r>
              <w:rPr>
                <w:rFonts w:hint="eastAsia" w:ascii="仿宋_GB2312" w:hAnsi="仿宋_GB2312" w:eastAsia="仿宋_GB2312" w:cs="仿宋_GB2312"/>
                <w:sz w:val="28"/>
                <w:szCs w:val="28"/>
              </w:rPr>
              <w:t>街道</w:t>
            </w:r>
            <w:r>
              <w:rPr>
                <w:rFonts w:hint="eastAsia" w:ascii="仿宋_GB2312" w:hAnsi="仿宋_GB2312" w:eastAsia="仿宋_GB2312" w:cs="仿宋_GB2312"/>
                <w:spacing w:val="-29"/>
                <w:sz w:val="28"/>
                <w:szCs w:val="28"/>
              </w:rPr>
              <w:t>）</w:t>
            </w:r>
            <w:r>
              <w:rPr>
                <w:rFonts w:hint="eastAsia" w:ascii="仿宋_GB2312" w:hAnsi="仿宋_GB2312" w:eastAsia="仿宋_GB2312" w:cs="仿宋_GB2312"/>
                <w:spacing w:val="-3"/>
                <w:sz w:val="28"/>
                <w:szCs w:val="28"/>
              </w:rPr>
              <w:t>公共法律服务实体平台配备服务评价设备，收集、汇总、分析群众对公共法律服务的实时评价。</w:t>
            </w:r>
          </w:p>
        </w:tc>
        <w:tc>
          <w:tcPr>
            <w:tcW w:w="1934" w:type="dxa"/>
            <w:tcBorders>
              <w:top w:val="single" w:color="000000" w:sz="6" w:space="0"/>
              <w:left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autoSpaceDE w:val="0"/>
              <w:autoSpaceDN w:val="0"/>
              <w:bidi w:val="0"/>
              <w:adjustRightInd/>
              <w:snapToGrid/>
              <w:spacing w:line="520" w:lineRule="exact"/>
              <w:ind w:left="0" w:leftChars="0" w:right="0" w:rightChars="0"/>
              <w:jc w:val="center"/>
              <w:textAlignment w:val="auto"/>
              <w:rPr>
                <w:rFonts w:hint="eastAsia" w:ascii="仿宋_GB2312" w:hAnsi="仿宋_GB2312" w:eastAsia="仿宋_GB2312" w:cs="仿宋_GB2312"/>
                <w:spacing w:val="-3"/>
                <w:sz w:val="28"/>
                <w:szCs w:val="28"/>
                <w:lang w:val="en-US" w:eastAsia="zh-CN"/>
              </w:rPr>
            </w:pPr>
            <w:r>
              <w:rPr>
                <w:rFonts w:hint="eastAsia" w:ascii="仿宋_GB2312" w:hAnsi="仿宋_GB2312" w:eastAsia="仿宋_GB2312" w:cs="仿宋_GB2312"/>
                <w:spacing w:val="-17"/>
                <w:sz w:val="28"/>
                <w:szCs w:val="28"/>
                <w:lang w:val="en-US" w:eastAsia="zh-CN"/>
              </w:rPr>
              <w:t>市、</w:t>
            </w:r>
            <w:r>
              <w:rPr>
                <w:rFonts w:hint="eastAsia" w:ascii="仿宋_GB2312" w:hAnsi="仿宋_GB2312" w:eastAsia="仿宋_GB2312" w:cs="仿宋_GB2312"/>
                <w:spacing w:val="-17"/>
                <w:sz w:val="28"/>
                <w:szCs w:val="28"/>
                <w:lang w:eastAsia="zh-CN"/>
              </w:rPr>
              <w:t>县（市、区）</w:t>
            </w:r>
            <w:r>
              <w:rPr>
                <w:rFonts w:hint="eastAsia" w:ascii="仿宋_GB2312" w:hAnsi="仿宋_GB2312" w:eastAsia="仿宋_GB2312" w:cs="仿宋_GB2312"/>
                <w:sz w:val="28"/>
                <w:szCs w:val="28"/>
              </w:rPr>
              <w:t>司</w:t>
            </w:r>
            <w:r>
              <w:rPr>
                <w:rFonts w:hint="eastAsia" w:ascii="仿宋_GB2312" w:hAnsi="仿宋_GB2312" w:eastAsia="仿宋_GB2312" w:cs="仿宋_GB2312"/>
                <w:spacing w:val="-16"/>
                <w:sz w:val="28"/>
                <w:szCs w:val="28"/>
              </w:rPr>
              <w:t>法局，乡镇</w:t>
            </w:r>
            <w:r>
              <w:rPr>
                <w:rFonts w:hint="eastAsia" w:ascii="仿宋_GB2312" w:hAnsi="仿宋_GB2312" w:eastAsia="仿宋_GB2312" w:cs="仿宋_GB2312"/>
                <w:sz w:val="28"/>
                <w:szCs w:val="28"/>
              </w:rPr>
              <w:t>（街道</w:t>
            </w:r>
            <w:r>
              <w:rPr>
                <w:rFonts w:hint="eastAsia" w:ascii="仿宋_GB2312" w:hAnsi="仿宋_GB2312" w:eastAsia="仿宋_GB2312" w:cs="仿宋_GB2312"/>
                <w:spacing w:val="-3"/>
                <w:sz w:val="28"/>
                <w:szCs w:val="28"/>
              </w:rPr>
              <w:t>）</w:t>
            </w:r>
            <w:r>
              <w:rPr>
                <w:rFonts w:hint="eastAsia" w:ascii="仿宋_GB2312" w:hAnsi="仿宋_GB2312" w:eastAsia="仿宋_GB2312" w:cs="仿宋_GB2312"/>
                <w:sz w:val="28"/>
                <w:szCs w:val="28"/>
              </w:rPr>
              <w:t>司</w:t>
            </w:r>
            <w:r>
              <w:rPr>
                <w:rFonts w:hint="eastAsia" w:ascii="仿宋_GB2312" w:hAnsi="仿宋_GB2312" w:eastAsia="仿宋_GB2312" w:cs="仿宋_GB2312"/>
                <w:sz w:val="28"/>
                <w:szCs w:val="28"/>
                <w:lang w:val="en-US" w:eastAsia="zh-CN"/>
              </w:rPr>
              <w:t>法所</w:t>
            </w:r>
          </w:p>
        </w:tc>
        <w:tc>
          <w:tcPr>
            <w:tcW w:w="1626" w:type="dxa"/>
            <w:tcBorders>
              <w:top w:val="single" w:color="000000" w:sz="6" w:space="0"/>
              <w:left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bidi w:val="0"/>
              <w:adjustRightInd/>
              <w:snapToGrid/>
              <w:spacing w:line="520" w:lineRule="exact"/>
              <w:ind w:left="12" w:leftChars="0"/>
              <w:jc w:val="center"/>
              <w:textAlignment w:val="auto"/>
              <w:rPr>
                <w:rFonts w:hint="eastAsia" w:ascii="仿宋_GB2312" w:hAnsi="仿宋_GB2312" w:eastAsia="仿宋_GB2312" w:cs="仿宋_GB2312"/>
                <w:spacing w:val="-2"/>
                <w:w w:val="100"/>
                <w:sz w:val="28"/>
                <w:szCs w:val="28"/>
              </w:rPr>
            </w:pPr>
            <w:r>
              <w:rPr>
                <w:rFonts w:hint="eastAsia" w:ascii="仿宋_GB2312" w:hAnsi="仿宋_GB2312" w:eastAsia="仿宋_GB2312" w:cs="仿宋_GB2312"/>
                <w:sz w:val="28"/>
                <w:szCs w:val="28"/>
              </w:rPr>
              <w:t>2025.12</w:t>
            </w:r>
          </w:p>
        </w:tc>
        <w:tc>
          <w:tcPr>
            <w:tcW w:w="885" w:type="dxa"/>
            <w:tcBorders>
              <w:top w:val="single" w:color="000000" w:sz="6" w:space="0"/>
              <w:left w:val="single" w:color="000000" w:sz="6" w:space="0"/>
              <w:bottom w:val="single" w:color="000000" w:sz="6" w:space="0"/>
            </w:tcBorders>
            <w:noWrap w:val="0"/>
            <w:vAlign w:val="top"/>
          </w:tcPr>
          <w:p>
            <w:pPr>
              <w:pStyle w:val="40"/>
              <w:keepNext w:val="0"/>
              <w:keepLines w:val="0"/>
              <w:pageBreakBefore w:val="0"/>
              <w:widowControl w:val="0"/>
              <w:kinsoku/>
              <w:wordWrap/>
              <w:overflowPunct/>
              <w:topLinePunct w:val="0"/>
              <w:bidi w:val="0"/>
              <w:adjustRightInd/>
              <w:snapToGrid/>
              <w:spacing w:line="520" w:lineRule="exact"/>
              <w:jc w:val="both"/>
              <w:textAlignment w:val="auto"/>
              <w:rPr>
                <w:rFonts w:hint="eastAsia" w:ascii="仿宋_GB2312" w:hAnsi="仿宋_GB2312" w:eastAsia="仿宋_GB2312" w:cs="仿宋_GB2312"/>
                <w:sz w:val="28"/>
                <w:szCs w:val="28"/>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737" w:hRule="atLeast"/>
          <w:jc w:val="center"/>
        </w:trPr>
        <w:tc>
          <w:tcPr>
            <w:tcW w:w="680" w:type="dxa"/>
            <w:tcBorders>
              <w:top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bidi w:val="0"/>
              <w:adjustRightInd/>
              <w:snapToGrid/>
              <w:spacing w:line="520" w:lineRule="exact"/>
              <w:ind w:left="36" w:leftChars="0" w:right="24" w:righ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1547" w:type="dxa"/>
            <w:tcBorders>
              <w:top w:val="single" w:color="000000" w:sz="6" w:space="0"/>
              <w:left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bidi w:val="0"/>
              <w:adjustRightInd/>
              <w:snapToGrid/>
              <w:spacing w:line="520" w:lineRule="exact"/>
              <w:ind w:left="6" w:leftChars="0" w:right="-15" w:rightChars="0"/>
              <w:jc w:val="center"/>
              <w:textAlignment w:val="auto"/>
              <w:rPr>
                <w:rFonts w:hint="eastAsia" w:ascii="仿宋_GB2312" w:hAnsi="仿宋_GB2312" w:eastAsia="仿宋_GB2312" w:cs="仿宋_GB2312"/>
                <w:spacing w:val="-30"/>
                <w:sz w:val="28"/>
                <w:szCs w:val="28"/>
              </w:rPr>
            </w:pPr>
            <w:r>
              <w:rPr>
                <w:rFonts w:hint="eastAsia" w:ascii="仿宋_GB2312" w:hAnsi="仿宋_GB2312" w:eastAsia="仿宋_GB2312" w:cs="仿宋_GB2312"/>
                <w:spacing w:val="22"/>
                <w:sz w:val="28"/>
                <w:szCs w:val="28"/>
              </w:rPr>
              <w:t>司法所规范</w:t>
            </w:r>
            <w:r>
              <w:rPr>
                <w:rFonts w:hint="eastAsia" w:ascii="仿宋_GB2312" w:hAnsi="仿宋_GB2312" w:eastAsia="仿宋_GB2312" w:cs="仿宋_GB2312"/>
                <w:sz w:val="28"/>
                <w:szCs w:val="28"/>
              </w:rPr>
              <w:t>化建设</w:t>
            </w:r>
          </w:p>
        </w:tc>
        <w:tc>
          <w:tcPr>
            <w:tcW w:w="1162" w:type="dxa"/>
            <w:tcBorders>
              <w:top w:val="single" w:color="000000" w:sz="6" w:space="0"/>
              <w:left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bidi w:val="0"/>
              <w:adjustRightInd/>
              <w:snapToGrid/>
              <w:spacing w:line="520" w:lineRule="exact"/>
              <w:ind w:left="16" w:left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持续建设</w:t>
            </w:r>
          </w:p>
        </w:tc>
        <w:tc>
          <w:tcPr>
            <w:tcW w:w="6709" w:type="dxa"/>
            <w:tcBorders>
              <w:top w:val="single" w:color="000000" w:sz="6" w:space="0"/>
              <w:left w:val="single" w:color="000000" w:sz="6" w:space="0"/>
              <w:bottom w:val="single" w:color="000000" w:sz="6" w:space="0"/>
              <w:right w:val="single" w:color="000000" w:sz="6" w:space="0"/>
            </w:tcBorders>
            <w:noWrap w:val="0"/>
            <w:vAlign w:val="top"/>
          </w:tcPr>
          <w:p>
            <w:pPr>
              <w:pStyle w:val="40"/>
              <w:keepNext w:val="0"/>
              <w:keepLines w:val="0"/>
              <w:pageBreakBefore w:val="0"/>
              <w:widowControl w:val="0"/>
              <w:kinsoku/>
              <w:wordWrap/>
              <w:overflowPunct/>
              <w:topLinePunct w:val="0"/>
              <w:bidi w:val="0"/>
              <w:adjustRightInd/>
              <w:snapToGrid/>
              <w:spacing w:line="520" w:lineRule="exact"/>
              <w:ind w:left="6" w:leftChars="0" w:right="-15" w:rightChars="0"/>
              <w:textAlignment w:val="auto"/>
              <w:rPr>
                <w:rFonts w:hint="eastAsia" w:ascii="仿宋_GB2312" w:hAnsi="仿宋_GB2312" w:eastAsia="仿宋_GB2312" w:cs="仿宋_GB2312"/>
                <w:spacing w:val="-3"/>
                <w:sz w:val="28"/>
                <w:szCs w:val="28"/>
              </w:rPr>
            </w:pPr>
            <w:r>
              <w:rPr>
                <w:rFonts w:hint="eastAsia" w:ascii="仿宋_GB2312" w:hAnsi="仿宋_GB2312" w:eastAsia="仿宋_GB2312" w:cs="仿宋_GB2312"/>
                <w:spacing w:val="-3"/>
                <w:sz w:val="28"/>
                <w:szCs w:val="28"/>
              </w:rPr>
              <w:t>推动全市司法所规范化建设，通过新建、改扩建、修缮基层司法所，完善和规范基层基础设施。</w:t>
            </w:r>
          </w:p>
        </w:tc>
        <w:tc>
          <w:tcPr>
            <w:tcW w:w="1934" w:type="dxa"/>
            <w:tcBorders>
              <w:top w:val="single" w:color="000000" w:sz="6" w:space="0"/>
              <w:left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bidi w:val="0"/>
              <w:adjustRightInd/>
              <w:snapToGrid/>
              <w:spacing w:line="520" w:lineRule="exact"/>
              <w:ind w:left="5" w:leftChars="0" w:right="-15" w:rightChars="0"/>
              <w:jc w:val="center"/>
              <w:textAlignment w:val="auto"/>
              <w:rPr>
                <w:rFonts w:hint="eastAsia" w:ascii="仿宋_GB2312" w:hAnsi="仿宋_GB2312" w:eastAsia="仿宋_GB2312" w:cs="仿宋_GB2312"/>
                <w:spacing w:val="-3"/>
                <w:sz w:val="28"/>
                <w:szCs w:val="28"/>
                <w:lang w:val="en-US" w:eastAsia="zh-CN"/>
              </w:rPr>
            </w:pPr>
            <w:r>
              <w:rPr>
                <w:rFonts w:hint="eastAsia" w:ascii="仿宋_GB2312" w:hAnsi="仿宋_GB2312" w:eastAsia="仿宋_GB2312" w:cs="仿宋_GB2312"/>
                <w:spacing w:val="-17"/>
                <w:sz w:val="28"/>
                <w:szCs w:val="28"/>
                <w:lang w:eastAsia="zh-CN"/>
              </w:rPr>
              <w:t>县（市、区）</w:t>
            </w:r>
            <w:r>
              <w:rPr>
                <w:rFonts w:hint="eastAsia" w:ascii="仿宋_GB2312" w:hAnsi="仿宋_GB2312" w:eastAsia="仿宋_GB2312" w:cs="仿宋_GB2312"/>
                <w:sz w:val="28"/>
                <w:szCs w:val="28"/>
              </w:rPr>
              <w:t>司</w:t>
            </w:r>
            <w:r>
              <w:rPr>
                <w:rFonts w:hint="eastAsia" w:ascii="仿宋_GB2312" w:hAnsi="仿宋_GB2312" w:eastAsia="仿宋_GB2312" w:cs="仿宋_GB2312"/>
                <w:spacing w:val="-16"/>
                <w:sz w:val="28"/>
                <w:szCs w:val="28"/>
              </w:rPr>
              <w:t>法局，乡镇</w:t>
            </w:r>
            <w:r>
              <w:rPr>
                <w:rFonts w:hint="eastAsia" w:ascii="仿宋_GB2312" w:hAnsi="仿宋_GB2312" w:eastAsia="仿宋_GB2312" w:cs="仿宋_GB2312"/>
                <w:sz w:val="28"/>
                <w:szCs w:val="28"/>
              </w:rPr>
              <w:t>（街道</w:t>
            </w:r>
            <w:r>
              <w:rPr>
                <w:rFonts w:hint="eastAsia" w:ascii="仿宋_GB2312" w:hAnsi="仿宋_GB2312" w:eastAsia="仿宋_GB2312" w:cs="仿宋_GB2312"/>
                <w:spacing w:val="-3"/>
                <w:sz w:val="28"/>
                <w:szCs w:val="28"/>
              </w:rPr>
              <w:t>）</w:t>
            </w:r>
            <w:r>
              <w:rPr>
                <w:rFonts w:hint="eastAsia" w:ascii="仿宋_GB2312" w:hAnsi="仿宋_GB2312" w:eastAsia="仿宋_GB2312" w:cs="仿宋_GB2312"/>
                <w:sz w:val="28"/>
                <w:szCs w:val="28"/>
              </w:rPr>
              <w:t>司法所</w:t>
            </w:r>
          </w:p>
        </w:tc>
        <w:tc>
          <w:tcPr>
            <w:tcW w:w="1626" w:type="dxa"/>
            <w:tcBorders>
              <w:top w:val="single" w:color="000000" w:sz="6" w:space="0"/>
              <w:left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bidi w:val="0"/>
              <w:adjustRightInd/>
              <w:snapToGrid/>
              <w:spacing w:line="520" w:lineRule="exact"/>
              <w:ind w:left="12" w:leftChars="0"/>
              <w:jc w:val="center"/>
              <w:textAlignment w:val="auto"/>
              <w:rPr>
                <w:rFonts w:hint="eastAsia" w:ascii="仿宋_GB2312" w:hAnsi="仿宋_GB2312" w:eastAsia="仿宋_GB2312" w:cs="仿宋_GB2312"/>
                <w:spacing w:val="-2"/>
                <w:w w:val="100"/>
                <w:sz w:val="28"/>
                <w:szCs w:val="28"/>
              </w:rPr>
            </w:pPr>
            <w:r>
              <w:rPr>
                <w:rFonts w:hint="eastAsia" w:ascii="仿宋_GB2312" w:hAnsi="仿宋_GB2312" w:eastAsia="仿宋_GB2312" w:cs="仿宋_GB2312"/>
                <w:sz w:val="28"/>
                <w:szCs w:val="28"/>
              </w:rPr>
              <w:t>2025.12</w:t>
            </w:r>
          </w:p>
        </w:tc>
        <w:tc>
          <w:tcPr>
            <w:tcW w:w="885" w:type="dxa"/>
            <w:tcBorders>
              <w:top w:val="single" w:color="000000" w:sz="6" w:space="0"/>
              <w:left w:val="single" w:color="000000" w:sz="6" w:space="0"/>
              <w:bottom w:val="single" w:color="000000" w:sz="6" w:space="0"/>
            </w:tcBorders>
            <w:noWrap w:val="0"/>
            <w:vAlign w:val="top"/>
          </w:tcPr>
          <w:p>
            <w:pPr>
              <w:pStyle w:val="40"/>
              <w:keepNext w:val="0"/>
              <w:keepLines w:val="0"/>
              <w:pageBreakBefore w:val="0"/>
              <w:widowControl w:val="0"/>
              <w:kinsoku/>
              <w:wordWrap/>
              <w:overflowPunct/>
              <w:topLinePunct w:val="0"/>
              <w:bidi w:val="0"/>
              <w:adjustRightInd/>
              <w:snapToGrid/>
              <w:spacing w:line="520" w:lineRule="exact"/>
              <w:textAlignment w:val="auto"/>
              <w:rPr>
                <w:rFonts w:hint="eastAsia" w:ascii="仿宋_GB2312" w:hAnsi="仿宋_GB2312" w:eastAsia="仿宋_GB2312" w:cs="仿宋_GB2312"/>
                <w:sz w:val="28"/>
                <w:szCs w:val="28"/>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547" w:hRule="atLeast"/>
          <w:jc w:val="center"/>
        </w:trPr>
        <w:tc>
          <w:tcPr>
            <w:tcW w:w="10098" w:type="dxa"/>
            <w:gridSpan w:val="4"/>
            <w:tcBorders>
              <w:top w:val="single" w:color="000000" w:sz="6" w:space="0"/>
              <w:bottom w:val="single" w:color="000000" w:sz="6" w:space="0"/>
              <w:right w:val="single" w:color="000000" w:sz="6" w:space="0"/>
            </w:tcBorders>
            <w:noWrap w:val="0"/>
            <w:vAlign w:val="top"/>
          </w:tcPr>
          <w:p>
            <w:pPr>
              <w:pStyle w:val="40"/>
              <w:spacing w:line="374" w:lineRule="auto"/>
              <w:ind w:left="6" w:leftChars="0" w:right="-15" w:rightChars="0"/>
              <w:rPr>
                <w:b/>
                <w:bCs/>
                <w:spacing w:val="-3"/>
                <w:sz w:val="28"/>
              </w:rPr>
            </w:pPr>
            <w:r>
              <w:rPr>
                <w:b/>
                <w:bCs/>
                <w:sz w:val="28"/>
              </w:rPr>
              <w:t>三、公共法律服务引领推动项目</w:t>
            </w:r>
          </w:p>
        </w:tc>
        <w:tc>
          <w:tcPr>
            <w:tcW w:w="1934" w:type="dxa"/>
            <w:tcBorders>
              <w:top w:val="single" w:color="000000" w:sz="6" w:space="0"/>
              <w:left w:val="single" w:color="000000" w:sz="6" w:space="0"/>
              <w:bottom w:val="single" w:color="000000" w:sz="6" w:space="0"/>
              <w:right w:val="single" w:color="000000" w:sz="6" w:space="0"/>
            </w:tcBorders>
            <w:noWrap w:val="0"/>
            <w:vAlign w:val="top"/>
          </w:tcPr>
          <w:p>
            <w:pPr>
              <w:pStyle w:val="40"/>
              <w:spacing w:before="1" w:line="374" w:lineRule="auto"/>
              <w:ind w:left="5" w:leftChars="0" w:right="-15" w:rightChars="0"/>
              <w:jc w:val="both"/>
              <w:rPr>
                <w:rFonts w:hint="eastAsia"/>
                <w:b/>
                <w:bCs/>
                <w:spacing w:val="-17"/>
                <w:sz w:val="28"/>
                <w:lang w:eastAsia="zh-CN"/>
              </w:rPr>
            </w:pPr>
          </w:p>
        </w:tc>
        <w:tc>
          <w:tcPr>
            <w:tcW w:w="1626" w:type="dxa"/>
            <w:tcBorders>
              <w:top w:val="single" w:color="000000" w:sz="6" w:space="0"/>
              <w:left w:val="single" w:color="000000" w:sz="6" w:space="0"/>
              <w:bottom w:val="single" w:color="000000" w:sz="6" w:space="0"/>
              <w:right w:val="single" w:color="000000" w:sz="6" w:space="0"/>
            </w:tcBorders>
            <w:noWrap w:val="0"/>
            <w:vAlign w:val="top"/>
          </w:tcPr>
          <w:p>
            <w:pPr>
              <w:pStyle w:val="40"/>
              <w:spacing w:before="1"/>
              <w:ind w:left="12" w:leftChars="0"/>
              <w:jc w:val="both"/>
              <w:rPr>
                <w:b/>
                <w:bCs/>
                <w:sz w:val="28"/>
              </w:rPr>
            </w:pPr>
          </w:p>
        </w:tc>
        <w:tc>
          <w:tcPr>
            <w:tcW w:w="885" w:type="dxa"/>
            <w:tcBorders>
              <w:top w:val="single" w:color="000000" w:sz="6" w:space="0"/>
              <w:left w:val="single" w:color="000000" w:sz="6" w:space="0"/>
              <w:bottom w:val="single" w:color="000000" w:sz="6" w:space="0"/>
            </w:tcBorders>
            <w:noWrap w:val="0"/>
            <w:vAlign w:val="top"/>
          </w:tcPr>
          <w:p>
            <w:pPr>
              <w:pStyle w:val="40"/>
              <w:rPr>
                <w:rFonts w:hint="default" w:ascii="Times New Roman" w:hAnsi="Times New Roman" w:cs="Times New Roman"/>
                <w:b/>
                <w:bCs/>
                <w:sz w:val="28"/>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378" w:hRule="atLeast"/>
          <w:jc w:val="center"/>
        </w:trPr>
        <w:tc>
          <w:tcPr>
            <w:tcW w:w="680" w:type="dxa"/>
            <w:tcBorders>
              <w:top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autoSpaceDE/>
              <w:autoSpaceDN/>
              <w:bidi w:val="0"/>
              <w:adjustRightInd/>
              <w:snapToGrid/>
              <w:spacing w:before="186" w:line="520" w:lineRule="exact"/>
              <w:ind w:left="36" w:leftChars="0" w:right="24" w:rightChars="0"/>
              <w:jc w:val="both"/>
              <w:textAlignment w:val="auto"/>
              <w:rPr>
                <w:sz w:val="28"/>
              </w:rPr>
            </w:pPr>
            <w:r>
              <w:rPr>
                <w:sz w:val="28"/>
              </w:rPr>
              <w:t>12</w:t>
            </w:r>
          </w:p>
        </w:tc>
        <w:tc>
          <w:tcPr>
            <w:tcW w:w="1547" w:type="dxa"/>
            <w:tcBorders>
              <w:top w:val="single" w:color="000000" w:sz="6" w:space="0"/>
              <w:left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autoSpaceDE/>
              <w:autoSpaceDN/>
              <w:bidi w:val="0"/>
              <w:adjustRightInd/>
              <w:snapToGrid/>
              <w:spacing w:before="227" w:line="520" w:lineRule="exact"/>
              <w:ind w:left="6" w:leftChars="0" w:right="-15" w:rightChars="0"/>
              <w:jc w:val="both"/>
              <w:textAlignment w:val="auto"/>
              <w:rPr>
                <w:spacing w:val="22"/>
                <w:sz w:val="28"/>
              </w:rPr>
            </w:pPr>
            <w:r>
              <w:rPr>
                <w:spacing w:val="22"/>
                <w:sz w:val="28"/>
              </w:rPr>
              <w:t>行政复议服</w:t>
            </w:r>
            <w:r>
              <w:rPr>
                <w:sz w:val="28"/>
              </w:rPr>
              <w:t>务中心建设</w:t>
            </w:r>
          </w:p>
        </w:tc>
        <w:tc>
          <w:tcPr>
            <w:tcW w:w="1162" w:type="dxa"/>
            <w:tcBorders>
              <w:top w:val="single" w:color="000000" w:sz="6" w:space="0"/>
              <w:left w:val="single" w:color="000000" w:sz="6" w:space="0"/>
              <w:bottom w:val="single" w:color="000000" w:sz="6" w:space="0"/>
              <w:right w:val="single" w:color="000000" w:sz="6" w:space="0"/>
            </w:tcBorders>
            <w:noWrap w:val="0"/>
            <w:vAlign w:val="top"/>
          </w:tcPr>
          <w:p>
            <w:pPr>
              <w:pStyle w:val="40"/>
              <w:keepNext w:val="0"/>
              <w:keepLines w:val="0"/>
              <w:pageBreakBefore w:val="0"/>
              <w:widowControl w:val="0"/>
              <w:kinsoku/>
              <w:wordWrap/>
              <w:overflowPunct/>
              <w:topLinePunct w:val="0"/>
              <w:autoSpaceDE/>
              <w:autoSpaceDN/>
              <w:bidi w:val="0"/>
              <w:adjustRightInd/>
              <w:snapToGrid/>
              <w:spacing w:before="186" w:line="520" w:lineRule="exact"/>
              <w:ind w:left="14" w:leftChars="0"/>
              <w:jc w:val="center"/>
              <w:textAlignment w:val="auto"/>
              <w:rPr>
                <w:sz w:val="28"/>
              </w:rPr>
            </w:pPr>
            <w:r>
              <w:rPr>
                <w:sz w:val="28"/>
              </w:rPr>
              <w:t>新建</w:t>
            </w:r>
          </w:p>
        </w:tc>
        <w:tc>
          <w:tcPr>
            <w:tcW w:w="6709" w:type="dxa"/>
            <w:tcBorders>
              <w:top w:val="single" w:color="000000" w:sz="6" w:space="0"/>
              <w:left w:val="single" w:color="000000" w:sz="6" w:space="0"/>
              <w:bottom w:val="single" w:color="000000" w:sz="6" w:space="0"/>
              <w:right w:val="single" w:color="000000" w:sz="6" w:space="0"/>
            </w:tcBorders>
            <w:noWrap w:val="0"/>
            <w:vAlign w:val="top"/>
          </w:tcPr>
          <w:p>
            <w:pPr>
              <w:pStyle w:val="40"/>
              <w:keepNext w:val="0"/>
              <w:keepLines w:val="0"/>
              <w:pageBreakBefore w:val="0"/>
              <w:widowControl w:val="0"/>
              <w:kinsoku/>
              <w:wordWrap/>
              <w:overflowPunct/>
              <w:topLinePunct w:val="0"/>
              <w:autoSpaceDE/>
              <w:autoSpaceDN/>
              <w:bidi w:val="0"/>
              <w:adjustRightInd/>
              <w:snapToGrid/>
              <w:spacing w:before="227" w:line="520" w:lineRule="exact"/>
              <w:ind w:left="6" w:leftChars="0" w:right="-15" w:rightChars="0"/>
              <w:textAlignment w:val="auto"/>
              <w:rPr>
                <w:spacing w:val="-3"/>
                <w:sz w:val="28"/>
              </w:rPr>
            </w:pPr>
            <w:r>
              <w:rPr>
                <w:spacing w:val="-3"/>
                <w:sz w:val="28"/>
              </w:rPr>
              <w:t>建设集立案登记、听证、调解、审理、调查分析等功能于一体的</w:t>
            </w:r>
            <w:r>
              <w:rPr>
                <w:rFonts w:hint="eastAsia"/>
                <w:spacing w:val="-3"/>
                <w:sz w:val="28"/>
                <w:lang w:val="en-US" w:eastAsia="zh-CN"/>
              </w:rPr>
              <w:t>市、</w:t>
            </w:r>
            <w:r>
              <w:rPr>
                <w:rFonts w:hint="eastAsia"/>
                <w:spacing w:val="-3"/>
                <w:sz w:val="28"/>
                <w:lang w:eastAsia="zh-CN"/>
              </w:rPr>
              <w:t>县</w:t>
            </w:r>
            <w:r>
              <w:rPr>
                <w:rFonts w:hint="eastAsia"/>
                <w:spacing w:val="-3"/>
                <w:sz w:val="28"/>
                <w:lang w:val="en-US" w:eastAsia="zh-CN"/>
              </w:rPr>
              <w:t>两级</w:t>
            </w:r>
            <w:r>
              <w:rPr>
                <w:spacing w:val="-3"/>
                <w:sz w:val="28"/>
              </w:rPr>
              <w:t>人民政府行政复议服务中心。</w:t>
            </w:r>
          </w:p>
        </w:tc>
        <w:tc>
          <w:tcPr>
            <w:tcW w:w="1934" w:type="dxa"/>
            <w:tcBorders>
              <w:top w:val="single" w:color="000000" w:sz="6" w:space="0"/>
              <w:left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autoSpaceDE/>
              <w:autoSpaceDN/>
              <w:bidi w:val="0"/>
              <w:adjustRightInd/>
              <w:snapToGrid/>
              <w:spacing w:before="227" w:line="520" w:lineRule="exact"/>
              <w:ind w:left="5" w:leftChars="0" w:right="-15" w:rightChars="0"/>
              <w:jc w:val="center"/>
              <w:textAlignment w:val="auto"/>
              <w:rPr>
                <w:rFonts w:hint="eastAsia"/>
                <w:spacing w:val="-17"/>
                <w:sz w:val="28"/>
                <w:lang w:eastAsia="zh-CN"/>
              </w:rPr>
            </w:pPr>
            <w:r>
              <w:rPr>
                <w:rFonts w:hint="eastAsia"/>
                <w:spacing w:val="-17"/>
                <w:sz w:val="28"/>
                <w:lang w:val="en-US" w:eastAsia="zh-CN"/>
              </w:rPr>
              <w:t>市、</w:t>
            </w:r>
            <w:r>
              <w:rPr>
                <w:rFonts w:hint="eastAsia"/>
                <w:spacing w:val="-17"/>
                <w:sz w:val="28"/>
                <w:lang w:eastAsia="zh-CN"/>
              </w:rPr>
              <w:t>县（市、区）</w:t>
            </w:r>
            <w:r>
              <w:rPr>
                <w:sz w:val="28"/>
              </w:rPr>
              <w:t>司法局</w:t>
            </w:r>
          </w:p>
        </w:tc>
        <w:tc>
          <w:tcPr>
            <w:tcW w:w="1626" w:type="dxa"/>
            <w:tcBorders>
              <w:top w:val="single" w:color="000000" w:sz="6" w:space="0"/>
              <w:left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autoSpaceDE/>
              <w:autoSpaceDN/>
              <w:bidi w:val="0"/>
              <w:adjustRightInd/>
              <w:snapToGrid/>
              <w:spacing w:before="186" w:line="520" w:lineRule="exact"/>
              <w:ind w:left="12" w:leftChars="0"/>
              <w:jc w:val="center"/>
              <w:textAlignment w:val="auto"/>
              <w:rPr>
                <w:sz w:val="28"/>
              </w:rPr>
            </w:pPr>
            <w:r>
              <w:rPr>
                <w:sz w:val="28"/>
              </w:rPr>
              <w:t>2025.12</w:t>
            </w:r>
          </w:p>
        </w:tc>
        <w:tc>
          <w:tcPr>
            <w:tcW w:w="885" w:type="dxa"/>
            <w:tcBorders>
              <w:top w:val="single" w:color="000000" w:sz="6" w:space="0"/>
              <w:left w:val="single" w:color="000000" w:sz="6" w:space="0"/>
              <w:bottom w:val="single" w:color="000000" w:sz="6" w:space="0"/>
            </w:tcBorders>
            <w:noWrap w:val="0"/>
            <w:vAlign w:val="top"/>
          </w:tcPr>
          <w:p>
            <w:pPr>
              <w:pStyle w:val="40"/>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sz w:val="28"/>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378" w:hRule="atLeast"/>
          <w:jc w:val="center"/>
        </w:trPr>
        <w:tc>
          <w:tcPr>
            <w:tcW w:w="680" w:type="dxa"/>
            <w:tcBorders>
              <w:top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autoSpaceDE/>
              <w:autoSpaceDN/>
              <w:bidi w:val="0"/>
              <w:adjustRightInd/>
              <w:snapToGrid/>
              <w:spacing w:before="186" w:line="520" w:lineRule="exact"/>
              <w:ind w:left="36" w:leftChars="0" w:right="24" w:rightChars="0"/>
              <w:jc w:val="both"/>
              <w:textAlignment w:val="auto"/>
              <w:rPr>
                <w:sz w:val="28"/>
              </w:rPr>
            </w:pPr>
            <w:r>
              <w:rPr>
                <w:rFonts w:hint="eastAsia"/>
                <w:sz w:val="28"/>
                <w:lang w:val="en-US" w:eastAsia="zh-CN"/>
              </w:rPr>
              <w:t>13</w:t>
            </w:r>
          </w:p>
        </w:tc>
        <w:tc>
          <w:tcPr>
            <w:tcW w:w="1547" w:type="dxa"/>
            <w:tcBorders>
              <w:top w:val="single" w:color="000000" w:sz="6" w:space="0"/>
              <w:left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autoSpaceDE/>
              <w:autoSpaceDN/>
              <w:bidi w:val="0"/>
              <w:adjustRightInd/>
              <w:snapToGrid/>
              <w:spacing w:before="227" w:line="520" w:lineRule="exact"/>
              <w:ind w:left="6" w:leftChars="0" w:right="-15" w:rightChars="0"/>
              <w:jc w:val="both"/>
              <w:textAlignment w:val="auto"/>
              <w:rPr>
                <w:spacing w:val="22"/>
                <w:sz w:val="28"/>
              </w:rPr>
            </w:pPr>
            <w:r>
              <w:rPr>
                <w:rFonts w:hint="eastAsia"/>
                <w:spacing w:val="22"/>
                <w:sz w:val="28"/>
                <w:lang w:val="en-US" w:eastAsia="zh-CN"/>
              </w:rPr>
              <w:t>法治建设示范创建</w:t>
            </w:r>
          </w:p>
        </w:tc>
        <w:tc>
          <w:tcPr>
            <w:tcW w:w="1162" w:type="dxa"/>
            <w:tcBorders>
              <w:top w:val="single" w:color="000000" w:sz="6" w:space="0"/>
              <w:left w:val="single" w:color="000000" w:sz="6" w:space="0"/>
              <w:bottom w:val="single" w:color="000000" w:sz="6" w:space="0"/>
              <w:right w:val="single" w:color="000000" w:sz="6" w:space="0"/>
            </w:tcBorders>
            <w:noWrap w:val="0"/>
            <w:vAlign w:val="top"/>
          </w:tcPr>
          <w:p>
            <w:pPr>
              <w:pStyle w:val="40"/>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sz w:val="28"/>
              </w:rPr>
            </w:pPr>
            <w:r>
              <w:rPr>
                <w:rFonts w:hint="eastAsia" w:ascii="Times New Roman"/>
                <w:sz w:val="28"/>
                <w:lang w:val="en-US" w:eastAsia="zh-CN"/>
              </w:rPr>
              <w:t>新建</w:t>
            </w:r>
          </w:p>
        </w:tc>
        <w:tc>
          <w:tcPr>
            <w:tcW w:w="6709" w:type="dxa"/>
            <w:tcBorders>
              <w:top w:val="single" w:color="000000" w:sz="6" w:space="0"/>
              <w:left w:val="single" w:color="000000" w:sz="6" w:space="0"/>
              <w:bottom w:val="single" w:color="000000" w:sz="6" w:space="0"/>
              <w:right w:val="single" w:color="000000" w:sz="6" w:space="0"/>
            </w:tcBorders>
            <w:noWrap w:val="0"/>
            <w:vAlign w:val="top"/>
          </w:tcPr>
          <w:p>
            <w:pPr>
              <w:pStyle w:val="40"/>
              <w:keepNext w:val="0"/>
              <w:keepLines w:val="0"/>
              <w:pageBreakBefore w:val="0"/>
              <w:widowControl w:val="0"/>
              <w:kinsoku/>
              <w:wordWrap/>
              <w:overflowPunct/>
              <w:topLinePunct w:val="0"/>
              <w:autoSpaceDE/>
              <w:autoSpaceDN/>
              <w:bidi w:val="0"/>
              <w:adjustRightInd/>
              <w:snapToGrid/>
              <w:spacing w:line="520" w:lineRule="exact"/>
              <w:textAlignment w:val="auto"/>
              <w:rPr>
                <w:spacing w:val="-3"/>
                <w:sz w:val="28"/>
              </w:rPr>
            </w:pPr>
            <w:r>
              <w:rPr>
                <w:rFonts w:hint="eastAsia" w:ascii="Times New Roman"/>
                <w:sz w:val="28"/>
                <w:u w:val="none"/>
                <w:lang w:val="en-US" w:eastAsia="zh-CN"/>
              </w:rPr>
              <w:t>争创全区、全区法治示范地区、示范项目、示范点。</w:t>
            </w:r>
          </w:p>
        </w:tc>
        <w:tc>
          <w:tcPr>
            <w:tcW w:w="1934" w:type="dxa"/>
            <w:tcBorders>
              <w:top w:val="single" w:color="000000" w:sz="6" w:space="0"/>
              <w:left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autoSpaceDE/>
              <w:autoSpaceDN/>
              <w:bidi w:val="0"/>
              <w:adjustRightInd/>
              <w:snapToGrid/>
              <w:spacing w:before="227" w:line="520" w:lineRule="exact"/>
              <w:ind w:right="-15" w:rightChars="0"/>
              <w:jc w:val="center"/>
              <w:textAlignment w:val="auto"/>
              <w:rPr>
                <w:rFonts w:hint="eastAsia"/>
                <w:spacing w:val="-17"/>
                <w:sz w:val="28"/>
                <w:lang w:val="en-US" w:eastAsia="zh-CN"/>
              </w:rPr>
            </w:pPr>
            <w:r>
              <w:rPr>
                <w:rFonts w:hint="eastAsia"/>
                <w:spacing w:val="-17"/>
                <w:sz w:val="28"/>
                <w:lang w:val="en-US" w:eastAsia="zh-CN"/>
              </w:rPr>
              <w:t>市、</w:t>
            </w:r>
            <w:r>
              <w:rPr>
                <w:rFonts w:hint="eastAsia"/>
                <w:spacing w:val="-17"/>
                <w:sz w:val="28"/>
                <w:lang w:eastAsia="zh-CN"/>
              </w:rPr>
              <w:t>县（市、区）</w:t>
            </w:r>
            <w:r>
              <w:rPr>
                <w:sz w:val="28"/>
              </w:rPr>
              <w:t>司法局</w:t>
            </w:r>
          </w:p>
        </w:tc>
        <w:tc>
          <w:tcPr>
            <w:tcW w:w="1626" w:type="dxa"/>
            <w:tcBorders>
              <w:top w:val="single" w:color="000000" w:sz="6" w:space="0"/>
              <w:left w:val="single" w:color="000000" w:sz="6" w:space="0"/>
              <w:bottom w:val="single" w:color="000000" w:sz="6" w:space="0"/>
              <w:right w:val="single" w:color="000000" w:sz="6" w:space="0"/>
            </w:tcBorders>
            <w:noWrap w:val="0"/>
            <w:vAlign w:val="center"/>
          </w:tcPr>
          <w:p>
            <w:pPr>
              <w:pStyle w:val="40"/>
              <w:keepNext w:val="0"/>
              <w:keepLines w:val="0"/>
              <w:pageBreakBefore w:val="0"/>
              <w:widowControl w:val="0"/>
              <w:kinsoku/>
              <w:wordWrap/>
              <w:overflowPunct/>
              <w:topLinePunct w:val="0"/>
              <w:autoSpaceDE/>
              <w:autoSpaceDN/>
              <w:bidi w:val="0"/>
              <w:adjustRightInd/>
              <w:snapToGrid/>
              <w:spacing w:before="186" w:line="520" w:lineRule="exact"/>
              <w:ind w:right="0" w:rightChars="0"/>
              <w:jc w:val="center"/>
              <w:textAlignment w:val="auto"/>
              <w:rPr>
                <w:sz w:val="28"/>
              </w:rPr>
            </w:pPr>
            <w:r>
              <w:rPr>
                <w:sz w:val="28"/>
              </w:rPr>
              <w:t>2025.12</w:t>
            </w:r>
          </w:p>
        </w:tc>
        <w:tc>
          <w:tcPr>
            <w:tcW w:w="885" w:type="dxa"/>
            <w:tcBorders>
              <w:top w:val="single" w:color="000000" w:sz="6" w:space="0"/>
              <w:left w:val="single" w:color="000000" w:sz="6" w:space="0"/>
              <w:bottom w:val="single" w:color="000000" w:sz="6" w:space="0"/>
            </w:tcBorders>
            <w:noWrap w:val="0"/>
            <w:vAlign w:val="top"/>
          </w:tcPr>
          <w:p>
            <w:pPr>
              <w:pStyle w:val="40"/>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sz w:val="28"/>
              </w:rPr>
            </w:pPr>
          </w:p>
        </w:tc>
      </w:tr>
    </w:tbl>
    <w:p>
      <w:pPr>
        <w:rPr>
          <w:rFonts w:hint="eastAsia"/>
          <w:lang w:val="en-US" w:eastAsia="zh-CN"/>
        </w:rPr>
      </w:pPr>
    </w:p>
    <w:sectPr>
      <w:pgSz w:w="16838" w:h="11906" w:orient="landscape"/>
      <w:pgMar w:top="1587" w:right="2098" w:bottom="1474" w:left="1985" w:header="1418" w:footer="1417" w:gutter="0"/>
      <w:paperSrc/>
      <w:cols w:space="720" w:num="1"/>
      <w:titlePg/>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Verdana">
    <w:altName w:val="DejaVu Sans"/>
    <w:panose1 w:val="020B0604030504040204"/>
    <w:charset w:val="00"/>
    <w:family w:val="swiss"/>
    <w:pitch w:val="default"/>
    <w:sig w:usb0="A10006FF" w:usb1="4000205B" w:usb2="00000010" w:usb3="00000000" w:csb0="0000019F"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23"/>
        <w:rFonts w:hint="eastAsia" w:ascii="宋体" w:hAnsi="宋体"/>
        <w:sz w:val="28"/>
        <w:szCs w:val="28"/>
      </w:rPr>
    </w:pPr>
    <w:r>
      <w:rPr>
        <w:rStyle w:val="23"/>
        <w:rFonts w:hint="eastAsia" w:ascii="宋体" w:hAnsi="宋体"/>
        <w:sz w:val="28"/>
        <w:szCs w:val="28"/>
      </w:rPr>
      <w:t xml:space="preserve">— </w:t>
    </w:r>
    <w:r>
      <w:rPr>
        <w:rStyle w:val="23"/>
        <w:rFonts w:ascii="宋体" w:hAnsi="宋体"/>
        <w:sz w:val="28"/>
        <w:szCs w:val="28"/>
      </w:rPr>
      <w:fldChar w:fldCharType="begin"/>
    </w:r>
    <w:r>
      <w:rPr>
        <w:rStyle w:val="23"/>
        <w:rFonts w:ascii="宋体" w:hAnsi="宋体"/>
        <w:sz w:val="28"/>
        <w:szCs w:val="28"/>
      </w:rPr>
      <w:instrText xml:space="preserve">PAGE  </w:instrText>
    </w:r>
    <w:r>
      <w:rPr>
        <w:rStyle w:val="23"/>
        <w:rFonts w:ascii="宋体" w:hAnsi="宋体"/>
        <w:sz w:val="28"/>
        <w:szCs w:val="28"/>
      </w:rPr>
      <w:fldChar w:fldCharType="separate"/>
    </w:r>
    <w:r>
      <w:rPr>
        <w:rStyle w:val="23"/>
        <w:rFonts w:ascii="宋体" w:hAnsi="宋体"/>
        <w:sz w:val="28"/>
        <w:szCs w:val="28"/>
        <w:lang/>
      </w:rPr>
      <w:t>2</w:t>
    </w:r>
    <w:r>
      <w:rPr>
        <w:rStyle w:val="23"/>
        <w:rFonts w:ascii="宋体" w:hAnsi="宋体"/>
        <w:sz w:val="28"/>
        <w:szCs w:val="28"/>
      </w:rPr>
      <w:fldChar w:fldCharType="end"/>
    </w:r>
    <w:r>
      <w:rPr>
        <w:rStyle w:val="23"/>
        <w:rFonts w:hint="eastAsia" w:ascii="宋体" w:hAnsi="宋体"/>
        <w:sz w:val="28"/>
        <w:szCs w:val="28"/>
      </w:rPr>
      <w:t xml:space="preserve"> —</w:t>
    </w:r>
  </w:p>
  <w:p>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23"/>
      </w:rPr>
    </w:pPr>
    <w:r>
      <w:rPr>
        <w:rStyle w:val="23"/>
      </w:rPr>
      <w:fldChar w:fldCharType="begin"/>
    </w:r>
    <w:r>
      <w:rPr>
        <w:rStyle w:val="23"/>
      </w:rPr>
      <w:instrText xml:space="preserve">PAGE  </w:instrText>
    </w:r>
    <w:r>
      <w:rPr>
        <w:rStyle w:val="23"/>
      </w:rPr>
      <w:fldChar w:fldCharType="end"/>
    </w:r>
  </w:p>
  <w:p>
    <w:pPr>
      <w:pStyle w:val="11"/>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5156B"/>
    <w:multiLevelType w:val="singleLevel"/>
    <w:tmpl w:val="AAC5156B"/>
    <w:lvl w:ilvl="0" w:tentative="0">
      <w:start w:val="3"/>
      <w:numFmt w:val="decimal"/>
      <w:suff w:val="nothing"/>
      <w:lvlText w:val="%1．"/>
      <w:lvlJc w:val="left"/>
      <w:pPr>
        <w:ind w:left="0" w:firstLine="567"/>
      </w:pPr>
      <w:rPr>
        <w:rFonts w:hint="default"/>
      </w:rPr>
    </w:lvl>
  </w:abstractNum>
  <w:abstractNum w:abstractNumId="1">
    <w:nsid w:val="ABFE0620"/>
    <w:multiLevelType w:val="singleLevel"/>
    <w:tmpl w:val="ABFE0620"/>
    <w:lvl w:ilvl="0" w:tentative="0">
      <w:start w:val="2"/>
      <w:numFmt w:val="chineseCounting"/>
      <w:suff w:val="space"/>
      <w:lvlText w:val="第%1节"/>
      <w:lvlJc w:val="left"/>
      <w:rPr>
        <w:rFonts w:hint="eastAsia"/>
      </w:rPr>
    </w:lvl>
  </w:abstractNum>
  <w:abstractNum w:abstractNumId="2">
    <w:nsid w:val="BF205925"/>
    <w:multiLevelType w:val="multilevel"/>
    <w:tmpl w:val="BF205925"/>
    <w:lvl w:ilvl="0" w:tentative="0">
      <w:start w:val="1"/>
      <w:numFmt w:val="decimal"/>
      <w:lvlText w:val="%1."/>
      <w:lvlJc w:val="left"/>
      <w:pPr>
        <w:ind w:left="10" w:hanging="284"/>
      </w:pPr>
      <w:rPr>
        <w:rFonts w:hint="default" w:ascii="仿宋_GB2312" w:hAnsi="仿宋_GB2312" w:eastAsia="仿宋_GB2312" w:cs="仿宋_GB2312"/>
        <w:spacing w:val="-2"/>
        <w:w w:val="100"/>
        <w:sz w:val="26"/>
        <w:szCs w:val="26"/>
        <w:lang w:val="zh-CN" w:eastAsia="zh-CN" w:bidi="zh-CN"/>
      </w:rPr>
    </w:lvl>
    <w:lvl w:ilvl="1" w:tentative="0">
      <w:start w:val="0"/>
      <w:numFmt w:val="bullet"/>
      <w:lvlText w:val="•"/>
      <w:lvlJc w:val="left"/>
      <w:pPr>
        <w:ind w:left="896" w:hanging="284"/>
      </w:pPr>
      <w:rPr>
        <w:rFonts w:hint="default"/>
        <w:lang w:val="zh-CN" w:eastAsia="zh-CN" w:bidi="zh-CN"/>
      </w:rPr>
    </w:lvl>
    <w:lvl w:ilvl="2" w:tentative="0">
      <w:start w:val="0"/>
      <w:numFmt w:val="bullet"/>
      <w:lvlText w:val="•"/>
      <w:lvlJc w:val="left"/>
      <w:pPr>
        <w:ind w:left="1773" w:hanging="284"/>
      </w:pPr>
      <w:rPr>
        <w:rFonts w:hint="default"/>
        <w:lang w:val="zh-CN" w:eastAsia="zh-CN" w:bidi="zh-CN"/>
      </w:rPr>
    </w:lvl>
    <w:lvl w:ilvl="3" w:tentative="0">
      <w:start w:val="0"/>
      <w:numFmt w:val="bullet"/>
      <w:lvlText w:val="•"/>
      <w:lvlJc w:val="left"/>
      <w:pPr>
        <w:ind w:left="2650" w:hanging="284"/>
      </w:pPr>
      <w:rPr>
        <w:rFonts w:hint="default"/>
        <w:lang w:val="zh-CN" w:eastAsia="zh-CN" w:bidi="zh-CN"/>
      </w:rPr>
    </w:lvl>
    <w:lvl w:ilvl="4" w:tentative="0">
      <w:start w:val="0"/>
      <w:numFmt w:val="bullet"/>
      <w:lvlText w:val="•"/>
      <w:lvlJc w:val="left"/>
      <w:pPr>
        <w:ind w:left="3527" w:hanging="284"/>
      </w:pPr>
      <w:rPr>
        <w:rFonts w:hint="default"/>
        <w:lang w:val="zh-CN" w:eastAsia="zh-CN" w:bidi="zh-CN"/>
      </w:rPr>
    </w:lvl>
    <w:lvl w:ilvl="5" w:tentative="0">
      <w:start w:val="0"/>
      <w:numFmt w:val="bullet"/>
      <w:lvlText w:val="•"/>
      <w:lvlJc w:val="left"/>
      <w:pPr>
        <w:ind w:left="4404" w:hanging="284"/>
      </w:pPr>
      <w:rPr>
        <w:rFonts w:hint="default"/>
        <w:lang w:val="zh-CN" w:eastAsia="zh-CN" w:bidi="zh-CN"/>
      </w:rPr>
    </w:lvl>
    <w:lvl w:ilvl="6" w:tentative="0">
      <w:start w:val="0"/>
      <w:numFmt w:val="bullet"/>
      <w:lvlText w:val="•"/>
      <w:lvlJc w:val="left"/>
      <w:pPr>
        <w:ind w:left="5281" w:hanging="284"/>
      </w:pPr>
      <w:rPr>
        <w:rFonts w:hint="default"/>
        <w:lang w:val="zh-CN" w:eastAsia="zh-CN" w:bidi="zh-CN"/>
      </w:rPr>
    </w:lvl>
    <w:lvl w:ilvl="7" w:tentative="0">
      <w:start w:val="0"/>
      <w:numFmt w:val="bullet"/>
      <w:lvlText w:val="•"/>
      <w:lvlJc w:val="left"/>
      <w:pPr>
        <w:ind w:left="6157" w:hanging="284"/>
      </w:pPr>
      <w:rPr>
        <w:rFonts w:hint="default"/>
        <w:lang w:val="zh-CN" w:eastAsia="zh-CN" w:bidi="zh-CN"/>
      </w:rPr>
    </w:lvl>
    <w:lvl w:ilvl="8" w:tentative="0">
      <w:start w:val="0"/>
      <w:numFmt w:val="bullet"/>
      <w:lvlText w:val="•"/>
      <w:lvlJc w:val="left"/>
      <w:pPr>
        <w:ind w:left="7034" w:hanging="284"/>
      </w:pPr>
      <w:rPr>
        <w:rFonts w:hint="default"/>
        <w:lang w:val="zh-CN" w:eastAsia="zh-CN" w:bidi="zh-CN"/>
      </w:rPr>
    </w:lvl>
  </w:abstractNum>
  <w:abstractNum w:abstractNumId="3">
    <w:nsid w:val="CF092B84"/>
    <w:multiLevelType w:val="multilevel"/>
    <w:tmpl w:val="CF092B84"/>
    <w:lvl w:ilvl="0" w:tentative="0">
      <w:start w:val="1"/>
      <w:numFmt w:val="decimal"/>
      <w:lvlText w:val="%1."/>
      <w:lvlJc w:val="left"/>
      <w:pPr>
        <w:ind w:left="103" w:hanging="226"/>
      </w:pPr>
      <w:rPr>
        <w:rFonts w:hint="default" w:ascii="Times New Roman" w:hAnsi="Times New Roman" w:eastAsia="Times New Roman" w:cs="Times New Roman"/>
        <w:spacing w:val="5"/>
        <w:w w:val="100"/>
        <w:sz w:val="26"/>
        <w:szCs w:val="26"/>
        <w:lang w:val="zh-CN" w:eastAsia="zh-CN" w:bidi="zh-CN"/>
      </w:rPr>
    </w:lvl>
    <w:lvl w:ilvl="1" w:tentative="0">
      <w:start w:val="0"/>
      <w:numFmt w:val="bullet"/>
      <w:lvlText w:val="•"/>
      <w:lvlJc w:val="left"/>
      <w:pPr>
        <w:ind w:left="960" w:hanging="226"/>
      </w:pPr>
      <w:rPr>
        <w:rFonts w:hint="default"/>
        <w:lang w:val="zh-CN" w:eastAsia="zh-CN" w:bidi="zh-CN"/>
      </w:rPr>
    </w:lvl>
    <w:lvl w:ilvl="2" w:tentative="0">
      <w:start w:val="0"/>
      <w:numFmt w:val="bullet"/>
      <w:lvlText w:val="•"/>
      <w:lvlJc w:val="left"/>
      <w:pPr>
        <w:ind w:left="1821" w:hanging="226"/>
      </w:pPr>
      <w:rPr>
        <w:rFonts w:hint="default"/>
        <w:lang w:val="zh-CN" w:eastAsia="zh-CN" w:bidi="zh-CN"/>
      </w:rPr>
    </w:lvl>
    <w:lvl w:ilvl="3" w:tentative="0">
      <w:start w:val="0"/>
      <w:numFmt w:val="bullet"/>
      <w:lvlText w:val="•"/>
      <w:lvlJc w:val="left"/>
      <w:pPr>
        <w:ind w:left="2682" w:hanging="226"/>
      </w:pPr>
      <w:rPr>
        <w:rFonts w:hint="default"/>
        <w:lang w:val="zh-CN" w:eastAsia="zh-CN" w:bidi="zh-CN"/>
      </w:rPr>
    </w:lvl>
    <w:lvl w:ilvl="4" w:tentative="0">
      <w:start w:val="0"/>
      <w:numFmt w:val="bullet"/>
      <w:lvlText w:val="•"/>
      <w:lvlJc w:val="left"/>
      <w:pPr>
        <w:ind w:left="3543" w:hanging="226"/>
      </w:pPr>
      <w:rPr>
        <w:rFonts w:hint="default"/>
        <w:lang w:val="zh-CN" w:eastAsia="zh-CN" w:bidi="zh-CN"/>
      </w:rPr>
    </w:lvl>
    <w:lvl w:ilvl="5" w:tentative="0">
      <w:start w:val="0"/>
      <w:numFmt w:val="bullet"/>
      <w:lvlText w:val="•"/>
      <w:lvlJc w:val="left"/>
      <w:pPr>
        <w:ind w:left="4404" w:hanging="226"/>
      </w:pPr>
      <w:rPr>
        <w:rFonts w:hint="default"/>
        <w:lang w:val="zh-CN" w:eastAsia="zh-CN" w:bidi="zh-CN"/>
      </w:rPr>
    </w:lvl>
    <w:lvl w:ilvl="6" w:tentative="0">
      <w:start w:val="0"/>
      <w:numFmt w:val="bullet"/>
      <w:lvlText w:val="•"/>
      <w:lvlJc w:val="left"/>
      <w:pPr>
        <w:ind w:left="5265" w:hanging="226"/>
      </w:pPr>
      <w:rPr>
        <w:rFonts w:hint="default"/>
        <w:lang w:val="zh-CN" w:eastAsia="zh-CN" w:bidi="zh-CN"/>
      </w:rPr>
    </w:lvl>
    <w:lvl w:ilvl="7" w:tentative="0">
      <w:start w:val="0"/>
      <w:numFmt w:val="bullet"/>
      <w:lvlText w:val="•"/>
      <w:lvlJc w:val="left"/>
      <w:pPr>
        <w:ind w:left="6125" w:hanging="226"/>
      </w:pPr>
      <w:rPr>
        <w:rFonts w:hint="default"/>
        <w:lang w:val="zh-CN" w:eastAsia="zh-CN" w:bidi="zh-CN"/>
      </w:rPr>
    </w:lvl>
    <w:lvl w:ilvl="8" w:tentative="0">
      <w:start w:val="0"/>
      <w:numFmt w:val="bullet"/>
      <w:lvlText w:val="•"/>
      <w:lvlJc w:val="left"/>
      <w:pPr>
        <w:ind w:left="6986" w:hanging="226"/>
      </w:pPr>
      <w:rPr>
        <w:rFonts w:hint="default"/>
        <w:lang w:val="zh-CN" w:eastAsia="zh-CN" w:bidi="zh-CN"/>
      </w:rPr>
    </w:lvl>
  </w:abstractNum>
  <w:abstractNum w:abstractNumId="4">
    <w:nsid w:val="59ADCABA"/>
    <w:multiLevelType w:val="multilevel"/>
    <w:tmpl w:val="59ADCABA"/>
    <w:lvl w:ilvl="0" w:tentative="0">
      <w:start w:val="1"/>
      <w:numFmt w:val="decimal"/>
      <w:lvlText w:val="%1."/>
      <w:lvlJc w:val="left"/>
      <w:pPr>
        <w:ind w:left="1092" w:hanging="281"/>
      </w:pPr>
      <w:rPr>
        <w:rFonts w:hint="default" w:ascii="仿宋_GB2312" w:hAnsi="仿宋_GB2312" w:eastAsia="仿宋_GB2312" w:cs="仿宋_GB2312"/>
        <w:spacing w:val="-2"/>
        <w:w w:val="100"/>
        <w:sz w:val="26"/>
        <w:szCs w:val="26"/>
        <w:lang w:val="zh-CN" w:eastAsia="zh-CN" w:bidi="zh-CN"/>
      </w:rPr>
    </w:lvl>
    <w:lvl w:ilvl="1" w:tentative="0">
      <w:start w:val="0"/>
      <w:numFmt w:val="bullet"/>
      <w:lvlText w:val="•"/>
      <w:lvlJc w:val="left"/>
      <w:pPr>
        <w:ind w:left="1930" w:hanging="281"/>
      </w:pPr>
      <w:rPr>
        <w:rFonts w:hint="default"/>
        <w:lang w:val="zh-CN" w:eastAsia="zh-CN" w:bidi="zh-CN"/>
      </w:rPr>
    </w:lvl>
    <w:lvl w:ilvl="2" w:tentative="0">
      <w:start w:val="0"/>
      <w:numFmt w:val="bullet"/>
      <w:lvlText w:val="•"/>
      <w:lvlJc w:val="left"/>
      <w:pPr>
        <w:ind w:left="2761" w:hanging="281"/>
      </w:pPr>
      <w:rPr>
        <w:rFonts w:hint="default"/>
        <w:lang w:val="zh-CN" w:eastAsia="zh-CN" w:bidi="zh-CN"/>
      </w:rPr>
    </w:lvl>
    <w:lvl w:ilvl="3" w:tentative="0">
      <w:start w:val="0"/>
      <w:numFmt w:val="bullet"/>
      <w:lvlText w:val="•"/>
      <w:lvlJc w:val="left"/>
      <w:pPr>
        <w:ind w:left="3592" w:hanging="281"/>
      </w:pPr>
      <w:rPr>
        <w:rFonts w:hint="default"/>
        <w:lang w:val="zh-CN" w:eastAsia="zh-CN" w:bidi="zh-CN"/>
      </w:rPr>
    </w:lvl>
    <w:lvl w:ilvl="4" w:tentative="0">
      <w:start w:val="0"/>
      <w:numFmt w:val="bullet"/>
      <w:lvlText w:val="•"/>
      <w:lvlJc w:val="left"/>
      <w:pPr>
        <w:ind w:left="4422" w:hanging="281"/>
      </w:pPr>
      <w:rPr>
        <w:rFonts w:hint="default"/>
        <w:lang w:val="zh-CN" w:eastAsia="zh-CN" w:bidi="zh-CN"/>
      </w:rPr>
    </w:lvl>
    <w:lvl w:ilvl="5" w:tentative="0">
      <w:start w:val="0"/>
      <w:numFmt w:val="bullet"/>
      <w:lvlText w:val="•"/>
      <w:lvlJc w:val="left"/>
      <w:pPr>
        <w:ind w:left="5253" w:hanging="281"/>
      </w:pPr>
      <w:rPr>
        <w:rFonts w:hint="default"/>
        <w:lang w:val="zh-CN" w:eastAsia="zh-CN" w:bidi="zh-CN"/>
      </w:rPr>
    </w:lvl>
    <w:lvl w:ilvl="6" w:tentative="0">
      <w:start w:val="0"/>
      <w:numFmt w:val="bullet"/>
      <w:lvlText w:val="•"/>
      <w:lvlJc w:val="left"/>
      <w:pPr>
        <w:ind w:left="6084" w:hanging="281"/>
      </w:pPr>
      <w:rPr>
        <w:rFonts w:hint="default"/>
        <w:lang w:val="zh-CN" w:eastAsia="zh-CN" w:bidi="zh-CN"/>
      </w:rPr>
    </w:lvl>
    <w:lvl w:ilvl="7" w:tentative="0">
      <w:start w:val="0"/>
      <w:numFmt w:val="bullet"/>
      <w:lvlText w:val="•"/>
      <w:lvlJc w:val="left"/>
      <w:pPr>
        <w:ind w:left="6914" w:hanging="281"/>
      </w:pPr>
      <w:rPr>
        <w:rFonts w:hint="default"/>
        <w:lang w:val="zh-CN" w:eastAsia="zh-CN" w:bidi="zh-CN"/>
      </w:rPr>
    </w:lvl>
    <w:lvl w:ilvl="8" w:tentative="0">
      <w:start w:val="0"/>
      <w:numFmt w:val="bullet"/>
      <w:lvlText w:val="•"/>
      <w:lvlJc w:val="left"/>
      <w:pPr>
        <w:ind w:left="7745" w:hanging="281"/>
      </w:pPr>
      <w:rPr>
        <w:rFonts w:hint="default"/>
        <w:lang w:val="zh-CN" w:eastAsia="zh-CN" w:bidi="zh-CN"/>
      </w:rPr>
    </w:lvl>
  </w:abstractNum>
  <w:abstractNum w:abstractNumId="5">
    <w:nsid w:val="65CD6C2A"/>
    <w:multiLevelType w:val="singleLevel"/>
    <w:tmpl w:val="65CD6C2A"/>
    <w:lvl w:ilvl="0" w:tentative="0">
      <w:start w:val="1"/>
      <w:numFmt w:val="decimal"/>
      <w:suff w:val="nothing"/>
      <w:lvlText w:val="%1．"/>
      <w:lvlJc w:val="left"/>
      <w:pPr>
        <w:ind w:left="0" w:firstLine="400"/>
      </w:pPr>
      <w:rPr>
        <w:rFonts w:hint="default"/>
      </w:rPr>
    </w:lvl>
  </w:abstractNum>
  <w:abstractNum w:abstractNumId="6">
    <w:nsid w:val="77FEFB3E"/>
    <w:multiLevelType w:val="singleLevel"/>
    <w:tmpl w:val="77FEFB3E"/>
    <w:lvl w:ilvl="0" w:tentative="0">
      <w:start w:val="5"/>
      <w:numFmt w:val="chineseCounting"/>
      <w:suff w:val="space"/>
      <w:lvlText w:val="第%1节"/>
      <w:lvlJc w:val="left"/>
      <w:rPr>
        <w:rFonts w:hint="eastAsia"/>
      </w:rPr>
    </w:lvl>
  </w:abstractNum>
  <w:num w:numId="1">
    <w:abstractNumId w:val="3"/>
  </w:num>
  <w:num w:numId="2">
    <w:abstractNumId w:val="5"/>
  </w:num>
  <w:num w:numId="3">
    <w:abstractNumId w:val="0"/>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8"/>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754"/>
    <w:rsid w:val="00001772"/>
    <w:rsid w:val="00004DC0"/>
    <w:rsid w:val="00004E5E"/>
    <w:rsid w:val="0000544E"/>
    <w:rsid w:val="000104F1"/>
    <w:rsid w:val="00010504"/>
    <w:rsid w:val="00014EF5"/>
    <w:rsid w:val="00017E75"/>
    <w:rsid w:val="00023569"/>
    <w:rsid w:val="00024F78"/>
    <w:rsid w:val="00027312"/>
    <w:rsid w:val="000320C0"/>
    <w:rsid w:val="00034C74"/>
    <w:rsid w:val="00035D8B"/>
    <w:rsid w:val="000366B4"/>
    <w:rsid w:val="00037C7E"/>
    <w:rsid w:val="000404EA"/>
    <w:rsid w:val="00040E1B"/>
    <w:rsid w:val="000414F5"/>
    <w:rsid w:val="00041825"/>
    <w:rsid w:val="0004207E"/>
    <w:rsid w:val="0004234A"/>
    <w:rsid w:val="00042441"/>
    <w:rsid w:val="00042B68"/>
    <w:rsid w:val="0004327C"/>
    <w:rsid w:val="00044246"/>
    <w:rsid w:val="00046646"/>
    <w:rsid w:val="00046E00"/>
    <w:rsid w:val="000517DE"/>
    <w:rsid w:val="00054275"/>
    <w:rsid w:val="00054B2D"/>
    <w:rsid w:val="00055B67"/>
    <w:rsid w:val="00055E96"/>
    <w:rsid w:val="00055F8D"/>
    <w:rsid w:val="00057F7E"/>
    <w:rsid w:val="00057FC8"/>
    <w:rsid w:val="00060BAC"/>
    <w:rsid w:val="00061C67"/>
    <w:rsid w:val="0006492D"/>
    <w:rsid w:val="00066588"/>
    <w:rsid w:val="0007226A"/>
    <w:rsid w:val="00072E00"/>
    <w:rsid w:val="00073257"/>
    <w:rsid w:val="00077F12"/>
    <w:rsid w:val="00080F3C"/>
    <w:rsid w:val="00081474"/>
    <w:rsid w:val="0008326C"/>
    <w:rsid w:val="00083D1F"/>
    <w:rsid w:val="00084B64"/>
    <w:rsid w:val="00086277"/>
    <w:rsid w:val="0008665D"/>
    <w:rsid w:val="000873D2"/>
    <w:rsid w:val="00087517"/>
    <w:rsid w:val="000879A0"/>
    <w:rsid w:val="0009035B"/>
    <w:rsid w:val="00091899"/>
    <w:rsid w:val="00091CC6"/>
    <w:rsid w:val="00091F6D"/>
    <w:rsid w:val="00092043"/>
    <w:rsid w:val="00094252"/>
    <w:rsid w:val="00094342"/>
    <w:rsid w:val="0009547F"/>
    <w:rsid w:val="00095CE0"/>
    <w:rsid w:val="000A1F5C"/>
    <w:rsid w:val="000A2AFD"/>
    <w:rsid w:val="000A3451"/>
    <w:rsid w:val="000A4CB5"/>
    <w:rsid w:val="000A66EC"/>
    <w:rsid w:val="000B218E"/>
    <w:rsid w:val="000B2360"/>
    <w:rsid w:val="000B23CA"/>
    <w:rsid w:val="000B420E"/>
    <w:rsid w:val="000B4D04"/>
    <w:rsid w:val="000C0E4F"/>
    <w:rsid w:val="000C2C07"/>
    <w:rsid w:val="000C47EF"/>
    <w:rsid w:val="000C4C6E"/>
    <w:rsid w:val="000C5196"/>
    <w:rsid w:val="000C5552"/>
    <w:rsid w:val="000C6C7D"/>
    <w:rsid w:val="000D16B1"/>
    <w:rsid w:val="000D3ACE"/>
    <w:rsid w:val="000D676F"/>
    <w:rsid w:val="000D6A83"/>
    <w:rsid w:val="000D7940"/>
    <w:rsid w:val="000D7EE7"/>
    <w:rsid w:val="000E0928"/>
    <w:rsid w:val="000E1911"/>
    <w:rsid w:val="000E24E2"/>
    <w:rsid w:val="000E30E6"/>
    <w:rsid w:val="000E4021"/>
    <w:rsid w:val="000E42C7"/>
    <w:rsid w:val="000F07C6"/>
    <w:rsid w:val="000F32EE"/>
    <w:rsid w:val="000F3FF1"/>
    <w:rsid w:val="000F5A54"/>
    <w:rsid w:val="000F605B"/>
    <w:rsid w:val="000F7356"/>
    <w:rsid w:val="001016FC"/>
    <w:rsid w:val="001018A2"/>
    <w:rsid w:val="00101C2B"/>
    <w:rsid w:val="001026BB"/>
    <w:rsid w:val="00102DC2"/>
    <w:rsid w:val="00103FB1"/>
    <w:rsid w:val="001059A6"/>
    <w:rsid w:val="00107FA5"/>
    <w:rsid w:val="00110C37"/>
    <w:rsid w:val="00111F1D"/>
    <w:rsid w:val="001125A5"/>
    <w:rsid w:val="00112803"/>
    <w:rsid w:val="00116AE8"/>
    <w:rsid w:val="0012143A"/>
    <w:rsid w:val="001236C3"/>
    <w:rsid w:val="00123FA5"/>
    <w:rsid w:val="001250E6"/>
    <w:rsid w:val="00127C03"/>
    <w:rsid w:val="00127D88"/>
    <w:rsid w:val="00131D60"/>
    <w:rsid w:val="00132006"/>
    <w:rsid w:val="00133F8A"/>
    <w:rsid w:val="001353F1"/>
    <w:rsid w:val="001369D6"/>
    <w:rsid w:val="00136BC5"/>
    <w:rsid w:val="00137658"/>
    <w:rsid w:val="00142A05"/>
    <w:rsid w:val="0014430E"/>
    <w:rsid w:val="00144673"/>
    <w:rsid w:val="00145476"/>
    <w:rsid w:val="001519C9"/>
    <w:rsid w:val="001536C5"/>
    <w:rsid w:val="00160347"/>
    <w:rsid w:val="00160C93"/>
    <w:rsid w:val="001624DB"/>
    <w:rsid w:val="0016345C"/>
    <w:rsid w:val="00167688"/>
    <w:rsid w:val="00171053"/>
    <w:rsid w:val="00173F41"/>
    <w:rsid w:val="00177A24"/>
    <w:rsid w:val="00181AFF"/>
    <w:rsid w:val="00182DC7"/>
    <w:rsid w:val="00183E7B"/>
    <w:rsid w:val="0018524D"/>
    <w:rsid w:val="00190F4F"/>
    <w:rsid w:val="00192731"/>
    <w:rsid w:val="001950E7"/>
    <w:rsid w:val="00196040"/>
    <w:rsid w:val="00197FEA"/>
    <w:rsid w:val="001A07D2"/>
    <w:rsid w:val="001A205B"/>
    <w:rsid w:val="001A7F00"/>
    <w:rsid w:val="001B0CE8"/>
    <w:rsid w:val="001B136A"/>
    <w:rsid w:val="001B272B"/>
    <w:rsid w:val="001B278B"/>
    <w:rsid w:val="001B5EA1"/>
    <w:rsid w:val="001B646F"/>
    <w:rsid w:val="001B6EA9"/>
    <w:rsid w:val="001B7105"/>
    <w:rsid w:val="001B72E6"/>
    <w:rsid w:val="001B7CBD"/>
    <w:rsid w:val="001C0268"/>
    <w:rsid w:val="001C15A1"/>
    <w:rsid w:val="001C198F"/>
    <w:rsid w:val="001C1D4C"/>
    <w:rsid w:val="001C4ED3"/>
    <w:rsid w:val="001C675D"/>
    <w:rsid w:val="001C786F"/>
    <w:rsid w:val="001D0254"/>
    <w:rsid w:val="001D1B35"/>
    <w:rsid w:val="001D2F00"/>
    <w:rsid w:val="001D2F61"/>
    <w:rsid w:val="001D4DB1"/>
    <w:rsid w:val="001D62FD"/>
    <w:rsid w:val="001D6B22"/>
    <w:rsid w:val="001D768C"/>
    <w:rsid w:val="001D7C20"/>
    <w:rsid w:val="001E107A"/>
    <w:rsid w:val="001E1252"/>
    <w:rsid w:val="001E1AED"/>
    <w:rsid w:val="001E28F0"/>
    <w:rsid w:val="001E3159"/>
    <w:rsid w:val="001E3278"/>
    <w:rsid w:val="001E33B2"/>
    <w:rsid w:val="001E6098"/>
    <w:rsid w:val="001E7361"/>
    <w:rsid w:val="001E7C17"/>
    <w:rsid w:val="001F0C4F"/>
    <w:rsid w:val="001F125C"/>
    <w:rsid w:val="001F4E8D"/>
    <w:rsid w:val="001F5E7C"/>
    <w:rsid w:val="001F64B5"/>
    <w:rsid w:val="001F6AF0"/>
    <w:rsid w:val="001F784A"/>
    <w:rsid w:val="00200AEC"/>
    <w:rsid w:val="00204998"/>
    <w:rsid w:val="00206876"/>
    <w:rsid w:val="00210EDC"/>
    <w:rsid w:val="00211A77"/>
    <w:rsid w:val="00212FE9"/>
    <w:rsid w:val="00214E52"/>
    <w:rsid w:val="002160FA"/>
    <w:rsid w:val="00216C9D"/>
    <w:rsid w:val="002202BF"/>
    <w:rsid w:val="00220463"/>
    <w:rsid w:val="00220BA2"/>
    <w:rsid w:val="00221101"/>
    <w:rsid w:val="00223036"/>
    <w:rsid w:val="00223BC7"/>
    <w:rsid w:val="00224B80"/>
    <w:rsid w:val="002304A6"/>
    <w:rsid w:val="002321ED"/>
    <w:rsid w:val="00233DB6"/>
    <w:rsid w:val="0023438C"/>
    <w:rsid w:val="0023505F"/>
    <w:rsid w:val="002351AF"/>
    <w:rsid w:val="00236C15"/>
    <w:rsid w:val="0024282B"/>
    <w:rsid w:val="00244C26"/>
    <w:rsid w:val="00245121"/>
    <w:rsid w:val="002454CA"/>
    <w:rsid w:val="0024718A"/>
    <w:rsid w:val="00247E1F"/>
    <w:rsid w:val="00252461"/>
    <w:rsid w:val="00254437"/>
    <w:rsid w:val="00254532"/>
    <w:rsid w:val="0025468D"/>
    <w:rsid w:val="00255AA9"/>
    <w:rsid w:val="00257BF5"/>
    <w:rsid w:val="00260C81"/>
    <w:rsid w:val="002613FD"/>
    <w:rsid w:val="00266482"/>
    <w:rsid w:val="0027010D"/>
    <w:rsid w:val="002705F1"/>
    <w:rsid w:val="00270605"/>
    <w:rsid w:val="00270D7D"/>
    <w:rsid w:val="00274B52"/>
    <w:rsid w:val="00277BE1"/>
    <w:rsid w:val="00277C66"/>
    <w:rsid w:val="00283AB0"/>
    <w:rsid w:val="00283D2D"/>
    <w:rsid w:val="002843DC"/>
    <w:rsid w:val="00284601"/>
    <w:rsid w:val="002866C2"/>
    <w:rsid w:val="00286B74"/>
    <w:rsid w:val="00293544"/>
    <w:rsid w:val="00293DC5"/>
    <w:rsid w:val="0029486F"/>
    <w:rsid w:val="00295555"/>
    <w:rsid w:val="002959B4"/>
    <w:rsid w:val="00296DA7"/>
    <w:rsid w:val="002A0CDD"/>
    <w:rsid w:val="002A0EA0"/>
    <w:rsid w:val="002A40B1"/>
    <w:rsid w:val="002A48BB"/>
    <w:rsid w:val="002A555F"/>
    <w:rsid w:val="002A6391"/>
    <w:rsid w:val="002A6731"/>
    <w:rsid w:val="002B061F"/>
    <w:rsid w:val="002B0AED"/>
    <w:rsid w:val="002B0D7C"/>
    <w:rsid w:val="002B0E19"/>
    <w:rsid w:val="002B16EE"/>
    <w:rsid w:val="002B3E61"/>
    <w:rsid w:val="002B4128"/>
    <w:rsid w:val="002B5F4C"/>
    <w:rsid w:val="002B61EF"/>
    <w:rsid w:val="002B6461"/>
    <w:rsid w:val="002B74AF"/>
    <w:rsid w:val="002B7C64"/>
    <w:rsid w:val="002C022F"/>
    <w:rsid w:val="002C1EEF"/>
    <w:rsid w:val="002C3B84"/>
    <w:rsid w:val="002C5B3E"/>
    <w:rsid w:val="002C65A8"/>
    <w:rsid w:val="002D00C8"/>
    <w:rsid w:val="002D0F06"/>
    <w:rsid w:val="002D0F91"/>
    <w:rsid w:val="002D2630"/>
    <w:rsid w:val="002D35D4"/>
    <w:rsid w:val="002D528E"/>
    <w:rsid w:val="002D57CB"/>
    <w:rsid w:val="002D6CC8"/>
    <w:rsid w:val="002D7587"/>
    <w:rsid w:val="002D7841"/>
    <w:rsid w:val="002E049C"/>
    <w:rsid w:val="002E0E9B"/>
    <w:rsid w:val="002E255E"/>
    <w:rsid w:val="002E4617"/>
    <w:rsid w:val="002E6058"/>
    <w:rsid w:val="002E6583"/>
    <w:rsid w:val="002E66D9"/>
    <w:rsid w:val="002E6C82"/>
    <w:rsid w:val="002E72F5"/>
    <w:rsid w:val="002F14EE"/>
    <w:rsid w:val="002F3017"/>
    <w:rsid w:val="002F38A7"/>
    <w:rsid w:val="002F4691"/>
    <w:rsid w:val="002F4829"/>
    <w:rsid w:val="00300125"/>
    <w:rsid w:val="00301080"/>
    <w:rsid w:val="003064E1"/>
    <w:rsid w:val="00306B2D"/>
    <w:rsid w:val="003075CA"/>
    <w:rsid w:val="00310C26"/>
    <w:rsid w:val="00314B42"/>
    <w:rsid w:val="00317C16"/>
    <w:rsid w:val="00321712"/>
    <w:rsid w:val="00322FCE"/>
    <w:rsid w:val="00324806"/>
    <w:rsid w:val="00325956"/>
    <w:rsid w:val="00325B20"/>
    <w:rsid w:val="00326B79"/>
    <w:rsid w:val="00326DBD"/>
    <w:rsid w:val="0032771D"/>
    <w:rsid w:val="003278AA"/>
    <w:rsid w:val="003306E5"/>
    <w:rsid w:val="00331F96"/>
    <w:rsid w:val="00332060"/>
    <w:rsid w:val="00332431"/>
    <w:rsid w:val="00332847"/>
    <w:rsid w:val="00333A97"/>
    <w:rsid w:val="00333B43"/>
    <w:rsid w:val="003418B2"/>
    <w:rsid w:val="00341D7E"/>
    <w:rsid w:val="00344880"/>
    <w:rsid w:val="00346585"/>
    <w:rsid w:val="00351600"/>
    <w:rsid w:val="0035355C"/>
    <w:rsid w:val="00355C82"/>
    <w:rsid w:val="00365268"/>
    <w:rsid w:val="00365480"/>
    <w:rsid w:val="0036570C"/>
    <w:rsid w:val="00365B3A"/>
    <w:rsid w:val="00366FE5"/>
    <w:rsid w:val="00370340"/>
    <w:rsid w:val="0037068B"/>
    <w:rsid w:val="00371A47"/>
    <w:rsid w:val="003738C4"/>
    <w:rsid w:val="003740DD"/>
    <w:rsid w:val="003755B6"/>
    <w:rsid w:val="003761C7"/>
    <w:rsid w:val="00381235"/>
    <w:rsid w:val="003813E1"/>
    <w:rsid w:val="003833E5"/>
    <w:rsid w:val="003833EC"/>
    <w:rsid w:val="00384C6C"/>
    <w:rsid w:val="003856E9"/>
    <w:rsid w:val="0038617A"/>
    <w:rsid w:val="00387617"/>
    <w:rsid w:val="003908AA"/>
    <w:rsid w:val="00391E08"/>
    <w:rsid w:val="00391FDE"/>
    <w:rsid w:val="003940C1"/>
    <w:rsid w:val="00395509"/>
    <w:rsid w:val="00396172"/>
    <w:rsid w:val="0039661A"/>
    <w:rsid w:val="00397F74"/>
    <w:rsid w:val="003A1447"/>
    <w:rsid w:val="003A160D"/>
    <w:rsid w:val="003A2542"/>
    <w:rsid w:val="003A2F45"/>
    <w:rsid w:val="003A5C72"/>
    <w:rsid w:val="003B0868"/>
    <w:rsid w:val="003B3891"/>
    <w:rsid w:val="003B4285"/>
    <w:rsid w:val="003B601A"/>
    <w:rsid w:val="003B786D"/>
    <w:rsid w:val="003C051F"/>
    <w:rsid w:val="003C1AA3"/>
    <w:rsid w:val="003C4135"/>
    <w:rsid w:val="003C4556"/>
    <w:rsid w:val="003C4A92"/>
    <w:rsid w:val="003C4E68"/>
    <w:rsid w:val="003C526D"/>
    <w:rsid w:val="003C5860"/>
    <w:rsid w:val="003C6273"/>
    <w:rsid w:val="003C7C8C"/>
    <w:rsid w:val="003D2B14"/>
    <w:rsid w:val="003D4403"/>
    <w:rsid w:val="003D5066"/>
    <w:rsid w:val="003D6ABF"/>
    <w:rsid w:val="003D73A9"/>
    <w:rsid w:val="003D7EA7"/>
    <w:rsid w:val="003E007F"/>
    <w:rsid w:val="003E51FF"/>
    <w:rsid w:val="003E5719"/>
    <w:rsid w:val="003E5CEF"/>
    <w:rsid w:val="003E7BED"/>
    <w:rsid w:val="003F0623"/>
    <w:rsid w:val="003F1754"/>
    <w:rsid w:val="003F2ACB"/>
    <w:rsid w:val="003F79AC"/>
    <w:rsid w:val="004021BE"/>
    <w:rsid w:val="0040433B"/>
    <w:rsid w:val="00405119"/>
    <w:rsid w:val="00405EAC"/>
    <w:rsid w:val="004064E6"/>
    <w:rsid w:val="00410D1B"/>
    <w:rsid w:val="00412681"/>
    <w:rsid w:val="00412F0D"/>
    <w:rsid w:val="0041500C"/>
    <w:rsid w:val="00415808"/>
    <w:rsid w:val="00416B63"/>
    <w:rsid w:val="00421B58"/>
    <w:rsid w:val="00421E2A"/>
    <w:rsid w:val="00425EDB"/>
    <w:rsid w:val="00425FDE"/>
    <w:rsid w:val="004319B3"/>
    <w:rsid w:val="0043435C"/>
    <w:rsid w:val="004367C7"/>
    <w:rsid w:val="004405B5"/>
    <w:rsid w:val="00440E31"/>
    <w:rsid w:val="00441F10"/>
    <w:rsid w:val="004422FC"/>
    <w:rsid w:val="00442303"/>
    <w:rsid w:val="004456E1"/>
    <w:rsid w:val="004557A2"/>
    <w:rsid w:val="00456A67"/>
    <w:rsid w:val="00460062"/>
    <w:rsid w:val="00460DBE"/>
    <w:rsid w:val="0046132E"/>
    <w:rsid w:val="00463416"/>
    <w:rsid w:val="004635FA"/>
    <w:rsid w:val="00467BB2"/>
    <w:rsid w:val="00467FAF"/>
    <w:rsid w:val="00470C07"/>
    <w:rsid w:val="004713F7"/>
    <w:rsid w:val="00481D4E"/>
    <w:rsid w:val="00481FF3"/>
    <w:rsid w:val="00483486"/>
    <w:rsid w:val="004856A4"/>
    <w:rsid w:val="00490452"/>
    <w:rsid w:val="00490E57"/>
    <w:rsid w:val="00491F21"/>
    <w:rsid w:val="0049326A"/>
    <w:rsid w:val="0049423D"/>
    <w:rsid w:val="004A0368"/>
    <w:rsid w:val="004A059D"/>
    <w:rsid w:val="004A2F89"/>
    <w:rsid w:val="004A2FA8"/>
    <w:rsid w:val="004A707F"/>
    <w:rsid w:val="004A7BE0"/>
    <w:rsid w:val="004A7F75"/>
    <w:rsid w:val="004B01E0"/>
    <w:rsid w:val="004B0C52"/>
    <w:rsid w:val="004B2257"/>
    <w:rsid w:val="004B2696"/>
    <w:rsid w:val="004B3C39"/>
    <w:rsid w:val="004B67CF"/>
    <w:rsid w:val="004B708E"/>
    <w:rsid w:val="004C0713"/>
    <w:rsid w:val="004C09F5"/>
    <w:rsid w:val="004C180E"/>
    <w:rsid w:val="004C3C4F"/>
    <w:rsid w:val="004C5BE2"/>
    <w:rsid w:val="004C678C"/>
    <w:rsid w:val="004C703C"/>
    <w:rsid w:val="004D04A2"/>
    <w:rsid w:val="004D0731"/>
    <w:rsid w:val="004D16E7"/>
    <w:rsid w:val="004D1BAD"/>
    <w:rsid w:val="004D3406"/>
    <w:rsid w:val="004D3F2A"/>
    <w:rsid w:val="004D5BD4"/>
    <w:rsid w:val="004D6A29"/>
    <w:rsid w:val="004D6F3A"/>
    <w:rsid w:val="004D7826"/>
    <w:rsid w:val="004E11C5"/>
    <w:rsid w:val="004E2118"/>
    <w:rsid w:val="004E2179"/>
    <w:rsid w:val="004E45CB"/>
    <w:rsid w:val="004F6EC4"/>
    <w:rsid w:val="00503168"/>
    <w:rsid w:val="00503877"/>
    <w:rsid w:val="005038DF"/>
    <w:rsid w:val="0050410B"/>
    <w:rsid w:val="00504F53"/>
    <w:rsid w:val="005057D0"/>
    <w:rsid w:val="00507765"/>
    <w:rsid w:val="00507F4A"/>
    <w:rsid w:val="005146A8"/>
    <w:rsid w:val="00516A6C"/>
    <w:rsid w:val="00516C5C"/>
    <w:rsid w:val="005221F2"/>
    <w:rsid w:val="00522405"/>
    <w:rsid w:val="005260E2"/>
    <w:rsid w:val="00526F5F"/>
    <w:rsid w:val="00531D4E"/>
    <w:rsid w:val="00531F4B"/>
    <w:rsid w:val="005372E5"/>
    <w:rsid w:val="00540371"/>
    <w:rsid w:val="00542C1D"/>
    <w:rsid w:val="00545341"/>
    <w:rsid w:val="0054703B"/>
    <w:rsid w:val="005506A4"/>
    <w:rsid w:val="00550EB1"/>
    <w:rsid w:val="00555969"/>
    <w:rsid w:val="00560014"/>
    <w:rsid w:val="00561959"/>
    <w:rsid w:val="00562B57"/>
    <w:rsid w:val="00563341"/>
    <w:rsid w:val="00565B85"/>
    <w:rsid w:val="005709D3"/>
    <w:rsid w:val="0057294F"/>
    <w:rsid w:val="005736B5"/>
    <w:rsid w:val="005747C8"/>
    <w:rsid w:val="00576010"/>
    <w:rsid w:val="00580529"/>
    <w:rsid w:val="005810CA"/>
    <w:rsid w:val="0058157E"/>
    <w:rsid w:val="0058276B"/>
    <w:rsid w:val="00583D90"/>
    <w:rsid w:val="00584966"/>
    <w:rsid w:val="00586D04"/>
    <w:rsid w:val="00591A41"/>
    <w:rsid w:val="0059645A"/>
    <w:rsid w:val="0059738A"/>
    <w:rsid w:val="005A069D"/>
    <w:rsid w:val="005A07BC"/>
    <w:rsid w:val="005A14F4"/>
    <w:rsid w:val="005A2C80"/>
    <w:rsid w:val="005A50AC"/>
    <w:rsid w:val="005A75C5"/>
    <w:rsid w:val="005B020E"/>
    <w:rsid w:val="005B0520"/>
    <w:rsid w:val="005B15A4"/>
    <w:rsid w:val="005B198D"/>
    <w:rsid w:val="005B79A8"/>
    <w:rsid w:val="005C194F"/>
    <w:rsid w:val="005C2E9A"/>
    <w:rsid w:val="005C519E"/>
    <w:rsid w:val="005C5567"/>
    <w:rsid w:val="005D0259"/>
    <w:rsid w:val="005D21A7"/>
    <w:rsid w:val="005D21E6"/>
    <w:rsid w:val="005D3090"/>
    <w:rsid w:val="005D42CF"/>
    <w:rsid w:val="005D451C"/>
    <w:rsid w:val="005D4F5A"/>
    <w:rsid w:val="005D6C02"/>
    <w:rsid w:val="005D7C51"/>
    <w:rsid w:val="005E1592"/>
    <w:rsid w:val="005E3458"/>
    <w:rsid w:val="005E39C6"/>
    <w:rsid w:val="005E6155"/>
    <w:rsid w:val="005E6325"/>
    <w:rsid w:val="005E6BB6"/>
    <w:rsid w:val="005E7153"/>
    <w:rsid w:val="005F0CA9"/>
    <w:rsid w:val="005F10D6"/>
    <w:rsid w:val="005F3B27"/>
    <w:rsid w:val="005F3D93"/>
    <w:rsid w:val="005F3DA2"/>
    <w:rsid w:val="005F41D7"/>
    <w:rsid w:val="005F441A"/>
    <w:rsid w:val="005F4B85"/>
    <w:rsid w:val="005F4D03"/>
    <w:rsid w:val="005F5A67"/>
    <w:rsid w:val="005F69F7"/>
    <w:rsid w:val="00603951"/>
    <w:rsid w:val="00604740"/>
    <w:rsid w:val="006077D0"/>
    <w:rsid w:val="006105C4"/>
    <w:rsid w:val="0061392F"/>
    <w:rsid w:val="00615C57"/>
    <w:rsid w:val="0061671C"/>
    <w:rsid w:val="006176ED"/>
    <w:rsid w:val="006245DB"/>
    <w:rsid w:val="00626D5F"/>
    <w:rsid w:val="00631CA8"/>
    <w:rsid w:val="00635D59"/>
    <w:rsid w:val="0063693A"/>
    <w:rsid w:val="0064247B"/>
    <w:rsid w:val="006425AB"/>
    <w:rsid w:val="00650210"/>
    <w:rsid w:val="0065179C"/>
    <w:rsid w:val="00651ABE"/>
    <w:rsid w:val="00655007"/>
    <w:rsid w:val="00655FFD"/>
    <w:rsid w:val="00662787"/>
    <w:rsid w:val="00662C26"/>
    <w:rsid w:val="00662EF5"/>
    <w:rsid w:val="00663E85"/>
    <w:rsid w:val="006661E9"/>
    <w:rsid w:val="00667DEA"/>
    <w:rsid w:val="00670537"/>
    <w:rsid w:val="006709AA"/>
    <w:rsid w:val="00671042"/>
    <w:rsid w:val="006710D8"/>
    <w:rsid w:val="0067215E"/>
    <w:rsid w:val="006728A8"/>
    <w:rsid w:val="0067541F"/>
    <w:rsid w:val="006757F0"/>
    <w:rsid w:val="006768F2"/>
    <w:rsid w:val="00676BB1"/>
    <w:rsid w:val="00682405"/>
    <w:rsid w:val="0068549A"/>
    <w:rsid w:val="006862D5"/>
    <w:rsid w:val="00687871"/>
    <w:rsid w:val="00687BC6"/>
    <w:rsid w:val="00690FC0"/>
    <w:rsid w:val="006921BF"/>
    <w:rsid w:val="00693EDE"/>
    <w:rsid w:val="006950DB"/>
    <w:rsid w:val="00695618"/>
    <w:rsid w:val="00695949"/>
    <w:rsid w:val="00695C50"/>
    <w:rsid w:val="006979B3"/>
    <w:rsid w:val="00697D17"/>
    <w:rsid w:val="00697D2D"/>
    <w:rsid w:val="00697EEE"/>
    <w:rsid w:val="00697F06"/>
    <w:rsid w:val="006A08D5"/>
    <w:rsid w:val="006A159D"/>
    <w:rsid w:val="006A3030"/>
    <w:rsid w:val="006A588A"/>
    <w:rsid w:val="006A724D"/>
    <w:rsid w:val="006A7DF1"/>
    <w:rsid w:val="006B006D"/>
    <w:rsid w:val="006B320C"/>
    <w:rsid w:val="006B51D1"/>
    <w:rsid w:val="006B70EE"/>
    <w:rsid w:val="006B7B53"/>
    <w:rsid w:val="006C26DE"/>
    <w:rsid w:val="006C2B31"/>
    <w:rsid w:val="006C436B"/>
    <w:rsid w:val="006C45BF"/>
    <w:rsid w:val="006C593C"/>
    <w:rsid w:val="006C6673"/>
    <w:rsid w:val="006C7897"/>
    <w:rsid w:val="006D005A"/>
    <w:rsid w:val="006D4AEB"/>
    <w:rsid w:val="006D748A"/>
    <w:rsid w:val="006D7DAB"/>
    <w:rsid w:val="006E0E50"/>
    <w:rsid w:val="006E1929"/>
    <w:rsid w:val="006E2114"/>
    <w:rsid w:val="006E5697"/>
    <w:rsid w:val="006E6BAA"/>
    <w:rsid w:val="006E72E6"/>
    <w:rsid w:val="006E7A3E"/>
    <w:rsid w:val="006E7F56"/>
    <w:rsid w:val="006F1461"/>
    <w:rsid w:val="006F256F"/>
    <w:rsid w:val="006F31FE"/>
    <w:rsid w:val="007004BE"/>
    <w:rsid w:val="007006AD"/>
    <w:rsid w:val="0070080D"/>
    <w:rsid w:val="00702134"/>
    <w:rsid w:val="00703961"/>
    <w:rsid w:val="007062C4"/>
    <w:rsid w:val="007062DB"/>
    <w:rsid w:val="007101CD"/>
    <w:rsid w:val="007107F9"/>
    <w:rsid w:val="00713280"/>
    <w:rsid w:val="0071495F"/>
    <w:rsid w:val="00715580"/>
    <w:rsid w:val="00715B32"/>
    <w:rsid w:val="00717A51"/>
    <w:rsid w:val="007340FE"/>
    <w:rsid w:val="00734104"/>
    <w:rsid w:val="0073452F"/>
    <w:rsid w:val="00734FFC"/>
    <w:rsid w:val="0073670F"/>
    <w:rsid w:val="00736F20"/>
    <w:rsid w:val="00737A47"/>
    <w:rsid w:val="00737F8F"/>
    <w:rsid w:val="00740417"/>
    <w:rsid w:val="00742E98"/>
    <w:rsid w:val="00742EBF"/>
    <w:rsid w:val="007464FB"/>
    <w:rsid w:val="007468E1"/>
    <w:rsid w:val="007470EB"/>
    <w:rsid w:val="00750911"/>
    <w:rsid w:val="00751F8D"/>
    <w:rsid w:val="00752359"/>
    <w:rsid w:val="007524FA"/>
    <w:rsid w:val="007527C6"/>
    <w:rsid w:val="0075397A"/>
    <w:rsid w:val="00753A52"/>
    <w:rsid w:val="007550D9"/>
    <w:rsid w:val="00755C9D"/>
    <w:rsid w:val="007605F7"/>
    <w:rsid w:val="007631AE"/>
    <w:rsid w:val="0076621B"/>
    <w:rsid w:val="00766EED"/>
    <w:rsid w:val="00767CC8"/>
    <w:rsid w:val="00771DF8"/>
    <w:rsid w:val="00774B14"/>
    <w:rsid w:val="0077739E"/>
    <w:rsid w:val="007802FF"/>
    <w:rsid w:val="00780F63"/>
    <w:rsid w:val="00781362"/>
    <w:rsid w:val="007816F5"/>
    <w:rsid w:val="00781DE7"/>
    <w:rsid w:val="00782677"/>
    <w:rsid w:val="00782DAC"/>
    <w:rsid w:val="007846E1"/>
    <w:rsid w:val="00790C94"/>
    <w:rsid w:val="00791157"/>
    <w:rsid w:val="00791744"/>
    <w:rsid w:val="00791DF3"/>
    <w:rsid w:val="007927E8"/>
    <w:rsid w:val="007940C6"/>
    <w:rsid w:val="00794890"/>
    <w:rsid w:val="00794B1C"/>
    <w:rsid w:val="00796836"/>
    <w:rsid w:val="007977E6"/>
    <w:rsid w:val="007A0C20"/>
    <w:rsid w:val="007A1BE1"/>
    <w:rsid w:val="007A4904"/>
    <w:rsid w:val="007A58E9"/>
    <w:rsid w:val="007A6CC3"/>
    <w:rsid w:val="007A73E3"/>
    <w:rsid w:val="007A7695"/>
    <w:rsid w:val="007B120E"/>
    <w:rsid w:val="007B133E"/>
    <w:rsid w:val="007B17B4"/>
    <w:rsid w:val="007B2DEB"/>
    <w:rsid w:val="007B40A7"/>
    <w:rsid w:val="007B533A"/>
    <w:rsid w:val="007C5E99"/>
    <w:rsid w:val="007C6D66"/>
    <w:rsid w:val="007D1864"/>
    <w:rsid w:val="007D3DF6"/>
    <w:rsid w:val="007D62BE"/>
    <w:rsid w:val="007D686E"/>
    <w:rsid w:val="007D6C6E"/>
    <w:rsid w:val="007E0479"/>
    <w:rsid w:val="007E1898"/>
    <w:rsid w:val="007E3001"/>
    <w:rsid w:val="007E4A3E"/>
    <w:rsid w:val="007E523C"/>
    <w:rsid w:val="007E5B8A"/>
    <w:rsid w:val="007F2045"/>
    <w:rsid w:val="007F28F8"/>
    <w:rsid w:val="007F3C9D"/>
    <w:rsid w:val="007F403C"/>
    <w:rsid w:val="007F568C"/>
    <w:rsid w:val="007F6038"/>
    <w:rsid w:val="007F721D"/>
    <w:rsid w:val="007F7371"/>
    <w:rsid w:val="008022AA"/>
    <w:rsid w:val="00803CE2"/>
    <w:rsid w:val="00805C41"/>
    <w:rsid w:val="00805FE6"/>
    <w:rsid w:val="008075EE"/>
    <w:rsid w:val="008076EE"/>
    <w:rsid w:val="00810E73"/>
    <w:rsid w:val="00811E5B"/>
    <w:rsid w:val="00812EE9"/>
    <w:rsid w:val="00813614"/>
    <w:rsid w:val="00813B08"/>
    <w:rsid w:val="00813D00"/>
    <w:rsid w:val="00815D3E"/>
    <w:rsid w:val="00816C72"/>
    <w:rsid w:val="008202D2"/>
    <w:rsid w:val="00822FA0"/>
    <w:rsid w:val="00823A9E"/>
    <w:rsid w:val="00825045"/>
    <w:rsid w:val="0082579C"/>
    <w:rsid w:val="00830723"/>
    <w:rsid w:val="0083193F"/>
    <w:rsid w:val="00832853"/>
    <w:rsid w:val="008336CE"/>
    <w:rsid w:val="0083670B"/>
    <w:rsid w:val="008401A8"/>
    <w:rsid w:val="008401FC"/>
    <w:rsid w:val="00840A9D"/>
    <w:rsid w:val="00841770"/>
    <w:rsid w:val="00841F2B"/>
    <w:rsid w:val="0084348C"/>
    <w:rsid w:val="00847D84"/>
    <w:rsid w:val="00850205"/>
    <w:rsid w:val="00850285"/>
    <w:rsid w:val="00850FD9"/>
    <w:rsid w:val="008545D9"/>
    <w:rsid w:val="008607A0"/>
    <w:rsid w:val="008626B0"/>
    <w:rsid w:val="008651FB"/>
    <w:rsid w:val="00867251"/>
    <w:rsid w:val="008675FD"/>
    <w:rsid w:val="00871875"/>
    <w:rsid w:val="008722DF"/>
    <w:rsid w:val="00872F52"/>
    <w:rsid w:val="008769AB"/>
    <w:rsid w:val="00876C67"/>
    <w:rsid w:val="008770B6"/>
    <w:rsid w:val="008772AB"/>
    <w:rsid w:val="00881070"/>
    <w:rsid w:val="00886121"/>
    <w:rsid w:val="00886689"/>
    <w:rsid w:val="008870B2"/>
    <w:rsid w:val="008876FF"/>
    <w:rsid w:val="00890AB0"/>
    <w:rsid w:val="008920AA"/>
    <w:rsid w:val="00892B76"/>
    <w:rsid w:val="00892D2E"/>
    <w:rsid w:val="00894A0A"/>
    <w:rsid w:val="00894AE2"/>
    <w:rsid w:val="00895547"/>
    <w:rsid w:val="008974B9"/>
    <w:rsid w:val="008A1BF1"/>
    <w:rsid w:val="008A2235"/>
    <w:rsid w:val="008A3BFB"/>
    <w:rsid w:val="008A3C64"/>
    <w:rsid w:val="008A3D25"/>
    <w:rsid w:val="008A46AC"/>
    <w:rsid w:val="008A5E25"/>
    <w:rsid w:val="008A7064"/>
    <w:rsid w:val="008B11CA"/>
    <w:rsid w:val="008B2F80"/>
    <w:rsid w:val="008B3A1D"/>
    <w:rsid w:val="008B3B51"/>
    <w:rsid w:val="008B6C0F"/>
    <w:rsid w:val="008B7F7D"/>
    <w:rsid w:val="008C0E4F"/>
    <w:rsid w:val="008C4EB2"/>
    <w:rsid w:val="008D1B71"/>
    <w:rsid w:val="008D42E5"/>
    <w:rsid w:val="008D62B2"/>
    <w:rsid w:val="008E212F"/>
    <w:rsid w:val="008E450A"/>
    <w:rsid w:val="008E79CD"/>
    <w:rsid w:val="008F1FC6"/>
    <w:rsid w:val="008F2EB8"/>
    <w:rsid w:val="008F4B63"/>
    <w:rsid w:val="008F5340"/>
    <w:rsid w:val="008F5645"/>
    <w:rsid w:val="008F7D6C"/>
    <w:rsid w:val="00900633"/>
    <w:rsid w:val="00900F92"/>
    <w:rsid w:val="0090185C"/>
    <w:rsid w:val="00901C21"/>
    <w:rsid w:val="00902A97"/>
    <w:rsid w:val="00903E21"/>
    <w:rsid w:val="00911D95"/>
    <w:rsid w:val="00914626"/>
    <w:rsid w:val="009148F5"/>
    <w:rsid w:val="00915062"/>
    <w:rsid w:val="009170FD"/>
    <w:rsid w:val="009202AE"/>
    <w:rsid w:val="009210FA"/>
    <w:rsid w:val="00922D5E"/>
    <w:rsid w:val="00922F77"/>
    <w:rsid w:val="00925618"/>
    <w:rsid w:val="00926503"/>
    <w:rsid w:val="009269C6"/>
    <w:rsid w:val="00927E27"/>
    <w:rsid w:val="009311E9"/>
    <w:rsid w:val="0093327A"/>
    <w:rsid w:val="009372CF"/>
    <w:rsid w:val="00937E5C"/>
    <w:rsid w:val="00940273"/>
    <w:rsid w:val="00940F2C"/>
    <w:rsid w:val="00942B9F"/>
    <w:rsid w:val="0094422F"/>
    <w:rsid w:val="00945187"/>
    <w:rsid w:val="00945D2A"/>
    <w:rsid w:val="009476AE"/>
    <w:rsid w:val="00947D37"/>
    <w:rsid w:val="009508BB"/>
    <w:rsid w:val="00952EAF"/>
    <w:rsid w:val="009535DD"/>
    <w:rsid w:val="00955B2C"/>
    <w:rsid w:val="00956540"/>
    <w:rsid w:val="009611E0"/>
    <w:rsid w:val="009642B6"/>
    <w:rsid w:val="0096582D"/>
    <w:rsid w:val="009661FA"/>
    <w:rsid w:val="00967EB5"/>
    <w:rsid w:val="0097017E"/>
    <w:rsid w:val="0097025C"/>
    <w:rsid w:val="00972894"/>
    <w:rsid w:val="00972AFA"/>
    <w:rsid w:val="00973824"/>
    <w:rsid w:val="0097530E"/>
    <w:rsid w:val="00975D31"/>
    <w:rsid w:val="00976B5D"/>
    <w:rsid w:val="00980D54"/>
    <w:rsid w:val="00981FF8"/>
    <w:rsid w:val="00984E50"/>
    <w:rsid w:val="009858E7"/>
    <w:rsid w:val="00985DCF"/>
    <w:rsid w:val="00986163"/>
    <w:rsid w:val="0098758B"/>
    <w:rsid w:val="00987711"/>
    <w:rsid w:val="009900D4"/>
    <w:rsid w:val="00991B60"/>
    <w:rsid w:val="00994B65"/>
    <w:rsid w:val="009A17A8"/>
    <w:rsid w:val="009A2CAB"/>
    <w:rsid w:val="009A3378"/>
    <w:rsid w:val="009A4C75"/>
    <w:rsid w:val="009A632E"/>
    <w:rsid w:val="009A6336"/>
    <w:rsid w:val="009B024F"/>
    <w:rsid w:val="009B0FC5"/>
    <w:rsid w:val="009B181B"/>
    <w:rsid w:val="009B1B2D"/>
    <w:rsid w:val="009B458C"/>
    <w:rsid w:val="009B48D7"/>
    <w:rsid w:val="009B6591"/>
    <w:rsid w:val="009B6716"/>
    <w:rsid w:val="009B7F1B"/>
    <w:rsid w:val="009C212B"/>
    <w:rsid w:val="009C78CD"/>
    <w:rsid w:val="009D0259"/>
    <w:rsid w:val="009D14E6"/>
    <w:rsid w:val="009D42D9"/>
    <w:rsid w:val="009D474B"/>
    <w:rsid w:val="009D57A0"/>
    <w:rsid w:val="009D7DD6"/>
    <w:rsid w:val="009E1026"/>
    <w:rsid w:val="009E23D8"/>
    <w:rsid w:val="009E3A40"/>
    <w:rsid w:val="009E426C"/>
    <w:rsid w:val="009E5A19"/>
    <w:rsid w:val="009E5DC7"/>
    <w:rsid w:val="009E6491"/>
    <w:rsid w:val="009E7028"/>
    <w:rsid w:val="009E733E"/>
    <w:rsid w:val="009F039C"/>
    <w:rsid w:val="009F0E19"/>
    <w:rsid w:val="009F1037"/>
    <w:rsid w:val="009F48A3"/>
    <w:rsid w:val="009F725C"/>
    <w:rsid w:val="00A00345"/>
    <w:rsid w:val="00A0176D"/>
    <w:rsid w:val="00A02B27"/>
    <w:rsid w:val="00A04848"/>
    <w:rsid w:val="00A05653"/>
    <w:rsid w:val="00A07523"/>
    <w:rsid w:val="00A07D7F"/>
    <w:rsid w:val="00A11167"/>
    <w:rsid w:val="00A11B93"/>
    <w:rsid w:val="00A140D6"/>
    <w:rsid w:val="00A15108"/>
    <w:rsid w:val="00A164D2"/>
    <w:rsid w:val="00A178BA"/>
    <w:rsid w:val="00A22B6A"/>
    <w:rsid w:val="00A23387"/>
    <w:rsid w:val="00A24E51"/>
    <w:rsid w:val="00A275C5"/>
    <w:rsid w:val="00A31E0D"/>
    <w:rsid w:val="00A33229"/>
    <w:rsid w:val="00A3325C"/>
    <w:rsid w:val="00A34A78"/>
    <w:rsid w:val="00A35CD0"/>
    <w:rsid w:val="00A37B23"/>
    <w:rsid w:val="00A41109"/>
    <w:rsid w:val="00A52E73"/>
    <w:rsid w:val="00A53EC3"/>
    <w:rsid w:val="00A56979"/>
    <w:rsid w:val="00A57B3B"/>
    <w:rsid w:val="00A60FBE"/>
    <w:rsid w:val="00A62014"/>
    <w:rsid w:val="00A6546A"/>
    <w:rsid w:val="00A6550D"/>
    <w:rsid w:val="00A718B9"/>
    <w:rsid w:val="00A72930"/>
    <w:rsid w:val="00A74FB3"/>
    <w:rsid w:val="00A753C9"/>
    <w:rsid w:val="00A760F4"/>
    <w:rsid w:val="00A77C93"/>
    <w:rsid w:val="00A8041A"/>
    <w:rsid w:val="00A80F07"/>
    <w:rsid w:val="00A81B32"/>
    <w:rsid w:val="00A81C34"/>
    <w:rsid w:val="00A8206F"/>
    <w:rsid w:val="00A82390"/>
    <w:rsid w:val="00A828F8"/>
    <w:rsid w:val="00A85C34"/>
    <w:rsid w:val="00A8657D"/>
    <w:rsid w:val="00A86F7C"/>
    <w:rsid w:val="00A932A0"/>
    <w:rsid w:val="00A94BDA"/>
    <w:rsid w:val="00A953A5"/>
    <w:rsid w:val="00A9623C"/>
    <w:rsid w:val="00A970CB"/>
    <w:rsid w:val="00A971EB"/>
    <w:rsid w:val="00AA0F4F"/>
    <w:rsid w:val="00AA3BBE"/>
    <w:rsid w:val="00AA63A8"/>
    <w:rsid w:val="00AA6B18"/>
    <w:rsid w:val="00AA71BF"/>
    <w:rsid w:val="00AB0A77"/>
    <w:rsid w:val="00AB5D08"/>
    <w:rsid w:val="00AB5E4B"/>
    <w:rsid w:val="00AB62C0"/>
    <w:rsid w:val="00AB64AD"/>
    <w:rsid w:val="00AB6C44"/>
    <w:rsid w:val="00AB7EE2"/>
    <w:rsid w:val="00AC121A"/>
    <w:rsid w:val="00AC3A1F"/>
    <w:rsid w:val="00AC65A1"/>
    <w:rsid w:val="00AC7362"/>
    <w:rsid w:val="00AC7384"/>
    <w:rsid w:val="00AD19F2"/>
    <w:rsid w:val="00AD46F5"/>
    <w:rsid w:val="00AD47DB"/>
    <w:rsid w:val="00AD567D"/>
    <w:rsid w:val="00AE2266"/>
    <w:rsid w:val="00AE2F4C"/>
    <w:rsid w:val="00AE4CC5"/>
    <w:rsid w:val="00AF0B97"/>
    <w:rsid w:val="00AF0D30"/>
    <w:rsid w:val="00AF1B8D"/>
    <w:rsid w:val="00AF2254"/>
    <w:rsid w:val="00AF41E4"/>
    <w:rsid w:val="00AF62B2"/>
    <w:rsid w:val="00AF6A78"/>
    <w:rsid w:val="00AF75E0"/>
    <w:rsid w:val="00AF7808"/>
    <w:rsid w:val="00B03F67"/>
    <w:rsid w:val="00B0404E"/>
    <w:rsid w:val="00B052DE"/>
    <w:rsid w:val="00B078AE"/>
    <w:rsid w:val="00B105A7"/>
    <w:rsid w:val="00B1170E"/>
    <w:rsid w:val="00B11AAE"/>
    <w:rsid w:val="00B12CB4"/>
    <w:rsid w:val="00B13846"/>
    <w:rsid w:val="00B21759"/>
    <w:rsid w:val="00B21E84"/>
    <w:rsid w:val="00B232B5"/>
    <w:rsid w:val="00B233A9"/>
    <w:rsid w:val="00B24C2F"/>
    <w:rsid w:val="00B277D6"/>
    <w:rsid w:val="00B36BC1"/>
    <w:rsid w:val="00B408A5"/>
    <w:rsid w:val="00B421B3"/>
    <w:rsid w:val="00B4228E"/>
    <w:rsid w:val="00B42734"/>
    <w:rsid w:val="00B429A0"/>
    <w:rsid w:val="00B43DE5"/>
    <w:rsid w:val="00B43E5C"/>
    <w:rsid w:val="00B44E93"/>
    <w:rsid w:val="00B457E3"/>
    <w:rsid w:val="00B510A3"/>
    <w:rsid w:val="00B51CE8"/>
    <w:rsid w:val="00B51FE1"/>
    <w:rsid w:val="00B52B4E"/>
    <w:rsid w:val="00B52F08"/>
    <w:rsid w:val="00B53FA3"/>
    <w:rsid w:val="00B56589"/>
    <w:rsid w:val="00B61C07"/>
    <w:rsid w:val="00B665E9"/>
    <w:rsid w:val="00B6679A"/>
    <w:rsid w:val="00B760CC"/>
    <w:rsid w:val="00B76219"/>
    <w:rsid w:val="00B77438"/>
    <w:rsid w:val="00B8004F"/>
    <w:rsid w:val="00B83A28"/>
    <w:rsid w:val="00B83E3A"/>
    <w:rsid w:val="00B83ECF"/>
    <w:rsid w:val="00B8435A"/>
    <w:rsid w:val="00B858D8"/>
    <w:rsid w:val="00B86D55"/>
    <w:rsid w:val="00B86E11"/>
    <w:rsid w:val="00B87652"/>
    <w:rsid w:val="00B912A3"/>
    <w:rsid w:val="00B914A1"/>
    <w:rsid w:val="00B938ED"/>
    <w:rsid w:val="00B9757B"/>
    <w:rsid w:val="00BA1027"/>
    <w:rsid w:val="00BA1619"/>
    <w:rsid w:val="00BA1A9D"/>
    <w:rsid w:val="00BA21DB"/>
    <w:rsid w:val="00BA2A61"/>
    <w:rsid w:val="00BA3D37"/>
    <w:rsid w:val="00BA4658"/>
    <w:rsid w:val="00BA56D8"/>
    <w:rsid w:val="00BA5EE9"/>
    <w:rsid w:val="00BA6EEF"/>
    <w:rsid w:val="00BA7C64"/>
    <w:rsid w:val="00BB06A5"/>
    <w:rsid w:val="00BB15AD"/>
    <w:rsid w:val="00BB3487"/>
    <w:rsid w:val="00BB43BB"/>
    <w:rsid w:val="00BB4F15"/>
    <w:rsid w:val="00BB636F"/>
    <w:rsid w:val="00BB7268"/>
    <w:rsid w:val="00BC1F1D"/>
    <w:rsid w:val="00BD0C14"/>
    <w:rsid w:val="00BD1D28"/>
    <w:rsid w:val="00BD39F4"/>
    <w:rsid w:val="00BD49B2"/>
    <w:rsid w:val="00BD4FBF"/>
    <w:rsid w:val="00BD5AF2"/>
    <w:rsid w:val="00BD5F92"/>
    <w:rsid w:val="00BD785B"/>
    <w:rsid w:val="00BE03A0"/>
    <w:rsid w:val="00BE18E9"/>
    <w:rsid w:val="00BE221B"/>
    <w:rsid w:val="00BE37E1"/>
    <w:rsid w:val="00BE40E7"/>
    <w:rsid w:val="00BE43C2"/>
    <w:rsid w:val="00BE685D"/>
    <w:rsid w:val="00BE7288"/>
    <w:rsid w:val="00BF037F"/>
    <w:rsid w:val="00BF109F"/>
    <w:rsid w:val="00BF1729"/>
    <w:rsid w:val="00BF3165"/>
    <w:rsid w:val="00BF5ED9"/>
    <w:rsid w:val="00BF6768"/>
    <w:rsid w:val="00C00062"/>
    <w:rsid w:val="00C00A21"/>
    <w:rsid w:val="00C00A79"/>
    <w:rsid w:val="00C070F0"/>
    <w:rsid w:val="00C07A47"/>
    <w:rsid w:val="00C12626"/>
    <w:rsid w:val="00C12B00"/>
    <w:rsid w:val="00C13570"/>
    <w:rsid w:val="00C13762"/>
    <w:rsid w:val="00C15A3E"/>
    <w:rsid w:val="00C17424"/>
    <w:rsid w:val="00C24362"/>
    <w:rsid w:val="00C259EB"/>
    <w:rsid w:val="00C2691D"/>
    <w:rsid w:val="00C27D99"/>
    <w:rsid w:val="00C33177"/>
    <w:rsid w:val="00C35F4A"/>
    <w:rsid w:val="00C364B7"/>
    <w:rsid w:val="00C40CA7"/>
    <w:rsid w:val="00C45158"/>
    <w:rsid w:val="00C468B9"/>
    <w:rsid w:val="00C5056A"/>
    <w:rsid w:val="00C57067"/>
    <w:rsid w:val="00C5751D"/>
    <w:rsid w:val="00C60C56"/>
    <w:rsid w:val="00C615C0"/>
    <w:rsid w:val="00C622CC"/>
    <w:rsid w:val="00C62803"/>
    <w:rsid w:val="00C62D31"/>
    <w:rsid w:val="00C65441"/>
    <w:rsid w:val="00C66AFE"/>
    <w:rsid w:val="00C75675"/>
    <w:rsid w:val="00C815FA"/>
    <w:rsid w:val="00C81B07"/>
    <w:rsid w:val="00C824C8"/>
    <w:rsid w:val="00C8382D"/>
    <w:rsid w:val="00C83E1B"/>
    <w:rsid w:val="00C846B6"/>
    <w:rsid w:val="00C86926"/>
    <w:rsid w:val="00C876CE"/>
    <w:rsid w:val="00C92861"/>
    <w:rsid w:val="00C92DD8"/>
    <w:rsid w:val="00C93169"/>
    <w:rsid w:val="00C9565F"/>
    <w:rsid w:val="00C96437"/>
    <w:rsid w:val="00CA1F61"/>
    <w:rsid w:val="00CA364A"/>
    <w:rsid w:val="00CA415F"/>
    <w:rsid w:val="00CA4E66"/>
    <w:rsid w:val="00CA5895"/>
    <w:rsid w:val="00CA6E62"/>
    <w:rsid w:val="00CA7D07"/>
    <w:rsid w:val="00CB0718"/>
    <w:rsid w:val="00CB14CE"/>
    <w:rsid w:val="00CB1F0E"/>
    <w:rsid w:val="00CB3ADE"/>
    <w:rsid w:val="00CB3BA8"/>
    <w:rsid w:val="00CB4900"/>
    <w:rsid w:val="00CB5B85"/>
    <w:rsid w:val="00CB5CB6"/>
    <w:rsid w:val="00CC0939"/>
    <w:rsid w:val="00CC3A4B"/>
    <w:rsid w:val="00CC42BE"/>
    <w:rsid w:val="00CC518D"/>
    <w:rsid w:val="00CC5A88"/>
    <w:rsid w:val="00CC5B28"/>
    <w:rsid w:val="00CC71AC"/>
    <w:rsid w:val="00CC7A39"/>
    <w:rsid w:val="00CD02F0"/>
    <w:rsid w:val="00CD2FCF"/>
    <w:rsid w:val="00CD54DC"/>
    <w:rsid w:val="00CD74D2"/>
    <w:rsid w:val="00CE175D"/>
    <w:rsid w:val="00CE3053"/>
    <w:rsid w:val="00CE33C3"/>
    <w:rsid w:val="00CE3D23"/>
    <w:rsid w:val="00CE3EF1"/>
    <w:rsid w:val="00CE4372"/>
    <w:rsid w:val="00CE58ED"/>
    <w:rsid w:val="00CE5CA3"/>
    <w:rsid w:val="00CE7524"/>
    <w:rsid w:val="00CF5087"/>
    <w:rsid w:val="00CF6406"/>
    <w:rsid w:val="00CF68A9"/>
    <w:rsid w:val="00CF7926"/>
    <w:rsid w:val="00CF7F28"/>
    <w:rsid w:val="00D00397"/>
    <w:rsid w:val="00D00D05"/>
    <w:rsid w:val="00D05D87"/>
    <w:rsid w:val="00D07312"/>
    <w:rsid w:val="00D07844"/>
    <w:rsid w:val="00D121E8"/>
    <w:rsid w:val="00D147DC"/>
    <w:rsid w:val="00D16CD6"/>
    <w:rsid w:val="00D20240"/>
    <w:rsid w:val="00D20B16"/>
    <w:rsid w:val="00D22961"/>
    <w:rsid w:val="00D22EED"/>
    <w:rsid w:val="00D23021"/>
    <w:rsid w:val="00D23F3E"/>
    <w:rsid w:val="00D25E82"/>
    <w:rsid w:val="00D2665A"/>
    <w:rsid w:val="00D27C14"/>
    <w:rsid w:val="00D27D0C"/>
    <w:rsid w:val="00D27FDF"/>
    <w:rsid w:val="00D309FF"/>
    <w:rsid w:val="00D31AD6"/>
    <w:rsid w:val="00D329A0"/>
    <w:rsid w:val="00D32BDC"/>
    <w:rsid w:val="00D33A4F"/>
    <w:rsid w:val="00D353B1"/>
    <w:rsid w:val="00D3637E"/>
    <w:rsid w:val="00D36FCF"/>
    <w:rsid w:val="00D40F80"/>
    <w:rsid w:val="00D410B2"/>
    <w:rsid w:val="00D41CD3"/>
    <w:rsid w:val="00D42D95"/>
    <w:rsid w:val="00D4380B"/>
    <w:rsid w:val="00D43F95"/>
    <w:rsid w:val="00D46D74"/>
    <w:rsid w:val="00D476A2"/>
    <w:rsid w:val="00D518D5"/>
    <w:rsid w:val="00D54D53"/>
    <w:rsid w:val="00D555DB"/>
    <w:rsid w:val="00D55C71"/>
    <w:rsid w:val="00D55CA9"/>
    <w:rsid w:val="00D5687B"/>
    <w:rsid w:val="00D60547"/>
    <w:rsid w:val="00D61219"/>
    <w:rsid w:val="00D62A7C"/>
    <w:rsid w:val="00D632FE"/>
    <w:rsid w:val="00D70F3C"/>
    <w:rsid w:val="00D725A5"/>
    <w:rsid w:val="00D7283D"/>
    <w:rsid w:val="00D72C87"/>
    <w:rsid w:val="00D8430B"/>
    <w:rsid w:val="00D849EA"/>
    <w:rsid w:val="00D85743"/>
    <w:rsid w:val="00D86C2A"/>
    <w:rsid w:val="00D9176A"/>
    <w:rsid w:val="00D92C71"/>
    <w:rsid w:val="00D9425F"/>
    <w:rsid w:val="00D942CD"/>
    <w:rsid w:val="00D97020"/>
    <w:rsid w:val="00D97C01"/>
    <w:rsid w:val="00DA1E38"/>
    <w:rsid w:val="00DA3259"/>
    <w:rsid w:val="00DA537F"/>
    <w:rsid w:val="00DB1D5D"/>
    <w:rsid w:val="00DB2875"/>
    <w:rsid w:val="00DB3591"/>
    <w:rsid w:val="00DB50D7"/>
    <w:rsid w:val="00DB7B7A"/>
    <w:rsid w:val="00DC22AA"/>
    <w:rsid w:val="00DC377A"/>
    <w:rsid w:val="00DC4BE0"/>
    <w:rsid w:val="00DC5E91"/>
    <w:rsid w:val="00DC7E1C"/>
    <w:rsid w:val="00DD0768"/>
    <w:rsid w:val="00DD12A1"/>
    <w:rsid w:val="00DD18D8"/>
    <w:rsid w:val="00DD3588"/>
    <w:rsid w:val="00DD5192"/>
    <w:rsid w:val="00DD5290"/>
    <w:rsid w:val="00DD52B4"/>
    <w:rsid w:val="00DD52B8"/>
    <w:rsid w:val="00DD53AB"/>
    <w:rsid w:val="00DD553A"/>
    <w:rsid w:val="00DD6697"/>
    <w:rsid w:val="00DD71F6"/>
    <w:rsid w:val="00DD783D"/>
    <w:rsid w:val="00DD7F06"/>
    <w:rsid w:val="00DE004A"/>
    <w:rsid w:val="00DE01E2"/>
    <w:rsid w:val="00DE34F1"/>
    <w:rsid w:val="00DE486A"/>
    <w:rsid w:val="00DE5F59"/>
    <w:rsid w:val="00DE778B"/>
    <w:rsid w:val="00DF016C"/>
    <w:rsid w:val="00DF0499"/>
    <w:rsid w:val="00DF1453"/>
    <w:rsid w:val="00DF5E70"/>
    <w:rsid w:val="00E014CB"/>
    <w:rsid w:val="00E018DA"/>
    <w:rsid w:val="00E03C47"/>
    <w:rsid w:val="00E053BC"/>
    <w:rsid w:val="00E06E24"/>
    <w:rsid w:val="00E10052"/>
    <w:rsid w:val="00E104B9"/>
    <w:rsid w:val="00E10929"/>
    <w:rsid w:val="00E109F0"/>
    <w:rsid w:val="00E1114D"/>
    <w:rsid w:val="00E1253D"/>
    <w:rsid w:val="00E13152"/>
    <w:rsid w:val="00E13588"/>
    <w:rsid w:val="00E1402B"/>
    <w:rsid w:val="00E16447"/>
    <w:rsid w:val="00E1661B"/>
    <w:rsid w:val="00E2132A"/>
    <w:rsid w:val="00E21512"/>
    <w:rsid w:val="00E26510"/>
    <w:rsid w:val="00E26BCA"/>
    <w:rsid w:val="00E302FE"/>
    <w:rsid w:val="00E31B9D"/>
    <w:rsid w:val="00E36389"/>
    <w:rsid w:val="00E3731D"/>
    <w:rsid w:val="00E3747A"/>
    <w:rsid w:val="00E375BF"/>
    <w:rsid w:val="00E40476"/>
    <w:rsid w:val="00E43522"/>
    <w:rsid w:val="00E4417A"/>
    <w:rsid w:val="00E44A6B"/>
    <w:rsid w:val="00E44AA8"/>
    <w:rsid w:val="00E46D08"/>
    <w:rsid w:val="00E477D7"/>
    <w:rsid w:val="00E507A7"/>
    <w:rsid w:val="00E5080B"/>
    <w:rsid w:val="00E5130C"/>
    <w:rsid w:val="00E515D6"/>
    <w:rsid w:val="00E51B1F"/>
    <w:rsid w:val="00E52BC6"/>
    <w:rsid w:val="00E53ED5"/>
    <w:rsid w:val="00E54B6D"/>
    <w:rsid w:val="00E5565A"/>
    <w:rsid w:val="00E558EC"/>
    <w:rsid w:val="00E56365"/>
    <w:rsid w:val="00E56C1F"/>
    <w:rsid w:val="00E60716"/>
    <w:rsid w:val="00E6216A"/>
    <w:rsid w:val="00E6243E"/>
    <w:rsid w:val="00E62B87"/>
    <w:rsid w:val="00E66FF6"/>
    <w:rsid w:val="00E73279"/>
    <w:rsid w:val="00E74754"/>
    <w:rsid w:val="00E75518"/>
    <w:rsid w:val="00E76414"/>
    <w:rsid w:val="00E81900"/>
    <w:rsid w:val="00E8193B"/>
    <w:rsid w:val="00E85917"/>
    <w:rsid w:val="00E86739"/>
    <w:rsid w:val="00E9006B"/>
    <w:rsid w:val="00E92F8F"/>
    <w:rsid w:val="00E93106"/>
    <w:rsid w:val="00E95A1B"/>
    <w:rsid w:val="00E96382"/>
    <w:rsid w:val="00E977C7"/>
    <w:rsid w:val="00EA00A5"/>
    <w:rsid w:val="00EA0B84"/>
    <w:rsid w:val="00EA2F2C"/>
    <w:rsid w:val="00EA4C20"/>
    <w:rsid w:val="00EB0EDF"/>
    <w:rsid w:val="00EB1C93"/>
    <w:rsid w:val="00EB299E"/>
    <w:rsid w:val="00EB3568"/>
    <w:rsid w:val="00EB6209"/>
    <w:rsid w:val="00EB72B5"/>
    <w:rsid w:val="00EC0B36"/>
    <w:rsid w:val="00EC15A9"/>
    <w:rsid w:val="00EC5744"/>
    <w:rsid w:val="00EC63ED"/>
    <w:rsid w:val="00EC6611"/>
    <w:rsid w:val="00ED0AFF"/>
    <w:rsid w:val="00ED462C"/>
    <w:rsid w:val="00ED69BB"/>
    <w:rsid w:val="00EE10C2"/>
    <w:rsid w:val="00EE1CF3"/>
    <w:rsid w:val="00EE1F3C"/>
    <w:rsid w:val="00EE2350"/>
    <w:rsid w:val="00EE38DD"/>
    <w:rsid w:val="00EF0749"/>
    <w:rsid w:val="00EF44AC"/>
    <w:rsid w:val="00EF55EF"/>
    <w:rsid w:val="00EF76E9"/>
    <w:rsid w:val="00F00208"/>
    <w:rsid w:val="00F02199"/>
    <w:rsid w:val="00F07763"/>
    <w:rsid w:val="00F11846"/>
    <w:rsid w:val="00F12397"/>
    <w:rsid w:val="00F1270E"/>
    <w:rsid w:val="00F13532"/>
    <w:rsid w:val="00F340FB"/>
    <w:rsid w:val="00F358F7"/>
    <w:rsid w:val="00F36266"/>
    <w:rsid w:val="00F369BF"/>
    <w:rsid w:val="00F4022C"/>
    <w:rsid w:val="00F40815"/>
    <w:rsid w:val="00F421A3"/>
    <w:rsid w:val="00F43E15"/>
    <w:rsid w:val="00F46624"/>
    <w:rsid w:val="00F4788C"/>
    <w:rsid w:val="00F538E3"/>
    <w:rsid w:val="00F654AD"/>
    <w:rsid w:val="00F66CB6"/>
    <w:rsid w:val="00F701FE"/>
    <w:rsid w:val="00F720D9"/>
    <w:rsid w:val="00F7454D"/>
    <w:rsid w:val="00F75B0F"/>
    <w:rsid w:val="00F75B3B"/>
    <w:rsid w:val="00F77B72"/>
    <w:rsid w:val="00F823F0"/>
    <w:rsid w:val="00F82D37"/>
    <w:rsid w:val="00F86391"/>
    <w:rsid w:val="00F86F93"/>
    <w:rsid w:val="00F8707A"/>
    <w:rsid w:val="00F8731F"/>
    <w:rsid w:val="00F9101E"/>
    <w:rsid w:val="00F92657"/>
    <w:rsid w:val="00F936C8"/>
    <w:rsid w:val="00F93AA4"/>
    <w:rsid w:val="00F9401E"/>
    <w:rsid w:val="00F942AA"/>
    <w:rsid w:val="00F977AC"/>
    <w:rsid w:val="00F97A7F"/>
    <w:rsid w:val="00FA0860"/>
    <w:rsid w:val="00FA1B02"/>
    <w:rsid w:val="00FA25D2"/>
    <w:rsid w:val="00FA2D63"/>
    <w:rsid w:val="00FA2FCD"/>
    <w:rsid w:val="00FA46FC"/>
    <w:rsid w:val="00FA4AE2"/>
    <w:rsid w:val="00FA4FEF"/>
    <w:rsid w:val="00FA7CEE"/>
    <w:rsid w:val="00FA7FAB"/>
    <w:rsid w:val="00FB0194"/>
    <w:rsid w:val="00FB24A7"/>
    <w:rsid w:val="00FB289E"/>
    <w:rsid w:val="00FB3600"/>
    <w:rsid w:val="00FB4330"/>
    <w:rsid w:val="00FB547A"/>
    <w:rsid w:val="00FB5F43"/>
    <w:rsid w:val="00FB6517"/>
    <w:rsid w:val="00FC02B4"/>
    <w:rsid w:val="00FC1F5C"/>
    <w:rsid w:val="00FC4A32"/>
    <w:rsid w:val="00FC5328"/>
    <w:rsid w:val="00FC5D9E"/>
    <w:rsid w:val="00FC653D"/>
    <w:rsid w:val="00FD090B"/>
    <w:rsid w:val="00FD0D65"/>
    <w:rsid w:val="00FD2893"/>
    <w:rsid w:val="00FD391B"/>
    <w:rsid w:val="00FD39B7"/>
    <w:rsid w:val="00FD749D"/>
    <w:rsid w:val="00FE1372"/>
    <w:rsid w:val="00FE6C76"/>
    <w:rsid w:val="00FE7BF4"/>
    <w:rsid w:val="00FF0B85"/>
    <w:rsid w:val="00FF0DBB"/>
    <w:rsid w:val="00FF2867"/>
    <w:rsid w:val="00FF325F"/>
    <w:rsid w:val="00FF32F1"/>
    <w:rsid w:val="00FF4E56"/>
    <w:rsid w:val="07FD1BB3"/>
    <w:rsid w:val="14F6B7D7"/>
    <w:rsid w:val="17BEF817"/>
    <w:rsid w:val="17FE6F95"/>
    <w:rsid w:val="1836D9C8"/>
    <w:rsid w:val="1EFF63FA"/>
    <w:rsid w:val="1FDF7B64"/>
    <w:rsid w:val="22FB2876"/>
    <w:rsid w:val="25BF3BE5"/>
    <w:rsid w:val="25E5397A"/>
    <w:rsid w:val="2CF996C9"/>
    <w:rsid w:val="2F577432"/>
    <w:rsid w:val="2FF335E5"/>
    <w:rsid w:val="32FE6E3D"/>
    <w:rsid w:val="33DFD830"/>
    <w:rsid w:val="377FF3BC"/>
    <w:rsid w:val="37DB1B8D"/>
    <w:rsid w:val="37E51EC0"/>
    <w:rsid w:val="37F5EE0D"/>
    <w:rsid w:val="393FA903"/>
    <w:rsid w:val="39DF09EC"/>
    <w:rsid w:val="3A390C2C"/>
    <w:rsid w:val="3DCFAADF"/>
    <w:rsid w:val="3DFF1AC9"/>
    <w:rsid w:val="3F714F20"/>
    <w:rsid w:val="3FAF4581"/>
    <w:rsid w:val="3FDFC7E8"/>
    <w:rsid w:val="3FEBAA97"/>
    <w:rsid w:val="3FEF6A02"/>
    <w:rsid w:val="3FFA6605"/>
    <w:rsid w:val="3FFFAE6A"/>
    <w:rsid w:val="3FFFD4E6"/>
    <w:rsid w:val="43FB9C18"/>
    <w:rsid w:val="457F1896"/>
    <w:rsid w:val="4D7E22AD"/>
    <w:rsid w:val="4DD52B4E"/>
    <w:rsid w:val="4EE16309"/>
    <w:rsid w:val="4FBF6077"/>
    <w:rsid w:val="51B7400B"/>
    <w:rsid w:val="57F75D94"/>
    <w:rsid w:val="57FB05E2"/>
    <w:rsid w:val="5BBF2BD1"/>
    <w:rsid w:val="5BBF5772"/>
    <w:rsid w:val="5BD77D2F"/>
    <w:rsid w:val="5EBECADD"/>
    <w:rsid w:val="5EFA7CCD"/>
    <w:rsid w:val="5F7F31C4"/>
    <w:rsid w:val="5FCB1E58"/>
    <w:rsid w:val="5FDF5DAC"/>
    <w:rsid w:val="5FFB906D"/>
    <w:rsid w:val="62DA39E2"/>
    <w:rsid w:val="65DE9A8F"/>
    <w:rsid w:val="65F6B4B3"/>
    <w:rsid w:val="67EF8EA8"/>
    <w:rsid w:val="67F60AF5"/>
    <w:rsid w:val="69EFF045"/>
    <w:rsid w:val="69FFFF49"/>
    <w:rsid w:val="6BFB55C9"/>
    <w:rsid w:val="6BFFC380"/>
    <w:rsid w:val="6BFFEEE8"/>
    <w:rsid w:val="6D6B44FF"/>
    <w:rsid w:val="6DF7674C"/>
    <w:rsid w:val="6ECBC2C7"/>
    <w:rsid w:val="6F5EBE04"/>
    <w:rsid w:val="6F5F056F"/>
    <w:rsid w:val="6F7C51EE"/>
    <w:rsid w:val="6FDF0E9F"/>
    <w:rsid w:val="6FDF2942"/>
    <w:rsid w:val="6FDFF7DE"/>
    <w:rsid w:val="6FF4C231"/>
    <w:rsid w:val="72FF0FD6"/>
    <w:rsid w:val="737FCFC4"/>
    <w:rsid w:val="74DE5E63"/>
    <w:rsid w:val="75DF4947"/>
    <w:rsid w:val="75ED5D32"/>
    <w:rsid w:val="763F5948"/>
    <w:rsid w:val="766DB3B7"/>
    <w:rsid w:val="77BEB80A"/>
    <w:rsid w:val="77CB8852"/>
    <w:rsid w:val="77ED589C"/>
    <w:rsid w:val="77FF195A"/>
    <w:rsid w:val="797FD63E"/>
    <w:rsid w:val="7ADE056C"/>
    <w:rsid w:val="7ADE06CB"/>
    <w:rsid w:val="7BDF2D46"/>
    <w:rsid w:val="7BEF081A"/>
    <w:rsid w:val="7BFF491A"/>
    <w:rsid w:val="7C4F5810"/>
    <w:rsid w:val="7C9B008B"/>
    <w:rsid w:val="7CA3E458"/>
    <w:rsid w:val="7CEE0C74"/>
    <w:rsid w:val="7D7F46D7"/>
    <w:rsid w:val="7D974AAD"/>
    <w:rsid w:val="7DEF43F9"/>
    <w:rsid w:val="7DFE11C8"/>
    <w:rsid w:val="7E3B3ADB"/>
    <w:rsid w:val="7E7749CC"/>
    <w:rsid w:val="7E7F66D5"/>
    <w:rsid w:val="7EBDF247"/>
    <w:rsid w:val="7EF7BAAE"/>
    <w:rsid w:val="7EFF2766"/>
    <w:rsid w:val="7EFF36E8"/>
    <w:rsid w:val="7EFFA618"/>
    <w:rsid w:val="7F1F6FCF"/>
    <w:rsid w:val="7F3B0D96"/>
    <w:rsid w:val="7F5AF86A"/>
    <w:rsid w:val="7F7D58EC"/>
    <w:rsid w:val="7F7DB7F0"/>
    <w:rsid w:val="7F7E10F7"/>
    <w:rsid w:val="7F9022AE"/>
    <w:rsid w:val="7F9E9A83"/>
    <w:rsid w:val="7FDF9991"/>
    <w:rsid w:val="7FE84BFD"/>
    <w:rsid w:val="7FE9404C"/>
    <w:rsid w:val="7FEE2096"/>
    <w:rsid w:val="7FF7E01D"/>
    <w:rsid w:val="7FFE5E72"/>
    <w:rsid w:val="7FFF0658"/>
    <w:rsid w:val="87F7DF05"/>
    <w:rsid w:val="8AFF0217"/>
    <w:rsid w:val="8E3B0A72"/>
    <w:rsid w:val="8E7D8675"/>
    <w:rsid w:val="93B1C425"/>
    <w:rsid w:val="97FA07A7"/>
    <w:rsid w:val="97FE873C"/>
    <w:rsid w:val="9B5DAD20"/>
    <w:rsid w:val="9BF9F273"/>
    <w:rsid w:val="9D4B5CFF"/>
    <w:rsid w:val="9DFF54E2"/>
    <w:rsid w:val="9F7790BA"/>
    <w:rsid w:val="9F7E624F"/>
    <w:rsid w:val="9FDE00CB"/>
    <w:rsid w:val="9FEF4D02"/>
    <w:rsid w:val="9FFEB93E"/>
    <w:rsid w:val="9FFFB8F3"/>
    <w:rsid w:val="AE7F54C9"/>
    <w:rsid w:val="AF2BB80C"/>
    <w:rsid w:val="AFA3078F"/>
    <w:rsid w:val="B26BF26A"/>
    <w:rsid w:val="B2FF5439"/>
    <w:rsid w:val="B3EAD11D"/>
    <w:rsid w:val="B3F73E75"/>
    <w:rsid w:val="B4FB77CC"/>
    <w:rsid w:val="B5FE9DD2"/>
    <w:rsid w:val="B7D9DFAE"/>
    <w:rsid w:val="B8EFFC2F"/>
    <w:rsid w:val="BBDDEB8D"/>
    <w:rsid w:val="BCFD0FFF"/>
    <w:rsid w:val="BDB52BF1"/>
    <w:rsid w:val="BDE71F43"/>
    <w:rsid w:val="BE2FE263"/>
    <w:rsid w:val="BE3B29B2"/>
    <w:rsid w:val="BF6F04B1"/>
    <w:rsid w:val="BF9F2BF8"/>
    <w:rsid w:val="BFBEB778"/>
    <w:rsid w:val="BFBFA0EC"/>
    <w:rsid w:val="BFEB5A84"/>
    <w:rsid w:val="BFF79901"/>
    <w:rsid w:val="BFFF061A"/>
    <w:rsid w:val="C7CC14DC"/>
    <w:rsid w:val="C7D731D6"/>
    <w:rsid w:val="CCFCF153"/>
    <w:rsid w:val="CDDAB536"/>
    <w:rsid w:val="CFFDD0A1"/>
    <w:rsid w:val="CFFE0D87"/>
    <w:rsid w:val="CFFE40CA"/>
    <w:rsid w:val="D5FFEF73"/>
    <w:rsid w:val="D66FBDE9"/>
    <w:rsid w:val="D6FFCC43"/>
    <w:rsid w:val="D7DE5A09"/>
    <w:rsid w:val="DA5EF731"/>
    <w:rsid w:val="DABF54B6"/>
    <w:rsid w:val="DBB85007"/>
    <w:rsid w:val="DBF9BC1C"/>
    <w:rsid w:val="DD9D1CC9"/>
    <w:rsid w:val="DDF795F8"/>
    <w:rsid w:val="DF3D4147"/>
    <w:rsid w:val="DFBF059D"/>
    <w:rsid w:val="DFBF76B6"/>
    <w:rsid w:val="DFDC3F6C"/>
    <w:rsid w:val="DFDEC8AC"/>
    <w:rsid w:val="DFDFE9E6"/>
    <w:rsid w:val="DFEFD79F"/>
    <w:rsid w:val="DFFB2A38"/>
    <w:rsid w:val="DFFFBA26"/>
    <w:rsid w:val="E5FFF3CF"/>
    <w:rsid w:val="E6773E8A"/>
    <w:rsid w:val="E75FB71C"/>
    <w:rsid w:val="E7FBBE93"/>
    <w:rsid w:val="E7FF0606"/>
    <w:rsid w:val="E8F773B4"/>
    <w:rsid w:val="EBDF197F"/>
    <w:rsid w:val="EBE753A7"/>
    <w:rsid w:val="EBFE3CF7"/>
    <w:rsid w:val="EBFE9DC2"/>
    <w:rsid w:val="ECFBE64D"/>
    <w:rsid w:val="EEFFEAF5"/>
    <w:rsid w:val="EFA79B66"/>
    <w:rsid w:val="EFF7B6CD"/>
    <w:rsid w:val="EFF7BD74"/>
    <w:rsid w:val="EFFFDC70"/>
    <w:rsid w:val="EFFFDF5F"/>
    <w:rsid w:val="F2FBD241"/>
    <w:rsid w:val="F57F5697"/>
    <w:rsid w:val="F66F8A25"/>
    <w:rsid w:val="F6BF2014"/>
    <w:rsid w:val="F6EEFFE6"/>
    <w:rsid w:val="F6FF161E"/>
    <w:rsid w:val="F7DBAFB2"/>
    <w:rsid w:val="F8EAD939"/>
    <w:rsid w:val="F9E796FE"/>
    <w:rsid w:val="FAC31DBF"/>
    <w:rsid w:val="FB3BD7B7"/>
    <w:rsid w:val="FB67EAC7"/>
    <w:rsid w:val="FB6E079A"/>
    <w:rsid w:val="FDC9E91E"/>
    <w:rsid w:val="FDCED16A"/>
    <w:rsid w:val="FDDD70BC"/>
    <w:rsid w:val="FDEB84D0"/>
    <w:rsid w:val="FDEF31B1"/>
    <w:rsid w:val="FDFCF95B"/>
    <w:rsid w:val="FDFF8302"/>
    <w:rsid w:val="FE4EDAD7"/>
    <w:rsid w:val="FE9EBF52"/>
    <w:rsid w:val="FEE76FEC"/>
    <w:rsid w:val="FEF71099"/>
    <w:rsid w:val="FEFA6EFB"/>
    <w:rsid w:val="FEFB893B"/>
    <w:rsid w:val="FEFFA071"/>
    <w:rsid w:val="FEFFBC7E"/>
    <w:rsid w:val="FF2B4B8A"/>
    <w:rsid w:val="FF35AF56"/>
    <w:rsid w:val="FF47E0F5"/>
    <w:rsid w:val="FF4B2183"/>
    <w:rsid w:val="FF51B395"/>
    <w:rsid w:val="FF55A99F"/>
    <w:rsid w:val="FF7328A3"/>
    <w:rsid w:val="FF79DB56"/>
    <w:rsid w:val="FF9BA970"/>
    <w:rsid w:val="FFB7DBF4"/>
    <w:rsid w:val="FFDE9271"/>
    <w:rsid w:val="FFDF2A73"/>
    <w:rsid w:val="FFE30305"/>
    <w:rsid w:val="FFEF44E7"/>
    <w:rsid w:val="FFF9AED9"/>
    <w:rsid w:val="FFFA3902"/>
    <w:rsid w:val="FFFD9472"/>
    <w:rsid w:val="FFFDB720"/>
    <w:rsid w:val="FFFFC95B"/>
    <w:rsid w:val="FFFFE16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link w:val="25"/>
    <w:qFormat/>
    <w:uiPriority w:val="1"/>
    <w:pPr>
      <w:spacing w:line="751" w:lineRule="exact"/>
      <w:ind w:right="178"/>
      <w:jc w:val="center"/>
      <w:outlineLvl w:val="0"/>
    </w:pPr>
    <w:rPr>
      <w:rFonts w:ascii="方正小标宋简体" w:hAnsi="方正小标宋简体" w:eastAsia="方正小标宋简体" w:cs="方正小标宋简体"/>
      <w:sz w:val="44"/>
      <w:szCs w:val="44"/>
      <w:lang w:val="zh-CN" w:eastAsia="zh-CN" w:bidi="zh-CN"/>
    </w:rPr>
  </w:style>
  <w:style w:type="character" w:default="1" w:styleId="20">
    <w:name w:val="Default Paragraph Font"/>
    <w:link w:val="21"/>
    <w:semiHidden/>
    <w:uiPriority w:val="0"/>
  </w:style>
  <w:style w:type="table" w:default="1" w:styleId="19">
    <w:name w:val="Normal Table"/>
    <w:semiHidden/>
    <w:uiPriority w:val="0"/>
    <w:tblPr>
      <w:tblStyle w:val="19"/>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rPr>
      <w:rFonts w:ascii="Calibri" w:hAnsi="Calibri"/>
      <w:sz w:val="32"/>
    </w:rPr>
  </w:style>
  <w:style w:type="paragraph" w:styleId="4">
    <w:name w:val="table of authorities"/>
    <w:basedOn w:val="1"/>
    <w:next w:val="1"/>
    <w:qFormat/>
    <w:uiPriority w:val="0"/>
  </w:style>
  <w:style w:type="paragraph" w:styleId="5">
    <w:name w:val="Body Text"/>
    <w:basedOn w:val="1"/>
    <w:next w:val="6"/>
    <w:qFormat/>
    <w:uiPriority w:val="0"/>
    <w:rPr>
      <w:rFonts w:ascii="仿宋_GB2312" w:hAnsi="宋体" w:eastAsia="仿宋_GB2312"/>
      <w:sz w:val="21"/>
      <w:szCs w:val="21"/>
    </w:rPr>
  </w:style>
  <w:style w:type="paragraph" w:styleId="6">
    <w:name w:val="Title"/>
    <w:basedOn w:val="1"/>
    <w:next w:val="1"/>
    <w:qFormat/>
    <w:uiPriority w:val="10"/>
    <w:pPr>
      <w:spacing w:before="240" w:after="60"/>
      <w:jc w:val="center"/>
      <w:outlineLvl w:val="0"/>
    </w:pPr>
    <w:rPr>
      <w:rFonts w:ascii="Cambria" w:hAnsi="Cambria" w:cs="Times New Roman"/>
      <w:b/>
      <w:bCs/>
    </w:rPr>
  </w:style>
  <w:style w:type="paragraph" w:styleId="7">
    <w:name w:val="Body Text Indent"/>
    <w:basedOn w:val="1"/>
    <w:next w:val="8"/>
    <w:uiPriority w:val="0"/>
    <w:pPr>
      <w:ind w:firstLine="634"/>
    </w:pPr>
    <w:rPr>
      <w:rFonts w:eastAsia="仿宋_GB2312"/>
      <w:sz w:val="32"/>
      <w:szCs w:val="20"/>
    </w:rPr>
  </w:style>
  <w:style w:type="paragraph" w:styleId="8">
    <w:name w:val="Body Text First Indent"/>
    <w:basedOn w:val="5"/>
    <w:qFormat/>
    <w:uiPriority w:val="0"/>
    <w:pPr>
      <w:spacing w:line="600" w:lineRule="exact"/>
      <w:ind w:firstLine="420" w:firstLineChars="100"/>
    </w:pPr>
    <w:rPr>
      <w:sz w:val="28"/>
    </w:rPr>
  </w:style>
  <w:style w:type="paragraph" w:styleId="9">
    <w:name w:val="Date"/>
    <w:basedOn w:val="1"/>
    <w:next w:val="1"/>
    <w:link w:val="26"/>
    <w:uiPriority w:val="0"/>
    <w:pPr>
      <w:ind w:left="100" w:leftChars="2500"/>
    </w:pPr>
  </w:style>
  <w:style w:type="paragraph" w:styleId="10">
    <w:name w:val="Balloon Text"/>
    <w:basedOn w:val="1"/>
    <w:semiHidden/>
    <w:uiPriority w:val="0"/>
    <w:rPr>
      <w:sz w:val="18"/>
      <w:szCs w:val="18"/>
    </w:rPr>
  </w:style>
  <w:style w:type="paragraph" w:styleId="11">
    <w:name w:val="footer"/>
    <w:basedOn w:val="1"/>
    <w:next w:val="1"/>
    <w:link w:val="27"/>
    <w:uiPriority w:val="0"/>
    <w:pPr>
      <w:tabs>
        <w:tab w:val="center" w:pos="4153"/>
        <w:tab w:val="right" w:pos="8306"/>
      </w:tabs>
      <w:snapToGrid w:val="0"/>
      <w:jc w:val="left"/>
    </w:pPr>
    <w:rPr>
      <w:sz w:val="18"/>
      <w:szCs w:val="18"/>
    </w:rPr>
  </w:style>
  <w:style w:type="paragraph" w:styleId="1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1"/>
    <w:pPr>
      <w:spacing w:before="149"/>
      <w:ind w:left="106"/>
    </w:pPr>
    <w:rPr>
      <w:rFonts w:ascii="黑体" w:hAnsi="黑体" w:eastAsia="黑体" w:cs="黑体"/>
      <w:sz w:val="32"/>
      <w:szCs w:val="32"/>
      <w:lang w:val="zh-CN" w:eastAsia="zh-CN" w:bidi="zh-CN"/>
    </w:rPr>
  </w:style>
  <w:style w:type="paragraph" w:styleId="14">
    <w:name w:val="footnote text"/>
    <w:basedOn w:val="1"/>
    <w:next w:val="15"/>
    <w:qFormat/>
    <w:uiPriority w:val="0"/>
    <w:pPr>
      <w:snapToGrid w:val="0"/>
      <w:jc w:val="left"/>
    </w:pPr>
    <w:rPr>
      <w:sz w:val="18"/>
    </w:rPr>
  </w:style>
  <w:style w:type="paragraph" w:styleId="15">
    <w:name w:val="Body Text First Indent 2"/>
    <w:basedOn w:val="7"/>
    <w:qFormat/>
    <w:uiPriority w:val="0"/>
    <w:pPr>
      <w:ind w:firstLine="420" w:firstLineChars="200"/>
    </w:pPr>
  </w:style>
  <w:style w:type="paragraph" w:styleId="16">
    <w:name w:val="toc 2"/>
    <w:basedOn w:val="1"/>
    <w:next w:val="1"/>
    <w:qFormat/>
    <w:uiPriority w:val="1"/>
    <w:pPr>
      <w:spacing w:before="149"/>
      <w:ind w:left="747"/>
    </w:pPr>
    <w:rPr>
      <w:rFonts w:ascii="仿宋_GB2312" w:hAnsi="仿宋_GB2312" w:eastAsia="仿宋_GB2312" w:cs="仿宋_GB2312"/>
      <w:sz w:val="32"/>
      <w:szCs w:val="32"/>
      <w:lang w:val="zh-CN" w:eastAsia="zh-CN" w:bidi="zh-CN"/>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21">
    <w:name w:val=" Char"/>
    <w:basedOn w:val="1"/>
    <w:link w:val="20"/>
    <w:uiPriority w:val="0"/>
    <w:pPr>
      <w:widowControl/>
      <w:spacing w:after="160" w:line="240" w:lineRule="exact"/>
      <w:jc w:val="left"/>
    </w:pPr>
    <w:rPr>
      <w:rFonts w:ascii="Verdana" w:hAnsi="Verdana"/>
      <w:kern w:val="0"/>
      <w:sz w:val="20"/>
      <w:szCs w:val="20"/>
      <w:lang w:eastAsia="en-US"/>
    </w:rPr>
  </w:style>
  <w:style w:type="character" w:styleId="22">
    <w:name w:val="Strong"/>
    <w:basedOn w:val="20"/>
    <w:qFormat/>
    <w:uiPriority w:val="22"/>
    <w:rPr>
      <w:rFonts w:cs="Times New Roman"/>
      <w:b/>
      <w:bCs/>
    </w:rPr>
  </w:style>
  <w:style w:type="character" w:styleId="23">
    <w:name w:val="page number"/>
    <w:basedOn w:val="20"/>
    <w:uiPriority w:val="0"/>
  </w:style>
  <w:style w:type="character" w:styleId="24">
    <w:name w:val="Hyperlink"/>
    <w:basedOn w:val="20"/>
    <w:unhideWhenUsed/>
    <w:uiPriority w:val="0"/>
    <w:rPr>
      <w:color w:val="0000FF"/>
      <w:u w:val="single"/>
    </w:rPr>
  </w:style>
  <w:style w:type="character" w:customStyle="1" w:styleId="25">
    <w:name w:val="标题 1 Char"/>
    <w:link w:val="3"/>
    <w:qFormat/>
    <w:uiPriority w:val="1"/>
    <w:rPr>
      <w:rFonts w:ascii="方正小标宋简体" w:hAnsi="方正小标宋简体" w:eastAsia="方正小标宋简体" w:cs="方正小标宋简体"/>
      <w:sz w:val="44"/>
      <w:szCs w:val="44"/>
      <w:lang w:val="zh-CN" w:eastAsia="zh-CN" w:bidi="zh-CN"/>
    </w:rPr>
  </w:style>
  <w:style w:type="character" w:customStyle="1" w:styleId="26">
    <w:name w:val="日期 Char"/>
    <w:basedOn w:val="20"/>
    <w:link w:val="9"/>
    <w:uiPriority w:val="0"/>
    <w:rPr>
      <w:kern w:val="2"/>
      <w:sz w:val="21"/>
      <w:szCs w:val="24"/>
    </w:rPr>
  </w:style>
  <w:style w:type="character" w:customStyle="1" w:styleId="27">
    <w:name w:val="页脚 Char"/>
    <w:basedOn w:val="20"/>
    <w:link w:val="11"/>
    <w:locked/>
    <w:uiPriority w:val="0"/>
    <w:rPr>
      <w:kern w:val="2"/>
      <w:sz w:val="18"/>
      <w:szCs w:val="18"/>
    </w:rPr>
  </w:style>
  <w:style w:type="paragraph" w:customStyle="1" w:styleId="28">
    <w:name w:val="图表目录1"/>
    <w:basedOn w:val="29"/>
    <w:next w:val="29"/>
    <w:qFormat/>
    <w:uiPriority w:val="0"/>
    <w:pPr>
      <w:ind w:left="200" w:leftChars="200" w:hanging="200" w:hangingChars="200"/>
    </w:pPr>
    <w:rPr>
      <w:rFonts w:ascii="Times New Roman" w:hAnsi="Times New Roman" w:eastAsia="仿宋_GB2312"/>
      <w:kern w:val="2"/>
      <w:sz w:val="32"/>
      <w:szCs w:val="24"/>
    </w:rPr>
  </w:style>
  <w:style w:type="paragraph" w:customStyle="1" w:styleId="2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8"/>
    <w:qFormat/>
    <w:uiPriority w:val="0"/>
    <w:pPr>
      <w:widowControl w:val="0"/>
      <w:jc w:val="both"/>
    </w:pPr>
    <w:rPr>
      <w:rFonts w:ascii="Calibri" w:hAnsi="Calibri" w:eastAsia="宋体" w:cs="Times New Roman"/>
      <w:kern w:val="2"/>
      <w:sz w:val="21"/>
      <w:szCs w:val="24"/>
      <w:lang w:val="en-US" w:eastAsia="zh-CN" w:bidi="ar-SA"/>
    </w:rPr>
  </w:style>
  <w:style w:type="paragraph" w:customStyle="1" w:styleId="30">
    <w:name w:val="Char"/>
    <w:basedOn w:val="1"/>
    <w:uiPriority w:val="0"/>
    <w:pPr>
      <w:widowControl/>
      <w:spacing w:after="160" w:line="240" w:lineRule="exact"/>
      <w:jc w:val="left"/>
    </w:pPr>
    <w:rPr>
      <w:rFonts w:ascii="Verdana" w:hAnsi="Verdana" w:eastAsia="仿宋_GB2312" w:cs="Verdana"/>
      <w:kern w:val="0"/>
      <w:sz w:val="24"/>
      <w:szCs w:val="22"/>
      <w:lang w:eastAsia="en-US"/>
    </w:rPr>
  </w:style>
  <w:style w:type="paragraph" w:customStyle="1" w:styleId="31">
    <w:name w:val="List Paragraph"/>
    <w:basedOn w:val="1"/>
    <w:uiPriority w:val="0"/>
    <w:pPr>
      <w:ind w:firstLine="420"/>
    </w:pPr>
    <w:rPr>
      <w:rFonts w:ascii="Calibri" w:hAnsi="Calibri" w:cs="Calibri"/>
      <w:szCs w:val="21"/>
    </w:rPr>
  </w:style>
  <w:style w:type="paragraph" w:customStyle="1" w:styleId="32">
    <w:name w:val="p0"/>
    <w:basedOn w:val="1"/>
    <w:qFormat/>
    <w:uiPriority w:val="0"/>
    <w:pPr>
      <w:widowControl/>
      <w:ind w:firstLine="420"/>
      <w:jc w:val="left"/>
    </w:pPr>
    <w:rPr>
      <w:kern w:val="0"/>
      <w:sz w:val="20"/>
    </w:rPr>
  </w:style>
  <w:style w:type="paragraph" w:styleId="33">
    <w:name w:val="No Spacing"/>
    <w:qFormat/>
    <w:uiPriority w:val="1"/>
    <w:pPr>
      <w:widowControl w:val="0"/>
      <w:jc w:val="both"/>
    </w:pPr>
    <w:rPr>
      <w:kern w:val="2"/>
      <w:sz w:val="21"/>
      <w:szCs w:val="24"/>
      <w:lang w:val="en-US" w:eastAsia="zh-CN" w:bidi="ar-SA"/>
    </w:rPr>
  </w:style>
  <w:style w:type="paragraph" w:customStyle="1" w:styleId="34">
    <w:name w:val="pa-0"/>
    <w:basedOn w:val="1"/>
    <w:qFormat/>
    <w:uiPriority w:val="0"/>
    <w:pPr>
      <w:widowControl/>
      <w:spacing w:before="150" w:after="150" w:line="520" w:lineRule="exact"/>
      <w:ind w:firstLine="470" w:firstLineChars="168"/>
      <w:jc w:val="left"/>
    </w:pPr>
    <w:rPr>
      <w:rFonts w:ascii="宋体" w:hAnsi="宋体" w:eastAsia="仿宋_GB2312" w:cs="宋体"/>
      <w:kern w:val="0"/>
      <w:sz w:val="24"/>
      <w:szCs w:val="28"/>
      <w:u w:val="single"/>
    </w:rPr>
  </w:style>
  <w:style w:type="paragraph" w:customStyle="1" w:styleId="35">
    <w:name w:val="样式 宋体 小四 行距: 1.5 倍行距"/>
    <w:basedOn w:val="1"/>
    <w:uiPriority w:val="99"/>
    <w:pPr>
      <w:spacing w:line="360" w:lineRule="auto"/>
      <w:ind w:firstLine="200" w:firstLineChars="200"/>
    </w:pPr>
    <w:rPr>
      <w:rFonts w:ascii="宋体" w:hAnsi="宋体" w:eastAsia="仿宋_GB2312" w:cs="宋体"/>
      <w:sz w:val="24"/>
      <w:szCs w:val="20"/>
    </w:rPr>
  </w:style>
  <w:style w:type="paragraph" w:customStyle="1" w:styleId="36">
    <w:name w:val="列出段落1"/>
    <w:basedOn w:val="1"/>
    <w:uiPriority w:val="0"/>
    <w:pPr>
      <w:ind w:firstLine="420" w:firstLineChars="200"/>
    </w:pPr>
  </w:style>
  <w:style w:type="character" w:customStyle="1" w:styleId="37">
    <w:name w:val="NormalCharacter"/>
    <w:qFormat/>
    <w:uiPriority w:val="0"/>
  </w:style>
  <w:style w:type="paragraph" w:customStyle="1" w:styleId="38">
    <w:name w:val="样式 0正文 + 首行缩进:  2 字符1"/>
    <w:basedOn w:val="1"/>
    <w:qFormat/>
    <w:uiPriority w:val="0"/>
    <w:pPr>
      <w:ind w:firstLine="200"/>
    </w:pPr>
    <w:rPr>
      <w:rFonts w:ascii="Times New Roman" w:hAnsi="Times New Roman" w:eastAsia="宋体" w:cs="宋体"/>
      <w:szCs w:val="20"/>
    </w:rPr>
  </w:style>
  <w:style w:type="character" w:customStyle="1" w:styleId="39">
    <w:name w:val="15"/>
    <w:basedOn w:val="20"/>
    <w:qFormat/>
    <w:uiPriority w:val="0"/>
    <w:rPr>
      <w:rFonts w:ascii="Calibri" w:hAnsi="Calibri" w:cs="Times New Roman"/>
    </w:rPr>
  </w:style>
  <w:style w:type="paragraph" w:customStyle="1" w:styleId="40">
    <w:name w:val="Table Paragraph"/>
    <w:basedOn w:val="1"/>
    <w:qFormat/>
    <w:uiPriority w:val="1"/>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52</Words>
  <Characters>303</Characters>
  <Lines>2</Lines>
  <Paragraphs>1</Paragraphs>
  <TotalTime>13.6666666666667</TotalTime>
  <ScaleCrop>false</ScaleCrop>
  <LinksUpToDate>false</LinksUpToDate>
  <CharactersWithSpaces>354</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2021-08-06T15:47:00Z</dcterms:created>
  <dc:creator>李守亭（收）</dc:creator>
  <cp:lastModifiedBy>gxxc</cp:lastModifiedBy>
  <cp:lastPrinted>2022-11-22T09:53:47Z</cp:lastPrinted>
  <dcterms:modified xsi:type="dcterms:W3CDTF">2022-12-08T16:09:39Z</dcterms:modified>
  <dc:title>防城港市人民政府关于对</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