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rPr>
          <w:rFonts w:hint="eastAsia"/>
        </w:rPr>
        <w:t>2017年防城港市防城区社会经济发展统计公报</w:t>
      </w:r>
    </w:p>
    <w:p>
      <w:pPr>
        <w:pStyle w:val="11"/>
        <w:ind w:firstLine="640"/>
      </w:pPr>
      <w:r>
        <w:rPr>
          <w:rFonts w:hint="eastAsia"/>
        </w:rPr>
        <w:t>防城区统计局</w:t>
      </w:r>
    </w:p>
    <w:p>
      <w:pPr>
        <w:spacing w:line="360" w:lineRule="auto"/>
        <w:ind w:firstLine="64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2017年以来，面对错综复杂的经济形势，在经济增长压力依然较大的情况下，区委、区政府把稳增长摆在更加突出的位置，制定稳增长系列措施，各部门在区委、区政府的正确领导下，加大工作力度，全力以赴做好稳增长各项工作。在各项稳增长措施的逐步落实下，工作成效和政策效应初步显现，2017年全年，防城区经济运行总体保持平稳，并呈稳中有升、稳中向好的态势。</w:t>
      </w:r>
    </w:p>
    <w:p>
      <w:pPr>
        <w:pStyle w:val="6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309880</wp:posOffset>
            </wp:positionV>
            <wp:extent cx="5934075" cy="3048000"/>
            <wp:effectExtent l="0" t="0" r="9525" b="0"/>
            <wp:wrapNone/>
            <wp:docPr id="40024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hint="eastAsia"/>
        </w:rPr>
        <w:t>一、综</w:t>
      </w:r>
      <w:r>
        <w:rPr>
          <w:rFonts w:hint="eastAsia" w:ascii="宋体"/>
        </w:rPr>
        <w:t> </w:t>
      </w:r>
      <w:r>
        <w:rPr>
          <w:rFonts w:hint="eastAsia"/>
        </w:rPr>
        <w:t xml:space="preserve"> 合</w:t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0" w:firstLineChars="0"/>
      </w:pPr>
    </w:p>
    <w:p>
      <w:pPr>
        <w:ind w:firstLine="640"/>
      </w:pPr>
    </w:p>
    <w:p>
      <w:pPr>
        <w:ind w:firstLine="640"/>
      </w:pP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初步核算，2017年防城区实现生产总值150.46亿元，增长8.6%（按可比价格计算，下同）。分产业看，第一产业增加值31.23亿元，增长3.7%；第二产业增加值63.21亿元，增长10.1%；第三产业增加值56.02亿元，增长9.4%。全区人均地区生产总值38594元，比上年增长7.6%。</w:t>
      </w:r>
    </w:p>
    <w:p>
      <w:pPr>
        <w:widowControl/>
        <w:ind w:firstLine="640"/>
        <w:jc w:val="left"/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-130810</wp:posOffset>
            </wp:positionV>
            <wp:extent cx="6989445" cy="2374900"/>
            <wp:effectExtent l="0" t="0" r="1905" b="6350"/>
            <wp:wrapSquare wrapText="bothSides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防城区全年新增城镇就业人数3988人,下降13.7%。年末城镇登记失业人数835人，增长6.0 %。城镇在岗职工年平均工资54691元(包括劳务派遣职工），增长16.7%。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实现财政收入8.81亿元，下降25.8%，其中公共财政预算收入5.91亿元，下降32.1%。税收收入（全口径）7.05亿元，下降24.9%。公共财政预算支出20.94亿元，下降18.5%，其中，一般公共服务支出1.93亿元，增长14.3%；教育支出4.03亿元，增长14.7%；文化体育与传媒支出0.18亿元，增长8.9%；社会保障和就业支出4.23亿元，下降18.0%；医疗卫生与计划生育支出1.24亿元，下降47.2%；农林水事务支出1.70亿元，下降58.8%；人均财政收入2259元，下降26.5%。</w:t>
      </w:r>
    </w:p>
    <w:p>
      <w:pPr>
        <w:pStyle w:val="6"/>
      </w:pPr>
      <w:r>
        <w:rPr>
          <w:rFonts w:hint="eastAsia"/>
        </w:rPr>
        <w:t>二、农  业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2017年，防城区实现农林牧渔业增加值32.24亿元，增长4.7%；实现农林牧渔业总产值51.98亿元，增长4.9%。</w:t>
      </w:r>
    </w:p>
    <w:p>
      <w:pPr>
        <w:pStyle w:val="2"/>
        <w:ind w:left="640" w:firstLine="640"/>
      </w:pPr>
    </w:p>
    <w:p>
      <w:pPr>
        <w:pStyle w:val="2"/>
        <w:ind w:left="640" w:firstLine="640"/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-718820</wp:posOffset>
            </wp:positionV>
            <wp:extent cx="5734050" cy="3237230"/>
            <wp:effectExtent l="4445" t="4445" r="14605" b="15875"/>
            <wp:wrapSquare wrapText="bothSides"/>
            <wp:docPr id="399874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kern w:val="0"/>
          <w:szCs w:val="32"/>
        </w:rPr>
      </w:pPr>
    </w:p>
    <w:p>
      <w:pPr>
        <w:widowControl/>
        <w:spacing w:line="600" w:lineRule="exact"/>
        <w:ind w:firstLine="0" w:firstLineChars="0"/>
        <w:rPr>
          <w:rFonts w:ascii="仿宋" w:hAnsi="仿宋" w:eastAsia="仿宋" w:cs="宋体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  </w:t>
      </w:r>
      <w:r>
        <w:rPr>
          <w:rFonts w:hint="eastAsia" w:ascii="仿宋" w:hAnsi="仿宋" w:eastAsia="仿宋" w:cs="宋体"/>
          <w:kern w:val="0"/>
          <w:szCs w:val="32"/>
        </w:rPr>
        <w:t>全年农作物总播种面积51519公顷，增长0.7 %。其中，粮食作物播种面积27347</w:t>
      </w:r>
      <w:r>
        <w:rPr>
          <w:rFonts w:hint="eastAsia" w:ascii="仿宋" w:hAnsi="仿宋" w:eastAsia="仿宋"/>
          <w:szCs w:val="32"/>
        </w:rPr>
        <w:t>公顷</w:t>
      </w:r>
      <w:r>
        <w:rPr>
          <w:rFonts w:hint="eastAsia" w:ascii="仿宋" w:hAnsi="仿宋" w:eastAsia="仿宋"/>
          <w:kern w:val="0"/>
          <w:szCs w:val="32"/>
        </w:rPr>
        <w:t>，下降0.8%，经济作物种植面积9053公顷，增长2.0%。粮食播种面积中，谷物播种面积21437公顷，其中，稻谷播种17630公顷，玉米播种3807公顷。经济作物中，油料种植面积1631公顷，</w:t>
      </w:r>
      <w:r>
        <w:rPr>
          <w:rFonts w:hint="eastAsia" w:ascii="仿宋" w:hAnsi="仿宋" w:eastAsia="仿宋" w:cs="宋体"/>
          <w:szCs w:val="32"/>
        </w:rPr>
        <w:t>甘蔗种植面积5605公顷，木薯种植面积 1686公顷。</w:t>
      </w:r>
      <w:r>
        <w:rPr>
          <w:rFonts w:hint="eastAsia" w:ascii="仿宋" w:hAnsi="仿宋" w:eastAsia="仿宋"/>
          <w:kern w:val="0"/>
          <w:szCs w:val="32"/>
        </w:rPr>
        <w:t>蔬菜种植面积14643公顷。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全年粮食总产量10.91万吨，下降3.7%；油料产量3202吨，增长5.8%，甘蔗产量46.48万吨，增长0.7%；园林水果产量5.52万吨，增长4.9%。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年末生猪存栏数24.45万头，增长12.2%，全年生猪出栏数22.23万头，增长1.9%。全年肉类总产量2.61万吨，增长1.8%。其中，猪肉产量1.66万吨，增长2.4%；牛肉产量1168吨，增长7.0%；家禽肉产量7499吨，下降1.0%。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color w:val="FF0000"/>
          <w:kern w:val="0"/>
          <w:szCs w:val="32"/>
          <w:highlight w:val="yellow"/>
        </w:rPr>
      </w:pPr>
      <w:r>
        <w:rPr>
          <w:rFonts w:hint="eastAsia" w:ascii="仿宋" w:hAnsi="仿宋" w:eastAsia="仿宋" w:cs="宋体"/>
          <w:kern w:val="0"/>
          <w:szCs w:val="32"/>
        </w:rPr>
        <w:t>水产品产量15.18万吨，增长5.0%。其中，海水产品产量13.09万吨，增长4.0%。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全年木材采伐量12.46万立方米，增长22.8%。松脂产量1.73万吨，增长4.6%。</w:t>
      </w:r>
    </w:p>
    <w:p>
      <w:pPr>
        <w:widowControl/>
        <w:spacing w:line="600" w:lineRule="exact"/>
        <w:ind w:firstLine="640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年末农业机械总动力23.84 万千瓦，增长0.77%。年末机耕面积 4.02万公顷，增长0.36%，年末机耕有效灌溉面积1936公顷。</w:t>
      </w:r>
    </w:p>
    <w:p>
      <w:pPr>
        <w:pStyle w:val="2"/>
        <w:ind w:left="640" w:firstLine="640"/>
        <w:rPr>
          <w:rFonts w:ascii="仿宋" w:hAnsi="仿宋" w:eastAsia="仿宋"/>
        </w:rPr>
      </w:pPr>
    </w:p>
    <w:p>
      <w:pPr>
        <w:pStyle w:val="6"/>
      </w:pPr>
      <w:r>
        <w:rPr>
          <w:rFonts w:hint="eastAsia"/>
        </w:rPr>
        <w:t>三、工业和建筑业</w:t>
      </w:r>
    </w:p>
    <w:p>
      <w:pPr>
        <w:spacing w:line="600" w:lineRule="exact"/>
        <w:ind w:firstLine="640"/>
        <w:rPr>
          <w:rFonts w:ascii="仿宋" w:hAnsi="仿宋" w:eastAsia="仿宋" w:cs="宋体"/>
          <w:color w:val="FF0000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2017年防城区全部工业总产值增长15.3%，其中，规模以上工业产值增长15.8%。实现规模以上工业增加值增长11.0%。</w:t>
      </w:r>
    </w:p>
    <w:p>
      <w:pPr>
        <w:spacing w:line="600" w:lineRule="exact"/>
        <w:ind w:firstLine="640"/>
        <w:jc w:val="center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97155</wp:posOffset>
            </wp:positionV>
            <wp:extent cx="5593715" cy="2750820"/>
            <wp:effectExtent l="4445" t="4445" r="21590" b="6985"/>
            <wp:wrapNone/>
            <wp:docPr id="39987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28"/>
        </w:rPr>
      </w:pPr>
    </w:p>
    <w:p>
      <w:pPr>
        <w:pStyle w:val="2"/>
        <w:ind w:left="640" w:firstLine="562"/>
        <w:rPr>
          <w:rFonts w:asciiTheme="majorEastAsia" w:hAnsiTheme="majorEastAsia" w:eastAsiaTheme="majorEastAsia"/>
          <w:b/>
          <w:sz w:val="28"/>
        </w:rPr>
      </w:pPr>
    </w:p>
    <w:p>
      <w:pPr>
        <w:pStyle w:val="2"/>
        <w:ind w:left="640" w:firstLine="562"/>
        <w:rPr>
          <w:rFonts w:asciiTheme="majorEastAsia" w:hAnsiTheme="majorEastAsia" w:eastAsiaTheme="majorEastAsia"/>
          <w:b/>
          <w:sz w:val="28"/>
        </w:rPr>
      </w:pPr>
    </w:p>
    <w:p>
      <w:pPr>
        <w:pStyle w:val="2"/>
        <w:ind w:left="640" w:firstLine="562"/>
        <w:rPr>
          <w:rFonts w:asciiTheme="majorEastAsia" w:hAnsiTheme="majorEastAsia" w:eastAsiaTheme="majorEastAsia"/>
          <w:b/>
          <w:sz w:val="28"/>
        </w:rPr>
      </w:pPr>
    </w:p>
    <w:p>
      <w:pPr>
        <w:pStyle w:val="2"/>
        <w:ind w:left="640" w:firstLine="562"/>
        <w:rPr>
          <w:rFonts w:asciiTheme="majorEastAsia" w:hAnsiTheme="majorEastAsia" w:eastAsiaTheme="majorEastAsia"/>
          <w:b/>
          <w:sz w:val="28"/>
        </w:rPr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28"/>
        </w:rPr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2017年防城区规模以上工业财务指标</w:t>
      </w:r>
    </w:p>
    <w:tbl>
      <w:tblPr>
        <w:tblStyle w:val="15"/>
        <w:tblW w:w="9191" w:type="dxa"/>
        <w:tblInd w:w="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9"/>
        <w:gridCol w:w="1377"/>
        <w:gridCol w:w="1637"/>
        <w:gridCol w:w="1759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659" w:type="dxa"/>
            <w:shd w:val="clear" w:color="auto" w:fill="auto"/>
          </w:tcPr>
          <w:p>
            <w:pPr>
              <w:spacing w:line="240" w:lineRule="auto"/>
              <w:ind w:firstLine="42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指标名称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20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20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去年同期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比去年同期增长%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一、存货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101974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81757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二、资产负债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流动资产合计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336638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249916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资产总计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601478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517512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负债合计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305171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241185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三、损益及分配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营业收入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1235045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1146432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营业成本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1091499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988931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营业税金及附加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12353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18872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销售费用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23749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24754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管理费用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23235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20692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财务费用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8530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8526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利息支出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4665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3787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资产减值损失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-184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公允价值变动收益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投资收益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-27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-357.3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营业利润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75520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84865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营业外收入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462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1221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营业外支出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24316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19807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利润总额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51664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66279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四、应交增值税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15819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16424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五、平均用工人数(人)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422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428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七、企业单位数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亏损面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八、亏损企业亏损额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675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九、税金总额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27960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34026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26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十、利税总额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79625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100305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420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-20.6</w:t>
            </w:r>
          </w:p>
        </w:tc>
      </w:tr>
    </w:tbl>
    <w:p>
      <w:pPr>
        <w:pStyle w:val="2"/>
        <w:snapToGrid w:val="0"/>
        <w:spacing w:line="360" w:lineRule="auto"/>
        <w:ind w:left="0" w:leftChars="0" w:firstLine="0" w:firstLineChars="0"/>
      </w:pPr>
    </w:p>
    <w:p>
      <w:pPr>
        <w:ind w:firstLine="640"/>
      </w:pP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全年防城区实现建筑业增加值13.81亿元，增长11.7%(按可比价格计算）。实现资质等级建筑业总产值77.04亿元，增长16.4%。</w:t>
      </w:r>
    </w:p>
    <w:p>
      <w:pPr>
        <w:pStyle w:val="2"/>
        <w:ind w:left="640" w:firstLine="640"/>
      </w:pPr>
    </w:p>
    <w:p>
      <w:pPr>
        <w:pStyle w:val="6"/>
      </w:pPr>
      <w:r>
        <w:rPr>
          <w:rFonts w:hint="eastAsia"/>
        </w:rPr>
        <w:t>四、固定资产投资</w:t>
      </w:r>
    </w:p>
    <w:p>
      <w:pPr>
        <w:snapToGrid w:val="0"/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防城区实现固定资产投资138.48亿元（不含农户），增长16.5%。其中，项目投资完成121.96亿元，增长23.5%；房地产投资完成16.52亿元，同比下降18.7%。按建设性质分，新建完成投资100.67亿元，增长35.7%；改建完成投资10.75亿元，下降8.6%；改建和技术改造完成投资10.06亿元，下降16.3%。</w:t>
      </w:r>
    </w:p>
    <w:p>
      <w:pPr>
        <w:pStyle w:val="2"/>
        <w:ind w:left="640" w:firstLine="640"/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274955</wp:posOffset>
            </wp:positionV>
            <wp:extent cx="5629275" cy="2648585"/>
            <wp:effectExtent l="4445" t="4445" r="5080" b="13970"/>
            <wp:wrapTight wrapText="bothSides">
              <wp:wrapPolygon>
                <wp:start x="-17" y="-36"/>
                <wp:lineTo x="-17" y="21559"/>
                <wp:lineTo x="21546" y="21559"/>
                <wp:lineTo x="21546" y="-36"/>
                <wp:lineTo x="-17" y="-36"/>
              </wp:wrapPolygon>
            </wp:wrapTight>
            <wp:docPr id="205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>
      <w:pPr>
        <w:widowControl/>
        <w:snapToGrid w:val="0"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napToGrid w:val="0"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在固定资产投资（不含农户）中，分产业看，第一产业投资13.90亿元，下降6.2%；第二产业投资22.96亿元，增长1.6%；第三产业投资101.62亿元，增长24.5%。</w:t>
      </w:r>
    </w:p>
    <w:p>
      <w:pPr>
        <w:pStyle w:val="2"/>
        <w:ind w:left="640" w:firstLine="640"/>
      </w:pPr>
    </w:p>
    <w:p>
      <w:pPr>
        <w:pStyle w:val="2"/>
        <w:ind w:left="640" w:firstLine="640"/>
      </w:pPr>
    </w:p>
    <w:p>
      <w:pPr>
        <w:pStyle w:val="2"/>
        <w:ind w:left="640" w:firstLine="640"/>
      </w:pPr>
    </w:p>
    <w:p>
      <w:pPr>
        <w:widowControl/>
        <w:spacing w:line="600" w:lineRule="exact"/>
        <w:ind w:firstLine="0" w:firstLineChars="0"/>
        <w:jc w:val="center"/>
        <w:rPr>
          <w:rFonts w:asciiTheme="minorEastAsia" w:hAnsiTheme="minorEastAsia" w:eastAsiaTheme="minorEastAsia"/>
          <w:b/>
          <w:sz w:val="28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32"/>
        </w:rPr>
        <w:t>2017年防城区</w:t>
      </w:r>
      <w:r>
        <w:rPr>
          <w:rFonts w:asciiTheme="minorEastAsia" w:hAnsiTheme="minorEastAsia" w:eastAsiaTheme="minorEastAsia"/>
          <w:b/>
          <w:sz w:val="28"/>
          <w:szCs w:val="32"/>
        </w:rPr>
        <w:t>分行业固定资产投资</w:t>
      </w:r>
    </w:p>
    <w:tbl>
      <w:tblPr>
        <w:tblStyle w:val="15"/>
        <w:tblW w:w="9668" w:type="dxa"/>
        <w:tblInd w:w="140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9"/>
        <w:gridCol w:w="1936"/>
        <w:gridCol w:w="2359"/>
        <w:gridCol w:w="1814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559" w:type="dxa"/>
            <w:tcBorders>
              <w:top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投资合计（万元）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去年同期合计（万元）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比去年同期</w:t>
            </w:r>
          </w:p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增长（%）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自年初累计完成投资（万元）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1384804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1190618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16.5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农、林、牧、渔业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149080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172082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-12.2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11214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25453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-55.9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157489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142470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10.5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电力、热力、燃气及水生产和供应业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60937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55262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10.3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2870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-100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64576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50961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26.7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交通运输、仓储和邮政业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79019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159416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-50.4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住宿和餐饮业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19614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91363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-78.5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信息传输、软件和信息技术服务业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36900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57873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-36.2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金融业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房地产业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283578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312778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-9.3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租赁和商务服务业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249619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11777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2019.5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科学研究和技术服务业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26934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16080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67.5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116413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14305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713.8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居民服务、修理和其他服务业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441.3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25679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65099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-60.6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卫生和社会工作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6129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25.1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文化、体育和娱乐业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69930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4829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1348.1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公共管理、社会保障和社会组织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11132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5789.9</w:t>
            </w:r>
          </w:p>
        </w:tc>
      </w:tr>
    </w:tbl>
    <w:p>
      <w:pPr>
        <w:pStyle w:val="2"/>
        <w:ind w:left="640" w:firstLine="640"/>
        <w:jc w:val="center"/>
      </w:pPr>
    </w:p>
    <w:p>
      <w:pPr>
        <w:pStyle w:val="6"/>
      </w:pPr>
      <w:r>
        <w:rPr>
          <w:rFonts w:hint="eastAsia"/>
        </w:rPr>
        <w:t>五、国内贸易</w:t>
      </w:r>
    </w:p>
    <w:p>
      <w:pPr>
        <w:widowControl/>
        <w:snapToGrid w:val="0"/>
        <w:spacing w:line="600" w:lineRule="exact"/>
        <w:ind w:firstLine="640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全区实现社会消费品零售总额49.47亿元，同比增长10.8%。从消费区域看，城镇消费品零售额46.10亿元，增长10.8%；乡村消费品零售额3.38亿元，增长11.2%。从消费形态看，餐饮收入3.65亿元，增长10.2%；商品零售45.82亿元，增长10.8%。</w:t>
      </w:r>
    </w:p>
    <w:p>
      <w:pPr>
        <w:pStyle w:val="2"/>
        <w:ind w:left="0" w:leftChars="0" w:firstLine="0" w:firstLineChars="0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-376555</wp:posOffset>
            </wp:positionV>
            <wp:extent cx="5922010" cy="2933065"/>
            <wp:effectExtent l="4445" t="4445" r="17145" b="15240"/>
            <wp:wrapNone/>
            <wp:docPr id="39986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0" w:firstLineChars="0"/>
        <w:jc w:val="left"/>
        <w:rPr>
          <w:rFonts w:ascii="仿宋_GB2312" w:hAnsi="宋体" w:cs="宋体"/>
          <w:kern w:val="0"/>
          <w:szCs w:val="32"/>
        </w:rPr>
      </w:pPr>
    </w:p>
    <w:p>
      <w:pPr>
        <w:pStyle w:val="6"/>
      </w:pPr>
      <w:r>
        <w:rPr>
          <w:rFonts w:hint="eastAsia"/>
        </w:rPr>
        <w:t>六、对外贸易和招商引资</w:t>
      </w:r>
    </w:p>
    <w:p>
      <w:pPr>
        <w:spacing w:line="56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据海关统计，防城区全年外贸进出口总额104054万美元，下降38.7%。其中，进口额97958万美元，下降40.1%；出口额6096万美元，下降1.8%。</w:t>
      </w:r>
      <w:r>
        <w:rPr>
          <w:rFonts w:hint="eastAsia" w:ascii="仿宋" w:hAnsi="仿宋" w:eastAsia="仿宋"/>
          <w:szCs w:val="32"/>
        </w:rPr>
        <w:t>全年边贸口岸过货值98.87亿元，下降55.2％；其中，进口65.26亿元，下降38.4％，出口33.61亿元，下降70.7％。</w:t>
      </w:r>
    </w:p>
    <w:p>
      <w:pPr>
        <w:spacing w:line="56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据招商局统计，全年招商引资到位资金45.38亿元，增长3.5%;实际利用外资4005万美元，增长288.0%。防城区全口径引进内资85.03亿元、实际利用外资10014万美元。</w:t>
      </w:r>
    </w:p>
    <w:p>
      <w:pPr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257175</wp:posOffset>
            </wp:positionV>
            <wp:extent cx="5257165" cy="2924175"/>
            <wp:effectExtent l="19050" t="0" r="19685" b="0"/>
            <wp:wrapThrough wrapText="bothSides">
              <wp:wrapPolygon>
                <wp:start x="-78" y="0"/>
                <wp:lineTo x="-78" y="21530"/>
                <wp:lineTo x="21681" y="21530"/>
                <wp:lineTo x="21681" y="0"/>
                <wp:lineTo x="-78" y="0"/>
              </wp:wrapPolygon>
            </wp:wrapThrough>
            <wp:docPr id="399867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pict>
          <v:shape id="_x0000_s1040" o:spid="_x0000_s1040" o:spt="202" type="#_x0000_t202" style="position:absolute;left:0pt;margin-left:126.4pt;margin-top:0.9pt;height:37.3pt;width:309.75pt;z-index:251665408;mso-width-relative:page;mso-height-relative:page;" filled="t" stroked="t" coordsize="21600,21600">
            <v:path/>
            <v:fill type="gradient" on="t" angle="90" focussize="0,0">
              <o:fill type="gradientUnscaled" v:ext="backwardCompatible"/>
            </v:fill>
            <v:stroke weight="0.25pt" color="#FFFFFF" joinstyle="miter"/>
            <v:imagedata o:title=""/>
            <o:lock v:ext="edit"/>
            <v:textbox>
              <w:txbxContent>
                <w:p>
                  <w:pPr>
                    <w:ind w:firstLine="0" w:firstLineChars="0"/>
                    <w:rPr>
                      <w:sz w:val="28"/>
                      <w:szCs w:val="22"/>
                    </w:rPr>
                  </w:pPr>
                  <w:r>
                    <w:rPr>
                      <w:rFonts w:hint="eastAsia"/>
                      <w:sz w:val="28"/>
                      <w:szCs w:val="22"/>
                    </w:rPr>
                    <w:t>2013年-2017年防城区外贸进出口总额增速（%）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height:16.5pt;width:287.25pt;" filled="t" stroked="t" coordsize="21600,21600">
            <v:path/>
            <v:fill type="gradient" on="t" angle="90" focussize="0,0">
              <o:fill type="gradientUnscaled" v:ext="backwardCompatible"/>
            </v:fill>
            <v:stroke weight="1.25pt" color="#739CC3" joinstyle="miter"/>
            <v:imagedata o:title=""/>
            <o:lock v:ext="edit"/>
            <v:textbox>
              <w:txbxContent>
                <w:p>
                  <w:pPr>
                    <w:ind w:firstLine="640"/>
                  </w:pPr>
                </w:p>
              </w:txbxContent>
            </v:textbox>
            <w10:wrap type="none"/>
            <w10:anchorlock/>
          </v:shape>
        </w:pict>
      </w:r>
    </w:p>
    <w:p>
      <w:pPr>
        <w:ind w:firstLine="640"/>
        <w:rPr>
          <w:rFonts w:hAnsi="宋体"/>
        </w:rPr>
      </w:pPr>
    </w:p>
    <w:p>
      <w:pPr>
        <w:ind w:firstLine="640"/>
        <w:rPr>
          <w:rFonts w:hAnsi="宋体"/>
        </w:rPr>
      </w:pPr>
    </w:p>
    <w:p>
      <w:pPr>
        <w:ind w:firstLine="640"/>
        <w:rPr>
          <w:rFonts w:hAnsi="宋体"/>
        </w:rPr>
      </w:pPr>
    </w:p>
    <w:p>
      <w:pPr>
        <w:ind w:firstLine="640"/>
        <w:rPr>
          <w:rFonts w:hAnsi="宋体"/>
        </w:rPr>
      </w:pPr>
    </w:p>
    <w:p>
      <w:pPr>
        <w:ind w:firstLine="640"/>
        <w:rPr>
          <w:rFonts w:hAnsi="宋体"/>
        </w:rPr>
      </w:pPr>
    </w:p>
    <w:p>
      <w:pPr>
        <w:pStyle w:val="6"/>
        <w:rPr>
          <w:rFonts w:hAnsi="宋体" w:eastAsia="仿宋_GB2312"/>
        </w:rPr>
      </w:pPr>
      <w:r>
        <w:rPr>
          <w:rFonts w:hint="eastAsia"/>
        </w:rPr>
        <w:t>七、交通、邮电和旅游</w:t>
      </w: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全年交通运输、仓储及邮政业增加值6.85亿元，增长0.3%。在交通运输方面，公路客货运周转量17.67亿吨公里，与上年同期持平;水路客货运周转量46万吨公里，增长15.7%。全年港口货物吞吐量590.7万吨，下降9.6%。</w:t>
      </w: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邮电业务方面，全年市辖区（防城和港口）完成邮电业务总量10.58亿元，增长74.1%；其中，市辖区邮政业务总量0.77亿元，增长17.8%；市辖区电信业务总量9.81亿元，增长80.9%。年末固定电话用户2.63万户，下降24.4%，年末国际互联网用户4.57万户。</w:t>
      </w: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据旅游局统计，年末国内旅游人数670.72万人次，增长3.6%；国内旅游收入42.98亿元，增长19.9%。接待入境旅游者人数3.2万人次，增长2.2%，创外汇收入1039.8万美元，增长4.6%。</w:t>
      </w:r>
    </w:p>
    <w:p>
      <w:pPr>
        <w:pStyle w:val="6"/>
      </w:pPr>
      <w:r>
        <w:rPr>
          <w:rFonts w:hint="eastAsia"/>
        </w:rPr>
        <w:t>八、金融</w:t>
      </w: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2017年末市辖区（防城和港口）金融机构人民币各项存款余额411.01亿元，增长9.5%；市辖区城乡住户存款199.61亿元，增长9.1%；市辖区金融机构人民币各项贷款余额496.01亿元，增长24.6%。</w:t>
      </w:r>
    </w:p>
    <w:p>
      <w:pPr>
        <w:pStyle w:val="2"/>
        <w:ind w:left="640" w:firstLine="640"/>
      </w:pPr>
    </w:p>
    <w:p>
      <w:pPr>
        <w:pStyle w:val="6"/>
      </w:pPr>
      <w:r>
        <w:rPr>
          <w:rFonts w:hint="eastAsia"/>
        </w:rPr>
        <w:t>九、教育和科学技术</w:t>
      </w: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普通高中招生1850人，下降17.8%（含防城港市实验高中1050人,防城港市防城中学 800人），在校生6273人（含防城港市实验高中3745人，防城港市防城中学2528人），毕业生2033人（含防城港市实验高中1224人，防城港市防城中学809人）。</w:t>
      </w:r>
    </w:p>
    <w:p>
      <w:pPr>
        <w:pStyle w:val="2"/>
        <w:ind w:left="640" w:firstLine="640"/>
      </w:pPr>
    </w:p>
    <w:p>
      <w:pPr>
        <w:spacing w:line="60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普通初中招生5451人，下降1.2 %；在校生15854人，毕业生4941  人。普通小学招生7034人，增长4.0%，其中，受过学前教育人数5326  人，普通小学在校生37269人，毕业生5407人。幼儿园在园儿童12134  人，增长12.9%。</w:t>
      </w:r>
      <w:r>
        <w:rPr>
          <w:rFonts w:hint="eastAsia" w:ascii="仿宋" w:hAnsi="仿宋" w:eastAsia="仿宋" w:cs="宋体"/>
          <w:kern w:val="0"/>
          <w:szCs w:val="32"/>
        </w:rPr>
        <w:t>特殊教育学生招生13人，在校生59人，毕业生9人。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年内实施科技项目32个，科技项目总投入7232 万元，增长 1.0 %。全年自治区级科技</w:t>
      </w:r>
      <w:r>
        <w:rPr>
          <w:rFonts w:ascii="仿宋" w:hAnsi="仿宋" w:eastAsia="仿宋"/>
        </w:rPr>
        <w:t>获奖项目</w:t>
      </w:r>
      <w:r>
        <w:rPr>
          <w:rFonts w:hint="eastAsia" w:ascii="仿宋" w:hAnsi="仿宋" w:eastAsia="仿宋"/>
        </w:rPr>
        <w:t xml:space="preserve"> 1 个</w:t>
      </w:r>
      <w:r>
        <w:rPr>
          <w:rFonts w:ascii="仿宋" w:hAnsi="仿宋" w:eastAsia="仿宋"/>
        </w:rPr>
        <w:t>，</w:t>
      </w:r>
      <w:r>
        <w:rPr>
          <w:rFonts w:hint="eastAsia" w:ascii="仿宋" w:hAnsi="仿宋" w:eastAsia="仿宋"/>
        </w:rPr>
        <w:t>比</w:t>
      </w:r>
      <w:r>
        <w:rPr>
          <w:rFonts w:ascii="仿宋" w:hAnsi="仿宋" w:eastAsia="仿宋"/>
        </w:rPr>
        <w:t>上年</w:t>
      </w:r>
      <w:r>
        <w:rPr>
          <w:rFonts w:hint="eastAsia" w:ascii="仿宋" w:hAnsi="仿宋" w:eastAsia="仿宋"/>
        </w:rPr>
        <w:t>减少 1 个</w:t>
      </w:r>
      <w:r>
        <w:rPr>
          <w:rFonts w:ascii="仿宋" w:hAnsi="仿宋" w:eastAsia="仿宋"/>
        </w:rPr>
        <w:t>，其中</w:t>
      </w:r>
      <w:r>
        <w:rPr>
          <w:rFonts w:hint="eastAsia" w:ascii="仿宋" w:hAnsi="仿宋" w:eastAsia="仿宋"/>
        </w:rPr>
        <w:t>“制糖工业葡聚糖快速检测与清除技术开发及应用”获得自治区级科学技术进步奖二等奖。</w:t>
      </w:r>
    </w:p>
    <w:p>
      <w:pPr>
        <w:pStyle w:val="6"/>
      </w:pPr>
      <w:r>
        <w:rPr>
          <w:rFonts w:hint="eastAsia"/>
        </w:rPr>
        <w:t>十、文化、体育和卫生</w:t>
      </w:r>
    </w:p>
    <w:p>
      <w:pPr>
        <w:ind w:firstLine="64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防城区有文化事业机构18个，其中公共图书馆 1 个，馆中藏书量6.4万册，增长3.1%；博物馆1个；档案馆1 个，馆内藏有档案3.81 万卷。</w:t>
      </w:r>
    </w:p>
    <w:p>
      <w:pPr>
        <w:widowControl/>
        <w:snapToGrid w:val="0"/>
        <w:spacing w:line="600" w:lineRule="exact"/>
        <w:ind w:firstLine="636" w:firstLineChars="199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年末防城区全民健身活动点221个，比上年增加40个。全年开展15 项健身活动及参加区内外体育比赛活动23项。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末防城区卫生机构248个，比上年增加3个。其中，医院2个，保健院1个，乡镇卫生院11个。共有卫生技术人员1613人，增长1.1 %，其中，执业医师458人，增长1.3 %，注册护士484人，增长5.0 %。每千人卫生技术人员3.67人，增长0.8 %。全区医院、乡镇卫生院共有床位1014张，其中，医院410 张。除此之外，辖区内有市级医院2 个，分别是防城港市第一人民医院和防城港市中医医院；辖区内含市级疾病预防控制中心 1个：防城港市疾病预防控制中心。全区婚前医学检查率98.3%，住院分娩率99.98%。</w:t>
      </w:r>
    </w:p>
    <w:p>
      <w:pPr>
        <w:pStyle w:val="6"/>
      </w:pPr>
      <w:r>
        <w:rPr>
          <w:rFonts w:hint="eastAsia"/>
        </w:rPr>
        <w:t>十一、人口、人民生活和社会保障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年末全防城区户籍人口</w:t>
      </w:r>
      <w:r>
        <w:rPr>
          <w:rFonts w:hint="eastAsia" w:ascii="仿宋" w:hAnsi="仿宋" w:eastAsia="仿宋"/>
          <w:color w:val="000000" w:themeColor="text1"/>
        </w:rPr>
        <w:t>44.0</w:t>
      </w:r>
      <w:r>
        <w:rPr>
          <w:rFonts w:hint="eastAsia" w:ascii="仿宋" w:hAnsi="仿宋" w:eastAsia="仿宋"/>
        </w:rPr>
        <w:t>万人，比上年末增加0.14万人。常住人口39.16万人，城镇化率53.55%。全年人口出生率13.09</w:t>
      </w:r>
      <w:r>
        <w:rPr>
          <w:rFonts w:ascii="仿宋" w:hAnsi="仿宋" w:eastAsia="仿宋"/>
        </w:rPr>
        <w:t>‰</w:t>
      </w:r>
      <w:r>
        <w:rPr>
          <w:rFonts w:hint="eastAsia" w:ascii="仿宋" w:hAnsi="仿宋" w:eastAsia="仿宋"/>
        </w:rPr>
        <w:t>，人口死亡率3.77</w:t>
      </w:r>
      <w:r>
        <w:rPr>
          <w:rFonts w:ascii="仿宋" w:hAnsi="仿宋" w:eastAsia="仿宋"/>
        </w:rPr>
        <w:t>‰</w:t>
      </w:r>
      <w:r>
        <w:rPr>
          <w:rFonts w:hint="eastAsia" w:ascii="仿宋" w:hAnsi="仿宋" w:eastAsia="仿宋"/>
        </w:rPr>
        <w:t>，人口自然增长率9.32</w:t>
      </w:r>
      <w:r>
        <w:rPr>
          <w:rFonts w:ascii="仿宋" w:hAnsi="仿宋" w:eastAsia="仿宋"/>
        </w:rPr>
        <w:t>‰</w:t>
      </w:r>
      <w:r>
        <w:rPr>
          <w:rFonts w:hint="eastAsia" w:ascii="仿宋" w:hAnsi="仿宋" w:eastAsia="仿宋"/>
        </w:rPr>
        <w:t>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2017年，防城区城镇居民人均可支配收入33617元，同比名义增长7.8%；农村居民人均可支配收入13883元，同比名义增长10.0%。</w:t>
      </w:r>
    </w:p>
    <w:p>
      <w:pPr>
        <w:pStyle w:val="2"/>
        <w:ind w:left="640" w:firstLine="640"/>
      </w:pPr>
    </w:p>
    <w:tbl>
      <w:tblPr>
        <w:tblStyle w:val="15"/>
        <w:tblpPr w:leftFromText="180" w:rightFromText="180" w:vertAnchor="text" w:horzAnchor="page" w:tblpX="1245" w:tblpY="1028"/>
        <w:tblOverlap w:val="never"/>
        <w:tblW w:w="945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1036"/>
        <w:gridCol w:w="1868"/>
        <w:gridCol w:w="1909"/>
        <w:gridCol w:w="128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指 标 名 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年（元）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年（元）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增速（%）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textAlignment w:val="bottom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城镇居民人均可支配收入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33617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31185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7.8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12106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11220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7.9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14858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13796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7.7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1764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1621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8.8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4889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4548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7.5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textAlignment w:val="bottom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农村居民人均可支配收入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13883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12621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10.0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4395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3981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10.4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8646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7853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10.1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（一）第一产业经营净收入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7633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7016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8.8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（二）第二产业经营净收入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8.4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（三）第三产业经营净收入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799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21.6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113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10.8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729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685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6.4</w:t>
            </w:r>
          </w:p>
        </w:tc>
      </w:tr>
    </w:tbl>
    <w:p>
      <w:pPr>
        <w:pStyle w:val="2"/>
        <w:spacing w:line="440" w:lineRule="exact"/>
        <w:ind w:left="640" w:firstLine="640"/>
        <w:jc w:val="center"/>
      </w:pPr>
      <w:r>
        <w:rPr>
          <w:rFonts w:hint="eastAsia"/>
        </w:rPr>
        <w:t>2017年防城区城乡居民收入结构</w:t>
      </w:r>
    </w:p>
    <w:p>
      <w:pPr>
        <w:pStyle w:val="2"/>
        <w:ind w:left="640" w:firstLine="640"/>
      </w:pP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全年参加城镇基本养老保险职工人数3.92万人，增长12.4 %；领取基本养老保险金退休人数1.21 万人，增长4.6 %；农村社会养老保险参保人数11.52 万人，增长1.7 %；参加城镇基本医疗保险人数9.25 万人，下降15.6 %；新型农村合作医疗保险参保人数29.88 万人，增长1.2 %；年末参加工伤保险人数2.28万人，下降2.0 %；基本社会保险覆盖率为95 %，与上年同期持平。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全年新增城镇就业人数3988人，下降13.7 %，年末城镇登记失业人数835人，增长6.0 %；年末参加失业保险职工人数2.16万人，增长</w:t>
      </w:r>
      <w:r>
        <w:rPr>
          <w:rFonts w:hint="eastAsia" w:ascii="仿宋" w:hAnsi="仿宋" w:eastAsia="仿宋"/>
          <w:color w:val="000000" w:themeColor="text1"/>
        </w:rPr>
        <w:t xml:space="preserve">30.8 </w:t>
      </w:r>
      <w:r>
        <w:rPr>
          <w:rFonts w:hint="eastAsia" w:ascii="仿宋" w:hAnsi="仿宋" w:eastAsia="仿宋"/>
        </w:rPr>
        <w:t>%；全年领取失业保险金人数4097人，增长</w:t>
      </w:r>
      <w:r>
        <w:rPr>
          <w:rFonts w:hint="eastAsia" w:ascii="仿宋" w:hAnsi="仿宋" w:eastAsia="仿宋"/>
          <w:color w:val="000000" w:themeColor="text1"/>
        </w:rPr>
        <w:t>538.2</w:t>
      </w:r>
      <w:r>
        <w:rPr>
          <w:rFonts w:hint="eastAsia" w:ascii="仿宋" w:hAnsi="仿宋" w:eastAsia="仿宋"/>
        </w:rPr>
        <w:t xml:space="preserve"> %。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城镇居民最低生活保障人数14774人次，下降74.5 %；农村居民最低生活保障人数181040人次，下降21.5 %。全年各类收养性社会福利单位床位838 张，全年收养各类人员289人，比上年少93人。城镇建立各种社区服务设施16个。</w:t>
      </w:r>
    </w:p>
    <w:p>
      <w:pPr>
        <w:pStyle w:val="6"/>
      </w:pPr>
      <w:r>
        <w:rPr>
          <w:rFonts w:hint="eastAsia"/>
        </w:rPr>
        <w:t>十二、资源、环境和安全生产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防城区有自动气象观测站23个，气象卫星接收站1个，人工影响天气系统1个。全区年平均气温22.4℃，比上年下降0.1℃。全区年平均降水量3126毫米，比上年同期增加493.2毫米，同比增长18.7 %。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全年总用水量21780万立方米，比上年减少7020万立方米；其中，农业灌溉用水量15120 万立方米，比上年减少5040万</w:t>
      </w:r>
      <w:r>
        <w:rPr>
          <w:rFonts w:ascii="仿宋" w:hAnsi="仿宋" w:eastAsia="仿宋"/>
        </w:rPr>
        <w:t>立方米</w:t>
      </w:r>
      <w:r>
        <w:rPr>
          <w:rFonts w:hint="eastAsia" w:ascii="仿宋" w:hAnsi="仿宋" w:eastAsia="仿宋"/>
        </w:rPr>
        <w:t>；工业用水2274 万立方米，比上年减少4638万</w:t>
      </w:r>
      <w:r>
        <w:rPr>
          <w:rFonts w:ascii="仿宋" w:hAnsi="仿宋" w:eastAsia="仿宋"/>
        </w:rPr>
        <w:t>立方米</w:t>
      </w:r>
      <w:r>
        <w:rPr>
          <w:rFonts w:hint="eastAsia" w:ascii="仿宋" w:hAnsi="仿宋" w:eastAsia="仿宋"/>
        </w:rPr>
        <w:t>。生活用水2500万立方米，比</w:t>
      </w:r>
      <w:r>
        <w:rPr>
          <w:rFonts w:ascii="仿宋" w:hAnsi="仿宋" w:eastAsia="仿宋"/>
        </w:rPr>
        <w:t>上年</w:t>
      </w:r>
      <w:r>
        <w:rPr>
          <w:rFonts w:hint="eastAsia" w:ascii="仿宋" w:hAnsi="仿宋" w:eastAsia="仿宋"/>
        </w:rPr>
        <w:t>增加836万</w:t>
      </w:r>
      <w:r>
        <w:rPr>
          <w:rFonts w:ascii="仿宋" w:hAnsi="仿宋" w:eastAsia="仿宋"/>
        </w:rPr>
        <w:t>立方米</w:t>
      </w:r>
      <w:r>
        <w:rPr>
          <w:rFonts w:hint="eastAsia" w:ascii="仿宋" w:hAnsi="仿宋" w:eastAsia="仿宋"/>
        </w:rPr>
        <w:t>。</w:t>
      </w:r>
    </w:p>
    <w:p>
      <w:pPr>
        <w:ind w:firstLine="64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</w:rPr>
        <w:t>防城区有森林面积16.16万公顷，增长0.67 %，森林覆盖率66.4 %。</w:t>
      </w:r>
      <w:r>
        <w:rPr>
          <w:rFonts w:hint="eastAsia" w:ascii="仿宋" w:hAnsi="仿宋" w:eastAsia="仿宋"/>
          <w:color w:val="000000" w:themeColor="text1"/>
        </w:rPr>
        <w:t>全年完成造林营造林面积3.11公顷，下降18.8 %；木材采伐量12.46万立方米，增长22.8 %，松脂产量1.73万吨，增长4.6 %。</w:t>
      </w:r>
    </w:p>
    <w:p>
      <w:pPr>
        <w:ind w:firstLine="64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建成区面积13.92平方公里，建成区绿化覆盖率36.7 %。</w:t>
      </w:r>
    </w:p>
    <w:p>
      <w:pPr>
        <w:ind w:firstLine="64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全年共发生森林火灾24 起，比上年同期多19起，因火灾造成受灾面积25.57公顷，增长107.4 %，火灾造成经济损失42.15万元，增长420.4 %。</w:t>
      </w:r>
    </w:p>
    <w:p>
      <w:pPr>
        <w:ind w:left="160" w:leftChars="50" w:firstLine="480" w:firstLineChars="150"/>
        <w:rPr>
          <w:rFonts w:ascii="仿宋" w:hAnsi="仿宋" w:eastAsia="仿宋"/>
          <w:highlight w:val="yellow"/>
        </w:rPr>
      </w:pPr>
      <w:r>
        <w:rPr>
          <w:rFonts w:hint="eastAsia" w:ascii="仿宋" w:hAnsi="仿宋" w:eastAsia="仿宋"/>
        </w:rPr>
        <w:t>全年共发生安全生产事故数12件，同比增长71.4 %，事故造成伤亡人数20人，其中受伤人数11人，同比增长83.3 %，死亡9人，同比增长350.0%，安全生产事故造成经济损失1.95万元，同比增长77.3 %。2017年共发生道路交通安全事故84起，下降11.6 %；事故造成死亡人数12人，下降14.3%；事故造成受伤人数92人，下降8.9 %，造成经济损失12.52万元，同比增长0.3 %。</w:t>
      </w:r>
    </w:p>
    <w:p>
      <w:pPr>
        <w:ind w:left="160" w:leftChars="50" w:firstLine="48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2017年，防城区刑事案件立案数967件，下降33.6 %；治安案件查处数833件，下降56.8 %。破获强奸案件数10件，增长42.9 %。</w:t>
      </w:r>
    </w:p>
    <w:p>
      <w:pPr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年内质量检查单位102家，下降22.7 %。</w:t>
      </w:r>
    </w:p>
    <w:p>
      <w:pPr>
        <w:ind w:firstLine="640"/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</w:p>
    <w:p>
      <w:pPr>
        <w:pStyle w:val="2"/>
        <w:ind w:left="640" w:firstLine="480"/>
        <w:rPr>
          <w:rFonts w:ascii="仿宋_GB2312" w:hAnsi="宋体" w:cs="宋体"/>
          <w:kern w:val="0"/>
          <w:sz w:val="24"/>
        </w:rPr>
      </w:pPr>
    </w:p>
    <w:p>
      <w:pPr>
        <w:pStyle w:val="2"/>
        <w:ind w:left="640" w:firstLine="480"/>
        <w:rPr>
          <w:rFonts w:ascii="仿宋_GB2312" w:hAnsi="宋体" w:cs="宋体"/>
          <w:kern w:val="0"/>
          <w:sz w:val="24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</w:t>
      </w: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1、地区生产总值、各产业增加值绝对数按现价计算，增长速度按可比价计算。</w:t>
      </w: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　2、本公报中部分数据为初步统计数。部分数据因四舍五入的原因，存在与分项合计不等的情况。</w:t>
      </w:r>
    </w:p>
    <w:p>
      <w:pPr>
        <w:pStyle w:val="2"/>
        <w:ind w:left="0" w:leftChars="0" w:firstLine="480" w:firstLineChars="0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3.邮政、电信、金融采用的是市辖区（防城和港口）的数据。</w:t>
      </w:r>
    </w:p>
    <w:p>
      <w:pPr>
        <w:pStyle w:val="2"/>
        <w:ind w:left="0" w:leftChars="0" w:firstLine="480" w:firstLineChars="0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4.招商引资的全口径数据为招商口径、江山旅管委、云朗科技园合计数。</w:t>
      </w: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kern w:val="0"/>
          <w:sz w:val="24"/>
        </w:rPr>
      </w:pP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资料来源：本公报中城镇新增就业、登记失业率、社会保障数据来自区人力资源和社会保障局；财政数据来自区财政局；城乡居民收入和支出数据来自国家统计局防城港市调查总队；生活垃圾处理率的数据来自区市政管理局；招商引资数据来自区招商局；旅游数据来自区旅游局；货币金融数据来自人民银行防城港市支行；保险业数据来自于市保险协会；教育数据来自区教育局；科技数据来自区科技局；气象数据来自区气象局；文化、体育数据来自区文体广电局；人口出生、死亡数据、卫生和新农合数据来自区卫生和计生局；低保数据来自区民政局；环保治污项目数据来自区环保局；安全生产数据来自区安监局；户籍人口数据、刑事案件数据来自防城港市公安局防城分局；交通安全事故数据来自区交警大队；林业数据来自区林业局；水利资源数据来自区水利局；质检数据来自区质量技术监督局</w:t>
      </w:r>
      <w:bookmarkStart w:id="0" w:name="_GoBack"/>
      <w:bookmarkEnd w:id="0"/>
      <w:r>
        <w:rPr>
          <w:rFonts w:hint="eastAsia" w:ascii="仿宋_GB2312" w:hAnsi="宋体" w:cs="宋体"/>
          <w:kern w:val="0"/>
          <w:sz w:val="24"/>
        </w:rPr>
        <w:t>；其他数据均来自防城区统计局及上级统计部门反馈数据。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77" w:bottom="1440" w:left="1077" w:header="851" w:footer="992" w:gutter="0"/>
      <w:pgNumType w:fmt="numberInDash"/>
      <w:cols w:space="720" w:num="1"/>
      <w:docGrid w:type="lines" w:linePitch="2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480"/>
      <w:rPr>
        <w:rStyle w:val="23"/>
        <w:sz w:val="24"/>
        <w:szCs w:val="24"/>
      </w:rPr>
    </w:pPr>
    <w:r>
      <w:rPr>
        <w:rStyle w:val="23"/>
        <w:sz w:val="24"/>
        <w:szCs w:val="24"/>
      </w:rPr>
      <w:fldChar w:fldCharType="begin"/>
    </w:r>
    <w:r>
      <w:rPr>
        <w:rStyle w:val="23"/>
        <w:sz w:val="24"/>
        <w:szCs w:val="24"/>
      </w:rPr>
      <w:instrText xml:space="preserve">PAGE  </w:instrText>
    </w:r>
    <w:r>
      <w:rPr>
        <w:rStyle w:val="23"/>
        <w:sz w:val="24"/>
        <w:szCs w:val="24"/>
      </w:rPr>
      <w:fldChar w:fldCharType="separate"/>
    </w:r>
    <w:r>
      <w:rPr>
        <w:rStyle w:val="23"/>
        <w:sz w:val="24"/>
        <w:szCs w:val="24"/>
      </w:rPr>
      <w:t>- 14 -</w:t>
    </w:r>
    <w:r>
      <w:rPr>
        <w:rStyle w:val="23"/>
        <w:sz w:val="24"/>
        <w:szCs w:val="24"/>
      </w:rPr>
      <w:fldChar w:fldCharType="end"/>
    </w:r>
  </w:p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360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Chars="11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3N2U3Y2FhNTM2MTQ4NWQ5NTkxMDE3ZjJmNDFhOGU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476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260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BC3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1F1A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5A7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3F83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0F4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32BB"/>
    <w:rsid w:val="006343D8"/>
    <w:rsid w:val="00634D2C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A45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9CE"/>
    <w:rsid w:val="00AE5D67"/>
    <w:rsid w:val="00AE65F9"/>
    <w:rsid w:val="00AE7936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EF1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97749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22D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635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4A28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29330A8"/>
    <w:rsid w:val="045D6F94"/>
    <w:rsid w:val="046E6F91"/>
    <w:rsid w:val="056C6B63"/>
    <w:rsid w:val="060D18FC"/>
    <w:rsid w:val="06F50C7F"/>
    <w:rsid w:val="071019BE"/>
    <w:rsid w:val="0781346B"/>
    <w:rsid w:val="0856773A"/>
    <w:rsid w:val="087361F9"/>
    <w:rsid w:val="08C3066A"/>
    <w:rsid w:val="095A603D"/>
    <w:rsid w:val="09806D25"/>
    <w:rsid w:val="098520A2"/>
    <w:rsid w:val="0A00095C"/>
    <w:rsid w:val="0A9C0020"/>
    <w:rsid w:val="0AC637B9"/>
    <w:rsid w:val="0BE2259C"/>
    <w:rsid w:val="0C085B06"/>
    <w:rsid w:val="0C1A4CB6"/>
    <w:rsid w:val="0C2E7299"/>
    <w:rsid w:val="0C612F6C"/>
    <w:rsid w:val="0D1B5BA4"/>
    <w:rsid w:val="0D2F4A2F"/>
    <w:rsid w:val="0D4D7FE7"/>
    <w:rsid w:val="0D596378"/>
    <w:rsid w:val="0E8611C8"/>
    <w:rsid w:val="0FAD7769"/>
    <w:rsid w:val="1026161E"/>
    <w:rsid w:val="10557C57"/>
    <w:rsid w:val="10A55406"/>
    <w:rsid w:val="110F4330"/>
    <w:rsid w:val="11102543"/>
    <w:rsid w:val="11551020"/>
    <w:rsid w:val="115F1B5A"/>
    <w:rsid w:val="11D03A5D"/>
    <w:rsid w:val="12114A19"/>
    <w:rsid w:val="12994FC7"/>
    <w:rsid w:val="13317439"/>
    <w:rsid w:val="13A4233F"/>
    <w:rsid w:val="13E871EE"/>
    <w:rsid w:val="148A0F64"/>
    <w:rsid w:val="155A5817"/>
    <w:rsid w:val="156173A0"/>
    <w:rsid w:val="16071490"/>
    <w:rsid w:val="16583103"/>
    <w:rsid w:val="166431AD"/>
    <w:rsid w:val="166848C9"/>
    <w:rsid w:val="16BC0BC9"/>
    <w:rsid w:val="19DF4AE9"/>
    <w:rsid w:val="19E33709"/>
    <w:rsid w:val="1AE56C83"/>
    <w:rsid w:val="1B1509C9"/>
    <w:rsid w:val="1B3F3905"/>
    <w:rsid w:val="1B4C6157"/>
    <w:rsid w:val="1B59273F"/>
    <w:rsid w:val="1BDA0789"/>
    <w:rsid w:val="1C7D1D7C"/>
    <w:rsid w:val="1CC719EB"/>
    <w:rsid w:val="1CD57F7D"/>
    <w:rsid w:val="1D9754EC"/>
    <w:rsid w:val="1E2E2802"/>
    <w:rsid w:val="202D709D"/>
    <w:rsid w:val="20B250A0"/>
    <w:rsid w:val="211E3F50"/>
    <w:rsid w:val="21A364D7"/>
    <w:rsid w:val="21FE15B8"/>
    <w:rsid w:val="221B12B9"/>
    <w:rsid w:val="224340A2"/>
    <w:rsid w:val="228E3E99"/>
    <w:rsid w:val="229C0058"/>
    <w:rsid w:val="23505093"/>
    <w:rsid w:val="238E06E7"/>
    <w:rsid w:val="23F74B63"/>
    <w:rsid w:val="24072AC7"/>
    <w:rsid w:val="247A3DB8"/>
    <w:rsid w:val="24810024"/>
    <w:rsid w:val="254F1545"/>
    <w:rsid w:val="25AF7803"/>
    <w:rsid w:val="25CD27CB"/>
    <w:rsid w:val="2692622A"/>
    <w:rsid w:val="26F608CA"/>
    <w:rsid w:val="27292A4F"/>
    <w:rsid w:val="277C6116"/>
    <w:rsid w:val="27F46A4C"/>
    <w:rsid w:val="28016DA2"/>
    <w:rsid w:val="28035FA7"/>
    <w:rsid w:val="28C433F0"/>
    <w:rsid w:val="290B629D"/>
    <w:rsid w:val="29771FA4"/>
    <w:rsid w:val="29A35238"/>
    <w:rsid w:val="2A2F0444"/>
    <w:rsid w:val="2A845A63"/>
    <w:rsid w:val="2AA16A3D"/>
    <w:rsid w:val="2B004F19"/>
    <w:rsid w:val="2B490B90"/>
    <w:rsid w:val="2B662226"/>
    <w:rsid w:val="2BE135AD"/>
    <w:rsid w:val="2C025F2A"/>
    <w:rsid w:val="2C6B4B8B"/>
    <w:rsid w:val="2D525416"/>
    <w:rsid w:val="2D5E76E3"/>
    <w:rsid w:val="2D675E90"/>
    <w:rsid w:val="2DA03FA1"/>
    <w:rsid w:val="2DA354EC"/>
    <w:rsid w:val="2DAA561F"/>
    <w:rsid w:val="2DC91CDF"/>
    <w:rsid w:val="2E7B51CF"/>
    <w:rsid w:val="2EE52C78"/>
    <w:rsid w:val="2F744CED"/>
    <w:rsid w:val="2FA72769"/>
    <w:rsid w:val="306517E9"/>
    <w:rsid w:val="327D4EDE"/>
    <w:rsid w:val="32A403A8"/>
    <w:rsid w:val="32E12624"/>
    <w:rsid w:val="334760AD"/>
    <w:rsid w:val="334F4882"/>
    <w:rsid w:val="33835F12"/>
    <w:rsid w:val="348B69F3"/>
    <w:rsid w:val="34D32FDC"/>
    <w:rsid w:val="34FE30EA"/>
    <w:rsid w:val="3509276E"/>
    <w:rsid w:val="350A0B1A"/>
    <w:rsid w:val="350E73A4"/>
    <w:rsid w:val="3645558D"/>
    <w:rsid w:val="366B11D8"/>
    <w:rsid w:val="366E49F5"/>
    <w:rsid w:val="36A35AAF"/>
    <w:rsid w:val="370C54DE"/>
    <w:rsid w:val="3850545F"/>
    <w:rsid w:val="388A0B00"/>
    <w:rsid w:val="38D76EF1"/>
    <w:rsid w:val="3902443D"/>
    <w:rsid w:val="3930392D"/>
    <w:rsid w:val="3A815FE9"/>
    <w:rsid w:val="3AC77BDB"/>
    <w:rsid w:val="3AE845B3"/>
    <w:rsid w:val="3AFB4522"/>
    <w:rsid w:val="3B542278"/>
    <w:rsid w:val="3B61448F"/>
    <w:rsid w:val="3BD10B4B"/>
    <w:rsid w:val="3C653926"/>
    <w:rsid w:val="3CC246A4"/>
    <w:rsid w:val="3CF35517"/>
    <w:rsid w:val="3CFA6963"/>
    <w:rsid w:val="3D1D4FB0"/>
    <w:rsid w:val="3D7B33D7"/>
    <w:rsid w:val="3DAF3B7C"/>
    <w:rsid w:val="3DEE2C36"/>
    <w:rsid w:val="3E0B5346"/>
    <w:rsid w:val="3E495D43"/>
    <w:rsid w:val="3E4B751C"/>
    <w:rsid w:val="3E5A0659"/>
    <w:rsid w:val="3E9B7E7E"/>
    <w:rsid w:val="3ECC77FD"/>
    <w:rsid w:val="3ED50AB0"/>
    <w:rsid w:val="3EFC7E62"/>
    <w:rsid w:val="3F0B01DA"/>
    <w:rsid w:val="3F226F63"/>
    <w:rsid w:val="3F3733EB"/>
    <w:rsid w:val="3FFF535D"/>
    <w:rsid w:val="40C95243"/>
    <w:rsid w:val="40E819EE"/>
    <w:rsid w:val="414932AA"/>
    <w:rsid w:val="42112280"/>
    <w:rsid w:val="421A0611"/>
    <w:rsid w:val="42461796"/>
    <w:rsid w:val="42AC5D7B"/>
    <w:rsid w:val="42CE0B28"/>
    <w:rsid w:val="43006D78"/>
    <w:rsid w:val="43CC3AB9"/>
    <w:rsid w:val="43D922DF"/>
    <w:rsid w:val="451B1AF7"/>
    <w:rsid w:val="455B4AA8"/>
    <w:rsid w:val="45964D9E"/>
    <w:rsid w:val="46795E30"/>
    <w:rsid w:val="46AD75B7"/>
    <w:rsid w:val="46AE73F7"/>
    <w:rsid w:val="46C30AA8"/>
    <w:rsid w:val="471B36B5"/>
    <w:rsid w:val="476319C0"/>
    <w:rsid w:val="47BD2163"/>
    <w:rsid w:val="48053064"/>
    <w:rsid w:val="491A478C"/>
    <w:rsid w:val="49F9606C"/>
    <w:rsid w:val="4A133476"/>
    <w:rsid w:val="4A4449FB"/>
    <w:rsid w:val="4A6E3C18"/>
    <w:rsid w:val="4ADC16D6"/>
    <w:rsid w:val="4B6C0871"/>
    <w:rsid w:val="4B6E3BBA"/>
    <w:rsid w:val="4B834DB2"/>
    <w:rsid w:val="4BE418F8"/>
    <w:rsid w:val="4C871278"/>
    <w:rsid w:val="4D945228"/>
    <w:rsid w:val="4DD126BF"/>
    <w:rsid w:val="4E6536AD"/>
    <w:rsid w:val="4E6A7B35"/>
    <w:rsid w:val="4EFE0A74"/>
    <w:rsid w:val="500F37DF"/>
    <w:rsid w:val="505E5A52"/>
    <w:rsid w:val="507A6545"/>
    <w:rsid w:val="508E4075"/>
    <w:rsid w:val="512336E1"/>
    <w:rsid w:val="51413A5A"/>
    <w:rsid w:val="51847654"/>
    <w:rsid w:val="51D720E4"/>
    <w:rsid w:val="52C3390F"/>
    <w:rsid w:val="53D45A03"/>
    <w:rsid w:val="53DD44C1"/>
    <w:rsid w:val="54A00CFA"/>
    <w:rsid w:val="54C57133"/>
    <w:rsid w:val="556975E5"/>
    <w:rsid w:val="5705321E"/>
    <w:rsid w:val="575C3FF3"/>
    <w:rsid w:val="5796443F"/>
    <w:rsid w:val="58922136"/>
    <w:rsid w:val="58DB6CD4"/>
    <w:rsid w:val="593D1C03"/>
    <w:rsid w:val="5995575B"/>
    <w:rsid w:val="5A595BDE"/>
    <w:rsid w:val="5AE52B3F"/>
    <w:rsid w:val="5AF65ADB"/>
    <w:rsid w:val="5B487EEC"/>
    <w:rsid w:val="5B8C6548"/>
    <w:rsid w:val="5C1D10C1"/>
    <w:rsid w:val="5CF922F8"/>
    <w:rsid w:val="5E834CA5"/>
    <w:rsid w:val="5EA3043F"/>
    <w:rsid w:val="5F2D45FA"/>
    <w:rsid w:val="5F68508C"/>
    <w:rsid w:val="5F896A99"/>
    <w:rsid w:val="5F96147D"/>
    <w:rsid w:val="60053947"/>
    <w:rsid w:val="600F3CE1"/>
    <w:rsid w:val="601010C3"/>
    <w:rsid w:val="60CC5EA9"/>
    <w:rsid w:val="60F256AD"/>
    <w:rsid w:val="613F4009"/>
    <w:rsid w:val="61FC41C2"/>
    <w:rsid w:val="62110B27"/>
    <w:rsid w:val="629D0DE7"/>
    <w:rsid w:val="6392410F"/>
    <w:rsid w:val="63A8690E"/>
    <w:rsid w:val="6439607A"/>
    <w:rsid w:val="644F4E75"/>
    <w:rsid w:val="647A7C57"/>
    <w:rsid w:val="65074746"/>
    <w:rsid w:val="6564232E"/>
    <w:rsid w:val="66DB1659"/>
    <w:rsid w:val="671A2F63"/>
    <w:rsid w:val="67236BC5"/>
    <w:rsid w:val="67376BEF"/>
    <w:rsid w:val="677F5C59"/>
    <w:rsid w:val="67E36CA2"/>
    <w:rsid w:val="683D5D7D"/>
    <w:rsid w:val="68B305D5"/>
    <w:rsid w:val="692F1E48"/>
    <w:rsid w:val="694F641F"/>
    <w:rsid w:val="69A60C8C"/>
    <w:rsid w:val="6A621B5B"/>
    <w:rsid w:val="6ADD526D"/>
    <w:rsid w:val="6ADD5DDF"/>
    <w:rsid w:val="6B267208"/>
    <w:rsid w:val="6B414E91"/>
    <w:rsid w:val="6B7B5BAA"/>
    <w:rsid w:val="6B831571"/>
    <w:rsid w:val="6B9044E0"/>
    <w:rsid w:val="6C464410"/>
    <w:rsid w:val="6CA51A2A"/>
    <w:rsid w:val="6D6B441E"/>
    <w:rsid w:val="6DBE1499"/>
    <w:rsid w:val="6DC17435"/>
    <w:rsid w:val="6DE02696"/>
    <w:rsid w:val="6E3D5058"/>
    <w:rsid w:val="6EAB5D80"/>
    <w:rsid w:val="6EB42BC5"/>
    <w:rsid w:val="6ED66D9E"/>
    <w:rsid w:val="6F4709D5"/>
    <w:rsid w:val="6F520A3E"/>
    <w:rsid w:val="6F860FE6"/>
    <w:rsid w:val="70735ED9"/>
    <w:rsid w:val="709E4206"/>
    <w:rsid w:val="715359FF"/>
    <w:rsid w:val="716E5CC2"/>
    <w:rsid w:val="718F6A88"/>
    <w:rsid w:val="7191342D"/>
    <w:rsid w:val="72913582"/>
    <w:rsid w:val="73AA3365"/>
    <w:rsid w:val="740F168A"/>
    <w:rsid w:val="746B1B84"/>
    <w:rsid w:val="74F57D38"/>
    <w:rsid w:val="75253F0B"/>
    <w:rsid w:val="75750F77"/>
    <w:rsid w:val="758A3766"/>
    <w:rsid w:val="75F5454C"/>
    <w:rsid w:val="76565AC1"/>
    <w:rsid w:val="77625DAA"/>
    <w:rsid w:val="778167A3"/>
    <w:rsid w:val="778A4DE5"/>
    <w:rsid w:val="77F82E7F"/>
    <w:rsid w:val="78696783"/>
    <w:rsid w:val="786B13A6"/>
    <w:rsid w:val="7A377612"/>
    <w:rsid w:val="7A454079"/>
    <w:rsid w:val="7ABA0BB1"/>
    <w:rsid w:val="7B46351C"/>
    <w:rsid w:val="7B4B1FE3"/>
    <w:rsid w:val="7C4F6703"/>
    <w:rsid w:val="7DEF63B1"/>
    <w:rsid w:val="7DFD53BF"/>
    <w:rsid w:val="7E1A602E"/>
    <w:rsid w:val="7EE07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link w:val="32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2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unhideWhenUsed/>
    <w:qFormat/>
    <w:uiPriority w:val="0"/>
  </w:style>
  <w:style w:type="paragraph" w:styleId="7">
    <w:name w:val="annotation text"/>
    <w:basedOn w:val="1"/>
    <w:link w:val="28"/>
    <w:qFormat/>
    <w:uiPriority w:val="0"/>
    <w:pPr>
      <w:jc w:val="left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0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4">
    <w:name w:val="annotation subject"/>
    <w:basedOn w:val="7"/>
    <w:next w:val="7"/>
    <w:link w:val="29"/>
    <w:qFormat/>
    <w:uiPriority w:val="0"/>
    <w:rPr>
      <w:b/>
      <w:bCs/>
    </w:rPr>
  </w:style>
  <w:style w:type="table" w:styleId="16">
    <w:name w:val="Light Shading"/>
    <w:basedOn w:val="1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7">
    <w:name w:val="Light Shading Accent 5"/>
    <w:basedOn w:val="15"/>
    <w:qFormat/>
    <w:uiPriority w:val="60"/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8">
    <w:name w:val="Light Shading Accent 6"/>
    <w:basedOn w:val="15"/>
    <w:qFormat/>
    <w:uiPriority w:val="60"/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9">
    <w:name w:val="Light List Accent 1"/>
    <w:basedOn w:val="15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0">
    <w:name w:val="Medium List 1 Accent 5"/>
    <w:basedOn w:val="15"/>
    <w:qFormat/>
    <w:uiPriority w:val="65"/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21">
    <w:name w:val="Medium List 2 Accent 6"/>
    <w:basedOn w:val="15"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23">
    <w:name w:val="page number"/>
    <w:basedOn w:val="22"/>
    <w:qFormat/>
    <w:uiPriority w:val="0"/>
  </w:style>
  <w:style w:type="character" w:styleId="24">
    <w:name w:val="annotation reference"/>
    <w:qFormat/>
    <w:uiPriority w:val="0"/>
    <w:rPr>
      <w:sz w:val="21"/>
      <w:szCs w:val="21"/>
    </w:rPr>
  </w:style>
  <w:style w:type="paragraph" w:customStyle="1" w:styleId="25">
    <w:name w:val="Char1"/>
    <w:basedOn w:val="1"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Char"/>
    <w:basedOn w:val="1"/>
    <w:qFormat/>
    <w:uiPriority w:val="0"/>
  </w:style>
  <w:style w:type="character" w:customStyle="1" w:styleId="28">
    <w:name w:val="批注文字 Char"/>
    <w:link w:val="7"/>
    <w:qFormat/>
    <w:uiPriority w:val="0"/>
    <w:rPr>
      <w:kern w:val="2"/>
      <w:sz w:val="21"/>
      <w:szCs w:val="24"/>
    </w:rPr>
  </w:style>
  <w:style w:type="character" w:customStyle="1" w:styleId="29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30">
    <w:name w:val="标题 Char"/>
    <w:link w:val="13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31">
    <w:name w:val="副标题 Char"/>
    <w:link w:val="11"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32">
    <w:name w:val="标题 1 Char"/>
    <w:link w:val="6"/>
    <w:qFormat/>
    <w:uiPriority w:val="0"/>
    <w:rPr>
      <w:rFonts w:eastAsia="黑体"/>
      <w:b/>
      <w:bCs/>
      <w:kern w:val="44"/>
      <w:sz w:val="36"/>
      <w:szCs w:val="44"/>
    </w:rPr>
  </w:style>
  <w:style w:type="character" w:customStyle="1" w:styleId="33">
    <w:name w:val="font21"/>
    <w:basedOn w:val="2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hart" Target="charts/chart6.xml"/><Relationship Id="rId17" Type="http://schemas.openxmlformats.org/officeDocument/2006/relationships/chart" Target="charts/chart5.xml"/><Relationship Id="rId16" Type="http://schemas.openxmlformats.org/officeDocument/2006/relationships/chart" Target="charts/chart4.xml"/><Relationship Id="rId15" Type="http://schemas.openxmlformats.org/officeDocument/2006/relationships/chart" Target="charts/chart3.xml"/><Relationship Id="rId14" Type="http://schemas.openxmlformats.org/officeDocument/2006/relationships/chart" Target="charts/chart2.xml"/><Relationship Id="rId13" Type="http://schemas.openxmlformats.org/officeDocument/2006/relationships/image" Target="media/image1.png"/><Relationship Id="rId12" Type="http://schemas.openxmlformats.org/officeDocument/2006/relationships/chart" Target="charts/chart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8&#24180;&#32508;&#21512;\2017&#24180;&#20844;&#25253;\2017&#24180;&#20844;&#25253;&#25351;&#26631;&#22270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8&#24180;&#32508;&#21512;\2017&#24180;&#20844;&#25253;\2017&#24180;&#20844;&#25253;&#25351;&#26631;&#22270;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8&#24180;&#32508;&#21512;\2017&#24180;&#20844;&#25253;\2017&#24180;&#20844;&#25253;&#25351;&#26631;&#22270;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7&#24180;&#32508;&#21512;\2017&#32479;&#35745;&#26376;&#25253;\&#38450;&#22478;&#21306;12&#20010;&#26376;&#21160;&#24577;&#36235;&#21183;&#3492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8&#24180;&#32508;&#21512;\2017&#24180;&#20844;&#25253;\2017&#24180;&#20844;&#25253;&#25351;&#26631;&#22270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8&#24180;&#32508;&#21512;\2017&#24180;&#20844;&#25253;\2017&#24180;&#20844;&#25253;&#25351;&#26631;&#22270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2013年-2017年防城区地区生产总值</a:t>
            </a:r>
            <a:endParaRPr sz="1400" b="0" i="0" u="none" strike="noStrike" baseline="0">
              <a:solidFill>
                <a:srgbClr val="333333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73706179985928"/>
          <c:y val="0.0455298556430446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787158908507224"/>
          <c:y val="0.237291666666667"/>
          <c:w val="0.838608881754949"/>
          <c:h val="0.676958333333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rgbClr val="5B9BD5">
                <a:alpha val="100000"/>
              </a:srgbClr>
            </a:solidFill>
            <a:ln w="3175">
              <a:noFill/>
            </a:ln>
          </c:spPr>
          <c:invertIfNegative val="0"/>
          <c:dLbls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[2017年公报指标图1.xls]Sheet1!$A$4:$A$8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[2017年公报指标图1.xls]Sheet1!$B$4:$B$8</c:f>
              <c:numCache>
                <c:formatCode>General</c:formatCode>
                <c:ptCount val="5"/>
                <c:pt idx="0">
                  <c:v>103.82</c:v>
                </c:pt>
                <c:pt idx="1">
                  <c:v>117.19</c:v>
                </c:pt>
                <c:pt idx="2">
                  <c:v>127.13</c:v>
                </c:pt>
                <c:pt idx="3">
                  <c:v>138.85</c:v>
                </c:pt>
                <c:pt idx="4">
                  <c:v>150.46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142336"/>
        <c:axId val="40161280"/>
      </c:barChart>
      <c:lineChart>
        <c:grouping val="standard"/>
        <c:varyColors val="0"/>
        <c:ser>
          <c:idx val="1"/>
          <c:order val="1"/>
          <c:tx>
            <c:strRef>
              <c:f>"增速%"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[2017年公报指标图1.xls]Sheet1!$A$4:$A$8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[2017年公报指标图1.xls]Sheet1!$C$4:$C$8</c:f>
              <c:numCache>
                <c:formatCode>General</c:formatCode>
                <c:ptCount val="5"/>
                <c:pt idx="0">
                  <c:v>8.3</c:v>
                </c:pt>
                <c:pt idx="1" c:formatCode="0.0_ ">
                  <c:v>9</c:v>
                </c:pt>
                <c:pt idx="2">
                  <c:v>7.9</c:v>
                </c:pt>
                <c:pt idx="3">
                  <c:v>8.9</c:v>
                </c:pt>
                <c:pt idx="4">
                  <c:v>8.6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0163200"/>
        <c:axId val="40177664"/>
      </c:lineChart>
      <c:catAx>
        <c:axId val="40142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sq" cmpd="sng" algn="ctr">
            <a:solidFill>
              <a:schemeClr val="accent1"/>
            </a:solidFill>
            <a:prstDash val="solid"/>
            <a:miter lim="800000"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161280"/>
        <c:crossesAt val="0"/>
        <c:auto val="1"/>
        <c:lblAlgn val="ctr"/>
        <c:lblOffset val="100"/>
        <c:noMultiLvlLbl val="0"/>
      </c:catAx>
      <c:valAx>
        <c:axId val="40161280"/>
        <c:scaling>
          <c:orientation val="minMax"/>
        </c:scaling>
        <c:delete val="0"/>
        <c:axPos val="l"/>
        <c:numFmt formatCode="#,##0.00;[Red]\-#,##0.0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142336"/>
        <c:crosses val="autoZero"/>
        <c:crossBetween val="between"/>
      </c:valAx>
      <c:catAx>
        <c:axId val="40163200"/>
        <c:scaling>
          <c:orientation val="minMax"/>
        </c:scaling>
        <c:delete val="1"/>
        <c:axPos val="t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177664"/>
        <c:crosses val="max"/>
        <c:auto val="1"/>
        <c:lblAlgn val="ctr"/>
        <c:lblOffset val="100"/>
        <c:noMultiLvlLbl val="0"/>
      </c:catAx>
      <c:valAx>
        <c:axId val="40177664"/>
        <c:scaling>
          <c:orientation val="minMax"/>
        </c:scaling>
        <c:delete val="0"/>
        <c:axPos val="r"/>
        <c:numFmt formatCode="#,##0.0_);[Red]\(#,##0.0\)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163200"/>
        <c:crosses val="max"/>
        <c:crossBetween val="between"/>
      </c:valAx>
      <c:spPr>
        <a:noFill/>
        <a:ln w="3175">
          <a:noFill/>
        </a:ln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339560588634287"/>
          <c:y val="0.159998687664042"/>
          <c:w val="0.370000042129565"/>
          <c:h val="0.0835820209973753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690" b="0" i="0" u="none" strike="noStrike" kern="1200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Calibri" panose="020F0502020204030204" charset="-122"/>
                <a:ea typeface="Calibri" panose="020F0502020204030204" charset="-122"/>
                <a:cs typeface="Calibri" panose="020F0502020204030204" charset="-122"/>
              </a:rPr>
              <a:t>2013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sz="1400" b="0" i="0" u="none" strike="noStrike" baseline="0">
                <a:solidFill>
                  <a:srgbClr val="333333"/>
                </a:solidFill>
                <a:latin typeface="Calibri" panose="020F0502020204030204" charset="-122"/>
                <a:ea typeface="Calibri" panose="020F0502020204030204" charset="-122"/>
                <a:cs typeface="Calibri" panose="020F0502020204030204" charset="-122"/>
              </a:rPr>
              <a:t>-2017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年农林牧渔总产值与增速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29027777777778"/>
          <c:y val="0.0278696277516394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838028169014084"/>
          <c:y val="0.244625796178344"/>
          <c:w val="0.84237089201878"/>
          <c:h val="0.6734474522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[2017年公报指标图1.xls]Sheet1!$A$38:$A$42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[2017年公报指标图1.xls]Sheet1!$B$38:$B$42</c:f>
              <c:numCache>
                <c:formatCode>General</c:formatCode>
                <c:ptCount val="5"/>
                <c:pt idx="0">
                  <c:v>38.36</c:v>
                </c:pt>
                <c:pt idx="1">
                  <c:v>40.93</c:v>
                </c:pt>
                <c:pt idx="2">
                  <c:v>44.14</c:v>
                </c:pt>
                <c:pt idx="3">
                  <c:v>48.16</c:v>
                </c:pt>
                <c:pt idx="4">
                  <c:v>51.98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277120"/>
        <c:axId val="40278656"/>
      </c:barChart>
      <c:lineChart>
        <c:grouping val="standard"/>
        <c:varyColors val="0"/>
        <c:ser>
          <c:idx val="1"/>
          <c:order val="1"/>
          <c:tx>
            <c:strRef>
              <c:f>"增速%"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375"/>
                  <c:y val="-0.04643962848297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08333333333333"/>
                  <c:y val="-0.04643962848297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[2017年公报指标图1.xls]Sheet1!$A$38:$A$42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[2017年公报指标图1.xls]Sheet1!$C$38:$C$42</c:f>
              <c:numCache>
                <c:formatCode>General</c:formatCode>
                <c:ptCount val="5"/>
                <c:pt idx="0">
                  <c:v>6.1</c:v>
                </c:pt>
                <c:pt idx="1" c:formatCode="0.0_ ">
                  <c:v>3</c:v>
                </c:pt>
                <c:pt idx="2">
                  <c:v>4.8</c:v>
                </c:pt>
                <c:pt idx="3" c:formatCode="0.0_ ">
                  <c:v>4.2</c:v>
                </c:pt>
                <c:pt idx="4" c:formatCode="0.0_ ">
                  <c:v>4.9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3192320"/>
        <c:axId val="43345792"/>
      </c:lineChart>
      <c:catAx>
        <c:axId val="40277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278656"/>
        <c:crosses val="autoZero"/>
        <c:auto val="1"/>
        <c:lblAlgn val="ctr"/>
        <c:lblOffset val="100"/>
        <c:noMultiLvlLbl val="0"/>
      </c:catAx>
      <c:valAx>
        <c:axId val="40278656"/>
        <c:scaling>
          <c:orientation val="minMax"/>
          <c:max val="60"/>
          <c:min val="0"/>
        </c:scaling>
        <c:delete val="0"/>
        <c:axPos val="l"/>
        <c:numFmt formatCode="#,##0.00;[Red]\-#,##0.00" sourceLinked="0"/>
        <c:majorTickMark val="in"/>
        <c:minorTickMark val="in"/>
        <c:tickLblPos val="nextTo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277120"/>
        <c:crosses val="autoZero"/>
        <c:crossBetween val="between"/>
        <c:minorUnit val="2"/>
      </c:valAx>
      <c:catAx>
        <c:axId val="43192320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3345792"/>
        <c:crosses val="autoZero"/>
        <c:auto val="1"/>
        <c:lblAlgn val="ctr"/>
        <c:lblOffset val="100"/>
        <c:noMultiLvlLbl val="0"/>
      </c:catAx>
      <c:valAx>
        <c:axId val="43345792"/>
        <c:scaling>
          <c:orientation val="minMax"/>
          <c:max val="8"/>
        </c:scaling>
        <c:delete val="0"/>
        <c:axPos val="r"/>
        <c:numFmt formatCode="#,##0.0_);[Red]\(#,##0.0\)" sourceLinked="0"/>
        <c:majorTickMark val="in"/>
        <c:minorTickMark val="in"/>
        <c:tickLblPos val="nextTo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3192320"/>
        <c:crosses val="max"/>
        <c:crossBetween val="between"/>
      </c:valAx>
      <c:spPr>
        <a:noFill/>
        <a:ln w="3175">
          <a:noFill/>
        </a:ln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73611111111111"/>
          <c:y val="0.131888544891641"/>
          <c:w val="0.56875"/>
          <c:h val="0.0691434468524253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755" b="0" i="0" u="none" strike="noStrike" kern="1200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2013年-2017年规模以上工业产值增速（%）</a:t>
            </a:r>
          </a:p>
        </c:rich>
      </c:tx>
      <c:layout>
        <c:manualLayout>
          <c:xMode val="edge"/>
          <c:yMode val="edge"/>
          <c:x val="0.218472222222222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05"/>
          <c:y val="0.221579069228988"/>
          <c:w val="0.848944444444445"/>
          <c:h val="0.666913637416069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[2017年公报指标图1.xls]Sheet1!$A$83:$A$87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[2017年公报指标图1.xls]Sheet1!$C$83:$C$87</c:f>
              <c:numCache>
                <c:formatCode>General</c:formatCode>
                <c:ptCount val="5"/>
                <c:pt idx="0">
                  <c:v>19.6</c:v>
                </c:pt>
                <c:pt idx="1">
                  <c:v>16.5</c:v>
                </c:pt>
                <c:pt idx="2">
                  <c:v>11.9</c:v>
                </c:pt>
                <c:pt idx="3">
                  <c:v>14.6</c:v>
                </c:pt>
                <c:pt idx="4">
                  <c:v>15.8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52924416"/>
        <c:axId val="52927488"/>
      </c:lineChart>
      <c:catAx>
        <c:axId val="529244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927488"/>
        <c:crosses val="autoZero"/>
        <c:auto val="1"/>
        <c:lblAlgn val="ctr"/>
        <c:lblOffset val="100"/>
        <c:noMultiLvlLbl val="0"/>
      </c:catAx>
      <c:valAx>
        <c:axId val="5292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;[Red]\-#,##0.00" sourceLinked="0"/>
        <c:majorTickMark val="in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92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/>
              <a:t> </a:t>
            </a:r>
            <a:r>
              <a:rPr lang="en-US" altLang="zh-CN" sz="1600" b="0"/>
              <a:t>2017</a:t>
            </a:r>
            <a:r>
              <a:rPr altLang="en-US" sz="1600" b="0"/>
              <a:t>年防城</a:t>
            </a:r>
            <a:r>
              <a:rPr lang="zh-CN" altLang="en-US" sz="1600" b="0"/>
              <a:t>区</a:t>
            </a:r>
            <a:r>
              <a:rPr lang="zh-CN" sz="1600" b="0"/>
              <a:t>固定资产投资增速（</a:t>
            </a:r>
            <a:r>
              <a:rPr lang="en-US" altLang="zh-CN" sz="1600" b="0"/>
              <a:t>%</a:t>
            </a:r>
            <a:r>
              <a:rPr lang="zh-CN" sz="1600" b="0"/>
              <a:t>）</a:t>
            </a:r>
            <a:endParaRPr lang="zh-CN" sz="1600" b="0"/>
          </a:p>
        </c:rich>
      </c:tx>
      <c:layout>
        <c:manualLayout>
          <c:xMode val="edge"/>
          <c:yMode val="edge"/>
          <c:x val="0.231049149418406"/>
          <c:y val="0.059928527056498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1150592216582"/>
          <c:y val="0.180074487895717"/>
          <c:w val="0.860462492949803"/>
          <c:h val="0.501489757914339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noFill/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[防城区12个月动态趋势表.xlsx]固投!$M$1:$W$1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[防城区12个月动态趋势表.xlsx]固投!$M$2:$W$2</c:f>
              <c:numCache>
                <c:formatCode>0.0_ </c:formatCode>
                <c:ptCount val="11"/>
                <c:pt idx="0">
                  <c:v>38</c:v>
                </c:pt>
                <c:pt idx="1" c:formatCode="General">
                  <c:v>9.7</c:v>
                </c:pt>
                <c:pt idx="2" c:formatCode="General">
                  <c:v>8.2</c:v>
                </c:pt>
                <c:pt idx="3" c:formatCode="General">
                  <c:v>25.4</c:v>
                </c:pt>
                <c:pt idx="4">
                  <c:v>22</c:v>
                </c:pt>
                <c:pt idx="5" c:formatCode="General">
                  <c:v>23.1</c:v>
                </c:pt>
                <c:pt idx="6" c:formatCode="General">
                  <c:v>25.3</c:v>
                </c:pt>
                <c:pt idx="7" c:formatCode="General">
                  <c:v>29.5</c:v>
                </c:pt>
                <c:pt idx="8" c:formatCode="General">
                  <c:v>25.3</c:v>
                </c:pt>
                <c:pt idx="9" c:formatCode="General">
                  <c:v>20.9</c:v>
                </c:pt>
                <c:pt idx="10" c:formatCode="General">
                  <c:v>16.5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5695616"/>
        <c:axId val="55936128"/>
      </c:lineChart>
      <c:catAx>
        <c:axId val="556956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algn="ctr"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增速（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261207750768572"/>
              <c:y val="0.092314543714526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5936128"/>
        <c:crosses val="autoZero"/>
        <c:auto val="0"/>
        <c:lblAlgn val="ctr"/>
        <c:lblOffset val="100"/>
        <c:tickLblSkip val="1"/>
        <c:noMultiLvlLbl val="0"/>
      </c:catAx>
      <c:valAx>
        <c:axId val="55936128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5695616"/>
        <c:crosses val="autoZero"/>
        <c:crossBetween val="between"/>
        <c:majorUnit val="2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Calibri" panose="020F0502020204030204" charset="-122"/>
                <a:ea typeface="Calibri" panose="020F0502020204030204" charset="-122"/>
                <a:cs typeface="Calibri" panose="020F0502020204030204" charset="-122"/>
              </a:rPr>
              <a:t>201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3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sz="1400" b="0" i="0" u="none" strike="noStrike" baseline="0">
                <a:solidFill>
                  <a:srgbClr val="333333"/>
                </a:solidFill>
                <a:latin typeface="Calibri" panose="020F0502020204030204" charset="-122"/>
                <a:ea typeface="Calibri" panose="020F0502020204030204" charset="-122"/>
                <a:cs typeface="Calibri" panose="020F0502020204030204" charset="-122"/>
              </a:rPr>
              <a:t>-201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7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年社会消费品零售总额与增速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95187796363809"/>
          <c:y val="0.012986310074424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4111111111111"/>
          <c:y val="0.24025974025974"/>
          <c:w val="0.762611111111111"/>
          <c:h val="0.5228138528138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rgbClr val="5B9BD5">
                <a:alpha val="100000"/>
              </a:srgbClr>
            </a:solidFill>
            <a:ln w="3175">
              <a:noFill/>
            </a:ln>
          </c:spPr>
          <c:invertIfNegative val="0"/>
          <c:dLbls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[2017年公报指标图1.xls]Sheet1!$A$98:$A$102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[2017年公报指标图1.xls]Sheet1!$B$98:$B$102</c:f>
              <c:numCache>
                <c:formatCode>General</c:formatCode>
                <c:ptCount val="5"/>
                <c:pt idx="0">
                  <c:v>32.66</c:v>
                </c:pt>
                <c:pt idx="1">
                  <c:v>36.76</c:v>
                </c:pt>
                <c:pt idx="2">
                  <c:v>40.3</c:v>
                </c:pt>
                <c:pt idx="3">
                  <c:v>44.66</c:v>
                </c:pt>
                <c:pt idx="4">
                  <c:v>49.47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9751040"/>
        <c:axId val="119752960"/>
      </c:barChart>
      <c:lineChart>
        <c:grouping val="standard"/>
        <c:varyColors val="0"/>
        <c:ser>
          <c:idx val="1"/>
          <c:order val="1"/>
          <c:tx>
            <c:strRef>
              <c:f>"增速%"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{"增速%"}</c:f>
              <c:strCache>
                <c:ptCount val="1"/>
                <c:pt idx="0">
                  <c:v>增速%</c:v>
                </c:pt>
              </c:strCache>
            </c:strRef>
          </c:cat>
          <c:val>
            <c:numRef>
              <c:f>[2017年公报指标图1.xls]Sheet1!$C$98:$C$102</c:f>
              <c:numCache>
                <c:formatCode>General</c:formatCode>
                <c:ptCount val="5"/>
                <c:pt idx="0">
                  <c:v>14.9</c:v>
                </c:pt>
                <c:pt idx="1">
                  <c:v>12.6</c:v>
                </c:pt>
                <c:pt idx="2">
                  <c:v>9.6</c:v>
                </c:pt>
                <c:pt idx="3">
                  <c:v>10.8</c:v>
                </c:pt>
                <c:pt idx="4">
                  <c:v>10.8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20068736"/>
        <c:axId val="120100736"/>
      </c:lineChart>
      <c:catAx>
        <c:axId val="1197510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19752960"/>
        <c:crosses val="autoZero"/>
        <c:auto val="1"/>
        <c:lblAlgn val="ctr"/>
        <c:lblOffset val="100"/>
        <c:noMultiLvlLbl val="0"/>
      </c:catAx>
      <c:valAx>
        <c:axId val="119752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19751040"/>
        <c:crosses val="autoZero"/>
        <c:crossBetween val="between"/>
      </c:valAx>
      <c:catAx>
        <c:axId val="120068736"/>
        <c:scaling>
          <c:orientation val="minMax"/>
        </c:scaling>
        <c:delete val="1"/>
        <c:axPos val="t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20100736"/>
        <c:crosses val="max"/>
        <c:auto val="1"/>
        <c:lblAlgn val="ctr"/>
        <c:lblOffset val="100"/>
        <c:noMultiLvlLbl val="0"/>
      </c:catAx>
      <c:valAx>
        <c:axId val="12010073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20068736"/>
        <c:crosses val="max"/>
        <c:crossBetween val="between"/>
      </c:valAx>
      <c:spPr>
        <a:noFill/>
        <a:ln w="3175">
          <a:noFill/>
        </a:ln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15946681321038"/>
          <c:y val="0.127926295397609"/>
          <c:w val="0.7125"/>
          <c:h val="0.0727272727272727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690" b="0" i="0" u="none" strike="noStrike" kern="1200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944444444444"/>
          <c:y val="0.170138888888889"/>
          <c:w val="0.718805555555556"/>
          <c:h val="0.677028773658326"/>
        </c:manualLayout>
      </c:layout>
      <c:lineChart>
        <c:grouping val="standard"/>
        <c:varyColors val="0"/>
        <c:ser>
          <c:idx val="0"/>
          <c:order val="0"/>
          <c:tx>
            <c:strRef>
              <c:f>[2017年公报指标图1.xls]Sheet1!$C$148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0.0652252687522648"/>
                  <c:y val="-0.081101956745623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20833333333334"/>
                  <c:y val="-0.15625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[2017年公报指标图1.xls]Sheet1!$A$149:$A$153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[2017年公报指标图1.xls]Sheet1!$C$149:$C$153</c:f>
              <c:numCache>
                <c:formatCode>0.0%</c:formatCode>
                <c:ptCount val="5"/>
                <c:pt idx="0">
                  <c:v>-0.457</c:v>
                </c:pt>
                <c:pt idx="1">
                  <c:v>-0.423</c:v>
                </c:pt>
                <c:pt idx="2">
                  <c:v>3.936</c:v>
                </c:pt>
                <c:pt idx="3" c:formatCode="0.00%">
                  <c:v>0.393</c:v>
                </c:pt>
                <c:pt idx="4" c:formatCode="0.00%">
                  <c:v>-0.387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27404672"/>
        <c:axId val="127468672"/>
      </c:lineChart>
      <c:catAx>
        <c:axId val="1274046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27468672"/>
        <c:crosses val="autoZero"/>
        <c:auto val="1"/>
        <c:lblAlgn val="ctr"/>
        <c:lblOffset val="100"/>
        <c:noMultiLvlLbl val="0"/>
      </c:catAx>
      <c:valAx>
        <c:axId val="127468672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27404672"/>
        <c:crosses val="autoZero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319BE-4B62-46E6-92F7-FE9CBA74D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14</Pages>
  <Words>1064</Words>
  <Characters>6071</Characters>
  <Lines>50</Lines>
  <Paragraphs>14</Paragraphs>
  <TotalTime>321</TotalTime>
  <ScaleCrop>false</ScaleCrop>
  <LinksUpToDate>false</LinksUpToDate>
  <CharactersWithSpaces>7121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焦糖布丁</cp:lastModifiedBy>
  <cp:lastPrinted>2018-07-04T00:45:00Z</cp:lastPrinted>
  <dcterms:modified xsi:type="dcterms:W3CDTF">2023-08-18T09:59:36Z</dcterms:modified>
  <dc:title>2009年防城港市防城区社会经济发展统计公报</dc:title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136BEB67606E44B8B9A45E26FAE55900_12</vt:lpwstr>
  </property>
</Properties>
</file>