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auto"/>
          <w:sz w:val="40"/>
          <w:szCs w:val="48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8"/>
          <w:highlight w:val="none"/>
        </w:rPr>
        <w:t>201</w:t>
      </w:r>
      <w:r>
        <w:rPr>
          <w:rFonts w:hint="eastAsia" w:ascii="黑体" w:hAnsi="黑体" w:eastAsia="黑体" w:cs="黑体"/>
          <w:color w:val="auto"/>
          <w:sz w:val="40"/>
          <w:szCs w:val="48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0"/>
          <w:szCs w:val="48"/>
          <w:highlight w:val="none"/>
        </w:rPr>
        <w:t>年东兴市国民经济和社会发展统计公报</w:t>
      </w: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东兴市统计局</w:t>
      </w:r>
    </w:p>
    <w:p>
      <w:pPr>
        <w:jc w:val="both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过去一年，在自治区党委政府、防城港市委政府和市委的坚强领导下，在市人大、市政协的监督支持下，我们紧紧依靠全市各族人民，全面贯彻党的十九大精神，以习近平新时代中国特色社会主义思想为指导，坚持稳中求进工作总基调，坚持新发展理念，落实高质量发展要求，统筹做好稳增长、促改革、调结构、惠民生、防风险工作，全市经济社会发展取得新成绩，较好地完成市五届人大三次会议确定的年度主要任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jc w:val="center"/>
        <w:rPr>
          <w:rFonts w:ascii="楷体" w:hAnsi="楷体" w:eastAsia="楷体" w:cs="楷体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  <w:t>一、综合</w:t>
      </w:r>
    </w:p>
    <w:p>
      <w:pPr>
        <w:ind w:firstLine="640" w:firstLineChars="200"/>
        <w:jc w:val="left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初步核算，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全市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全年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生产总值同比增长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6.6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%（按2015年不变价格计算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,同比，下同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）。其中，第一产业增加值增长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5.6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%；第二产业增加值增长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5.8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%；第三产业增加值增长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7.9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%。三次产业增加值占地区生产总值比重分别为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20.2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%、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36.7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43.1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%,与上年同期相比，第一产业和第三产业分别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提高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了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个百分点和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个百分点，第二产业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比重回落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了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个百分点。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三次产业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对经济增长的贡献率分别为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15.8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%、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35.7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48.5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%。按常住人口计算，人均地区生产总值增长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%。</w:t>
      </w:r>
    </w:p>
    <w:p>
      <w:pPr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4600575" cy="2534920"/>
            <wp:effectExtent l="0" t="0" r="9525" b="17780"/>
            <wp:docPr id="14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431165</wp:posOffset>
                </wp:positionV>
                <wp:extent cx="838835" cy="264160"/>
                <wp:effectExtent l="0" t="0" r="0" b="0"/>
                <wp:wrapNone/>
                <wp:docPr id="1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/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9.75pt;margin-top:33.95pt;height:20.8pt;width:66.05pt;z-index:251666432;mso-width-relative:page;mso-height-relative:page;" filled="f" stroked="f" coordsize="21600,21600" o:gfxdata="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WAAAAZHJzL1BLAQIUABQAAAAIAIdO4kCtHwaw2AAAAAkBAAAP&#10;AAAAAAAAAAEAIAAAADgAAABkcnMvZG93bnJldi54bWxQSwECFAAUAAAACACHTuJAcdjicJABAADx&#10;AgAADgAAAAAAAAABACAAAAA9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464820</wp:posOffset>
                </wp:positionV>
                <wp:extent cx="666750" cy="285750"/>
                <wp:effectExtent l="0" t="0" r="0" b="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/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83.25pt;margin-top:36.6pt;height:22.5pt;width:52.5pt;z-index:251665408;mso-width-relative:page;mso-height-relative:page;" filled="f" stroked="f" coordsize="21600,21600" o:gfxdata="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WAAAAZHJzL1BLAQIUABQAAAAIAIdO4kBqAmeS2QAAAAoBAAAPAAAA&#10;AAAAAAEAIAAAADgAAABkcnMvZG93bnJldi54bWxQSwECFAAUAAAACACHTuJA7TLhfowBAADxAgAA&#10;DgAAAAAAAAABACAAAAA+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drawing>
          <wp:inline distT="0" distB="0" distL="114300" distR="114300">
            <wp:extent cx="5210175" cy="3860800"/>
            <wp:effectExtent l="0" t="0" r="9525" b="635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color w:val="auto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年末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全市户籍总人口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15.38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万人；常住人口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16.25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万人，其中城镇人口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11.62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万人，人口城镇化率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71.5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比上年末提高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0.9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个百分点。年度内人口出生率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11.4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‰，死亡率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‰，人口自然增长率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8.07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‰。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全年新增就业人数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2905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人。年末登记失业人员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386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人，城镇登记失业率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2.01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与上年末提高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0.7个百分点。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全年全市财政收入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7.93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39.8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公共财政预算收入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4.94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53.1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%，其中，税收收入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3.24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50.4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%；非税收收入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1.70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57.6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%。公共财政预算支出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20.90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15.1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农业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全年农林牧渔业实现产值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26.79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其中，农业产值3.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%；林业产值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0.51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%；牧业产值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%；渔业产值2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%；农林牧渔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专业及辅助性活动产值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0.4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年末实有耕地面积0.5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万公顷，农田有效灌溉面积0.3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万公顷。农业机械总动力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万千瓦，化肥使用量（折纯量）0.1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万吨。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全年农作物播种面积0.9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比去年同期下降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5.26%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。其中，粮食种植面积0.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万公顷，经济作物面积0.0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万公顷，其他农作物面积0.3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万公顷。</w:t>
      </w:r>
    </w:p>
    <w:p>
      <w:pPr>
        <w:spacing w:line="540" w:lineRule="exact"/>
        <w:ind w:firstLine="720" w:firstLineChars="22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全年粮食总产量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1.87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5.45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%；甘蔗产量1.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%；薯类产量0.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45.2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%。蔬菜产量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4.65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%；水果产量1.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5.64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%；肉类总产量0.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1.33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%；水产品产量13.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spacing w:line="540" w:lineRule="exact"/>
        <w:ind w:firstLine="720" w:firstLineChars="22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720" w:firstLineChars="22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360" w:lineRule="exact"/>
        <w:jc w:val="center"/>
        <w:rPr>
          <w:rFonts w:ascii="黑体" w:hAnsi="黑体" w:eastAsia="黑体" w:cs="黑体"/>
          <w:bCs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eastAsia="zh-CN" w:bidi="ar"/>
        </w:rPr>
        <w:t>表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  <w:t>1：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201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年主要农副产品产量及增速</w:t>
      </w:r>
    </w:p>
    <w:tbl>
      <w:tblPr>
        <w:tblStyle w:val="5"/>
        <w:tblW w:w="6690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0"/>
        <w:gridCol w:w="2235"/>
        <w:gridCol w:w="217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6690" w:type="dxa"/>
            <w:gridSpan w:val="3"/>
            <w:tcBorders>
              <w:top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单位：万吨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产 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产 量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比上年增长%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粮 食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0.33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1.87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#稻 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1.3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-13.7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甘 蔗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1.35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薯 类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0.37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45.2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油 料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0.05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1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蔬 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4.65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水果产量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1.06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5.64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肉类总产量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0.8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1.33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28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水产品产量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13.53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1.21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28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#海水产品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12.89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0.9</w:t>
            </w:r>
          </w:p>
        </w:tc>
      </w:tr>
    </w:tbl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p>
      <w:pPr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三、工业和建筑业</w:t>
      </w:r>
    </w:p>
    <w:p>
      <w:pPr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全市工业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发展稳中有升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。全市全部工业总产值增长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17.7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工业增加值增长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。其中，规模以上工业总产值增长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18.1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%。规模以上工业增加值增长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9.6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%。</w:t>
      </w:r>
    </w:p>
    <w:p>
      <w:pPr>
        <w:ind w:firstLine="420" w:firstLineChars="200"/>
        <w:jc w:val="left"/>
        <w:rPr>
          <w:color w:val="0000FF"/>
          <w:highlight w:val="none"/>
        </w:rPr>
      </w:pPr>
      <w:r>
        <w:drawing>
          <wp:inline distT="0" distB="0" distL="114300" distR="114300">
            <wp:extent cx="5047615" cy="2990215"/>
            <wp:effectExtent l="0" t="0" r="635" b="63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color w:val="0000FF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486410</wp:posOffset>
                </wp:positionV>
                <wp:extent cx="838835" cy="264160"/>
                <wp:effectExtent l="0" t="0" r="0" b="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4pt;margin-top:38.3pt;height:20.8pt;width:66.05pt;z-index:251658240;mso-width-relative:page;mso-height-relative:page;" filled="f" stroked="f" coordsize="21600,21600" o:gfxdata="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WAAAAZHJzL1BLAQIUABQAAAAIAIdO4kAWffOR2QAAAAkBAAAP&#10;AAAAAAAAAAEAIAAAADgAAABkcnMvZG93bnJldi54bWxQSwECFAAUAAAACACHTuJAb1B0YY8BAADw&#10;AgAADgAAAAAAAAABACAAAAA+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FF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467360</wp:posOffset>
                </wp:positionV>
                <wp:extent cx="723900" cy="266065"/>
                <wp:effectExtent l="0" t="0" r="0" b="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58.5pt;margin-top:36.8pt;height:20.95pt;width:57pt;z-index:251659264;mso-width-relative:page;mso-height-relative:page;" filled="f" stroked="f" coordsize="21600,21600" o:gfxdata="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WAAAAZHJzL1BLAQIUABQAAAAIAIdO4kAscjAM2wAAAAoBAAAP&#10;AAAAAAAAAAEAIAAAADgAAABkcnMvZG93bnJldi54bWxQSwECFAAUAAAACACHTuJAd3w2rI0BAADw&#10;AgAADgAAAAAAAAABACAAAABA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80" w:firstLineChars="200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图3:20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年规上工业增加值增速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规模以上工业中，从轻重工业看，轻工业增加值增长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%；重工业增加值增长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%。分别拉动规上工业增加值增长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行业大体呈增长态势。其中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化学原料、塑料制品业、非金属矿物制品业、精制茶制造业增长较快，合计拉动规上工业增加值12.1个百分点。其中非金属矿物制品业和塑料制品业贡献率较大，两者贡献率分别为48.6%和46.7%。</w:t>
      </w:r>
    </w:p>
    <w:p>
      <w:pPr>
        <w:ind w:firstLine="481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ind w:firstLine="480" w:firstLineChars="200"/>
        <w:jc w:val="center"/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eastAsia="zh-CN" w:bidi="ar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eastAsia="zh-CN" w:bidi="ar"/>
        </w:rPr>
        <w:t>表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  <w:t>2：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201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eastAsia="zh-CN" w:bidi="ar"/>
        </w:rPr>
        <w:t>各中类行业增加值增速表</w:t>
      </w:r>
    </w:p>
    <w:p>
      <w:pPr>
        <w:ind w:firstLine="480" w:firstLineChars="200"/>
        <w:jc w:val="center"/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</w:pPr>
    </w:p>
    <w:tbl>
      <w:tblPr>
        <w:tblStyle w:val="5"/>
        <w:tblW w:w="86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1276"/>
        <w:gridCol w:w="26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33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增加值增速（%）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增加值增速（%）</w:t>
            </w:r>
          </w:p>
        </w:tc>
      </w:tr>
      <w:tr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其他采矿业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文教、工美、体育和娱乐用品制造业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-41.4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农副食品加工业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-0.4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橡胶和塑料制品业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28.2</w:t>
            </w:r>
          </w:p>
        </w:tc>
      </w:tr>
      <w:tr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食品制造业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6.8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非金属矿物制品业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酒、饮料和精制茶制造业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21.9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金属制品业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19.8</w:t>
            </w:r>
          </w:p>
        </w:tc>
      </w:tr>
      <w:tr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木材加工和木、竹、藤、棕、草制品业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14.8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汽车制造业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-32.1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家具制造业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-48.0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废弃资源综合利用业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8.2</w:t>
            </w:r>
          </w:p>
        </w:tc>
      </w:tr>
      <w:tr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造纸和纸制品业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-71.3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水的生产和供应业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-1.7</w:t>
            </w:r>
          </w:p>
        </w:tc>
      </w:tr>
    </w:tbl>
    <w:p>
      <w:pPr>
        <w:widowControl/>
        <w:wordWrap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widowControl/>
        <w:wordWrap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从企业效益看，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全年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规模以上工业企业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实现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主营业务收入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16.9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%；利润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65.0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%；销售产值增长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%。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年末共有资质等级的建筑企业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家。全年建筑业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增加值下降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5.6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%。全年完成建筑业总产值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16.95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亿元，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29.7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%。</w:t>
      </w:r>
    </w:p>
    <w:p>
      <w:pPr>
        <w:widowControl/>
        <w:snapToGrid w:val="0"/>
        <w:spacing w:line="600" w:lineRule="exact"/>
        <w:ind w:firstLine="640" w:firstLineChars="200"/>
        <w:jc w:val="center"/>
        <w:rPr>
          <w:rFonts w:ascii="楷体" w:hAnsi="楷体" w:eastAsia="楷体" w:cs="楷体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四、固定资产投资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全市固定资产投资（不含农户）增长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个百分点。其中项目投资增长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ind w:firstLine="42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4572000" cy="2743200"/>
            <wp:effectExtent l="0" t="0" r="0" b="0"/>
            <wp:docPr id="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图4:201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年固定资产投资增速</w: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分产业看，第一产业投资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74.0%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；第二产业投资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11.4%，其中工业投资增长9.9%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；第三产业投增长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%。三次产业投资比重由上年的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，第一、第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产业比重分别回落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个百分点，第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产业比重提高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个百分点。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 xml:space="preserve">        </w:t>
      </w:r>
    </w:p>
    <w:tbl>
      <w:tblPr>
        <w:tblStyle w:val="5"/>
        <w:tblW w:w="58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5"/>
        <w:gridCol w:w="1499"/>
      </w:tblGrid>
      <w:tr>
        <w:trPr>
          <w:trHeight w:val="360" w:hRule="atLeast"/>
          <w:jc w:val="center"/>
        </w:trPr>
        <w:tc>
          <w:tcPr>
            <w:tcW w:w="5834" w:type="dxa"/>
            <w:gridSpan w:val="2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表3：2018年固定资产投资各行业投资增速</w:t>
            </w:r>
          </w:p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行</w:t>
            </w:r>
            <w:r>
              <w:rPr>
                <w:rStyle w:val="7"/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bidi="ar"/>
              </w:rPr>
              <w:t xml:space="preserve">   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bidi="ar"/>
              </w:rPr>
              <w:t>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同比增长</w:t>
            </w:r>
            <w:r>
              <w:rPr>
                <w:rStyle w:val="7"/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bidi="ar"/>
              </w:rPr>
              <w:t>%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固定资产投资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16.8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农、林、牧、渔业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74.0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制造业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5.9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电力、热力、燃气及水生产和供应业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21.7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批发和零售业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-49.8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交通运输、仓储和邮政业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-84.6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住宿和餐饮业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8.7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房地产业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-28.6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租赁和商务服务业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50.2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科学研究和技术服务业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830.7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水利、环境和公共设施管理业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89.9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居民服务、修理和其他服务业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-100.0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教育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239.9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卫生和社会工作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-86.3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文化、体育和娱乐业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-45.5</w:t>
            </w:r>
          </w:p>
        </w:tc>
      </w:tr>
      <w:tr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公共管理、社会保障和社会组织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75.7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全年房地产开发投资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%。商品房销售面积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27.86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万平方米，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numPr>
          <w:ilvl w:val="0"/>
          <w:numId w:val="2"/>
        </w:num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国内贸易</w:t>
      </w:r>
    </w:p>
    <w:p>
      <w:pPr>
        <w:ind w:firstLine="736" w:firstLineChars="23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全年实现社会消费品零售总额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30.09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%。按经营地统计，城镇消费品零售总额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%；农村消费品零售总额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ind w:firstLine="275" w:firstLineChars="131"/>
        <w:jc w:val="center"/>
        <w:rPr>
          <w:color w:val="auto"/>
          <w:highlight w:val="none"/>
        </w:rPr>
      </w:pPr>
      <w:r>
        <w:drawing>
          <wp:inline distT="0" distB="0" distL="114300" distR="114300">
            <wp:extent cx="4619625" cy="3057525"/>
            <wp:effectExtent l="4445" t="4445" r="5080" b="5080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379095</wp:posOffset>
                </wp:positionV>
                <wp:extent cx="666750" cy="285750"/>
                <wp:effectExtent l="0" t="0" r="0" b="0"/>
                <wp:wrapNone/>
                <wp:docPr id="1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48.75pt;margin-top:29.85pt;height:22.5pt;width:52.5pt;z-index:251673600;mso-width-relative:page;mso-height-relative:page;" filled="f" stroked="f" coordsize="21600,21600" o:gfxdata="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BYAAABkcnMvUEsBAhQAFAAAAAgAh07iQI+0147aAAAACgEAAA8A&#10;AAAAAAAAAQAgAAAAOAAAAGRycy9kb3ducmV2LnhtbFBLAQIUABQAAAAIAIdO4kAa9+6EjQEAAPIC&#10;AAAOAAAAAAAAAAEAIAAAAD8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407670</wp:posOffset>
                </wp:positionV>
                <wp:extent cx="838835" cy="292735"/>
                <wp:effectExtent l="0" t="0" r="0" b="0"/>
                <wp:wrapNone/>
                <wp:docPr id="1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34.5pt;margin-top:32.1pt;height:23.05pt;width:66.05pt;z-index:251669504;mso-width-relative:page;mso-height-relative:page;" filled="f" stroked="f" coordsize="21600,21600" o:gfxdata="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WAAAAZHJzL1BLAQIUABQAAAAIAIdO4kBg+BLe2QAAAAkBAAAP&#10;AAAAAAAAAAEAIAAAADgAAABkcnMvZG93bnJldi54bWxQSwECFAAUAAAACACHTuJAP9Qe+48BAADy&#10;AgAADgAAAAAAAAABACAAAAA+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图5:201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年社会消费品零售总额及增速</w:t>
      </w:r>
    </w:p>
    <w:p>
      <w:pPr>
        <w:ind w:firstLine="275" w:firstLineChars="131"/>
        <w:jc w:val="center"/>
        <w:rPr>
          <w:color w:val="auto"/>
          <w:highlight w:val="none"/>
        </w:rPr>
      </w:pPr>
    </w:p>
    <w:p>
      <w:pPr>
        <w:numPr>
          <w:ilvl w:val="0"/>
          <w:numId w:val="2"/>
        </w:num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对外贸易和招商引资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据海关统计，全年外贸进出口总额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39.41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10.5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%，其中，出口总额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11.35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21.4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%；进口总额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28.06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32.1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</w:p>
    <w:p>
      <w:pPr>
        <w:ind w:firstLine="736" w:firstLineChars="23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据招商部门统计，全年新引进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境外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个，新增到位资金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104.10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11.1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%。其中，内资到位资金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95.14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亿元，外资到位资金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1.30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亿美元。</w:t>
      </w:r>
    </w:p>
    <w:p>
      <w:pPr>
        <w:ind w:firstLine="419" w:firstLineChars="131"/>
        <w:jc w:val="center"/>
        <w:rPr>
          <w:rFonts w:ascii="楷体" w:hAnsi="楷体" w:eastAsia="楷体" w:cs="楷体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七、交通、邮电和旅游</w:t>
      </w:r>
    </w:p>
    <w:p>
      <w:pPr>
        <w:ind w:firstLine="736" w:firstLineChars="23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全年交通运输、仓储及邮政业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实现增长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%。全年公路客货运周转量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6.84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亿吨公里，增长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8.2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%。其中，货物运输总量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383.6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万吨，增长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%；旅客运输总量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362.8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8.5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全年完成邮电业务总量（当年价）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12.43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129.4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%。其中，邮政业务总量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1.46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18.1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%；电信业务总量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10.96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162.4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%。年末固定电话用户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万户，移动电话用户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30.28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万户，互联网宽带接入用户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4.83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旅游产业发展较快，全年经东兴口岸出入境人数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1219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万人次，增长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22.6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全市接待游客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1140.31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万人次，增长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21.15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；旅游总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消费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104.75亿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27.39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%，其中国内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旅游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101.93万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27.89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%，国际旅游（外汇）收入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4554.1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万美元，增长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ind w:firstLine="720" w:firstLineChars="225"/>
        <w:jc w:val="center"/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</w:pPr>
    </w:p>
    <w:p>
      <w:pPr>
        <w:ind w:firstLine="720" w:firstLineChars="225"/>
        <w:jc w:val="center"/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</w:pPr>
    </w:p>
    <w:p>
      <w:pPr>
        <w:ind w:firstLine="720" w:firstLineChars="225"/>
        <w:jc w:val="center"/>
        <w:rPr>
          <w:rFonts w:ascii="楷体" w:hAnsi="楷体" w:eastAsia="楷体" w:cs="楷体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  <w:t>八、金融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全年金融业增加值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%。全市年末金融机构人民币存款余额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147.98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，居民存款余额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117.36亿元，增长9.9%；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人民币贷款余额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94.37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九、教育和科学技术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全市在校生数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35772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2175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8531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7772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人。其中，普通中学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所，专任教师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783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人，在校生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10971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3918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3711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人；中等职业技术学校1所，专任教师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人，在校生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1059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437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人；普通小学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所，专任教师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1369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人，在校生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23742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4613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3624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人。幼儿园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所，在园儿童数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13282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全年共组织实施科技项目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项，项目总投资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万元。实现科技成果转化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项。专利申请受理量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件，其中发明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件，获得授权专利数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，有效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发明专利拥有量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件。</w:t>
      </w:r>
    </w:p>
    <w:p>
      <w:p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十、文化、卫生和体育</w:t>
      </w:r>
    </w:p>
    <w:p>
      <w:pPr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年末全市公共图书馆1个，藏书量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95.39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千册。博物馆1个，文化馆1个，全民健身活动场所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城区内有游泳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个，青少年活动中心1个，老年活动中心1个。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全年举行体育运动竞赛场次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903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次。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全市共有卫生机构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个；其中等级医院1个，妇幼保健院1个，疾控预防中心1个；乡镇卫生院3个。共有卫生技术人员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人；其中执业（助理）医师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人，注册护士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人。全市医院、乡镇卫生院（含妇幼保健院）床位总数为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张。</w:t>
      </w:r>
    </w:p>
    <w:p>
      <w:pPr>
        <w:ind w:firstLine="720" w:firstLineChars="225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十一、人民生活和社会保障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城镇居民人均可支配收入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40363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%。农村居民人均可支配收入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17937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8.9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</w:p>
    <w:p>
      <w:pPr>
        <w:ind w:firstLine="275" w:firstLineChars="131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405765</wp:posOffset>
                </wp:positionV>
                <wp:extent cx="838835" cy="292735"/>
                <wp:effectExtent l="0" t="0" r="0" b="0"/>
                <wp:wrapNone/>
                <wp:docPr id="1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3.25pt;margin-top:31.95pt;height:23.05pt;width:66.05pt;z-index:251685888;mso-width-relative:page;mso-height-relative:page;" filled="f" stroked="f" coordsize="21600,21600" o:gfxdata="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su8P/NoAAAAJAQAA&#10;DwAAAAAAAAABACAAAAA4AAAAZHJzL2Rvd25yZXYueG1sUEsBAhQAFAAAAAgAh07iQKKbFKiPAQAA&#10;8gIAAA4AAAAAAAAAAQAgAAAAP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总量（元）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5304155" cy="2534285"/>
            <wp:effectExtent l="0" t="0" r="10795" b="18415"/>
            <wp:docPr id="11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462915</wp:posOffset>
                </wp:positionV>
                <wp:extent cx="666750" cy="285750"/>
                <wp:effectExtent l="0" t="0" r="0" b="0"/>
                <wp:wrapNone/>
                <wp:docPr id="1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57pt;margin-top:36.45pt;height:22.5pt;width:52.5pt;z-index:251702272;mso-width-relative:page;mso-height-relative:page;" filled="f" stroked="f" coordsize="21600,21600" o:gfxdata="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BYAAABkcnMvUEsBAhQAFAAAAAgAh07iQIOCbBXaAAAACgEAAA8A&#10;AAAAAAAAAQAgAAAAOAAAAGRycy9kb3ducmV2LnhtbFBLAQIUABQAAAAIAIdO4kD4p+3mjQEAAPIC&#10;AAAOAAAAAAAAAAEAIAAAAD8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314" w:firstLineChars="131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图6:201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年城镇居民人均可支配收入及增速</w:t>
      </w:r>
    </w:p>
    <w:p>
      <w:pPr>
        <w:ind w:firstLine="275" w:firstLineChars="131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drawing>
          <wp:inline distT="0" distB="0" distL="114300" distR="114300">
            <wp:extent cx="5394960" cy="2547620"/>
            <wp:effectExtent l="0" t="0" r="15240" b="5080"/>
            <wp:docPr id="12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434340</wp:posOffset>
                </wp:positionV>
                <wp:extent cx="666750" cy="285750"/>
                <wp:effectExtent l="0" t="0" r="0" b="0"/>
                <wp:wrapNone/>
                <wp:docPr id="2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78.75pt;margin-top:34.2pt;height:22.5pt;width:52.5pt;z-index:251776000;mso-width-relative:page;mso-height-relative:page;" filled="f" stroked="f" coordsize="21600,21600" o:gfxdata="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WAAAAZHJzL1BLAQIUABQAAAAIAIdO4kDBEyFg2wAAAAoBAAAP&#10;AAAAAAAAAAEAIAAAADgAAABkcnMvZG93bnJldi54bWxQSwECFAAUAAAACACHTuJAEBIOs40BAADy&#10;AgAADgAAAAAAAAABACAAAABA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424815</wp:posOffset>
                </wp:positionV>
                <wp:extent cx="838835" cy="292735"/>
                <wp:effectExtent l="0" t="0" r="0" b="0"/>
                <wp:wrapNone/>
                <wp:docPr id="2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5pt;margin-top:33.45pt;height:23.05pt;width:66.05pt;z-index:251730944;mso-width-relative:page;mso-height-relative:page;" filled="f" stroked="f" coordsize="21600,21600" o:gfxdata="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WAAAAZHJzL1BLAQIUABQAAAAIAIdO4kCOL6OL2QAAAAkBAAAP&#10;AAAAAAAAAAEAIAAAADgAAABkcnMvZG93bnJldi54bWxQSwECFAAUAAAACACHTuJASi73/Y8BAADy&#10;AgAADgAAAAAAAAABACAAAAA+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总量（元）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275" w:firstLineChars="131"/>
        <w:jc w:val="center"/>
        <w:rPr>
          <w:color w:val="auto"/>
          <w:highlight w:val="none"/>
        </w:rPr>
      </w:pPr>
    </w:p>
    <w:p>
      <w:pPr>
        <w:ind w:firstLine="314" w:firstLineChars="131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图7:201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年农村居民人均可支配收入及增速</w:t>
      </w:r>
    </w:p>
    <w:p>
      <w:pPr>
        <w:ind w:firstLine="275" w:firstLineChars="131"/>
        <w:jc w:val="center"/>
        <w:rPr>
          <w:color w:val="auto"/>
          <w:highlight w:val="none"/>
        </w:rPr>
      </w:pPr>
    </w:p>
    <w:p>
      <w:pPr>
        <w:ind w:firstLine="736" w:firstLineChars="23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年末参加城镇职工基本养老保险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1.63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参加城镇职工基本医疗保险1.28万人;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参加城乡居民基本养老保险5.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参加城乡居民基本医疗保险1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4.00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参加失业保险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9230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人；参加工伤保险1.3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万人；参加生育保险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9985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全年享受城镇最低生活保障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387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人，比上年减少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人。享受农村最低生活保障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2582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人，比上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年减少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年末各类收养性社会福利单位(含社会福利院、光荣院、敬老院、五保村）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个。各种社会福利收养性单位床位数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303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张,收养各类人员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</w:t>
      </w:r>
    </w:p>
    <w:p>
      <w:pPr>
        <w:ind w:firstLine="419" w:firstLineChars="131"/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十二、资源和安全生产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年末大中型水库蓄水总量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万立方米，比上年末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834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万立方米。全市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林地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面积3.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万公顷，森林覆盖率达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66.54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%。年末建成区面积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12.1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平方公里，建成区绿化面积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3.54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平方</w:t>
      </w:r>
      <w:r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  <w:t>公里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，建成区绿化覆盖率达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32.5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%。年末道路长度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170.5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公里，比上年末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12.28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公里。供气管道长度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197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公里，比上年末增加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全年城镇供水量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万平方米，城镇年供水综合生产能力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万立方米/日，人均日生活用水量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立方米。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全年全社会用电量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亿千瓦时，比上年增长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%。其中，居民生活用电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亿千瓦时，工业用电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1.12亿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千瓦时。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全年治安案件查处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起，比上年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起。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28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年内质量检查单位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家，处理假冒伪劣商品案件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件。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1、本公报中201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年数据均为初步统计数。部分数据因四舍五入的原因，存在着与分项合计不等的情况。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地区生产总值、各产业增加值及各项产值</w:t>
      </w: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绝对数按现行价格计算，增长速度按可比价格计算（工业总产值除外）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固定资产投资(不含农户)的口径为计划总投资500万元及以上固定资产投资项目的投资及房地产开发项目的投资。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常住人口是指在本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居住半年以上的人口，以及常住户口在本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、外出本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不满半年的或在境外工作学习的人口。总人口指本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全部户籍人口，不包括未落实常住户口。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5、本公报部分指标数据来自相关部门提供。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361" w:right="1701" w:bottom="136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57A4B"/>
    <w:multiLevelType w:val="singleLevel"/>
    <w:tmpl w:val="59657A4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65E507"/>
    <w:multiLevelType w:val="singleLevel"/>
    <w:tmpl w:val="5965E507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9B5DD75"/>
    <w:multiLevelType w:val="singleLevel"/>
    <w:tmpl w:val="59B5DD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5843"/>
    <w:rsid w:val="009D6551"/>
    <w:rsid w:val="01084EB8"/>
    <w:rsid w:val="05B32C05"/>
    <w:rsid w:val="06812D71"/>
    <w:rsid w:val="069C5E7E"/>
    <w:rsid w:val="086F2707"/>
    <w:rsid w:val="09080612"/>
    <w:rsid w:val="095D1316"/>
    <w:rsid w:val="0A1761C0"/>
    <w:rsid w:val="0A3F29E7"/>
    <w:rsid w:val="0ACE307A"/>
    <w:rsid w:val="0CA16E12"/>
    <w:rsid w:val="100B792B"/>
    <w:rsid w:val="10143103"/>
    <w:rsid w:val="1218233F"/>
    <w:rsid w:val="122754FA"/>
    <w:rsid w:val="13352E2D"/>
    <w:rsid w:val="16844712"/>
    <w:rsid w:val="16A07447"/>
    <w:rsid w:val="16AD677A"/>
    <w:rsid w:val="17EF4482"/>
    <w:rsid w:val="1A710EC5"/>
    <w:rsid w:val="1A993012"/>
    <w:rsid w:val="1E3D4738"/>
    <w:rsid w:val="1EE54E11"/>
    <w:rsid w:val="1FAD4DE0"/>
    <w:rsid w:val="207A174E"/>
    <w:rsid w:val="2114635B"/>
    <w:rsid w:val="21E31551"/>
    <w:rsid w:val="231C64A2"/>
    <w:rsid w:val="24F31555"/>
    <w:rsid w:val="27F27EF5"/>
    <w:rsid w:val="280362A7"/>
    <w:rsid w:val="2A8F3280"/>
    <w:rsid w:val="2AB500E4"/>
    <w:rsid w:val="2AE47EDD"/>
    <w:rsid w:val="2BC2029D"/>
    <w:rsid w:val="2D6D37B3"/>
    <w:rsid w:val="2FE274F6"/>
    <w:rsid w:val="2FF93341"/>
    <w:rsid w:val="30066FD5"/>
    <w:rsid w:val="31516DA9"/>
    <w:rsid w:val="322800FD"/>
    <w:rsid w:val="33AA54F1"/>
    <w:rsid w:val="33CB633F"/>
    <w:rsid w:val="33DE551D"/>
    <w:rsid w:val="34FB0B89"/>
    <w:rsid w:val="3525308E"/>
    <w:rsid w:val="35635BB6"/>
    <w:rsid w:val="36E62F81"/>
    <w:rsid w:val="37357607"/>
    <w:rsid w:val="39B84F31"/>
    <w:rsid w:val="3A373F25"/>
    <w:rsid w:val="3B472752"/>
    <w:rsid w:val="3BCA5567"/>
    <w:rsid w:val="3C5B45C0"/>
    <w:rsid w:val="3D185018"/>
    <w:rsid w:val="3DF66212"/>
    <w:rsid w:val="3E78241B"/>
    <w:rsid w:val="3EAB2F06"/>
    <w:rsid w:val="3F8A6D19"/>
    <w:rsid w:val="3FDF7595"/>
    <w:rsid w:val="4113030F"/>
    <w:rsid w:val="422B0B57"/>
    <w:rsid w:val="462A0DFD"/>
    <w:rsid w:val="469B6D8F"/>
    <w:rsid w:val="47E04DBB"/>
    <w:rsid w:val="48A6407A"/>
    <w:rsid w:val="496F0616"/>
    <w:rsid w:val="49A24B8D"/>
    <w:rsid w:val="4CF024FE"/>
    <w:rsid w:val="4D1C11DC"/>
    <w:rsid w:val="4E065A39"/>
    <w:rsid w:val="4E1B4A86"/>
    <w:rsid w:val="51AB01E1"/>
    <w:rsid w:val="51B35935"/>
    <w:rsid w:val="52DA64D6"/>
    <w:rsid w:val="52F37359"/>
    <w:rsid w:val="53085B94"/>
    <w:rsid w:val="530A64A3"/>
    <w:rsid w:val="53A34BB8"/>
    <w:rsid w:val="56540C5D"/>
    <w:rsid w:val="568725D6"/>
    <w:rsid w:val="57E87FDF"/>
    <w:rsid w:val="58C877DD"/>
    <w:rsid w:val="5A2E6EBE"/>
    <w:rsid w:val="5AC05D80"/>
    <w:rsid w:val="5CD55059"/>
    <w:rsid w:val="5ED22798"/>
    <w:rsid w:val="61751827"/>
    <w:rsid w:val="61FD429F"/>
    <w:rsid w:val="62E82EE5"/>
    <w:rsid w:val="662F614D"/>
    <w:rsid w:val="677D6921"/>
    <w:rsid w:val="67E25D34"/>
    <w:rsid w:val="6D7C5843"/>
    <w:rsid w:val="6DC82275"/>
    <w:rsid w:val="6F5E59B6"/>
    <w:rsid w:val="70800133"/>
    <w:rsid w:val="721F1F86"/>
    <w:rsid w:val="730B56CE"/>
    <w:rsid w:val="7437706B"/>
    <w:rsid w:val="75594BF3"/>
    <w:rsid w:val="75B0199F"/>
    <w:rsid w:val="77A26DC0"/>
    <w:rsid w:val="78497736"/>
    <w:rsid w:val="78BC5AFD"/>
    <w:rsid w:val="79D839DC"/>
    <w:rsid w:val="7B597C9A"/>
    <w:rsid w:val="7B6C4F1D"/>
    <w:rsid w:val="7BBA2E8F"/>
    <w:rsid w:val="7CAC0188"/>
    <w:rsid w:val="7CD5148A"/>
    <w:rsid w:val="7D0D2FA7"/>
    <w:rsid w:val="7DAC4307"/>
    <w:rsid w:val="7DC408F3"/>
    <w:rsid w:val="7E28625E"/>
    <w:rsid w:val="7EA773C8"/>
    <w:rsid w:val="7FAB6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F:\&#32508;&#21512;\&#32479;&#35745;&#20844;&#25253;\2017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2508;&#21512;\&#32479;&#35745;&#20844;&#25253;\2018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E:\&#32508;&#21512;\&#32479;&#35745;&#20844;&#25253;\2018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E:\&#32508;&#21512;\&#32479;&#35745;&#20844;&#25253;\2018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E:\&#32508;&#21512;\&#32479;&#35745;&#20844;&#25253;\2018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&#32508;&#21512;\&#32479;&#35745;&#20844;&#25253;\2018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32508;&#21512;\&#32479;&#35745;&#20844;&#25253;\2018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 sz="14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图</a:t>
            </a:r>
            <a:r>
              <a:rPr lang="en-US" altLang="zh-CN" sz="14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1</a:t>
            </a:r>
            <a:r>
              <a:rPr altLang="en-US" sz="14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：</a:t>
            </a:r>
            <a:r>
              <a:rPr lang="en-US" altLang="zh-CN" sz="14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2014</a:t>
            </a:r>
            <a:r>
              <a:rPr altLang="en-US" sz="14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年</a:t>
            </a:r>
            <a:r>
              <a:rPr lang="en-US" altLang="zh-CN" sz="14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-2018</a:t>
            </a:r>
            <a:r>
              <a:rPr altLang="en-US" sz="14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年地区生产总值增长速度</a:t>
            </a:r>
            <a:endParaRPr altLang="en-US" sz="1400" b="0">
              <a:latin typeface="黑体" panose="02010609060101010101" charset="-122"/>
              <a:ea typeface="黑体" panose="02010609060101010101" charset="-122"/>
              <a:cs typeface="黑体" panose="02010609060101010101" charset="-122"/>
            </a:endParaRPr>
          </a:p>
        </c:rich>
      </c:tx>
      <c:layout>
        <c:manualLayout>
          <c:xMode val="edge"/>
          <c:yMode val="edge"/>
          <c:x val="0.189279675638371"/>
          <c:y val="0.017638889697619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763333333333333"/>
          <c:y val="0.272769409038239"/>
          <c:w val="0.893111111111111"/>
          <c:h val="0.518748551564311"/>
        </c:manualLayout>
      </c:layout>
      <c:lineChart>
        <c:grouping val="standard"/>
        <c:varyColors val="false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0"/>
                  <c:y val="0.0104287369640788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'[2017公报图表.xlsx]2017'!$G$3:$K$3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'[2017公报图表.xlsx]2017'!$G$5:$K$5</c:f>
              <c:numCache>
                <c:formatCode>0.0_ </c:formatCode>
                <c:ptCount val="5"/>
                <c:pt idx="0">
                  <c:v>8.3</c:v>
                </c:pt>
                <c:pt idx="1">
                  <c:v>8.61</c:v>
                </c:pt>
                <c:pt idx="2">
                  <c:v>10.3</c:v>
                </c:pt>
                <c:pt idx="3">
                  <c:v>7</c:v>
                </c:pt>
                <c:pt idx="4">
                  <c:v>6.6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upDownBars>
          <c:gapWidth val="150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false"/>
        <c:smooth val="false"/>
        <c:axId val="282650200"/>
        <c:axId val="713584497"/>
      </c:lineChart>
      <c:catAx>
        <c:axId val="282650200"/>
        <c:scaling>
          <c:orientation val="minMax"/>
        </c:scaling>
        <c:delete val="false"/>
        <c:axPos val="b"/>
        <c:title>
          <c:tx>
            <c:rich>
              <a:bodyPr rot="0" spcFirstLastPara="0" vertOverflow="ellipsis" vert="horz" wrap="square" anchor="ctr" anchorCtr="true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200"/>
                  <a:t>%</a:t>
                </a:r>
                <a:endParaRPr lang="en-US" altLang="zh-CN" sz="1200"/>
              </a:p>
            </c:rich>
          </c:tx>
          <c:layout>
            <c:manualLayout>
              <c:xMode val="edge"/>
              <c:yMode val="edge"/>
              <c:x val="0.0563611111111111"/>
              <c:y val="0.157358053302433"/>
            </c:manualLayout>
          </c:layout>
          <c:overlay val="false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  <a:sp3d>
            <a:extrusionClr>
              <a:srgbClr val="FFFFFF"/>
            </a:extrusionClr>
            <a:contourClr>
              <a:srgbClr val="FFFFFF"/>
            </a:contourClr>
          </a:sp3d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13584497"/>
        <c:crosses val="autoZero"/>
        <c:auto val="true"/>
        <c:lblAlgn val="ctr"/>
        <c:lblOffset val="100"/>
        <c:noMultiLvlLbl val="false"/>
      </c:catAx>
      <c:valAx>
        <c:axId val="713584497"/>
        <c:scaling>
          <c:orientation val="minMax"/>
          <c:max val="12"/>
          <c:min val="4"/>
        </c:scaling>
        <c:delete val="false"/>
        <c:axPos val="l"/>
        <c:numFmt formatCode="0.0_ " sourceLinked="true"/>
        <c:majorTickMark val="in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  <a:sp3d>
            <a:extrusionClr>
              <a:srgbClr val="FFFFFF"/>
            </a:extrusionClr>
            <a:contourClr>
              <a:srgbClr val="FFFFFF"/>
            </a:contourClr>
          </a:sp3d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265020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400" b="0" i="0" u="none" strike="noStrike" kern="120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+mn-cs"/>
              </a:defRPr>
            </a:pPr>
            <a:r>
              <a:rPr lang="en-US" altLang="zh-CN" sz="1400" b="0">
                <a:latin typeface="黑体" panose="02010609060101010101" charset="-122"/>
                <a:ea typeface="黑体" panose="02010609060101010101" charset="-122"/>
              </a:rPr>
              <a:t>2014</a:t>
            </a:r>
            <a:r>
              <a:rPr lang="zh-CN" altLang="en-US" sz="1400" b="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en-US" altLang="zh-CN" sz="1400" b="0">
                <a:latin typeface="黑体" panose="02010609060101010101" charset="-122"/>
                <a:ea typeface="黑体" panose="02010609060101010101" charset="-122"/>
              </a:rPr>
              <a:t>-2018</a:t>
            </a:r>
            <a:r>
              <a:rPr lang="zh-CN" altLang="en-US" sz="1400" b="0">
                <a:latin typeface="黑体" panose="02010609060101010101" charset="-122"/>
                <a:ea typeface="黑体" panose="02010609060101010101" charset="-122"/>
              </a:rPr>
              <a:t>年三次产业比重</a:t>
            </a:r>
            <a:endParaRPr lang="zh-CN" altLang="en-US" sz="1400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false"/>
    </c:title>
    <c:autoTitleDeleted val="false"/>
    <c:plotArea>
      <c:layout/>
      <c:barChart>
        <c:barDir val="col"/>
        <c:grouping val="percentStacked"/>
        <c:varyColors val="false"/>
        <c:ser>
          <c:idx val="0"/>
          <c:order val="0"/>
          <c:tx>
            <c:strRef>
              <c:f>"第一产业"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rgbClr val="92D050"/>
            </a:solidFill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'[2018公报图表.xlsx]2017'!$G$8:$K$8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'[2018公报图表.xlsx]2017'!$G$9:$K$9</c:f>
              <c:numCache>
                <c:formatCode>0.0_ </c:formatCode>
                <c:ptCount val="5"/>
                <c:pt idx="0">
                  <c:v>17.8670943101054</c:v>
                </c:pt>
                <c:pt idx="1">
                  <c:v>18.0776987444271</c:v>
                </c:pt>
                <c:pt idx="2" c:formatCode="General">
                  <c:v>18.5</c:v>
                </c:pt>
                <c:pt idx="3">
                  <c:v>18.0428401790087</c:v>
                </c:pt>
                <c:pt idx="4">
                  <c:v>20.2</c:v>
                </c:pt>
              </c:numCache>
            </c:numRef>
          </c:val>
        </c:ser>
        <c:ser>
          <c:idx val="1"/>
          <c:order val="1"/>
          <c:tx>
            <c:strRef>
              <c:f>"第二产业"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rgbClr val="FFC000"/>
            </a:solidFill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'[2018公报图表.xlsx]2017'!$G$8:$K$8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'[2018公报图表.xlsx]2017'!$G$10:$K$10</c:f>
              <c:numCache>
                <c:formatCode>0.0_ </c:formatCode>
                <c:ptCount val="5"/>
                <c:pt idx="0">
                  <c:v>43.395221417045</c:v>
                </c:pt>
                <c:pt idx="1">
                  <c:v>42.4023798944864</c:v>
                </c:pt>
                <c:pt idx="2" c:formatCode="General">
                  <c:v>41.2</c:v>
                </c:pt>
                <c:pt idx="3">
                  <c:v>43.2674833117772</c:v>
                </c:pt>
                <c:pt idx="4">
                  <c:v>36.7</c:v>
                </c:pt>
              </c:numCache>
            </c:numRef>
          </c:val>
        </c:ser>
        <c:ser>
          <c:idx val="2"/>
          <c:order val="2"/>
          <c:tx>
            <c:strRef>
              <c:f>"第三产业"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rgbClr val="00B0F0"/>
            </a:solidFill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'[2018公报图表.xlsx]2017'!$G$8:$K$8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'[2018公报图表.xlsx]2017'!$G$11:$K$11</c:f>
              <c:numCache>
                <c:formatCode>0.0_ </c:formatCode>
                <c:ptCount val="5"/>
                <c:pt idx="0">
                  <c:v>38.7376842728497</c:v>
                </c:pt>
                <c:pt idx="1">
                  <c:v>39.5199770237321</c:v>
                </c:pt>
                <c:pt idx="2" c:formatCode="General">
                  <c:v>40.3</c:v>
                </c:pt>
                <c:pt idx="3">
                  <c:v>38.6896765092142</c:v>
                </c:pt>
                <c:pt idx="4">
                  <c:v>43.1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50"/>
        <c:overlap val="100"/>
        <c:axId val="44800256"/>
        <c:axId val="44802048"/>
      </c:barChart>
      <c:catAx>
        <c:axId val="44800256"/>
        <c:scaling>
          <c:orientation val="minMax"/>
        </c:scaling>
        <c:delete val="false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02048"/>
        <c:crosses val="autoZero"/>
        <c:auto val="true"/>
        <c:lblAlgn val="ctr"/>
        <c:lblOffset val="100"/>
        <c:noMultiLvlLbl val="false"/>
      </c:catAx>
      <c:valAx>
        <c:axId val="44802048"/>
        <c:scaling>
          <c:orientation val="minMax"/>
        </c:scaling>
        <c:delete val="false"/>
        <c:axPos val="l"/>
        <c:numFmt formatCode="0%" sourceLinked="true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00256"/>
        <c:crosses val="autoZero"/>
        <c:crossBetween val="between"/>
      </c:valAx>
      <c:spPr>
        <a:ln>
          <a:noFill/>
        </a:ln>
      </c:spPr>
    </c:plotArea>
    <c:legend>
      <c:legendPos val="t"/>
      <c:layout/>
      <c:overlay val="false"/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-2018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年规上工业增加值增速</a:t>
            </a:r>
            <a:endParaRPr altLang="en-US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1"/>
          <c:order val="0"/>
          <c:tx>
            <c:strRef>
              <c:f>"规上工业增加值增速（%）"</c:f>
              <c:strCache>
                <c:ptCount val="1"/>
                <c:pt idx="0">
                  <c:v>规上工业增加值增速（%）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0286685071140369"/>
                </c:manualLayout>
              </c:layout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'[2018公报图表.xlsx]2017'!$G$14:$K$14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'[2018公报图表.xlsx]2017'!$G$16:$K$16</c:f>
              <c:numCache>
                <c:formatCode>0.0_ ;[Red]\-0.0\ </c:formatCode>
                <c:ptCount val="5"/>
                <c:pt idx="0">
                  <c:v>10.6</c:v>
                </c:pt>
                <c:pt idx="1">
                  <c:v>9.1</c:v>
                </c:pt>
                <c:pt idx="2">
                  <c:v>15.8</c:v>
                </c:pt>
                <c:pt idx="3">
                  <c:v>11.8</c:v>
                </c:pt>
                <c:pt idx="4">
                  <c:v>9.6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487772674"/>
        <c:axId val="782974068"/>
      </c:lineChart>
      <c:catAx>
        <c:axId val="487772674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82974068"/>
        <c:crosses val="autoZero"/>
        <c:auto val="true"/>
        <c:lblAlgn val="ctr"/>
        <c:lblOffset val="100"/>
        <c:noMultiLvlLbl val="false"/>
      </c:catAx>
      <c:valAx>
        <c:axId val="782974068"/>
        <c:scaling>
          <c:orientation val="minMax"/>
        </c:scaling>
        <c:delete val="false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_ ;[Red]\-0.0\ " sourceLinked="true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8777267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-2018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年固定资产投资增速</a:t>
            </a:r>
            <a:endParaRPr altLang="en-US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1"/>
          <c:order val="0"/>
          <c:tx>
            <c:strRef>
              <c:f>"固定资产投资增速%"</c:f>
              <c:strCache>
                <c:ptCount val="1"/>
                <c:pt idx="0">
                  <c:v>固定资产投资增速%</c:v>
                </c:pt>
              </c:strCache>
            </c:strRef>
          </c:tx>
          <c:spPr>
            <a:ln w="2222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0.00833333333333333"/>
                  <c:y val="-0.0034722222222222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'[2018公报图表.xlsx]2017'!$G$19:$K$19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'[2018公报图表.xlsx]2017'!$G$21:$K$21</c:f>
              <c:numCache>
                <c:formatCode>General</c:formatCode>
                <c:ptCount val="5"/>
                <c:pt idx="0">
                  <c:v>15.8</c:v>
                </c:pt>
                <c:pt idx="1">
                  <c:v>11.2</c:v>
                </c:pt>
                <c:pt idx="2">
                  <c:v>8.5</c:v>
                </c:pt>
                <c:pt idx="3">
                  <c:v>7.4</c:v>
                </c:pt>
                <c:pt idx="4" c:formatCode="0.0_ ;[Red]\-0.0\ ">
                  <c:v>16.8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182587274"/>
        <c:axId val="34696426"/>
      </c:lineChart>
      <c:catAx>
        <c:axId val="182587274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4696426"/>
        <c:crosses val="autoZero"/>
        <c:auto val="true"/>
        <c:lblAlgn val="ctr"/>
        <c:lblOffset val="100"/>
        <c:noMultiLvlLbl val="false"/>
      </c:catAx>
      <c:valAx>
        <c:axId val="34696426"/>
        <c:scaling>
          <c:orientation val="minMax"/>
        </c:scaling>
        <c:delete val="false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_);[Red]\(#,##0\)" sourceLinked="false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8258727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200" b="0" i="0" u="none" strike="noStrike" kern="1200" spc="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2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2014-2018</a:t>
            </a:r>
            <a:r>
              <a:rPr altLang="en-US" sz="12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年社会消费品零售总额及增速</a:t>
            </a:r>
            <a:endParaRPr altLang="en-US" sz="1200">
              <a:solidFill>
                <a:schemeClr val="tx1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242222222222222"/>
          <c:y val="0.0243337195828505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'[2018公报图表.xlsx]2017'!$G$24:$K$24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'[2018公报图表.xlsx]2017'!$G$25:$K$25</c:f>
              <c:numCache>
                <c:formatCode>0.00_ </c:formatCode>
                <c:ptCount val="5"/>
                <c:pt idx="0">
                  <c:v>20.1924</c:v>
                </c:pt>
                <c:pt idx="1">
                  <c:v>22.36919</c:v>
                </c:pt>
                <c:pt idx="2">
                  <c:v>24.8969</c:v>
                </c:pt>
                <c:pt idx="3">
                  <c:v>27.55</c:v>
                </c:pt>
                <c:pt idx="4" c:formatCode="0.00_ ;[Red]\-0.00\ ">
                  <c:v>30.087698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150"/>
        <c:overlap val="0"/>
        <c:axId val="729788439"/>
        <c:axId val="923186670"/>
      </c:barChart>
      <c:lineChart>
        <c:grouping val="standard"/>
        <c:varyColors val="false"/>
        <c:ser>
          <c:idx val="1"/>
          <c:order val="1"/>
          <c:tx>
            <c:strRef>
              <c:f>"增速"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0.00208333333333333"/>
                  <c:y val="-0.00347624565469293"/>
                </c:manualLayout>
              </c:layout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'[2018公报图表.xlsx]2017'!$G$24:$K$24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'[2018公报图表.xlsx]2017'!$G$26:$K$26</c:f>
              <c:numCache>
                <c:formatCode>0.0_ </c:formatCode>
                <c:ptCount val="5"/>
                <c:pt idx="0">
                  <c:v>12.98</c:v>
                </c:pt>
                <c:pt idx="1">
                  <c:v>10.78</c:v>
                </c:pt>
                <c:pt idx="2" c:formatCode="General">
                  <c:v>11.3</c:v>
                </c:pt>
                <c:pt idx="3" c:formatCode="General">
                  <c:v>10.6</c:v>
                </c:pt>
                <c:pt idx="4" c:formatCode="0.0_ ;[Red]\-0.0\ ">
                  <c:v>9.23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250713769"/>
        <c:axId val="746482392"/>
      </c:lineChart>
      <c:catAx>
        <c:axId val="729788439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3186670"/>
        <c:crosses val="autoZero"/>
        <c:auto val="true"/>
        <c:lblAlgn val="ctr"/>
        <c:lblOffset val="100"/>
        <c:noMultiLvlLbl val="false"/>
      </c:catAx>
      <c:valAx>
        <c:axId val="923186670"/>
        <c:scaling>
          <c:orientation val="minMax"/>
        </c:scaling>
        <c:delete val="false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_ " sourceLinked="true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9788439"/>
        <c:crosses val="autoZero"/>
        <c:crossBetween val="between"/>
      </c:valAx>
      <c:catAx>
        <c:axId val="250713769"/>
        <c:scaling>
          <c:orientation val="minMax"/>
        </c:scaling>
        <c:delete val="true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6482392"/>
        <c:crosses val="autoZero"/>
        <c:auto val="true"/>
        <c:lblAlgn val="ctr"/>
        <c:lblOffset val="100"/>
        <c:noMultiLvlLbl val="false"/>
      </c:catAx>
      <c:valAx>
        <c:axId val="746482392"/>
        <c:scaling>
          <c:orientation val="minMax"/>
        </c:scaling>
        <c:delete val="false"/>
        <c:axPos val="r"/>
        <c:numFmt formatCode="0.0_ " sourceLinked="true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0713769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</a:t>
            </a:r>
            <a:r>
              <a:rPr altLang="en-US" sz="14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 sz="14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-2018</a:t>
            </a:r>
            <a:r>
              <a:rPr altLang="en-US" sz="14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年城镇居民人均可支配收入</a:t>
            </a:r>
            <a:endParaRPr altLang="en-US" sz="140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'[2018公报图表.xlsx]2017'!$G$29:$K$29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'[2018公报图表.xlsx]2017'!$G$30:$K$30</c:f>
              <c:numCache>
                <c:formatCode>General</c:formatCode>
                <c:ptCount val="5"/>
                <c:pt idx="0">
                  <c:v>31363</c:v>
                </c:pt>
                <c:pt idx="1">
                  <c:v>33558</c:v>
                </c:pt>
                <c:pt idx="2">
                  <c:v>34993</c:v>
                </c:pt>
                <c:pt idx="3">
                  <c:v>37652</c:v>
                </c:pt>
                <c:pt idx="4" c:formatCode="0_ ;[Red]\-0\ ">
                  <c:v>40363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150"/>
        <c:overlap val="0"/>
        <c:axId val="744940996"/>
        <c:axId val="370419811"/>
      </c:barChart>
      <c:lineChart>
        <c:grouping val="standard"/>
        <c:varyColors val="false"/>
        <c:ser>
          <c:idx val="1"/>
          <c:order val="1"/>
          <c:tx>
            <c:strRef>
              <c:f>"增速"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0"/>
                  <c:y val="0.00347222222222222"/>
                </c:manualLayout>
              </c:layout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0.0243055555555556"/>
                </c:manualLayout>
              </c:layout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'[2018公报图表.xlsx]2017'!$G$29:$K$29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'[2018公报图表.xlsx]2017'!$G$31:$K$31</c:f>
              <c:numCache>
                <c:formatCode>0.0_ </c:formatCode>
                <c:ptCount val="5"/>
                <c:pt idx="0">
                  <c:v>9.1000800083487</c:v>
                </c:pt>
                <c:pt idx="1">
                  <c:v>7</c:v>
                </c:pt>
                <c:pt idx="2">
                  <c:v>7.5</c:v>
                </c:pt>
                <c:pt idx="3">
                  <c:v>7.6</c:v>
                </c:pt>
                <c:pt idx="4" c:formatCode="0.0_ ;[Red]\-0.0\ ">
                  <c:v>7.20014873047911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736370749"/>
        <c:axId val="452600571"/>
      </c:lineChart>
      <c:catAx>
        <c:axId val="744940996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70419811"/>
        <c:crosses val="autoZero"/>
        <c:auto val="true"/>
        <c:lblAlgn val="ctr"/>
        <c:lblOffset val="100"/>
        <c:noMultiLvlLbl val="false"/>
      </c:catAx>
      <c:valAx>
        <c:axId val="370419811"/>
        <c:scaling>
          <c:orientation val="minMax"/>
        </c:scaling>
        <c:delete val="false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true"/>
        <c:majorTickMark val="out"/>
        <c:minorTickMark val="none"/>
        <c:tickLblPos val="nextTo"/>
        <c:spPr>
          <a:noFill/>
          <a:ln>
            <a:solidFill>
              <a:schemeClr val="tx1">
                <a:lumMod val="75000"/>
                <a:lumOff val="25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940996"/>
        <c:crosses val="autoZero"/>
        <c:crossBetween val="between"/>
      </c:valAx>
      <c:catAx>
        <c:axId val="736370749"/>
        <c:scaling>
          <c:orientation val="minMax"/>
        </c:scaling>
        <c:delete val="true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00571"/>
        <c:crosses val="autoZero"/>
        <c:auto val="true"/>
        <c:lblAlgn val="ctr"/>
        <c:lblOffset val="100"/>
        <c:noMultiLvlLbl val="false"/>
      </c:catAx>
      <c:valAx>
        <c:axId val="452600571"/>
        <c:scaling>
          <c:orientation val="minMax"/>
        </c:scaling>
        <c:delete val="false"/>
        <c:axPos val="r"/>
        <c:numFmt formatCode="0.0_ " sourceLinked="true"/>
        <c:majorTickMark val="out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36370749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</a:t>
            </a:r>
            <a:r>
              <a:rPr altLang="en-US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-2018</a:t>
            </a:r>
            <a:r>
              <a:rPr altLang="en-US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年农村居民人均可支配收入</a:t>
            </a:r>
            <a:endParaRPr>
              <a:solidFill>
                <a:schemeClr val="tx1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'[2018公报图表.xlsx]2017'!$G$32:$K$32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'[2018公报图表.xlsx]2017'!$G$33:$K$33</c:f>
              <c:numCache>
                <c:formatCode>General</c:formatCode>
                <c:ptCount val="5"/>
                <c:pt idx="0">
                  <c:v>11860</c:v>
                </c:pt>
                <c:pt idx="1">
                  <c:v>12904</c:v>
                </c:pt>
                <c:pt idx="2">
                  <c:v>14960</c:v>
                </c:pt>
                <c:pt idx="3">
                  <c:v>16471</c:v>
                </c:pt>
                <c:pt idx="4" c:formatCode="0_ ;[Red]\-0\ ">
                  <c:v>17937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150"/>
        <c:overlap val="0"/>
        <c:axId val="98923054"/>
        <c:axId val="663388269"/>
      </c:barChart>
      <c:lineChart>
        <c:grouping val="standard"/>
        <c:varyColors val="false"/>
        <c:ser>
          <c:idx val="1"/>
          <c:order val="1"/>
          <c:tx>
            <c:strRef>
              <c:f>"增速"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0.00306919121084618"/>
                  <c:y val="0.128978342749529"/>
                </c:manualLayout>
              </c:layout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166666666666667"/>
                  <c:y val="0.101694915254237"/>
                </c:manualLayout>
              </c:layout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numFmt formatCode="General" sourceLinked="true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true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'[2018公报图表.xlsx]2017'!$G$32:$K$32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'[2018公报图表.xlsx]2017'!$G$34:$K$34</c:f>
              <c:numCache>
                <c:formatCode>0.0_ </c:formatCode>
                <c:ptCount val="5"/>
                <c:pt idx="0">
                  <c:v>12.5023714665149</c:v>
                </c:pt>
                <c:pt idx="1">
                  <c:v>8.8</c:v>
                </c:pt>
                <c:pt idx="2">
                  <c:v>10</c:v>
                </c:pt>
                <c:pt idx="3">
                  <c:v>10.1</c:v>
                </c:pt>
                <c:pt idx="4" c:formatCode="0.0_ ;[Red]\-0.0\ ">
                  <c:v>8.90049177341996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394878325"/>
        <c:axId val="262088874"/>
      </c:lineChart>
      <c:catAx>
        <c:axId val="98923054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65000"/>
                <a:lumOff val="3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63388269"/>
        <c:crosses val="autoZero"/>
        <c:auto val="true"/>
        <c:lblAlgn val="ctr"/>
        <c:lblOffset val="100"/>
        <c:noMultiLvlLbl val="false"/>
      </c:catAx>
      <c:valAx>
        <c:axId val="663388269"/>
        <c:scaling>
          <c:orientation val="minMax"/>
        </c:scaling>
        <c:delete val="false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true"/>
        <c:majorTickMark val="out"/>
        <c:minorTickMark val="none"/>
        <c:tickLblPos val="nextTo"/>
        <c:spPr>
          <a:noFill/>
          <a:ln>
            <a:solidFill>
              <a:schemeClr val="tx1">
                <a:lumMod val="75000"/>
                <a:lumOff val="25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8923054"/>
        <c:crosses val="autoZero"/>
        <c:crossBetween val="between"/>
      </c:valAx>
      <c:catAx>
        <c:axId val="394878325"/>
        <c:scaling>
          <c:orientation val="minMax"/>
        </c:scaling>
        <c:delete val="true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2088874"/>
        <c:crosses val="autoZero"/>
        <c:auto val="true"/>
        <c:lblAlgn val="ctr"/>
        <c:lblOffset val="100"/>
        <c:noMultiLvlLbl val="false"/>
      </c:catAx>
      <c:valAx>
        <c:axId val="262088874"/>
        <c:scaling>
          <c:orientation val="minMax"/>
        </c:scaling>
        <c:delete val="false"/>
        <c:axPos val="r"/>
        <c:numFmt formatCode="0.0_ " sourceLinked="true"/>
        <c:majorTickMark val="out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94878325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2017-09-05T17:17:00Z</dcterms:created>
  <dc:creator>Lenovo</dc:creator>
  <cp:lastModifiedBy>gxxc</cp:lastModifiedBy>
  <cp:lastPrinted>2019-07-30T11:21:00Z</cp:lastPrinted>
  <dcterms:modified xsi:type="dcterms:W3CDTF">2023-08-21T17:47:26Z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