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仿宋_GB2312" w:eastAsia="方正小标宋_GBK" w:cs="宋体"/>
          <w:kern w:val="0"/>
          <w:sz w:val="44"/>
          <w:szCs w:val="44"/>
        </w:rPr>
      </w:pPr>
      <w:r>
        <w:rPr>
          <w:rFonts w:hint="eastAsia" w:ascii="方正小标宋_GBK" w:hAnsi="仿宋_GB2312" w:eastAsia="方正小标宋_GBK" w:cs="宋体"/>
          <w:kern w:val="0"/>
          <w:sz w:val="44"/>
          <w:szCs w:val="44"/>
        </w:rPr>
        <w:t>2014年港口区国民经济和社会发展统计公报</w:t>
      </w:r>
    </w:p>
    <w:p>
      <w:pPr>
        <w:widowControl/>
        <w:spacing w:beforeLines="50" w:line="540" w:lineRule="exact"/>
        <w:jc w:val="center"/>
        <w:rPr>
          <w:rFonts w:hint="eastAsia" w:ascii="楷体_GB2312" w:hAnsi="宋体" w:eastAsia="楷体_GB2312" w:cs="宋体"/>
          <w:kern w:val="0"/>
          <w:sz w:val="28"/>
          <w:szCs w:val="28"/>
        </w:rPr>
      </w:pPr>
      <w:r>
        <w:rPr>
          <w:rFonts w:hint="eastAsia" w:ascii="楷体_GB2312" w:hAnsi="宋体" w:eastAsia="楷体_GB2312" w:cs="宋体"/>
          <w:kern w:val="0"/>
          <w:sz w:val="28"/>
          <w:szCs w:val="28"/>
        </w:rPr>
        <w:t>港口区</w:t>
      </w:r>
      <w:r>
        <w:rPr>
          <w:rFonts w:hint="eastAsia" w:ascii="楷体_GB2312" w:hAnsi="宋体" w:eastAsia="楷体_GB2312" w:cs="宋体"/>
          <w:kern w:val="0"/>
          <w:sz w:val="28"/>
          <w:szCs w:val="28"/>
          <w:lang w:eastAsia="zh-CN"/>
        </w:rPr>
        <w:t>人民政府</w:t>
      </w:r>
    </w:p>
    <w:p>
      <w:pPr>
        <w:widowControl/>
        <w:spacing w:beforeLines="50" w:after="156" w:line="540" w:lineRule="exact"/>
        <w:jc w:val="center"/>
        <w:rPr>
          <w:rFonts w:hint="eastAsia" w:ascii="楷体_GB2312" w:hAnsi="宋体" w:eastAsia="楷体_GB2312" w:cs="宋体"/>
          <w:kern w:val="0"/>
          <w:sz w:val="28"/>
          <w:szCs w:val="28"/>
        </w:rPr>
      </w:pPr>
      <w:r>
        <w:rPr>
          <w:rFonts w:hint="eastAsia" w:ascii="楷体_GB2312" w:hAnsi="宋体" w:eastAsia="楷体_GB2312" w:cs="宋体"/>
          <w:kern w:val="0"/>
          <w:sz w:val="28"/>
          <w:szCs w:val="28"/>
        </w:rPr>
        <w:t>（2015年5月）</w:t>
      </w:r>
    </w:p>
    <w:p>
      <w:pPr>
        <w:widowControl/>
        <w:spacing w:line="600" w:lineRule="exact"/>
        <w:ind w:firstLine="528" w:firstLineChars="200"/>
        <w:jc w:val="left"/>
        <w:rPr>
          <w:rFonts w:hint="eastAsia" w:hAnsi="宋体"/>
          <w:color w:val="000000"/>
          <w:spacing w:val="-8"/>
          <w:sz w:val="28"/>
          <w:szCs w:val="28"/>
        </w:rPr>
      </w:pPr>
    </w:p>
    <w:p>
      <w:pPr>
        <w:widowControl/>
        <w:spacing w:line="600" w:lineRule="exact"/>
        <w:ind w:firstLine="528" w:firstLineChars="200"/>
        <w:jc w:val="left"/>
        <w:rPr>
          <w:rFonts w:hint="eastAsia" w:hAnsi="宋体"/>
          <w:color w:val="000000"/>
          <w:spacing w:val="-8"/>
          <w:sz w:val="28"/>
          <w:szCs w:val="28"/>
        </w:rPr>
      </w:pPr>
      <w:r>
        <w:rPr>
          <w:rFonts w:hAnsi="宋体"/>
          <w:color w:val="000000"/>
          <w:spacing w:val="-8"/>
          <w:sz w:val="28"/>
          <w:szCs w:val="28"/>
        </w:rPr>
        <w:t>201</w:t>
      </w:r>
      <w:r>
        <w:rPr>
          <w:rFonts w:hint="eastAsia" w:hAnsi="宋体"/>
          <w:color w:val="000000"/>
          <w:spacing w:val="-8"/>
          <w:sz w:val="28"/>
          <w:szCs w:val="28"/>
        </w:rPr>
        <w:t>4</w:t>
      </w:r>
      <w:r>
        <w:rPr>
          <w:rFonts w:hAnsi="宋体"/>
          <w:color w:val="000000"/>
          <w:spacing w:val="-8"/>
          <w:sz w:val="28"/>
          <w:szCs w:val="28"/>
        </w:rPr>
        <w:t>年，国内外经济运行环境仍然复杂，</w:t>
      </w:r>
      <w:r>
        <w:rPr>
          <w:rFonts w:hint="eastAsia" w:hAnsi="宋体"/>
          <w:color w:val="000000"/>
          <w:spacing w:val="-8"/>
          <w:sz w:val="28"/>
          <w:szCs w:val="28"/>
        </w:rPr>
        <w:t>港口区</w:t>
      </w:r>
      <w:r>
        <w:rPr>
          <w:rFonts w:hAnsi="宋体"/>
          <w:color w:val="000000"/>
          <w:spacing w:val="-8"/>
          <w:sz w:val="28"/>
          <w:szCs w:val="28"/>
        </w:rPr>
        <w:t>委</w:t>
      </w:r>
      <w:r>
        <w:rPr>
          <w:rFonts w:hint="eastAsia" w:hAnsi="宋体"/>
          <w:color w:val="000000"/>
          <w:spacing w:val="-8"/>
          <w:sz w:val="28"/>
          <w:szCs w:val="28"/>
          <w:lang w:eastAsia="zh-CN"/>
        </w:rPr>
        <w:t>、</w:t>
      </w:r>
      <w:bookmarkStart w:id="0" w:name="_GoBack"/>
      <w:bookmarkEnd w:id="0"/>
      <w:r>
        <w:rPr>
          <w:rFonts w:hint="eastAsia" w:hAnsi="宋体"/>
          <w:color w:val="000000"/>
          <w:spacing w:val="-8"/>
          <w:sz w:val="28"/>
          <w:szCs w:val="28"/>
        </w:rPr>
        <w:t>区</w:t>
      </w:r>
      <w:r>
        <w:rPr>
          <w:rFonts w:hAnsi="宋体"/>
          <w:color w:val="000000"/>
          <w:spacing w:val="-8"/>
          <w:sz w:val="28"/>
          <w:szCs w:val="28"/>
        </w:rPr>
        <w:t>政府</w:t>
      </w:r>
      <w:r>
        <w:rPr>
          <w:rFonts w:hint="eastAsia" w:hAnsi="宋体"/>
          <w:color w:val="000000"/>
          <w:spacing w:val="-8"/>
          <w:sz w:val="28"/>
          <w:szCs w:val="28"/>
        </w:rPr>
        <w:t>以党的群众路线教育实践活动为契机，以“十百千”项目建设为引领，</w:t>
      </w:r>
      <w:r>
        <w:rPr>
          <w:rFonts w:hAnsi="宋体"/>
          <w:color w:val="000000"/>
          <w:spacing w:val="-8"/>
          <w:sz w:val="28"/>
          <w:szCs w:val="28"/>
        </w:rPr>
        <w:t>在稳增长、调结构、惠民生等方面下功夫，全</w:t>
      </w:r>
      <w:r>
        <w:rPr>
          <w:rFonts w:hint="eastAsia" w:hAnsi="宋体"/>
          <w:color w:val="000000"/>
          <w:spacing w:val="-8"/>
          <w:sz w:val="28"/>
          <w:szCs w:val="28"/>
        </w:rPr>
        <w:t>区</w:t>
      </w:r>
      <w:r>
        <w:rPr>
          <w:rFonts w:hAnsi="宋体"/>
          <w:color w:val="000000"/>
          <w:spacing w:val="-8"/>
          <w:sz w:val="28"/>
          <w:szCs w:val="28"/>
        </w:rPr>
        <w:t>上下共同努力，全年经济运行保持总体平稳</w:t>
      </w:r>
      <w:r>
        <w:rPr>
          <w:rFonts w:hint="eastAsia" w:hAnsi="宋体"/>
          <w:color w:val="000000"/>
          <w:spacing w:val="-8"/>
          <w:sz w:val="28"/>
          <w:szCs w:val="28"/>
        </w:rPr>
        <w:t>。</w:t>
      </w:r>
    </w:p>
    <w:p>
      <w:pPr>
        <w:widowControl/>
        <w:tabs>
          <w:tab w:val="left" w:pos="5940"/>
        </w:tabs>
        <w:snapToGrid w:val="0"/>
        <w:spacing w:line="600" w:lineRule="exact"/>
        <w:jc w:val="center"/>
        <w:rPr>
          <w:rFonts w:hint="eastAsia" w:ascii="宋体" w:hAnsi="宋体" w:cs="宋体"/>
          <w:b/>
          <w:kern w:val="0"/>
          <w:sz w:val="28"/>
          <w:szCs w:val="28"/>
        </w:rPr>
      </w:pPr>
      <w:r>
        <w:rPr>
          <w:rFonts w:hint="eastAsia" w:ascii="宋体" w:hAnsi="宋体" w:cs="宋体"/>
          <w:b/>
          <w:kern w:val="0"/>
          <w:sz w:val="28"/>
          <w:szCs w:val="28"/>
        </w:rPr>
        <w:t>一、综  合</w:t>
      </w:r>
    </w:p>
    <w:p>
      <w:pPr>
        <w:spacing w:line="580" w:lineRule="exact"/>
        <w:ind w:firstLine="528" w:firstLineChars="200"/>
        <w:rPr>
          <w:rFonts w:hint="eastAsia" w:hAnsi="宋体"/>
          <w:color w:val="000000"/>
          <w:spacing w:val="-8"/>
          <w:sz w:val="28"/>
          <w:szCs w:val="28"/>
        </w:rPr>
      </w:pPr>
      <w:r>
        <w:rPr>
          <w:rFonts w:hAnsi="宋体"/>
          <w:color w:val="000000"/>
          <w:spacing w:val="-8"/>
          <w:sz w:val="28"/>
          <w:szCs w:val="28"/>
        </w:rPr>
        <w:t>初步核算，全年全区实现生产总值</w:t>
      </w:r>
      <w:r>
        <w:rPr>
          <w:rFonts w:hint="eastAsia" w:hAnsi="宋体"/>
          <w:color w:val="000000"/>
          <w:spacing w:val="-8"/>
          <w:sz w:val="28"/>
          <w:szCs w:val="28"/>
        </w:rPr>
        <w:t>324.56</w:t>
      </w:r>
      <w:r>
        <w:rPr>
          <w:rFonts w:hAnsi="宋体"/>
          <w:color w:val="000000"/>
          <w:spacing w:val="-8"/>
          <w:sz w:val="28"/>
          <w:szCs w:val="28"/>
        </w:rPr>
        <w:t>亿元，增长</w:t>
      </w:r>
      <w:r>
        <w:rPr>
          <w:rFonts w:hint="eastAsia" w:hAnsi="宋体"/>
          <w:color w:val="000000"/>
          <w:spacing w:val="-8"/>
          <w:sz w:val="28"/>
          <w:szCs w:val="28"/>
        </w:rPr>
        <w:t>13.0</w:t>
      </w:r>
      <w:r>
        <w:rPr>
          <w:rFonts w:hAnsi="宋体"/>
          <w:color w:val="000000"/>
          <w:spacing w:val="-8"/>
          <w:sz w:val="28"/>
          <w:szCs w:val="28"/>
        </w:rPr>
        <w:t>%（按可比价格计算，同比，下同），</w:t>
      </w:r>
      <w:r>
        <w:rPr>
          <w:rFonts w:hint="eastAsia" w:hAnsi="宋体"/>
          <w:color w:val="000000"/>
          <w:spacing w:val="-8"/>
          <w:sz w:val="28"/>
          <w:szCs w:val="28"/>
        </w:rPr>
        <w:t>按常住人口计算，人均地区生产总值19.74万元，增长11.4%。</w:t>
      </w:r>
    </w:p>
    <w:p>
      <w:pPr>
        <w:spacing w:line="580" w:lineRule="exact"/>
        <w:ind w:firstLine="528" w:firstLineChars="200"/>
        <w:rPr>
          <w:rFonts w:hint="eastAsia" w:hAnsi="宋体"/>
          <w:color w:val="000000"/>
          <w:spacing w:val="-8"/>
          <w:sz w:val="28"/>
          <w:szCs w:val="28"/>
        </w:rPr>
      </w:pPr>
      <w:r>
        <w:rPr>
          <w:rFonts w:hint="eastAsia" w:hAnsi="宋体"/>
          <w:color w:val="000000"/>
          <w:spacing w:val="-8"/>
          <w:sz w:val="28"/>
          <w:szCs w:val="28"/>
        </w:rPr>
        <w:t>从三次产业看，与上年同期比，第一、第三产业增幅均有所提升，第二产业增幅回落。全年全区</w:t>
      </w:r>
      <w:r>
        <w:rPr>
          <w:rFonts w:hAnsi="宋体"/>
          <w:color w:val="000000"/>
          <w:spacing w:val="-8"/>
          <w:sz w:val="28"/>
          <w:szCs w:val="28"/>
        </w:rPr>
        <w:t>生产总值</w:t>
      </w:r>
      <w:r>
        <w:rPr>
          <w:rFonts w:hint="eastAsia" w:hAnsi="宋体"/>
          <w:color w:val="000000"/>
          <w:spacing w:val="-8"/>
          <w:sz w:val="28"/>
          <w:szCs w:val="28"/>
        </w:rPr>
        <w:t>324.56亿元，</w:t>
      </w:r>
      <w:r>
        <w:rPr>
          <w:rFonts w:hAnsi="宋体"/>
          <w:color w:val="000000"/>
          <w:spacing w:val="-8"/>
          <w:sz w:val="28"/>
          <w:szCs w:val="28"/>
        </w:rPr>
        <w:t>其中，实现</w:t>
      </w:r>
      <w:r>
        <w:rPr>
          <w:rFonts w:hint="eastAsia" w:hAnsi="宋体"/>
          <w:color w:val="000000"/>
          <w:spacing w:val="-8"/>
          <w:sz w:val="28"/>
          <w:szCs w:val="28"/>
        </w:rPr>
        <w:t>第一产业增加值13.46亿元，增长6.5%，同比提高2.3个百分点；第三产业增加值89.94亿元，增长4.5%，同比提高1.6个百分点；第二产业增加值221.16亿元，增长17.6%，同比回落1.9个百分点。</w:t>
      </w:r>
    </w:p>
    <w:p>
      <w:pPr>
        <w:spacing w:line="580" w:lineRule="exact"/>
        <w:ind w:firstLine="528" w:firstLineChars="200"/>
        <w:rPr>
          <w:rFonts w:hint="eastAsia" w:hAnsi="宋体"/>
          <w:color w:val="000000"/>
          <w:spacing w:val="-8"/>
          <w:sz w:val="28"/>
          <w:szCs w:val="28"/>
        </w:rPr>
      </w:pPr>
      <w:r>
        <w:rPr>
          <w:rFonts w:hint="eastAsia" w:hAnsi="宋体"/>
          <w:color w:val="000000"/>
          <w:spacing w:val="-8"/>
          <w:sz w:val="28"/>
          <w:szCs w:val="28"/>
        </w:rPr>
        <w:t>从对经济增长的贡献率看，第一、第三产业对经济增长的贡献同比提高。三次产业对经济增长的贡献率分别为2.1%、86.8%、11.1%，第一、第三产业同比分别提高0.6个百分点、3.9个百分点，第二产业同比回落3.3个百分点。三次产业分别拉动经济增长0.3个百分点、11.3个百分点、1.4个百分点。</w:t>
      </w:r>
    </w:p>
    <w:p>
      <w:pPr>
        <w:spacing w:line="580" w:lineRule="exact"/>
        <w:ind w:firstLine="528" w:firstLineChars="200"/>
        <w:rPr>
          <w:rFonts w:hint="eastAsia" w:hAnsi="宋体"/>
          <w:color w:val="000000"/>
          <w:spacing w:val="-8"/>
          <w:sz w:val="28"/>
          <w:szCs w:val="28"/>
        </w:rPr>
      </w:pPr>
      <w:r>
        <w:rPr>
          <w:rFonts w:hint="eastAsia" w:hAnsi="宋体"/>
          <w:color w:val="000000"/>
          <w:spacing w:val="-8"/>
          <w:sz w:val="28"/>
          <w:szCs w:val="28"/>
        </w:rPr>
        <w:t>从结构看，与上年同期比，第二产业比重提高，第三产业比重下降。三次产业结构由上年的4.2:66.2:29.6调整为4.2:68.1:27.7。</w:t>
      </w:r>
    </w:p>
    <w:p>
      <w:pPr>
        <w:jc w:val="center"/>
        <w:rPr>
          <w:rFonts w:hint="eastAsia"/>
        </w:rPr>
      </w:pPr>
      <w:r>
        <w:drawing>
          <wp:inline distT="0" distB="0" distL="0" distR="0">
            <wp:extent cx="5071745" cy="25304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5071745" cy="2530475"/>
                    </a:xfrm>
                    <a:prstGeom prst="rect">
                      <a:avLst/>
                    </a:prstGeom>
                    <a:noFill/>
                    <a:ln w="9525">
                      <a:noFill/>
                      <a:miter lim="800000"/>
                      <a:headEnd/>
                      <a:tailEnd/>
                    </a:ln>
                  </pic:spPr>
                </pic:pic>
              </a:graphicData>
            </a:graphic>
          </wp:inline>
        </w:drawing>
      </w:r>
    </w:p>
    <w:p>
      <w:pPr>
        <w:jc w:val="center"/>
        <w:rPr>
          <w:rFonts w:hint="eastAsia"/>
        </w:rPr>
      </w:pPr>
      <w:r>
        <w:drawing>
          <wp:inline distT="0" distB="0" distL="0" distR="0">
            <wp:extent cx="5018405" cy="29025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5018405" cy="2902585"/>
                    </a:xfrm>
                    <a:prstGeom prst="rect">
                      <a:avLst/>
                    </a:prstGeom>
                    <a:noFill/>
                    <a:ln w="9525">
                      <a:noFill/>
                      <a:miter lim="800000"/>
                      <a:headEnd/>
                      <a:tailEnd/>
                    </a:ln>
                  </pic:spPr>
                </pic:pic>
              </a:graphicData>
            </a:graphic>
          </wp:inline>
        </w:drawing>
      </w:r>
    </w:p>
    <w:p>
      <w:pPr>
        <w:spacing w:line="580" w:lineRule="exact"/>
        <w:ind w:firstLine="528" w:firstLineChars="200"/>
        <w:rPr>
          <w:rFonts w:hint="eastAsia" w:hAnsi="宋体"/>
          <w:color w:val="000000"/>
          <w:spacing w:val="-8"/>
          <w:sz w:val="28"/>
          <w:szCs w:val="28"/>
        </w:rPr>
      </w:pPr>
      <w:r>
        <w:rPr>
          <w:rFonts w:hint="eastAsia" w:hAnsi="宋体"/>
          <w:color w:val="000000"/>
          <w:spacing w:val="-8"/>
          <w:sz w:val="28"/>
          <w:szCs w:val="28"/>
        </w:rPr>
        <w:t>全年全区实现财政收入10.96亿元，增长8.6%，同比回落18.7个百分点，累计增速连续8个月保持在个位数的增长区间；实现税收收入9.46亿元，增长5.6%；公共财政预算收入5.7亿元，增长10.6%。公共财政预算支出10.31亿元，增长13.9%，其中，一般公共服务支出2.03亿元，增长2.1%。</w:t>
      </w:r>
    </w:p>
    <w:p>
      <w:pPr>
        <w:jc w:val="center"/>
        <w:rPr>
          <w:rFonts w:hint="eastAsia"/>
        </w:rPr>
      </w:pPr>
      <w:r>
        <w:drawing>
          <wp:inline distT="0" distB="0" distL="0" distR="0">
            <wp:extent cx="5252720" cy="24244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srcRect/>
                    <a:stretch>
                      <a:fillRect/>
                    </a:stretch>
                  </pic:blipFill>
                  <pic:spPr>
                    <a:xfrm>
                      <a:off x="0" y="0"/>
                      <a:ext cx="5252720" cy="2424430"/>
                    </a:xfrm>
                    <a:prstGeom prst="rect">
                      <a:avLst/>
                    </a:prstGeom>
                    <a:noFill/>
                    <a:ln w="9525">
                      <a:noFill/>
                      <a:miter lim="800000"/>
                      <a:headEnd/>
                      <a:tailEnd/>
                    </a:ln>
                  </pic:spPr>
                </pic:pic>
              </a:graphicData>
            </a:graphic>
          </wp:inline>
        </w:drawing>
      </w:r>
    </w:p>
    <w:p>
      <w:pPr>
        <w:tabs>
          <w:tab w:val="left" w:pos="5940"/>
        </w:tabs>
        <w:spacing w:line="580" w:lineRule="exact"/>
        <w:ind w:firstLine="560" w:firstLineChars="200"/>
        <w:jc w:val="left"/>
        <w:rPr>
          <w:rFonts w:ascii="宋体" w:hAnsi="宋体" w:cs="宋体"/>
          <w:kern w:val="0"/>
          <w:sz w:val="28"/>
          <w:szCs w:val="28"/>
        </w:rPr>
      </w:pPr>
      <w:r>
        <w:rPr>
          <w:rFonts w:hint="eastAsia" w:ascii="宋体" w:hAnsi="宋体" w:cs="宋体"/>
          <w:kern w:val="0"/>
          <w:sz w:val="28"/>
          <w:szCs w:val="28"/>
        </w:rPr>
        <w:t>据就业部门统计，全区新增城镇就业人数6310人，比上年减少609人，下降8.8%，其中下岗失业人员再就业195人，增长9.6%。农村剩余劳动力转移就业3802人，增长2.6%。城镇登记失业率1.98%。全区城镇（含市直）在岗职工年平均工资52234元（含劳务派遣），同比增加4166元，增长8.67%。</w:t>
      </w:r>
    </w:p>
    <w:p>
      <w:pPr>
        <w:spacing w:line="580" w:lineRule="exact"/>
        <w:jc w:val="center"/>
        <w:rPr>
          <w:rFonts w:hint="eastAsia" w:ascii="宋体" w:hAnsi="宋体" w:cs="宋体"/>
          <w:b/>
          <w:kern w:val="0"/>
          <w:sz w:val="28"/>
          <w:szCs w:val="28"/>
        </w:rPr>
      </w:pPr>
      <w:r>
        <w:rPr>
          <w:rFonts w:hint="eastAsia" w:ascii="宋体" w:hAnsi="宋体" w:cs="宋体"/>
          <w:b/>
          <w:kern w:val="0"/>
          <w:sz w:val="28"/>
          <w:szCs w:val="28"/>
        </w:rPr>
        <w:t>二、农  业</w:t>
      </w:r>
    </w:p>
    <w:p>
      <w:pPr>
        <w:spacing w:line="58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全年农作物总播种面积7096公顷，同比增加232公顷。其中：粮食种植面积4471公顷，同比增加18公顷；经济作物种植面积914公顷，同比增加48公顷，其中花生种植面积683公顷，同比增加40公顷;蔬菜种植面积1711公顷，同比增加166公顷。果园面积626公顷，同比增加14公顷。</w:t>
      </w:r>
    </w:p>
    <w:p>
      <w:pPr>
        <w:spacing w:line="58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 xml:space="preserve">全年粮食总产量18604吨，同比增加388吨，增长2.1%。其中:稻谷产量11801吨， 同比增加747吨，增长6.8%;玉米产量4346吨，同比减少433吨，下降9.1%；红薯产量1855吨，同比增加29吨，增长1.6%。花生产量1343吨，同比增加143吨，增长11.9%；水果产量1427吨，同比增加93吨；蔬菜产量18352吨，增长10.4%。   </w:t>
      </w:r>
    </w:p>
    <w:p>
      <w:pPr>
        <w:spacing w:line="58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肉类总产量2186吨，下降1.84%，生猪出栏1.05万头，增长2.9%。全年水产品产量19.77万吨，增长1.3%，其中海水产品产量19.26万吨，增长0.5%。</w:t>
      </w:r>
    </w:p>
    <w:p>
      <w:pPr>
        <w:spacing w:line="58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全年新增造林面积267公顷；当年幼林、成林抚育1200公顷；原木采伐0.74万立方米，增长523.9%。</w:t>
      </w:r>
    </w:p>
    <w:p>
      <w:pPr>
        <w:spacing w:line="58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年末，农业机械总动力13.69万千瓦，增长0.6%，其中柴油发动机动力11.29万千瓦，增长0.7%。拥有小型拖拉机316台，农用排灌电动机445台，农用排灌柴油机458台；捕捞</w:t>
      </w:r>
      <w:r>
        <w:rPr>
          <w:rFonts w:ascii="宋体" w:hAnsi="宋体" w:cs="宋体"/>
          <w:kern w:val="0"/>
          <w:sz w:val="28"/>
          <w:szCs w:val="28"/>
        </w:rPr>
        <w:t>渔</w:t>
      </w:r>
      <w:r>
        <w:rPr>
          <w:rFonts w:hint="eastAsia" w:ascii="宋体" w:hAnsi="宋体" w:cs="宋体"/>
          <w:kern w:val="0"/>
          <w:sz w:val="28"/>
          <w:szCs w:val="28"/>
        </w:rPr>
        <w:t>船1746艘。农村用电量775万千瓦时，增长0.9%；全年化肥施用折纯量1239吨，增长0.6％；农田有效灌溉面积835公顷，其中旱涝保收面积533公顷。</w:t>
      </w:r>
    </w:p>
    <w:p>
      <w:pPr>
        <w:spacing w:line="58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年末，村通汽车率为100％；村通电话率为100%；农村改水受益率为100%。</w:t>
      </w:r>
    </w:p>
    <w:tbl>
      <w:tblPr>
        <w:tblStyle w:val="6"/>
        <w:tblW w:w="8295" w:type="dxa"/>
        <w:jc w:val="center"/>
        <w:tblInd w:w="93" w:type="dxa"/>
        <w:tblLayout w:type="fixed"/>
        <w:tblCellMar>
          <w:top w:w="0" w:type="dxa"/>
          <w:left w:w="108" w:type="dxa"/>
          <w:bottom w:w="0" w:type="dxa"/>
          <w:right w:w="108" w:type="dxa"/>
        </w:tblCellMar>
      </w:tblPr>
      <w:tblGrid>
        <w:gridCol w:w="4515"/>
        <w:gridCol w:w="1260"/>
        <w:gridCol w:w="1080"/>
        <w:gridCol w:w="1440"/>
      </w:tblGrid>
      <w:tr>
        <w:tblPrEx>
          <w:tblLayout w:type="fixed"/>
          <w:tblCellMar>
            <w:top w:w="0" w:type="dxa"/>
            <w:left w:w="108" w:type="dxa"/>
            <w:bottom w:w="0" w:type="dxa"/>
            <w:right w:w="108" w:type="dxa"/>
          </w:tblCellMar>
        </w:tblPrEx>
        <w:trPr>
          <w:trHeight w:val="465" w:hRule="atLeast"/>
          <w:jc w:val="center"/>
        </w:trPr>
        <w:tc>
          <w:tcPr>
            <w:tcW w:w="8295" w:type="dxa"/>
            <w:gridSpan w:val="4"/>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表1　　2014年主要农副产品产量</w:t>
            </w:r>
          </w:p>
        </w:tc>
      </w:tr>
      <w:tr>
        <w:tblPrEx>
          <w:tblLayout w:type="fixed"/>
          <w:tblCellMar>
            <w:top w:w="0" w:type="dxa"/>
            <w:left w:w="108" w:type="dxa"/>
            <w:bottom w:w="0" w:type="dxa"/>
            <w:right w:w="108" w:type="dxa"/>
          </w:tblCellMar>
        </w:tblPrEx>
        <w:trPr>
          <w:trHeight w:val="345" w:hRule="atLeast"/>
          <w:jc w:val="center"/>
        </w:trPr>
        <w:tc>
          <w:tcPr>
            <w:tcW w:w="4515" w:type="dxa"/>
            <w:tcBorders>
              <w:top w:val="nil"/>
              <w:left w:val="nil"/>
              <w:bottom w:val="single" w:color="auto" w:sz="4" w:space="0"/>
              <w:right w:val="nil"/>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产品名称</w:t>
            </w:r>
          </w:p>
        </w:tc>
        <w:tc>
          <w:tcPr>
            <w:tcW w:w="1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单位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产量</w:t>
            </w:r>
          </w:p>
        </w:tc>
        <w:tc>
          <w:tcPr>
            <w:tcW w:w="1440" w:type="dxa"/>
            <w:tcBorders>
              <w:top w:val="nil"/>
              <w:left w:val="nil"/>
              <w:bottom w:val="single" w:color="auto" w:sz="4" w:space="0"/>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增长%</w:t>
            </w:r>
          </w:p>
        </w:tc>
      </w:tr>
      <w:tr>
        <w:tblPrEx>
          <w:tblLayout w:type="fixed"/>
          <w:tblCellMar>
            <w:top w:w="0" w:type="dxa"/>
            <w:left w:w="108" w:type="dxa"/>
            <w:bottom w:w="0" w:type="dxa"/>
            <w:right w:w="108" w:type="dxa"/>
          </w:tblCellMar>
        </w:tblPrEx>
        <w:trPr>
          <w:trHeight w:val="345" w:hRule="atLeast"/>
          <w:jc w:val="center"/>
        </w:trPr>
        <w:tc>
          <w:tcPr>
            <w:tcW w:w="4515"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粮食</w:t>
            </w:r>
          </w:p>
        </w:tc>
        <w:tc>
          <w:tcPr>
            <w:tcW w:w="1260"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吨</w:t>
            </w:r>
          </w:p>
        </w:tc>
        <w:tc>
          <w:tcPr>
            <w:tcW w:w="1080" w:type="dxa"/>
            <w:tcBorders>
              <w:top w:val="nil"/>
              <w:left w:val="single" w:color="auto" w:sz="4" w:space="0"/>
              <w:bottom w:val="nil"/>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18604</w:t>
            </w:r>
          </w:p>
        </w:tc>
        <w:tc>
          <w:tcPr>
            <w:tcW w:w="144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2.13</w:t>
            </w:r>
          </w:p>
        </w:tc>
      </w:tr>
      <w:tr>
        <w:tblPrEx>
          <w:tblLayout w:type="fixed"/>
          <w:tblCellMar>
            <w:top w:w="0" w:type="dxa"/>
            <w:left w:w="108" w:type="dxa"/>
            <w:bottom w:w="0" w:type="dxa"/>
            <w:right w:w="108" w:type="dxa"/>
          </w:tblCellMar>
        </w:tblPrEx>
        <w:trPr>
          <w:trHeight w:val="345" w:hRule="atLeast"/>
          <w:jc w:val="center"/>
        </w:trPr>
        <w:tc>
          <w:tcPr>
            <w:tcW w:w="4515"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其中：稻谷</w:t>
            </w:r>
          </w:p>
        </w:tc>
        <w:tc>
          <w:tcPr>
            <w:tcW w:w="1260"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吨</w:t>
            </w:r>
          </w:p>
        </w:tc>
        <w:tc>
          <w:tcPr>
            <w:tcW w:w="1080" w:type="dxa"/>
            <w:tcBorders>
              <w:top w:val="nil"/>
              <w:left w:val="single" w:color="auto" w:sz="4" w:space="0"/>
              <w:bottom w:val="nil"/>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11801</w:t>
            </w:r>
          </w:p>
        </w:tc>
        <w:tc>
          <w:tcPr>
            <w:tcW w:w="144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6.76</w:t>
            </w:r>
          </w:p>
        </w:tc>
      </w:tr>
      <w:tr>
        <w:tblPrEx>
          <w:tblLayout w:type="fixed"/>
          <w:tblCellMar>
            <w:top w:w="0" w:type="dxa"/>
            <w:left w:w="108" w:type="dxa"/>
            <w:bottom w:w="0" w:type="dxa"/>
            <w:right w:w="108" w:type="dxa"/>
          </w:tblCellMar>
        </w:tblPrEx>
        <w:trPr>
          <w:trHeight w:val="345" w:hRule="atLeast"/>
          <w:jc w:val="center"/>
        </w:trPr>
        <w:tc>
          <w:tcPr>
            <w:tcW w:w="4515"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薯类</w:t>
            </w:r>
          </w:p>
        </w:tc>
        <w:tc>
          <w:tcPr>
            <w:tcW w:w="1260"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吨</w:t>
            </w:r>
          </w:p>
        </w:tc>
        <w:tc>
          <w:tcPr>
            <w:tcW w:w="1080" w:type="dxa"/>
            <w:tcBorders>
              <w:top w:val="nil"/>
              <w:left w:val="single" w:color="auto" w:sz="4" w:space="0"/>
              <w:bottom w:val="nil"/>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2269</w:t>
            </w:r>
          </w:p>
        </w:tc>
        <w:tc>
          <w:tcPr>
            <w:tcW w:w="144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2.67 </w:t>
            </w:r>
          </w:p>
        </w:tc>
      </w:tr>
      <w:tr>
        <w:tblPrEx>
          <w:tblLayout w:type="fixed"/>
          <w:tblCellMar>
            <w:top w:w="0" w:type="dxa"/>
            <w:left w:w="108" w:type="dxa"/>
            <w:bottom w:w="0" w:type="dxa"/>
            <w:right w:w="108" w:type="dxa"/>
          </w:tblCellMar>
        </w:tblPrEx>
        <w:trPr>
          <w:trHeight w:val="345" w:hRule="atLeast"/>
          <w:jc w:val="center"/>
        </w:trPr>
        <w:tc>
          <w:tcPr>
            <w:tcW w:w="4515"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油料作物</w:t>
            </w:r>
          </w:p>
        </w:tc>
        <w:tc>
          <w:tcPr>
            <w:tcW w:w="1260"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吨</w:t>
            </w:r>
          </w:p>
        </w:tc>
        <w:tc>
          <w:tcPr>
            <w:tcW w:w="1080" w:type="dxa"/>
            <w:tcBorders>
              <w:top w:val="nil"/>
              <w:left w:val="single" w:color="auto" w:sz="4" w:space="0"/>
              <w:bottom w:val="nil"/>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1343</w:t>
            </w:r>
          </w:p>
        </w:tc>
        <w:tc>
          <w:tcPr>
            <w:tcW w:w="144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11.92 </w:t>
            </w:r>
          </w:p>
        </w:tc>
      </w:tr>
      <w:tr>
        <w:tblPrEx>
          <w:tblLayout w:type="fixed"/>
          <w:tblCellMar>
            <w:top w:w="0" w:type="dxa"/>
            <w:left w:w="108" w:type="dxa"/>
            <w:bottom w:w="0" w:type="dxa"/>
            <w:right w:w="108" w:type="dxa"/>
          </w:tblCellMar>
        </w:tblPrEx>
        <w:trPr>
          <w:trHeight w:val="345" w:hRule="atLeast"/>
          <w:jc w:val="center"/>
        </w:trPr>
        <w:tc>
          <w:tcPr>
            <w:tcW w:w="4515"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其中:花生</w:t>
            </w:r>
          </w:p>
        </w:tc>
        <w:tc>
          <w:tcPr>
            <w:tcW w:w="1260"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吨</w:t>
            </w:r>
          </w:p>
        </w:tc>
        <w:tc>
          <w:tcPr>
            <w:tcW w:w="1080" w:type="dxa"/>
            <w:tcBorders>
              <w:top w:val="nil"/>
              <w:left w:val="single" w:color="auto" w:sz="4" w:space="0"/>
              <w:bottom w:val="nil"/>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1343</w:t>
            </w:r>
          </w:p>
        </w:tc>
        <w:tc>
          <w:tcPr>
            <w:tcW w:w="144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11.92 </w:t>
            </w:r>
          </w:p>
        </w:tc>
      </w:tr>
      <w:tr>
        <w:tblPrEx>
          <w:tblLayout w:type="fixed"/>
          <w:tblCellMar>
            <w:top w:w="0" w:type="dxa"/>
            <w:left w:w="108" w:type="dxa"/>
            <w:bottom w:w="0" w:type="dxa"/>
            <w:right w:w="108" w:type="dxa"/>
          </w:tblCellMar>
        </w:tblPrEx>
        <w:trPr>
          <w:trHeight w:val="345" w:hRule="atLeast"/>
          <w:jc w:val="center"/>
        </w:trPr>
        <w:tc>
          <w:tcPr>
            <w:tcW w:w="4515"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蔬菜</w:t>
            </w:r>
          </w:p>
        </w:tc>
        <w:tc>
          <w:tcPr>
            <w:tcW w:w="1260"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吨</w:t>
            </w:r>
          </w:p>
        </w:tc>
        <w:tc>
          <w:tcPr>
            <w:tcW w:w="1080" w:type="dxa"/>
            <w:tcBorders>
              <w:top w:val="nil"/>
              <w:left w:val="single" w:color="auto" w:sz="4" w:space="0"/>
              <w:bottom w:val="nil"/>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18352</w:t>
            </w:r>
          </w:p>
        </w:tc>
        <w:tc>
          <w:tcPr>
            <w:tcW w:w="144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10.43 </w:t>
            </w:r>
          </w:p>
        </w:tc>
      </w:tr>
      <w:tr>
        <w:tblPrEx>
          <w:tblLayout w:type="fixed"/>
          <w:tblCellMar>
            <w:top w:w="0" w:type="dxa"/>
            <w:left w:w="108" w:type="dxa"/>
            <w:bottom w:w="0" w:type="dxa"/>
            <w:right w:w="108" w:type="dxa"/>
          </w:tblCellMar>
        </w:tblPrEx>
        <w:trPr>
          <w:trHeight w:val="345" w:hRule="atLeast"/>
          <w:jc w:val="center"/>
        </w:trPr>
        <w:tc>
          <w:tcPr>
            <w:tcW w:w="4515"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水果</w:t>
            </w:r>
          </w:p>
        </w:tc>
        <w:tc>
          <w:tcPr>
            <w:tcW w:w="1260"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吨</w:t>
            </w:r>
          </w:p>
        </w:tc>
        <w:tc>
          <w:tcPr>
            <w:tcW w:w="1080" w:type="dxa"/>
            <w:tcBorders>
              <w:top w:val="nil"/>
              <w:left w:val="single" w:color="auto" w:sz="4" w:space="0"/>
              <w:bottom w:val="nil"/>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1427</w:t>
            </w:r>
          </w:p>
        </w:tc>
        <w:tc>
          <w:tcPr>
            <w:tcW w:w="144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6.97 </w:t>
            </w:r>
          </w:p>
        </w:tc>
      </w:tr>
      <w:tr>
        <w:tblPrEx>
          <w:tblLayout w:type="fixed"/>
          <w:tblCellMar>
            <w:top w:w="0" w:type="dxa"/>
            <w:left w:w="108" w:type="dxa"/>
            <w:bottom w:w="0" w:type="dxa"/>
            <w:right w:w="108" w:type="dxa"/>
          </w:tblCellMar>
        </w:tblPrEx>
        <w:trPr>
          <w:trHeight w:val="345" w:hRule="atLeast"/>
          <w:jc w:val="center"/>
        </w:trPr>
        <w:tc>
          <w:tcPr>
            <w:tcW w:w="4515"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肉类总产量</w:t>
            </w:r>
          </w:p>
        </w:tc>
        <w:tc>
          <w:tcPr>
            <w:tcW w:w="1260"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吨</w:t>
            </w:r>
          </w:p>
        </w:tc>
        <w:tc>
          <w:tcPr>
            <w:tcW w:w="1080" w:type="dxa"/>
            <w:tcBorders>
              <w:top w:val="nil"/>
              <w:left w:val="single" w:color="auto" w:sz="4" w:space="0"/>
              <w:bottom w:val="nil"/>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2186</w:t>
            </w:r>
          </w:p>
        </w:tc>
        <w:tc>
          <w:tcPr>
            <w:tcW w:w="144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-1.84 </w:t>
            </w:r>
          </w:p>
        </w:tc>
      </w:tr>
      <w:tr>
        <w:tblPrEx>
          <w:tblLayout w:type="fixed"/>
          <w:tblCellMar>
            <w:top w:w="0" w:type="dxa"/>
            <w:left w:w="108" w:type="dxa"/>
            <w:bottom w:w="0" w:type="dxa"/>
            <w:right w:w="108" w:type="dxa"/>
          </w:tblCellMar>
        </w:tblPrEx>
        <w:trPr>
          <w:trHeight w:val="345" w:hRule="atLeast"/>
          <w:jc w:val="center"/>
        </w:trPr>
        <w:tc>
          <w:tcPr>
            <w:tcW w:w="4515"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其中：猪肉</w:t>
            </w:r>
          </w:p>
        </w:tc>
        <w:tc>
          <w:tcPr>
            <w:tcW w:w="1260"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吨</w:t>
            </w:r>
          </w:p>
        </w:tc>
        <w:tc>
          <w:tcPr>
            <w:tcW w:w="1080" w:type="dxa"/>
            <w:tcBorders>
              <w:top w:val="nil"/>
              <w:left w:val="single" w:color="auto" w:sz="4" w:space="0"/>
              <w:bottom w:val="nil"/>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761</w:t>
            </w:r>
          </w:p>
        </w:tc>
        <w:tc>
          <w:tcPr>
            <w:tcW w:w="144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2.7 </w:t>
            </w:r>
          </w:p>
        </w:tc>
      </w:tr>
      <w:tr>
        <w:tblPrEx>
          <w:tblLayout w:type="fixed"/>
          <w:tblCellMar>
            <w:top w:w="0" w:type="dxa"/>
            <w:left w:w="108" w:type="dxa"/>
            <w:bottom w:w="0" w:type="dxa"/>
            <w:right w:w="108" w:type="dxa"/>
          </w:tblCellMar>
        </w:tblPrEx>
        <w:trPr>
          <w:trHeight w:val="345" w:hRule="atLeast"/>
          <w:jc w:val="center"/>
        </w:trPr>
        <w:tc>
          <w:tcPr>
            <w:tcW w:w="4515"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禽肉</w:t>
            </w:r>
          </w:p>
        </w:tc>
        <w:tc>
          <w:tcPr>
            <w:tcW w:w="1260"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吨</w:t>
            </w:r>
          </w:p>
        </w:tc>
        <w:tc>
          <w:tcPr>
            <w:tcW w:w="1080" w:type="dxa"/>
            <w:tcBorders>
              <w:top w:val="nil"/>
              <w:left w:val="single" w:color="auto" w:sz="4" w:space="0"/>
              <w:bottom w:val="nil"/>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1252</w:t>
            </w:r>
          </w:p>
        </w:tc>
        <w:tc>
          <w:tcPr>
            <w:tcW w:w="144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-6.08 </w:t>
            </w:r>
          </w:p>
        </w:tc>
      </w:tr>
      <w:tr>
        <w:tblPrEx>
          <w:tblLayout w:type="fixed"/>
          <w:tblCellMar>
            <w:top w:w="0" w:type="dxa"/>
            <w:left w:w="108" w:type="dxa"/>
            <w:bottom w:w="0" w:type="dxa"/>
            <w:right w:w="108" w:type="dxa"/>
          </w:tblCellMar>
        </w:tblPrEx>
        <w:trPr>
          <w:trHeight w:val="345" w:hRule="atLeast"/>
          <w:jc w:val="center"/>
        </w:trPr>
        <w:tc>
          <w:tcPr>
            <w:tcW w:w="4515"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水产品总产量</w:t>
            </w:r>
          </w:p>
        </w:tc>
        <w:tc>
          <w:tcPr>
            <w:tcW w:w="1260"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吨</w:t>
            </w:r>
          </w:p>
        </w:tc>
        <w:tc>
          <w:tcPr>
            <w:tcW w:w="1080" w:type="dxa"/>
            <w:tcBorders>
              <w:top w:val="nil"/>
              <w:left w:val="single" w:color="auto" w:sz="4" w:space="0"/>
              <w:bottom w:val="nil"/>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197668</w:t>
            </w:r>
          </w:p>
        </w:tc>
        <w:tc>
          <w:tcPr>
            <w:tcW w:w="144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1.34 </w:t>
            </w:r>
          </w:p>
        </w:tc>
      </w:tr>
      <w:tr>
        <w:tblPrEx>
          <w:tblLayout w:type="fixed"/>
          <w:tblCellMar>
            <w:top w:w="0" w:type="dxa"/>
            <w:left w:w="108" w:type="dxa"/>
            <w:bottom w:w="0" w:type="dxa"/>
            <w:right w:w="108" w:type="dxa"/>
          </w:tblCellMar>
        </w:tblPrEx>
        <w:trPr>
          <w:trHeight w:val="345" w:hRule="atLeast"/>
          <w:jc w:val="center"/>
        </w:trPr>
        <w:tc>
          <w:tcPr>
            <w:tcW w:w="451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其中：海水产品产量</w:t>
            </w:r>
          </w:p>
        </w:tc>
        <w:tc>
          <w:tcPr>
            <w:tcW w:w="1260" w:type="dxa"/>
            <w:tcBorders>
              <w:top w:val="nil"/>
              <w:left w:val="nil"/>
              <w:bottom w:val="single" w:color="auto" w:sz="4" w:space="0"/>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吨</w:t>
            </w:r>
          </w:p>
        </w:tc>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192615</w:t>
            </w:r>
          </w:p>
        </w:tc>
        <w:tc>
          <w:tcPr>
            <w:tcW w:w="1440" w:type="dxa"/>
            <w:tcBorders>
              <w:top w:val="nil"/>
              <w:left w:val="nil"/>
              <w:bottom w:val="single" w:color="auto" w:sz="4" w:space="0"/>
              <w:right w:val="nil"/>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0.51 </w:t>
            </w:r>
          </w:p>
        </w:tc>
      </w:tr>
    </w:tbl>
    <w:p>
      <w:pPr>
        <w:widowControl/>
        <w:spacing w:beforeLines="50" w:afterLines="50" w:line="540" w:lineRule="exact"/>
        <w:jc w:val="center"/>
        <w:rPr>
          <w:rFonts w:hint="eastAsia" w:ascii="宋体" w:hAnsi="宋体" w:cs="宋体"/>
          <w:b/>
          <w:kern w:val="0"/>
          <w:sz w:val="28"/>
          <w:szCs w:val="28"/>
        </w:rPr>
      </w:pPr>
      <w:r>
        <w:rPr>
          <w:rFonts w:hint="eastAsia" w:ascii="宋体" w:hAnsi="宋体" w:cs="宋体"/>
          <w:b/>
          <w:kern w:val="0"/>
          <w:sz w:val="28"/>
          <w:szCs w:val="28"/>
        </w:rPr>
        <w:t>三、工业</w:t>
      </w:r>
    </w:p>
    <w:p>
      <w:pPr>
        <w:widowControl/>
        <w:spacing w:line="580" w:lineRule="exact"/>
        <w:ind w:firstLine="560" w:firstLineChars="200"/>
        <w:rPr>
          <w:rFonts w:hint="eastAsia" w:ascii="宋体" w:hAnsi="宋体" w:cs="宋体"/>
          <w:kern w:val="0"/>
          <w:sz w:val="28"/>
          <w:szCs w:val="28"/>
        </w:rPr>
      </w:pPr>
      <w:r>
        <w:rPr>
          <w:rFonts w:hint="eastAsia" w:ascii="宋体" w:hAnsi="宋体" w:cs="宋体"/>
          <w:kern w:val="0"/>
          <w:sz w:val="28"/>
          <w:szCs w:val="28"/>
        </w:rPr>
        <w:t>全年</w:t>
      </w:r>
      <w:r>
        <w:rPr>
          <w:rFonts w:ascii="宋体" w:hAnsi="宋体" w:cs="宋体"/>
          <w:kern w:val="0"/>
          <w:sz w:val="28"/>
          <w:szCs w:val="28"/>
        </w:rPr>
        <w:t>全</w:t>
      </w:r>
      <w:r>
        <w:rPr>
          <w:rFonts w:hint="eastAsia" w:ascii="宋体" w:hAnsi="宋体" w:cs="宋体"/>
          <w:kern w:val="0"/>
          <w:sz w:val="28"/>
          <w:szCs w:val="28"/>
        </w:rPr>
        <w:t>区</w:t>
      </w:r>
      <w:r>
        <w:rPr>
          <w:rFonts w:ascii="宋体" w:hAnsi="宋体" w:cs="宋体"/>
          <w:kern w:val="0"/>
          <w:sz w:val="28"/>
          <w:szCs w:val="28"/>
        </w:rPr>
        <w:t>实现工业增加值</w:t>
      </w:r>
      <w:r>
        <w:rPr>
          <w:rFonts w:hint="eastAsia" w:ascii="宋体" w:hAnsi="宋体" w:cs="宋体"/>
          <w:kern w:val="0"/>
          <w:sz w:val="28"/>
          <w:szCs w:val="28"/>
        </w:rPr>
        <w:t>198.27亿</w:t>
      </w:r>
      <w:r>
        <w:rPr>
          <w:rFonts w:ascii="宋体" w:hAnsi="宋体" w:cs="宋体"/>
          <w:kern w:val="0"/>
          <w:sz w:val="28"/>
          <w:szCs w:val="28"/>
        </w:rPr>
        <w:t>元，增长</w:t>
      </w:r>
      <w:r>
        <w:rPr>
          <w:rFonts w:hint="eastAsia" w:ascii="宋体" w:hAnsi="宋体" w:cs="宋体"/>
          <w:kern w:val="0"/>
          <w:sz w:val="28"/>
          <w:szCs w:val="28"/>
        </w:rPr>
        <w:t>20.2</w:t>
      </w:r>
      <w:r>
        <w:rPr>
          <w:rFonts w:ascii="宋体" w:hAnsi="宋体" w:cs="宋体"/>
          <w:kern w:val="0"/>
          <w:sz w:val="28"/>
          <w:szCs w:val="28"/>
        </w:rPr>
        <w:t>%，对经济增长的贡献率为</w:t>
      </w:r>
      <w:r>
        <w:rPr>
          <w:rFonts w:hint="eastAsia" w:ascii="宋体" w:hAnsi="宋体" w:cs="宋体"/>
          <w:kern w:val="0"/>
          <w:sz w:val="28"/>
          <w:szCs w:val="28"/>
        </w:rPr>
        <w:t>86.6</w:t>
      </w:r>
      <w:r>
        <w:rPr>
          <w:rFonts w:ascii="宋体" w:hAnsi="宋体" w:cs="宋体"/>
          <w:kern w:val="0"/>
          <w:sz w:val="28"/>
          <w:szCs w:val="28"/>
        </w:rPr>
        <w:t>%，拉动经济增长</w:t>
      </w:r>
      <w:r>
        <w:rPr>
          <w:rFonts w:hint="eastAsia" w:ascii="宋体" w:hAnsi="宋体" w:cs="宋体"/>
          <w:kern w:val="0"/>
          <w:sz w:val="28"/>
          <w:szCs w:val="28"/>
        </w:rPr>
        <w:t>11.2</w:t>
      </w:r>
      <w:r>
        <w:rPr>
          <w:rFonts w:ascii="宋体" w:hAnsi="宋体" w:cs="宋体"/>
          <w:kern w:val="0"/>
          <w:sz w:val="28"/>
          <w:szCs w:val="28"/>
        </w:rPr>
        <w:t>个百分点。全年全</w:t>
      </w:r>
      <w:r>
        <w:rPr>
          <w:rFonts w:hint="eastAsia" w:ascii="宋体" w:hAnsi="宋体" w:cs="宋体"/>
          <w:kern w:val="0"/>
          <w:sz w:val="28"/>
          <w:szCs w:val="28"/>
        </w:rPr>
        <w:t>区</w:t>
      </w:r>
      <w:r>
        <w:rPr>
          <w:rFonts w:ascii="宋体" w:hAnsi="宋体" w:cs="宋体"/>
          <w:kern w:val="0"/>
          <w:sz w:val="28"/>
          <w:szCs w:val="28"/>
        </w:rPr>
        <w:t>完成工业总产值</w:t>
      </w:r>
      <w:r>
        <w:rPr>
          <w:rFonts w:hint="eastAsia" w:ascii="宋体" w:hAnsi="宋体" w:cs="宋体"/>
          <w:kern w:val="0"/>
          <w:sz w:val="28"/>
          <w:szCs w:val="28"/>
        </w:rPr>
        <w:t>796.42</w:t>
      </w:r>
      <w:r>
        <w:rPr>
          <w:rFonts w:ascii="宋体" w:hAnsi="宋体" w:cs="宋体"/>
          <w:kern w:val="0"/>
          <w:sz w:val="28"/>
          <w:szCs w:val="28"/>
        </w:rPr>
        <w:t>亿元，增长</w:t>
      </w:r>
      <w:r>
        <w:rPr>
          <w:rFonts w:hint="eastAsia" w:ascii="宋体" w:hAnsi="宋体" w:cs="宋体"/>
          <w:kern w:val="0"/>
          <w:sz w:val="28"/>
          <w:szCs w:val="28"/>
        </w:rPr>
        <w:t>19.6</w:t>
      </w:r>
      <w:r>
        <w:rPr>
          <w:rFonts w:ascii="宋体" w:hAnsi="宋体" w:cs="宋体"/>
          <w:kern w:val="0"/>
          <w:sz w:val="28"/>
          <w:szCs w:val="28"/>
        </w:rPr>
        <w:t>%，</w:t>
      </w:r>
      <w:r>
        <w:rPr>
          <w:rFonts w:hint="eastAsia" w:ascii="宋体" w:hAnsi="宋体" w:cs="宋体"/>
          <w:kern w:val="0"/>
          <w:sz w:val="28"/>
          <w:szCs w:val="28"/>
        </w:rPr>
        <w:t>其中，</w:t>
      </w:r>
      <w:r>
        <w:rPr>
          <w:rFonts w:ascii="宋体" w:hAnsi="宋体" w:cs="宋体"/>
          <w:kern w:val="0"/>
          <w:sz w:val="28"/>
          <w:szCs w:val="28"/>
        </w:rPr>
        <w:t>规模以上工业完成总产值</w:t>
      </w:r>
      <w:r>
        <w:rPr>
          <w:rFonts w:hint="eastAsia" w:ascii="宋体" w:hAnsi="宋体" w:cs="宋体"/>
          <w:kern w:val="0"/>
          <w:sz w:val="28"/>
          <w:szCs w:val="28"/>
        </w:rPr>
        <w:t>792.36</w:t>
      </w:r>
      <w:r>
        <w:rPr>
          <w:rFonts w:ascii="宋体" w:hAnsi="宋体" w:cs="宋体"/>
          <w:kern w:val="0"/>
          <w:sz w:val="28"/>
          <w:szCs w:val="28"/>
        </w:rPr>
        <w:t>亿元，增长</w:t>
      </w:r>
      <w:r>
        <w:rPr>
          <w:rFonts w:hint="eastAsia" w:ascii="宋体" w:hAnsi="宋体" w:cs="宋体"/>
          <w:kern w:val="0"/>
          <w:sz w:val="28"/>
          <w:szCs w:val="28"/>
        </w:rPr>
        <w:t>19.7</w:t>
      </w:r>
      <w:r>
        <w:rPr>
          <w:rFonts w:ascii="宋体" w:hAnsi="宋体" w:cs="宋体"/>
          <w:kern w:val="0"/>
          <w:sz w:val="28"/>
          <w:szCs w:val="28"/>
        </w:rPr>
        <w:t>%</w:t>
      </w:r>
      <w:r>
        <w:rPr>
          <w:rFonts w:hint="eastAsia" w:ascii="宋体" w:hAnsi="宋体" w:cs="宋体"/>
          <w:kern w:val="0"/>
          <w:sz w:val="28"/>
          <w:szCs w:val="28"/>
        </w:rPr>
        <w:t>，</w:t>
      </w:r>
      <w:r>
        <w:rPr>
          <w:rFonts w:ascii="宋体" w:hAnsi="宋体" w:cs="宋体"/>
          <w:kern w:val="0"/>
          <w:sz w:val="28"/>
          <w:szCs w:val="28"/>
        </w:rPr>
        <w:t>增幅经历</w:t>
      </w:r>
      <w:r>
        <w:rPr>
          <w:rFonts w:hint="eastAsia" w:ascii="宋体" w:hAnsi="宋体" w:cs="宋体"/>
          <w:kern w:val="0"/>
          <w:sz w:val="28"/>
          <w:szCs w:val="28"/>
        </w:rPr>
        <w:t>低</w:t>
      </w:r>
      <w:r>
        <w:rPr>
          <w:rFonts w:ascii="宋体" w:hAnsi="宋体" w:cs="宋体"/>
          <w:kern w:val="0"/>
          <w:sz w:val="28"/>
          <w:szCs w:val="28"/>
        </w:rPr>
        <w:t>开高</w:t>
      </w:r>
      <w:r>
        <w:rPr>
          <w:rFonts w:hint="eastAsia" w:ascii="宋体" w:hAnsi="宋体" w:cs="宋体"/>
          <w:kern w:val="0"/>
          <w:sz w:val="28"/>
          <w:szCs w:val="28"/>
        </w:rPr>
        <w:t>走</w:t>
      </w:r>
      <w:r>
        <w:rPr>
          <w:rFonts w:ascii="宋体" w:hAnsi="宋体" w:cs="宋体"/>
          <w:kern w:val="0"/>
          <w:sz w:val="28"/>
          <w:szCs w:val="28"/>
        </w:rPr>
        <w:t>回落企稳的曲折走势。规模以上工业</w:t>
      </w:r>
      <w:r>
        <w:rPr>
          <w:rFonts w:hint="eastAsia" w:ascii="宋体" w:hAnsi="宋体" w:cs="宋体"/>
          <w:kern w:val="0"/>
          <w:sz w:val="28"/>
          <w:szCs w:val="28"/>
        </w:rPr>
        <w:t>增加值196.73亿元，增长20.4%，</w:t>
      </w:r>
      <w:r>
        <w:rPr>
          <w:rFonts w:ascii="宋体" w:hAnsi="宋体" w:cs="宋体"/>
          <w:kern w:val="0"/>
          <w:sz w:val="28"/>
          <w:szCs w:val="28"/>
        </w:rPr>
        <w:t>完成销售产值</w:t>
      </w:r>
      <w:r>
        <w:rPr>
          <w:rFonts w:hint="eastAsia" w:ascii="宋体" w:hAnsi="宋体" w:cs="宋体"/>
          <w:kern w:val="0"/>
          <w:sz w:val="28"/>
          <w:szCs w:val="28"/>
        </w:rPr>
        <w:t>762.11</w:t>
      </w:r>
      <w:r>
        <w:rPr>
          <w:rFonts w:ascii="宋体" w:hAnsi="宋体" w:cs="宋体"/>
          <w:kern w:val="0"/>
          <w:sz w:val="28"/>
          <w:szCs w:val="28"/>
        </w:rPr>
        <w:t>亿元，</w:t>
      </w:r>
      <w:r>
        <w:rPr>
          <w:rFonts w:hint="eastAsia" w:ascii="宋体" w:hAnsi="宋体" w:cs="宋体"/>
          <w:kern w:val="0"/>
          <w:sz w:val="28"/>
          <w:szCs w:val="28"/>
        </w:rPr>
        <w:t>增长17.6</w:t>
      </w:r>
      <w:r>
        <w:rPr>
          <w:rFonts w:ascii="宋体" w:hAnsi="宋体" w:cs="宋体"/>
          <w:kern w:val="0"/>
          <w:sz w:val="28"/>
          <w:szCs w:val="28"/>
        </w:rPr>
        <w:t>%</w:t>
      </w:r>
      <w:r>
        <w:rPr>
          <w:rFonts w:hint="eastAsia" w:ascii="宋体" w:hAnsi="宋体" w:cs="宋体"/>
          <w:kern w:val="0"/>
          <w:sz w:val="28"/>
          <w:szCs w:val="28"/>
        </w:rPr>
        <w:t>。</w:t>
      </w:r>
    </w:p>
    <w:p>
      <w:pPr>
        <w:jc w:val="center"/>
        <w:rPr>
          <w:rFonts w:hint="eastAsia"/>
        </w:rPr>
      </w:pPr>
      <w:r>
        <w:drawing>
          <wp:inline distT="0" distB="0" distL="0" distR="0">
            <wp:extent cx="5614035" cy="30619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srcRect/>
                    <a:stretch>
                      <a:fillRect/>
                    </a:stretch>
                  </pic:blipFill>
                  <pic:spPr>
                    <a:xfrm>
                      <a:off x="0" y="0"/>
                      <a:ext cx="5614035" cy="3061970"/>
                    </a:xfrm>
                    <a:prstGeom prst="rect">
                      <a:avLst/>
                    </a:prstGeom>
                    <a:noFill/>
                    <a:ln w="9525">
                      <a:noFill/>
                      <a:miter lim="800000"/>
                      <a:headEnd/>
                      <a:tailEnd/>
                    </a:ln>
                  </pic:spPr>
                </pic:pic>
              </a:graphicData>
            </a:graphic>
          </wp:inline>
        </w:drawing>
      </w:r>
    </w:p>
    <w:p>
      <w:pPr>
        <w:widowControl/>
        <w:spacing w:line="580" w:lineRule="exact"/>
        <w:ind w:firstLine="560" w:firstLineChars="200"/>
        <w:rPr>
          <w:rFonts w:hint="eastAsia" w:ascii="宋体" w:hAnsi="宋体" w:cs="宋体"/>
          <w:kern w:val="0"/>
          <w:sz w:val="28"/>
          <w:szCs w:val="28"/>
        </w:rPr>
      </w:pPr>
      <w:r>
        <w:rPr>
          <w:rFonts w:hint="eastAsia" w:ascii="宋体" w:hAnsi="宋体" w:cs="宋体"/>
          <w:kern w:val="0"/>
          <w:sz w:val="28"/>
          <w:szCs w:val="28"/>
        </w:rPr>
        <w:t>规模以上经济运行特点：一是重工业占主导。从总量看，全年重工业实现增加值占比69.7%，与1季度、上半年、前三季度相比，分别提高4.5个百分点、2.7个百分点、1.9个百分点，占据主导地位。从增速上看，1季度、上半年、前三季度、全年重工业实现</w:t>
      </w:r>
      <w:r>
        <w:rPr>
          <w:rFonts w:ascii="宋体" w:hAnsi="宋体" w:cs="宋体"/>
          <w:kern w:val="0"/>
          <w:sz w:val="28"/>
          <w:szCs w:val="28"/>
        </w:rPr>
        <w:t>增加值</w:t>
      </w:r>
      <w:r>
        <w:rPr>
          <w:rFonts w:hint="eastAsia" w:ascii="宋体" w:hAnsi="宋体" w:cs="宋体"/>
          <w:kern w:val="0"/>
          <w:sz w:val="28"/>
          <w:szCs w:val="28"/>
        </w:rPr>
        <w:t>分别增长35.3%、34.7%、29.8%、30.6%，轻工业实现增加值分别增长8.5%、5.9%、3.4%、4.6%，重工业持续高位运行，轻工业则低位运行。</w:t>
      </w:r>
    </w:p>
    <w:p>
      <w:pPr>
        <w:widowControl/>
        <w:spacing w:line="580" w:lineRule="exact"/>
        <w:ind w:firstLine="560" w:firstLineChars="200"/>
        <w:rPr>
          <w:rFonts w:ascii="宋体" w:hAnsi="宋体" w:cs="宋体"/>
          <w:kern w:val="0"/>
          <w:sz w:val="28"/>
          <w:szCs w:val="28"/>
        </w:rPr>
      </w:pPr>
    </w:p>
    <w:tbl>
      <w:tblPr>
        <w:tblStyle w:val="6"/>
        <w:tblW w:w="8473" w:type="dxa"/>
        <w:tblInd w:w="108" w:type="dxa"/>
        <w:tblLayout w:type="fixed"/>
        <w:tblCellMar>
          <w:top w:w="0" w:type="dxa"/>
          <w:left w:w="108" w:type="dxa"/>
          <w:bottom w:w="0" w:type="dxa"/>
          <w:right w:w="108" w:type="dxa"/>
        </w:tblCellMar>
      </w:tblPr>
      <w:tblGrid>
        <w:gridCol w:w="3240"/>
        <w:gridCol w:w="720"/>
        <w:gridCol w:w="951"/>
        <w:gridCol w:w="1042"/>
        <w:gridCol w:w="1080"/>
        <w:gridCol w:w="1440"/>
      </w:tblGrid>
      <w:tr>
        <w:tblPrEx>
          <w:tblLayout w:type="fixed"/>
          <w:tblCellMar>
            <w:top w:w="0" w:type="dxa"/>
            <w:left w:w="108" w:type="dxa"/>
            <w:bottom w:w="0" w:type="dxa"/>
            <w:right w:w="108" w:type="dxa"/>
          </w:tblCellMar>
        </w:tblPrEx>
        <w:trPr>
          <w:trHeight w:val="525" w:hRule="atLeast"/>
        </w:trPr>
        <w:tc>
          <w:tcPr>
            <w:tcW w:w="8473" w:type="dxa"/>
            <w:gridSpan w:val="6"/>
            <w:tcBorders>
              <w:top w:val="nil"/>
              <w:left w:val="nil"/>
              <w:bottom w:val="nil"/>
              <w:right w:val="nil"/>
            </w:tcBorders>
            <w:shd w:val="clear" w:color="auto" w:fill="auto"/>
            <w:vAlign w:val="bottom"/>
          </w:tcPr>
          <w:p>
            <w:pPr>
              <w:widowControl/>
              <w:jc w:val="center"/>
              <w:rPr>
                <w:rFonts w:ascii="宋体" w:hAnsi="宋体" w:cs="宋体"/>
                <w:b/>
                <w:bCs/>
                <w:kern w:val="0"/>
                <w:sz w:val="32"/>
                <w:szCs w:val="32"/>
              </w:rPr>
            </w:pPr>
            <w:r>
              <w:rPr>
                <w:rFonts w:hint="eastAsia" w:ascii="宋体" w:hAnsi="宋体" w:cs="宋体"/>
                <w:b/>
                <w:bCs/>
                <w:kern w:val="0"/>
                <w:sz w:val="28"/>
                <w:szCs w:val="28"/>
              </w:rPr>
              <w:t>表2  2014年规模以上工业增加值及贡献率、拉动率</w:t>
            </w:r>
          </w:p>
        </w:tc>
      </w:tr>
      <w:tr>
        <w:tblPrEx>
          <w:tblLayout w:type="fixed"/>
          <w:tblCellMar>
            <w:top w:w="0" w:type="dxa"/>
            <w:left w:w="108" w:type="dxa"/>
            <w:bottom w:w="0" w:type="dxa"/>
            <w:right w:w="108" w:type="dxa"/>
          </w:tblCellMar>
        </w:tblPrEx>
        <w:trPr>
          <w:trHeight w:val="360" w:hRule="atLeast"/>
        </w:trPr>
        <w:tc>
          <w:tcPr>
            <w:tcW w:w="324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项目</w:t>
            </w:r>
          </w:p>
        </w:tc>
        <w:tc>
          <w:tcPr>
            <w:tcW w:w="720" w:type="dxa"/>
            <w:tcBorders>
              <w:top w:val="single" w:color="auto" w:sz="4" w:space="0"/>
              <w:left w:val="nil"/>
              <w:bottom w:val="nil"/>
              <w:right w:val="single" w:color="auto" w:sz="4" w:space="0"/>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单位</w:t>
            </w:r>
          </w:p>
        </w:tc>
        <w:tc>
          <w:tcPr>
            <w:tcW w:w="951" w:type="dxa"/>
            <w:tcBorders>
              <w:top w:val="single" w:color="auto" w:sz="4" w:space="0"/>
              <w:left w:val="nil"/>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增加值</w:t>
            </w:r>
          </w:p>
        </w:tc>
        <w:tc>
          <w:tcPr>
            <w:tcW w:w="1042" w:type="dxa"/>
            <w:tcBorders>
              <w:top w:val="single" w:color="auto" w:sz="4" w:space="0"/>
              <w:left w:val="nil"/>
              <w:bottom w:val="nil"/>
              <w:right w:val="single" w:color="auto" w:sz="4" w:space="0"/>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增长%</w:t>
            </w:r>
          </w:p>
        </w:tc>
        <w:tc>
          <w:tcPr>
            <w:tcW w:w="1080" w:type="dxa"/>
            <w:tcBorders>
              <w:top w:val="single" w:color="auto" w:sz="4" w:space="0"/>
              <w:left w:val="nil"/>
              <w:bottom w:val="nil"/>
              <w:right w:val="single" w:color="auto" w:sz="4" w:space="0"/>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贡献率</w:t>
            </w:r>
          </w:p>
        </w:tc>
        <w:tc>
          <w:tcPr>
            <w:tcW w:w="1440" w:type="dxa"/>
            <w:tcBorders>
              <w:top w:val="single" w:color="auto" w:sz="4" w:space="0"/>
              <w:left w:val="nil"/>
              <w:bottom w:val="nil"/>
              <w:right w:val="nil"/>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拉动百分点</w:t>
            </w:r>
          </w:p>
        </w:tc>
      </w:tr>
      <w:tr>
        <w:tblPrEx>
          <w:tblLayout w:type="fixed"/>
          <w:tblCellMar>
            <w:top w:w="0" w:type="dxa"/>
            <w:left w:w="108" w:type="dxa"/>
            <w:bottom w:w="0" w:type="dxa"/>
            <w:right w:w="108" w:type="dxa"/>
          </w:tblCellMar>
        </w:tblPrEx>
        <w:trPr>
          <w:trHeight w:val="420" w:hRule="atLeast"/>
        </w:trPr>
        <w:tc>
          <w:tcPr>
            <w:tcW w:w="3240" w:type="dxa"/>
            <w:tcBorders>
              <w:top w:val="nil"/>
              <w:left w:val="nil"/>
              <w:bottom w:val="nil"/>
              <w:right w:val="single" w:color="auto" w:sz="4" w:space="0"/>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总计</w:t>
            </w:r>
          </w:p>
        </w:tc>
        <w:tc>
          <w:tcPr>
            <w:tcW w:w="720" w:type="dxa"/>
            <w:tcBorders>
              <w:top w:val="single" w:color="auto" w:sz="4" w:space="0"/>
              <w:left w:val="nil"/>
              <w:bottom w:val="nil"/>
              <w:right w:val="single" w:color="auto" w:sz="4" w:space="0"/>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951" w:type="dxa"/>
            <w:tcBorders>
              <w:top w:val="single" w:color="auto" w:sz="4" w:space="0"/>
              <w:left w:val="nil"/>
              <w:bottom w:val="nil"/>
              <w:right w:val="single" w:color="auto" w:sz="4" w:space="0"/>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196.73 </w:t>
            </w:r>
          </w:p>
        </w:tc>
        <w:tc>
          <w:tcPr>
            <w:tcW w:w="1042" w:type="dxa"/>
            <w:tcBorders>
              <w:top w:val="single" w:color="auto" w:sz="4" w:space="0"/>
              <w:left w:val="nil"/>
              <w:bottom w:val="nil"/>
              <w:right w:val="single" w:color="auto" w:sz="4" w:space="0"/>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20.4</w:t>
            </w:r>
          </w:p>
        </w:tc>
        <w:tc>
          <w:tcPr>
            <w:tcW w:w="1080" w:type="dxa"/>
            <w:tcBorders>
              <w:top w:val="single" w:color="auto" w:sz="4" w:space="0"/>
              <w:left w:val="nil"/>
              <w:bottom w:val="nil"/>
              <w:right w:val="single" w:color="auto" w:sz="4" w:space="0"/>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100</w:t>
            </w:r>
          </w:p>
        </w:tc>
        <w:tc>
          <w:tcPr>
            <w:tcW w:w="1440" w:type="dxa"/>
            <w:tcBorders>
              <w:top w:val="single" w:color="auto" w:sz="4" w:space="0"/>
              <w:left w:val="nil"/>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20.4</w:t>
            </w:r>
          </w:p>
        </w:tc>
      </w:tr>
      <w:tr>
        <w:tblPrEx>
          <w:tblLayout w:type="fixed"/>
          <w:tblCellMar>
            <w:top w:w="0" w:type="dxa"/>
            <w:left w:w="108" w:type="dxa"/>
            <w:bottom w:w="0" w:type="dxa"/>
            <w:right w:w="108" w:type="dxa"/>
          </w:tblCellMar>
        </w:tblPrEx>
        <w:trPr>
          <w:trHeight w:val="420" w:hRule="atLeast"/>
        </w:trPr>
        <w:tc>
          <w:tcPr>
            <w:tcW w:w="3240" w:type="dxa"/>
            <w:tcBorders>
              <w:top w:val="nil"/>
              <w:left w:val="nil"/>
              <w:bottom w:val="nil"/>
              <w:right w:val="nil"/>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#轻工业</w:t>
            </w:r>
          </w:p>
        </w:tc>
        <w:tc>
          <w:tcPr>
            <w:tcW w:w="720" w:type="dxa"/>
            <w:tcBorders>
              <w:top w:val="nil"/>
              <w:left w:val="single" w:color="auto" w:sz="4" w:space="0"/>
              <w:bottom w:val="nil"/>
              <w:right w:val="nil"/>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951"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59.65 </w:t>
            </w:r>
          </w:p>
        </w:tc>
        <w:tc>
          <w:tcPr>
            <w:tcW w:w="1042"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4.6</w:t>
            </w:r>
          </w:p>
        </w:tc>
        <w:tc>
          <w:tcPr>
            <w:tcW w:w="108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8.7</w:t>
            </w:r>
          </w:p>
        </w:tc>
        <w:tc>
          <w:tcPr>
            <w:tcW w:w="144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1.8</w:t>
            </w:r>
          </w:p>
        </w:tc>
      </w:tr>
      <w:tr>
        <w:tblPrEx>
          <w:tblLayout w:type="fixed"/>
          <w:tblCellMar>
            <w:top w:w="0" w:type="dxa"/>
            <w:left w:w="108" w:type="dxa"/>
            <w:bottom w:w="0" w:type="dxa"/>
            <w:right w:w="108" w:type="dxa"/>
          </w:tblCellMar>
        </w:tblPrEx>
        <w:trPr>
          <w:trHeight w:val="420" w:hRule="atLeast"/>
        </w:trPr>
        <w:tc>
          <w:tcPr>
            <w:tcW w:w="3240" w:type="dxa"/>
            <w:tcBorders>
              <w:top w:val="nil"/>
              <w:left w:val="nil"/>
              <w:bottom w:val="nil"/>
              <w:right w:val="nil"/>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重工业</w:t>
            </w:r>
          </w:p>
        </w:tc>
        <w:tc>
          <w:tcPr>
            <w:tcW w:w="720" w:type="dxa"/>
            <w:tcBorders>
              <w:top w:val="nil"/>
              <w:left w:val="single" w:color="auto" w:sz="4" w:space="0"/>
              <w:bottom w:val="nil"/>
              <w:right w:val="nil"/>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951"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137.07 </w:t>
            </w:r>
          </w:p>
        </w:tc>
        <w:tc>
          <w:tcPr>
            <w:tcW w:w="1042"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30.6</w:t>
            </w:r>
          </w:p>
        </w:tc>
        <w:tc>
          <w:tcPr>
            <w:tcW w:w="108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91.3</w:t>
            </w:r>
          </w:p>
        </w:tc>
        <w:tc>
          <w:tcPr>
            <w:tcW w:w="144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18.7</w:t>
            </w:r>
          </w:p>
        </w:tc>
      </w:tr>
      <w:tr>
        <w:tblPrEx>
          <w:tblLayout w:type="fixed"/>
          <w:tblCellMar>
            <w:top w:w="0" w:type="dxa"/>
            <w:left w:w="108" w:type="dxa"/>
            <w:bottom w:w="0" w:type="dxa"/>
            <w:right w:w="108" w:type="dxa"/>
          </w:tblCellMar>
        </w:tblPrEx>
        <w:trPr>
          <w:trHeight w:val="420" w:hRule="atLeast"/>
        </w:trPr>
        <w:tc>
          <w:tcPr>
            <w:tcW w:w="3240" w:type="dxa"/>
            <w:tcBorders>
              <w:top w:val="nil"/>
              <w:left w:val="nil"/>
              <w:bottom w:val="nil"/>
              <w:right w:val="nil"/>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#国有企业</w:t>
            </w:r>
          </w:p>
        </w:tc>
        <w:tc>
          <w:tcPr>
            <w:tcW w:w="720" w:type="dxa"/>
            <w:tcBorders>
              <w:top w:val="nil"/>
              <w:left w:val="single" w:color="auto" w:sz="4" w:space="0"/>
              <w:bottom w:val="nil"/>
              <w:right w:val="nil"/>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951"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5.92 </w:t>
            </w:r>
          </w:p>
        </w:tc>
        <w:tc>
          <w:tcPr>
            <w:tcW w:w="1042"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24.2</w:t>
            </w:r>
          </w:p>
        </w:tc>
        <w:tc>
          <w:tcPr>
            <w:tcW w:w="108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3.2</w:t>
            </w:r>
          </w:p>
        </w:tc>
        <w:tc>
          <w:tcPr>
            <w:tcW w:w="144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0.6</w:t>
            </w:r>
          </w:p>
        </w:tc>
      </w:tr>
      <w:tr>
        <w:tblPrEx>
          <w:tblLayout w:type="fixed"/>
          <w:tblCellMar>
            <w:top w:w="0" w:type="dxa"/>
            <w:left w:w="108" w:type="dxa"/>
            <w:bottom w:w="0" w:type="dxa"/>
            <w:right w:w="108" w:type="dxa"/>
          </w:tblCellMar>
        </w:tblPrEx>
        <w:trPr>
          <w:trHeight w:val="420" w:hRule="atLeast"/>
        </w:trPr>
        <w:tc>
          <w:tcPr>
            <w:tcW w:w="3240" w:type="dxa"/>
            <w:tcBorders>
              <w:top w:val="nil"/>
              <w:left w:val="nil"/>
              <w:bottom w:val="nil"/>
              <w:right w:val="nil"/>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集体企业</w:t>
            </w:r>
          </w:p>
        </w:tc>
        <w:tc>
          <w:tcPr>
            <w:tcW w:w="720" w:type="dxa"/>
            <w:tcBorders>
              <w:top w:val="nil"/>
              <w:left w:val="single" w:color="auto" w:sz="4" w:space="0"/>
              <w:bottom w:val="nil"/>
              <w:right w:val="nil"/>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951"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0.00 </w:t>
            </w:r>
          </w:p>
        </w:tc>
        <w:tc>
          <w:tcPr>
            <w:tcW w:w="1042"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-100</w:t>
            </w:r>
          </w:p>
        </w:tc>
        <w:tc>
          <w:tcPr>
            <w:tcW w:w="108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0</w:t>
            </w:r>
          </w:p>
        </w:tc>
        <w:tc>
          <w:tcPr>
            <w:tcW w:w="144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0</w:t>
            </w:r>
          </w:p>
        </w:tc>
      </w:tr>
      <w:tr>
        <w:tblPrEx>
          <w:tblLayout w:type="fixed"/>
          <w:tblCellMar>
            <w:top w:w="0" w:type="dxa"/>
            <w:left w:w="108" w:type="dxa"/>
            <w:bottom w:w="0" w:type="dxa"/>
            <w:right w:w="108" w:type="dxa"/>
          </w:tblCellMar>
        </w:tblPrEx>
        <w:trPr>
          <w:trHeight w:val="420" w:hRule="atLeast"/>
        </w:trPr>
        <w:tc>
          <w:tcPr>
            <w:tcW w:w="3240" w:type="dxa"/>
            <w:tcBorders>
              <w:top w:val="nil"/>
              <w:left w:val="nil"/>
              <w:bottom w:val="nil"/>
              <w:right w:val="nil"/>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股份合作企业</w:t>
            </w:r>
          </w:p>
        </w:tc>
        <w:tc>
          <w:tcPr>
            <w:tcW w:w="720" w:type="dxa"/>
            <w:tcBorders>
              <w:top w:val="nil"/>
              <w:left w:val="single" w:color="auto" w:sz="4" w:space="0"/>
              <w:bottom w:val="nil"/>
              <w:right w:val="nil"/>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951"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0.00 </w:t>
            </w:r>
          </w:p>
        </w:tc>
        <w:tc>
          <w:tcPr>
            <w:tcW w:w="1042"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-100</w:t>
            </w:r>
          </w:p>
        </w:tc>
        <w:tc>
          <w:tcPr>
            <w:tcW w:w="108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0</w:t>
            </w:r>
          </w:p>
        </w:tc>
        <w:tc>
          <w:tcPr>
            <w:tcW w:w="144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0</w:t>
            </w:r>
          </w:p>
        </w:tc>
      </w:tr>
      <w:tr>
        <w:tblPrEx>
          <w:tblLayout w:type="fixed"/>
          <w:tblCellMar>
            <w:top w:w="0" w:type="dxa"/>
            <w:left w:w="108" w:type="dxa"/>
            <w:bottom w:w="0" w:type="dxa"/>
            <w:right w:w="108" w:type="dxa"/>
          </w:tblCellMar>
        </w:tblPrEx>
        <w:trPr>
          <w:trHeight w:val="420" w:hRule="atLeast"/>
        </w:trPr>
        <w:tc>
          <w:tcPr>
            <w:tcW w:w="3240" w:type="dxa"/>
            <w:tcBorders>
              <w:top w:val="nil"/>
              <w:left w:val="nil"/>
              <w:bottom w:val="nil"/>
              <w:right w:val="nil"/>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股份制企业</w:t>
            </w:r>
          </w:p>
        </w:tc>
        <w:tc>
          <w:tcPr>
            <w:tcW w:w="720" w:type="dxa"/>
            <w:tcBorders>
              <w:top w:val="nil"/>
              <w:left w:val="single" w:color="auto" w:sz="4" w:space="0"/>
              <w:bottom w:val="nil"/>
              <w:right w:val="nil"/>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951"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134.49 </w:t>
            </w:r>
          </w:p>
        </w:tc>
        <w:tc>
          <w:tcPr>
            <w:tcW w:w="1042"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32.3</w:t>
            </w:r>
          </w:p>
        </w:tc>
        <w:tc>
          <w:tcPr>
            <w:tcW w:w="108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92.7</w:t>
            </w:r>
          </w:p>
        </w:tc>
        <w:tc>
          <w:tcPr>
            <w:tcW w:w="144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19</w:t>
            </w:r>
          </w:p>
        </w:tc>
      </w:tr>
      <w:tr>
        <w:tblPrEx>
          <w:tblLayout w:type="fixed"/>
          <w:tblCellMar>
            <w:top w:w="0" w:type="dxa"/>
            <w:left w:w="108" w:type="dxa"/>
            <w:bottom w:w="0" w:type="dxa"/>
            <w:right w:w="108" w:type="dxa"/>
          </w:tblCellMar>
        </w:tblPrEx>
        <w:trPr>
          <w:trHeight w:val="420" w:hRule="atLeast"/>
        </w:trPr>
        <w:tc>
          <w:tcPr>
            <w:tcW w:w="3240" w:type="dxa"/>
            <w:tcBorders>
              <w:top w:val="nil"/>
              <w:left w:val="nil"/>
              <w:bottom w:val="nil"/>
              <w:right w:val="nil"/>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外商及港澳台商投资企业</w:t>
            </w:r>
          </w:p>
        </w:tc>
        <w:tc>
          <w:tcPr>
            <w:tcW w:w="720" w:type="dxa"/>
            <w:tcBorders>
              <w:top w:val="nil"/>
              <w:left w:val="single" w:color="auto" w:sz="4" w:space="0"/>
              <w:bottom w:val="nil"/>
              <w:right w:val="nil"/>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951"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56.32 </w:t>
            </w:r>
          </w:p>
        </w:tc>
        <w:tc>
          <w:tcPr>
            <w:tcW w:w="1042"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2.2</w:t>
            </w:r>
          </w:p>
        </w:tc>
        <w:tc>
          <w:tcPr>
            <w:tcW w:w="108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4.1</w:t>
            </w:r>
          </w:p>
        </w:tc>
        <w:tc>
          <w:tcPr>
            <w:tcW w:w="144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0.8</w:t>
            </w:r>
          </w:p>
        </w:tc>
      </w:tr>
      <w:tr>
        <w:tblPrEx>
          <w:tblLayout w:type="fixed"/>
          <w:tblCellMar>
            <w:top w:w="0" w:type="dxa"/>
            <w:left w:w="108" w:type="dxa"/>
            <w:bottom w:w="0" w:type="dxa"/>
            <w:right w:w="108" w:type="dxa"/>
          </w:tblCellMar>
        </w:tblPrEx>
        <w:trPr>
          <w:trHeight w:val="420" w:hRule="atLeast"/>
        </w:trPr>
        <w:tc>
          <w:tcPr>
            <w:tcW w:w="3240" w:type="dxa"/>
            <w:tcBorders>
              <w:top w:val="nil"/>
              <w:left w:val="nil"/>
              <w:bottom w:val="nil"/>
              <w:right w:val="nil"/>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其他经济类型企业</w:t>
            </w:r>
          </w:p>
        </w:tc>
        <w:tc>
          <w:tcPr>
            <w:tcW w:w="720" w:type="dxa"/>
            <w:tcBorders>
              <w:top w:val="nil"/>
              <w:left w:val="single" w:color="auto" w:sz="4" w:space="0"/>
              <w:bottom w:val="nil"/>
              <w:right w:val="nil"/>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951"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0.00 </w:t>
            </w:r>
          </w:p>
        </w:tc>
        <w:tc>
          <w:tcPr>
            <w:tcW w:w="1042"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-100</w:t>
            </w:r>
          </w:p>
        </w:tc>
        <w:tc>
          <w:tcPr>
            <w:tcW w:w="108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0</w:t>
            </w:r>
          </w:p>
        </w:tc>
        <w:tc>
          <w:tcPr>
            <w:tcW w:w="144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0</w:t>
            </w:r>
          </w:p>
        </w:tc>
      </w:tr>
      <w:tr>
        <w:tblPrEx>
          <w:tblLayout w:type="fixed"/>
          <w:tblCellMar>
            <w:top w:w="0" w:type="dxa"/>
            <w:left w:w="108" w:type="dxa"/>
            <w:bottom w:w="0" w:type="dxa"/>
            <w:right w:w="108" w:type="dxa"/>
          </w:tblCellMar>
        </w:tblPrEx>
        <w:trPr>
          <w:trHeight w:val="420" w:hRule="atLeast"/>
        </w:trPr>
        <w:tc>
          <w:tcPr>
            <w:tcW w:w="3240" w:type="dxa"/>
            <w:tcBorders>
              <w:top w:val="nil"/>
              <w:left w:val="nil"/>
              <w:bottom w:val="nil"/>
              <w:right w:val="nil"/>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#国有控股企业</w:t>
            </w:r>
          </w:p>
        </w:tc>
        <w:tc>
          <w:tcPr>
            <w:tcW w:w="720" w:type="dxa"/>
            <w:tcBorders>
              <w:top w:val="nil"/>
              <w:left w:val="single" w:color="auto" w:sz="4" w:space="0"/>
              <w:bottom w:val="nil"/>
              <w:right w:val="nil"/>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951"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58.74 </w:t>
            </w:r>
          </w:p>
        </w:tc>
        <w:tc>
          <w:tcPr>
            <w:tcW w:w="1042"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65</w:t>
            </w:r>
          </w:p>
        </w:tc>
        <w:tc>
          <w:tcPr>
            <w:tcW w:w="108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62</w:t>
            </w:r>
          </w:p>
        </w:tc>
        <w:tc>
          <w:tcPr>
            <w:tcW w:w="144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12.7</w:t>
            </w:r>
          </w:p>
        </w:tc>
      </w:tr>
      <w:tr>
        <w:tblPrEx>
          <w:tblLayout w:type="fixed"/>
          <w:tblCellMar>
            <w:top w:w="0" w:type="dxa"/>
            <w:left w:w="108" w:type="dxa"/>
            <w:bottom w:w="0" w:type="dxa"/>
            <w:right w:w="108" w:type="dxa"/>
          </w:tblCellMar>
        </w:tblPrEx>
        <w:trPr>
          <w:trHeight w:val="420" w:hRule="atLeast"/>
        </w:trPr>
        <w:tc>
          <w:tcPr>
            <w:tcW w:w="3240" w:type="dxa"/>
            <w:tcBorders>
              <w:top w:val="nil"/>
              <w:left w:val="nil"/>
              <w:bottom w:val="nil"/>
              <w:right w:val="nil"/>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#非公有工业</w:t>
            </w:r>
          </w:p>
        </w:tc>
        <w:tc>
          <w:tcPr>
            <w:tcW w:w="720" w:type="dxa"/>
            <w:tcBorders>
              <w:top w:val="nil"/>
              <w:left w:val="single" w:color="auto" w:sz="4" w:space="0"/>
              <w:bottom w:val="nil"/>
              <w:right w:val="nil"/>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951"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130.98 </w:t>
            </w:r>
          </w:p>
        </w:tc>
        <w:tc>
          <w:tcPr>
            <w:tcW w:w="1042"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7.2</w:t>
            </w:r>
          </w:p>
        </w:tc>
        <w:tc>
          <w:tcPr>
            <w:tcW w:w="108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27.9</w:t>
            </w:r>
          </w:p>
        </w:tc>
        <w:tc>
          <w:tcPr>
            <w:tcW w:w="144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5.7</w:t>
            </w:r>
          </w:p>
        </w:tc>
      </w:tr>
      <w:tr>
        <w:tblPrEx>
          <w:tblLayout w:type="fixed"/>
          <w:tblCellMar>
            <w:top w:w="0" w:type="dxa"/>
            <w:left w:w="108" w:type="dxa"/>
            <w:bottom w:w="0" w:type="dxa"/>
            <w:right w:w="108" w:type="dxa"/>
          </w:tblCellMar>
        </w:tblPrEx>
        <w:trPr>
          <w:trHeight w:val="420" w:hRule="atLeast"/>
        </w:trPr>
        <w:tc>
          <w:tcPr>
            <w:tcW w:w="3240" w:type="dxa"/>
            <w:tcBorders>
              <w:top w:val="nil"/>
              <w:left w:val="nil"/>
              <w:bottom w:val="nil"/>
              <w:right w:val="nil"/>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#大中型工业企业</w:t>
            </w:r>
          </w:p>
        </w:tc>
        <w:tc>
          <w:tcPr>
            <w:tcW w:w="720" w:type="dxa"/>
            <w:tcBorders>
              <w:top w:val="nil"/>
              <w:left w:val="single" w:color="auto" w:sz="4" w:space="0"/>
              <w:bottom w:val="nil"/>
              <w:right w:val="nil"/>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951"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162.48 </w:t>
            </w:r>
          </w:p>
        </w:tc>
        <w:tc>
          <w:tcPr>
            <w:tcW w:w="1042"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24.7</w:t>
            </w:r>
          </w:p>
        </w:tc>
        <w:tc>
          <w:tcPr>
            <w:tcW w:w="108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96.1</w:t>
            </w:r>
          </w:p>
        </w:tc>
        <w:tc>
          <w:tcPr>
            <w:tcW w:w="1440" w:type="dxa"/>
            <w:tcBorders>
              <w:top w:val="nil"/>
              <w:left w:val="single" w:color="auto" w:sz="4" w:space="0"/>
              <w:bottom w:val="nil"/>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19.6</w:t>
            </w:r>
          </w:p>
        </w:tc>
      </w:tr>
      <w:tr>
        <w:tblPrEx>
          <w:tblLayout w:type="fixed"/>
          <w:tblCellMar>
            <w:top w:w="0" w:type="dxa"/>
            <w:left w:w="108" w:type="dxa"/>
            <w:bottom w:w="0" w:type="dxa"/>
            <w:right w:w="108" w:type="dxa"/>
          </w:tblCellMar>
        </w:tblPrEx>
        <w:trPr>
          <w:trHeight w:val="420" w:hRule="atLeast"/>
        </w:trPr>
        <w:tc>
          <w:tcPr>
            <w:tcW w:w="3240"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#国有大中型企业</w:t>
            </w:r>
          </w:p>
        </w:tc>
        <w:tc>
          <w:tcPr>
            <w:tcW w:w="720"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951"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3.11 </w:t>
            </w:r>
          </w:p>
        </w:tc>
        <w:tc>
          <w:tcPr>
            <w:tcW w:w="1042"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23</w:t>
            </w:r>
          </w:p>
        </w:tc>
        <w:tc>
          <w:tcPr>
            <w:tcW w:w="108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1.6</w:t>
            </w:r>
          </w:p>
        </w:tc>
        <w:tc>
          <w:tcPr>
            <w:tcW w:w="1440" w:type="dxa"/>
            <w:tcBorders>
              <w:top w:val="nil"/>
              <w:left w:val="nil"/>
              <w:bottom w:val="single" w:color="auto" w:sz="4" w:space="0"/>
              <w:right w:val="nil"/>
            </w:tcBorders>
            <w:shd w:val="clear" w:color="auto" w:fill="auto"/>
            <w:vAlign w:val="bottom"/>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0.3</w:t>
            </w:r>
          </w:p>
        </w:tc>
      </w:tr>
    </w:tbl>
    <w:p>
      <w:pPr>
        <w:widowControl/>
        <w:spacing w:line="580" w:lineRule="exact"/>
        <w:ind w:firstLine="560" w:firstLineChars="200"/>
        <w:rPr>
          <w:rFonts w:hint="eastAsia" w:ascii="宋体" w:hAnsi="宋体" w:cs="宋体"/>
          <w:kern w:val="0"/>
          <w:sz w:val="28"/>
          <w:szCs w:val="28"/>
        </w:rPr>
      </w:pPr>
    </w:p>
    <w:p>
      <w:pPr>
        <w:widowControl/>
        <w:spacing w:line="580" w:lineRule="exact"/>
        <w:ind w:firstLine="560" w:firstLineChars="200"/>
        <w:rPr>
          <w:rFonts w:hint="eastAsia" w:ascii="宋体" w:hAnsi="宋体" w:cs="宋体"/>
          <w:kern w:val="0"/>
          <w:sz w:val="28"/>
          <w:szCs w:val="28"/>
        </w:rPr>
      </w:pPr>
      <w:r>
        <w:rPr>
          <w:rFonts w:hint="eastAsia" w:ascii="宋体" w:hAnsi="宋体" w:cs="宋体"/>
          <w:kern w:val="0"/>
          <w:sz w:val="28"/>
          <w:szCs w:val="28"/>
        </w:rPr>
        <w:t>二是各类型企业全面增长，股份制企业贡献突出。从企业登记注册类型看，国有企业、股份制企业和外商及港澳台商投资企业全面增长，实现增加值分别增长24.2%、32.3%、2.2%。其中，股份制企业增势强劲，比规模以上工业增加值增幅高出11.9个百分点，分别比国有企业和外商及港澳台商投资企业增幅高出8.1个百分点</w:t>
      </w:r>
      <w:r>
        <w:rPr>
          <w:rFonts w:ascii="宋体" w:hAnsi="宋体" w:cs="宋体"/>
          <w:kern w:val="0"/>
          <w:sz w:val="28"/>
          <w:szCs w:val="28"/>
        </w:rPr>
        <w:t>、</w:t>
      </w:r>
      <w:r>
        <w:rPr>
          <w:rFonts w:hint="eastAsia" w:ascii="宋体" w:hAnsi="宋体" w:cs="宋体"/>
          <w:kern w:val="0"/>
          <w:sz w:val="28"/>
          <w:szCs w:val="28"/>
        </w:rPr>
        <w:t>30.1个百分点，拉动规模以上工业增加值增长19</w:t>
      </w:r>
      <w:r>
        <w:rPr>
          <w:rFonts w:ascii="宋体" w:hAnsi="宋体" w:cs="宋体"/>
          <w:kern w:val="0"/>
          <w:sz w:val="28"/>
          <w:szCs w:val="28"/>
        </w:rPr>
        <w:t>.0</w:t>
      </w:r>
      <w:r>
        <w:rPr>
          <w:rFonts w:hint="eastAsia" w:ascii="宋体" w:hAnsi="宋体" w:cs="宋体"/>
          <w:kern w:val="0"/>
          <w:sz w:val="28"/>
          <w:szCs w:val="28"/>
        </w:rPr>
        <w:t>个百分点，贡献率达92.7%。</w:t>
      </w:r>
    </w:p>
    <w:p>
      <w:pPr>
        <w:widowControl/>
        <w:spacing w:line="580" w:lineRule="exact"/>
        <w:ind w:firstLine="560" w:firstLineChars="200"/>
        <w:rPr>
          <w:rFonts w:hint="eastAsia" w:ascii="宋体" w:hAnsi="宋体" w:cs="宋体"/>
          <w:kern w:val="0"/>
          <w:sz w:val="28"/>
          <w:szCs w:val="28"/>
        </w:rPr>
      </w:pPr>
      <w:r>
        <w:rPr>
          <w:rFonts w:hint="eastAsia" w:ascii="宋体" w:hAnsi="宋体" w:cs="宋体"/>
          <w:kern w:val="0"/>
          <w:sz w:val="28"/>
          <w:szCs w:val="28"/>
        </w:rPr>
        <w:t>三是六成产品产量实现增长。在全区20种主要工业产品中，有12种产品产量实现增长，增长面达60.0%。</w:t>
      </w:r>
    </w:p>
    <w:p>
      <w:pPr>
        <w:widowControl/>
        <w:spacing w:line="580" w:lineRule="exact"/>
        <w:ind w:firstLine="560" w:firstLineChars="200"/>
        <w:rPr>
          <w:rFonts w:hint="eastAsia" w:ascii="宋体" w:hAnsi="宋体" w:cs="宋体"/>
          <w:kern w:val="0"/>
          <w:sz w:val="28"/>
          <w:szCs w:val="28"/>
        </w:rPr>
      </w:pPr>
    </w:p>
    <w:p>
      <w:pPr>
        <w:widowControl/>
        <w:spacing w:line="580" w:lineRule="exact"/>
        <w:ind w:firstLine="560" w:firstLineChars="200"/>
        <w:rPr>
          <w:rFonts w:hint="eastAsia" w:ascii="宋体" w:hAnsi="宋体" w:cs="宋体"/>
          <w:kern w:val="0"/>
          <w:sz w:val="28"/>
          <w:szCs w:val="28"/>
        </w:rPr>
      </w:pPr>
    </w:p>
    <w:tbl>
      <w:tblPr>
        <w:tblStyle w:val="6"/>
        <w:tblW w:w="7920" w:type="dxa"/>
        <w:tblInd w:w="468" w:type="dxa"/>
        <w:tblLayout w:type="fixed"/>
        <w:tblCellMar>
          <w:top w:w="0" w:type="dxa"/>
          <w:left w:w="108" w:type="dxa"/>
          <w:bottom w:w="0" w:type="dxa"/>
          <w:right w:w="108" w:type="dxa"/>
        </w:tblCellMar>
      </w:tblPr>
      <w:tblGrid>
        <w:gridCol w:w="3240"/>
        <w:gridCol w:w="1260"/>
        <w:gridCol w:w="1620"/>
        <w:gridCol w:w="1800"/>
      </w:tblGrid>
      <w:tr>
        <w:tblPrEx>
          <w:tblLayout w:type="fixed"/>
          <w:tblCellMar>
            <w:top w:w="0" w:type="dxa"/>
            <w:left w:w="108" w:type="dxa"/>
            <w:bottom w:w="0" w:type="dxa"/>
            <w:right w:w="108" w:type="dxa"/>
          </w:tblCellMar>
        </w:tblPrEx>
        <w:trPr>
          <w:trHeight w:val="510" w:hRule="atLeast"/>
        </w:trPr>
        <w:tc>
          <w:tcPr>
            <w:tcW w:w="7920" w:type="dxa"/>
            <w:gridSpan w:val="4"/>
            <w:tcBorders>
              <w:top w:val="nil"/>
              <w:left w:val="nil"/>
              <w:bottom w:val="nil"/>
              <w:right w:val="nil"/>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表3  2014年主要工业产品产量及其增长速度</w:t>
            </w:r>
          </w:p>
        </w:tc>
      </w:tr>
      <w:tr>
        <w:tblPrEx>
          <w:tblLayout w:type="fixed"/>
          <w:tblCellMar>
            <w:top w:w="0" w:type="dxa"/>
            <w:left w:w="108" w:type="dxa"/>
            <w:bottom w:w="0" w:type="dxa"/>
            <w:right w:w="108" w:type="dxa"/>
          </w:tblCellMar>
        </w:tblPrEx>
        <w:trPr>
          <w:trHeight w:val="345" w:hRule="atLeast"/>
        </w:trPr>
        <w:tc>
          <w:tcPr>
            <w:tcW w:w="32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产品名称</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单位</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产量</w:t>
            </w:r>
          </w:p>
        </w:tc>
        <w:tc>
          <w:tcPr>
            <w:tcW w:w="1800"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比上年增长%</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铁矿石原矿</w:t>
            </w:r>
          </w:p>
        </w:tc>
        <w:tc>
          <w:tcPr>
            <w:tcW w:w="1260" w:type="dxa"/>
            <w:tcBorders>
              <w:top w:val="nil"/>
              <w:left w:val="nil"/>
              <w:bottom w:val="nil"/>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万吨</w:t>
            </w:r>
          </w:p>
        </w:tc>
        <w:tc>
          <w:tcPr>
            <w:tcW w:w="1620"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193.08 </w:t>
            </w:r>
          </w:p>
        </w:tc>
        <w:tc>
          <w:tcPr>
            <w:tcW w:w="180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-7.66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饲料</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万吨</w:t>
            </w:r>
          </w:p>
        </w:tc>
        <w:tc>
          <w:tcPr>
            <w:tcW w:w="162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35.97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3.23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精制食用植物油</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万吨</w:t>
            </w:r>
          </w:p>
        </w:tc>
        <w:tc>
          <w:tcPr>
            <w:tcW w:w="162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177.77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8.81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油渣饼</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万吨</w:t>
            </w:r>
          </w:p>
        </w:tc>
        <w:tc>
          <w:tcPr>
            <w:tcW w:w="162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379.98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7.80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加工糖</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万吨</w:t>
            </w:r>
          </w:p>
        </w:tc>
        <w:tc>
          <w:tcPr>
            <w:tcW w:w="162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0.56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33.29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鲜、冷藏肉</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万吨</w:t>
            </w:r>
          </w:p>
        </w:tc>
        <w:tc>
          <w:tcPr>
            <w:tcW w:w="162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2.80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-59.41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冷冻水产品</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万吨</w:t>
            </w:r>
          </w:p>
        </w:tc>
        <w:tc>
          <w:tcPr>
            <w:tcW w:w="162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0.95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12.81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淀粉及淀粉制品</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万吨</w:t>
            </w:r>
          </w:p>
        </w:tc>
        <w:tc>
          <w:tcPr>
            <w:tcW w:w="162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4.08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162.86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人造板</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万立方米</w:t>
            </w:r>
          </w:p>
        </w:tc>
        <w:tc>
          <w:tcPr>
            <w:tcW w:w="162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23.39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331.75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硫酸（折100％）</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万吨</w:t>
            </w:r>
          </w:p>
        </w:tc>
        <w:tc>
          <w:tcPr>
            <w:tcW w:w="162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78.03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7903.51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磷酸（含量85％）</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万吨</w:t>
            </w:r>
          </w:p>
        </w:tc>
        <w:tc>
          <w:tcPr>
            <w:tcW w:w="162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43.13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8.63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化学试剂</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万吨</w:t>
            </w:r>
          </w:p>
        </w:tc>
        <w:tc>
          <w:tcPr>
            <w:tcW w:w="162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5.87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27.28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合成香料</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吨</w:t>
            </w:r>
          </w:p>
        </w:tc>
        <w:tc>
          <w:tcPr>
            <w:tcW w:w="162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173.00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-58.61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塑料制品</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万吨</w:t>
            </w:r>
          </w:p>
        </w:tc>
        <w:tc>
          <w:tcPr>
            <w:tcW w:w="162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6.04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6.87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商品混凝土</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万立方米</w:t>
            </w:r>
          </w:p>
        </w:tc>
        <w:tc>
          <w:tcPr>
            <w:tcW w:w="162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328.72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-27.33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粗钢</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万吨</w:t>
            </w:r>
          </w:p>
        </w:tc>
        <w:tc>
          <w:tcPr>
            <w:tcW w:w="162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581.68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37.22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钢材</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万吨</w:t>
            </w:r>
          </w:p>
        </w:tc>
        <w:tc>
          <w:tcPr>
            <w:tcW w:w="162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536.68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45.20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十种有色金属</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万吨</w:t>
            </w:r>
          </w:p>
        </w:tc>
        <w:tc>
          <w:tcPr>
            <w:tcW w:w="162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20.31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3164.98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钢结构</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万吨</w:t>
            </w:r>
          </w:p>
        </w:tc>
        <w:tc>
          <w:tcPr>
            <w:tcW w:w="162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37.24 </w:t>
            </w:r>
          </w:p>
        </w:tc>
        <w:tc>
          <w:tcPr>
            <w:tcW w:w="1800" w:type="dxa"/>
            <w:tcBorders>
              <w:top w:val="nil"/>
              <w:left w:val="single" w:color="auto" w:sz="4" w:space="0"/>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102.37 </w:t>
            </w:r>
          </w:p>
        </w:tc>
      </w:tr>
      <w:tr>
        <w:tblPrEx>
          <w:tblLayout w:type="fixed"/>
          <w:tblCellMar>
            <w:top w:w="0" w:type="dxa"/>
            <w:left w:w="108" w:type="dxa"/>
            <w:bottom w:w="0" w:type="dxa"/>
            <w:right w:w="108" w:type="dxa"/>
          </w:tblCellMar>
        </w:tblPrEx>
        <w:trPr>
          <w:trHeight w:val="345" w:hRule="atLeast"/>
        </w:trPr>
        <w:tc>
          <w:tcPr>
            <w:tcW w:w="32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自来水生产量</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亿立方米</w:t>
            </w:r>
          </w:p>
        </w:tc>
        <w:tc>
          <w:tcPr>
            <w:tcW w:w="1620" w:type="dxa"/>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0.26 </w:t>
            </w:r>
          </w:p>
        </w:tc>
        <w:tc>
          <w:tcPr>
            <w:tcW w:w="1800"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10.88 </w:t>
            </w:r>
          </w:p>
        </w:tc>
      </w:tr>
    </w:tbl>
    <w:p>
      <w:pPr>
        <w:widowControl/>
        <w:spacing w:line="580" w:lineRule="exact"/>
        <w:ind w:firstLine="560" w:firstLineChars="200"/>
        <w:rPr>
          <w:rFonts w:ascii="宋体" w:hAnsi="宋体" w:cs="宋体"/>
          <w:kern w:val="0"/>
          <w:sz w:val="28"/>
          <w:szCs w:val="28"/>
        </w:rPr>
      </w:pPr>
    </w:p>
    <w:p>
      <w:pPr>
        <w:widowControl/>
        <w:spacing w:line="580" w:lineRule="exact"/>
        <w:rPr>
          <w:rFonts w:hint="eastAsia" w:ascii="宋体" w:hAnsi="宋体" w:cs="宋体"/>
          <w:kern w:val="0"/>
          <w:sz w:val="28"/>
          <w:szCs w:val="28"/>
        </w:rPr>
      </w:pPr>
      <w:r>
        <w:rPr>
          <w:rFonts w:hint="eastAsia" w:ascii="宋体" w:hAnsi="宋体" w:cs="宋体"/>
          <w:kern w:val="0"/>
          <w:sz w:val="28"/>
          <w:szCs w:val="28"/>
        </w:rPr>
        <w:t xml:space="preserve">    四是企业生产成本及费用增长过快，企业亏损面扩大。从企业经济效益看，规模以上工业企业实现主营业务收入660.97亿元，增长10.6%; 主营业务成本633.13亿元，增长12.2%，成本增速超过收入增速。同时，销售、管理、财务三费支出的增长速度均超过30%。企业生产经营成本增长过快，导致全区58家规上工业企业中有14家出现亏损，亏损面高达24.1%，亏损面同比扩大10.3个百分点。</w:t>
      </w:r>
    </w:p>
    <w:p>
      <w:pPr>
        <w:spacing w:line="580" w:lineRule="exact"/>
        <w:ind w:firstLine="420" w:firstLineChars="200"/>
        <w:rPr>
          <w:rFonts w:hint="eastAsia"/>
        </w:rPr>
      </w:pPr>
    </w:p>
    <w:p>
      <w:pPr>
        <w:jc w:val="center"/>
      </w:pPr>
      <w:r>
        <w:drawing>
          <wp:inline distT="0" distB="0" distL="0" distR="0">
            <wp:extent cx="5614035" cy="26581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srcRect/>
                    <a:stretch>
                      <a:fillRect/>
                    </a:stretch>
                  </pic:blipFill>
                  <pic:spPr>
                    <a:xfrm>
                      <a:off x="0" y="0"/>
                      <a:ext cx="5614035" cy="2658110"/>
                    </a:xfrm>
                    <a:prstGeom prst="rect">
                      <a:avLst/>
                    </a:prstGeom>
                    <a:noFill/>
                    <a:ln w="9525">
                      <a:noFill/>
                      <a:miter lim="800000"/>
                      <a:headEnd/>
                      <a:tailEnd/>
                    </a:ln>
                  </pic:spPr>
                </pic:pic>
              </a:graphicData>
            </a:graphic>
          </wp:inline>
        </w:drawing>
      </w:r>
    </w:p>
    <w:p>
      <w:pPr>
        <w:jc w:val="center"/>
        <w:rPr>
          <w:rFonts w:hint="eastAsia"/>
        </w:rPr>
      </w:pPr>
      <w:r>
        <w:drawing>
          <wp:inline distT="0" distB="0" distL="0" distR="0">
            <wp:extent cx="5614035" cy="278574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srcRect/>
                    <a:stretch>
                      <a:fillRect/>
                    </a:stretch>
                  </pic:blipFill>
                  <pic:spPr>
                    <a:xfrm>
                      <a:off x="0" y="0"/>
                      <a:ext cx="5614035" cy="2785745"/>
                    </a:xfrm>
                    <a:prstGeom prst="rect">
                      <a:avLst/>
                    </a:prstGeom>
                    <a:noFill/>
                    <a:ln w="9525">
                      <a:noFill/>
                      <a:miter lim="800000"/>
                      <a:headEnd/>
                      <a:tailEnd/>
                    </a:ln>
                  </pic:spPr>
                </pic:pic>
              </a:graphicData>
            </a:graphic>
          </wp:inline>
        </w:drawing>
      </w:r>
    </w:p>
    <w:p>
      <w:pPr>
        <w:widowControl/>
        <w:spacing w:line="560" w:lineRule="exact"/>
        <w:ind w:firstLine="2330" w:firstLineChars="829"/>
        <w:rPr>
          <w:rFonts w:hint="eastAsia" w:ascii="宋体" w:hAnsi="宋体" w:cs="宋体"/>
          <w:b/>
          <w:kern w:val="0"/>
          <w:sz w:val="28"/>
          <w:szCs w:val="28"/>
        </w:rPr>
      </w:pPr>
      <w:r>
        <w:rPr>
          <w:rFonts w:hint="eastAsia" w:ascii="宋体" w:hAnsi="宋体" w:cs="宋体"/>
          <w:b/>
          <w:kern w:val="0"/>
          <w:sz w:val="28"/>
          <w:szCs w:val="28"/>
        </w:rPr>
        <w:t>四、固定资产投资和建筑业</w:t>
      </w:r>
    </w:p>
    <w:p>
      <w:pPr>
        <w:spacing w:line="560" w:lineRule="exact"/>
        <w:ind w:firstLine="528" w:firstLineChars="200"/>
        <w:rPr>
          <w:rFonts w:hint="eastAsia" w:ascii="宋体" w:hAnsi="宋体" w:cs="宋体"/>
          <w:kern w:val="0"/>
          <w:sz w:val="28"/>
          <w:szCs w:val="28"/>
        </w:rPr>
      </w:pPr>
      <w:r>
        <w:rPr>
          <w:rFonts w:hint="eastAsia" w:ascii="宋体" w:hAnsi="宋体"/>
          <w:color w:val="000000"/>
          <w:spacing w:val="-8"/>
          <w:sz w:val="28"/>
          <w:szCs w:val="28"/>
        </w:rPr>
        <w:t>全年全区全社会固定资产投资完成239.94亿元，增长0.1%。</w:t>
      </w:r>
      <w:r>
        <w:rPr>
          <w:rFonts w:hint="eastAsia" w:ascii="宋体" w:hAnsi="宋体" w:cs="宋体"/>
          <w:b/>
          <w:kern w:val="0"/>
          <w:sz w:val="28"/>
          <w:szCs w:val="28"/>
        </w:rPr>
        <w:t>分管理渠道看，基本建设投资持续回落，更新改造投资继续加快，房地产开发投资降幅收窄。</w:t>
      </w:r>
      <w:r>
        <w:rPr>
          <w:rFonts w:hint="eastAsia" w:ascii="宋体" w:hAnsi="宋体" w:cs="宋体"/>
          <w:kern w:val="0"/>
          <w:sz w:val="28"/>
          <w:szCs w:val="28"/>
        </w:rPr>
        <w:t>基本建设投资完成115.79亿元，同比下降6.4%，自10月份以来增速已连续3个月出现回落；更新改造投资完成77.65亿元，同比增长24.6%，自9月份扭负转正以来，已连续三个月实现加快增长；房地产开发投资完成40.17亿元，同比下降16.9%。</w:t>
      </w:r>
    </w:p>
    <w:tbl>
      <w:tblPr>
        <w:tblStyle w:val="6"/>
        <w:tblW w:w="8952" w:type="dxa"/>
        <w:jc w:val="center"/>
        <w:tblInd w:w="108" w:type="dxa"/>
        <w:tblLayout w:type="fixed"/>
        <w:tblCellMar>
          <w:top w:w="0" w:type="dxa"/>
          <w:left w:w="108" w:type="dxa"/>
          <w:bottom w:w="0" w:type="dxa"/>
          <w:right w:w="108" w:type="dxa"/>
        </w:tblCellMar>
      </w:tblPr>
      <w:tblGrid>
        <w:gridCol w:w="4860"/>
        <w:gridCol w:w="681"/>
        <w:gridCol w:w="399"/>
        <w:gridCol w:w="499"/>
        <w:gridCol w:w="941"/>
        <w:gridCol w:w="316"/>
        <w:gridCol w:w="1256"/>
      </w:tblGrid>
      <w:tr>
        <w:tblPrEx>
          <w:tblLayout w:type="fixed"/>
          <w:tblCellMar>
            <w:top w:w="0" w:type="dxa"/>
            <w:left w:w="108" w:type="dxa"/>
            <w:bottom w:w="0" w:type="dxa"/>
            <w:right w:w="108" w:type="dxa"/>
          </w:tblCellMar>
        </w:tblPrEx>
        <w:trPr>
          <w:trHeight w:val="585" w:hRule="atLeast"/>
          <w:jc w:val="center"/>
        </w:trPr>
        <w:tc>
          <w:tcPr>
            <w:tcW w:w="8952" w:type="dxa"/>
            <w:gridSpan w:val="7"/>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28"/>
                <w:szCs w:val="28"/>
              </w:rPr>
              <w:t>表4  2014年全社会固定资产投资额</w:t>
            </w:r>
          </w:p>
        </w:tc>
      </w:tr>
      <w:tr>
        <w:tblPrEx>
          <w:tblLayout w:type="fixed"/>
          <w:tblCellMar>
            <w:top w:w="0" w:type="dxa"/>
            <w:left w:w="108" w:type="dxa"/>
            <w:bottom w:w="0" w:type="dxa"/>
            <w:right w:w="108" w:type="dxa"/>
          </w:tblCellMar>
        </w:tblPrEx>
        <w:trPr>
          <w:trHeight w:val="397" w:hRule="atLeast"/>
          <w:jc w:val="center"/>
        </w:trPr>
        <w:tc>
          <w:tcPr>
            <w:tcW w:w="55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指标名称</w:t>
            </w:r>
          </w:p>
        </w:tc>
        <w:tc>
          <w:tcPr>
            <w:tcW w:w="89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单位</w:t>
            </w:r>
          </w:p>
        </w:tc>
        <w:tc>
          <w:tcPr>
            <w:tcW w:w="125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投资总量</w:t>
            </w:r>
          </w:p>
        </w:tc>
        <w:tc>
          <w:tcPr>
            <w:tcW w:w="1256"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增长%</w:t>
            </w:r>
          </w:p>
        </w:tc>
      </w:tr>
      <w:tr>
        <w:tblPrEx>
          <w:tblLayout w:type="fixed"/>
          <w:tblCellMar>
            <w:top w:w="0" w:type="dxa"/>
            <w:left w:w="108" w:type="dxa"/>
            <w:bottom w:w="0" w:type="dxa"/>
            <w:right w:w="108" w:type="dxa"/>
          </w:tblCellMar>
        </w:tblPrEx>
        <w:trPr>
          <w:trHeight w:val="397" w:hRule="atLeast"/>
          <w:jc w:val="center"/>
        </w:trPr>
        <w:tc>
          <w:tcPr>
            <w:tcW w:w="5541" w:type="dxa"/>
            <w:gridSpan w:val="2"/>
            <w:tcBorders>
              <w:top w:val="nil"/>
              <w:left w:val="nil"/>
              <w:bottom w:val="nil"/>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全社会固定资产投资额</w:t>
            </w:r>
          </w:p>
        </w:tc>
        <w:tc>
          <w:tcPr>
            <w:tcW w:w="898" w:type="dxa"/>
            <w:gridSpan w:val="2"/>
            <w:tcBorders>
              <w:top w:val="nil"/>
              <w:left w:val="nil"/>
              <w:bottom w:val="nil"/>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1257" w:type="dxa"/>
            <w:gridSpan w:val="2"/>
            <w:tcBorders>
              <w:top w:val="nil"/>
              <w:left w:val="nil"/>
              <w:bottom w:val="nil"/>
              <w:right w:val="single" w:color="auto" w:sz="4" w:space="0"/>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239.94 </w:t>
            </w:r>
          </w:p>
        </w:tc>
        <w:tc>
          <w:tcPr>
            <w:tcW w:w="1256" w:type="dxa"/>
            <w:tcBorders>
              <w:top w:val="nil"/>
              <w:left w:val="nil"/>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0.06 </w:t>
            </w:r>
          </w:p>
        </w:tc>
      </w:tr>
      <w:tr>
        <w:tblPrEx>
          <w:tblLayout w:type="fixed"/>
          <w:tblCellMar>
            <w:top w:w="0" w:type="dxa"/>
            <w:left w:w="108" w:type="dxa"/>
            <w:bottom w:w="0" w:type="dxa"/>
            <w:right w:w="108" w:type="dxa"/>
          </w:tblCellMar>
        </w:tblPrEx>
        <w:trPr>
          <w:trHeight w:val="397" w:hRule="atLeast"/>
          <w:jc w:val="center"/>
        </w:trPr>
        <w:tc>
          <w:tcPr>
            <w:tcW w:w="5541" w:type="dxa"/>
            <w:gridSpan w:val="2"/>
            <w:tcBorders>
              <w:top w:val="nil"/>
              <w:left w:val="nil"/>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#固定资产投资额</w:t>
            </w:r>
          </w:p>
        </w:tc>
        <w:tc>
          <w:tcPr>
            <w:tcW w:w="898" w:type="dxa"/>
            <w:gridSpan w:val="2"/>
            <w:tcBorders>
              <w:top w:val="nil"/>
              <w:left w:val="single" w:color="auto" w:sz="4" w:space="0"/>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1257" w:type="dxa"/>
            <w:gridSpan w:val="2"/>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234.05 </w:t>
            </w:r>
          </w:p>
        </w:tc>
        <w:tc>
          <w:tcPr>
            <w:tcW w:w="1256" w:type="dxa"/>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-0.41 </w:t>
            </w:r>
          </w:p>
        </w:tc>
      </w:tr>
      <w:tr>
        <w:tblPrEx>
          <w:tblLayout w:type="fixed"/>
          <w:tblCellMar>
            <w:top w:w="0" w:type="dxa"/>
            <w:left w:w="108" w:type="dxa"/>
            <w:bottom w:w="0" w:type="dxa"/>
            <w:right w:w="108" w:type="dxa"/>
          </w:tblCellMar>
        </w:tblPrEx>
        <w:trPr>
          <w:trHeight w:val="397" w:hRule="atLeast"/>
          <w:jc w:val="center"/>
        </w:trPr>
        <w:tc>
          <w:tcPr>
            <w:tcW w:w="5541" w:type="dxa"/>
            <w:gridSpan w:val="2"/>
            <w:tcBorders>
              <w:top w:val="nil"/>
              <w:left w:val="nil"/>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1、城镇固定资产投资额</w:t>
            </w:r>
          </w:p>
        </w:tc>
        <w:tc>
          <w:tcPr>
            <w:tcW w:w="898" w:type="dxa"/>
            <w:gridSpan w:val="2"/>
            <w:tcBorders>
              <w:top w:val="nil"/>
              <w:left w:val="single" w:color="auto" w:sz="4" w:space="0"/>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1257" w:type="dxa"/>
            <w:gridSpan w:val="2"/>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234.05 </w:t>
            </w:r>
          </w:p>
        </w:tc>
        <w:tc>
          <w:tcPr>
            <w:tcW w:w="1256" w:type="dxa"/>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-0.41 </w:t>
            </w:r>
          </w:p>
        </w:tc>
      </w:tr>
      <w:tr>
        <w:tblPrEx>
          <w:tblLayout w:type="fixed"/>
          <w:tblCellMar>
            <w:top w:w="0" w:type="dxa"/>
            <w:left w:w="108" w:type="dxa"/>
            <w:bottom w:w="0" w:type="dxa"/>
            <w:right w:w="108" w:type="dxa"/>
          </w:tblCellMar>
        </w:tblPrEx>
        <w:trPr>
          <w:trHeight w:val="397" w:hRule="atLeast"/>
          <w:jc w:val="center"/>
        </w:trPr>
        <w:tc>
          <w:tcPr>
            <w:tcW w:w="5541" w:type="dxa"/>
            <w:gridSpan w:val="2"/>
            <w:tcBorders>
              <w:top w:val="nil"/>
              <w:left w:val="nil"/>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#基本建设投资</w:t>
            </w:r>
          </w:p>
        </w:tc>
        <w:tc>
          <w:tcPr>
            <w:tcW w:w="898" w:type="dxa"/>
            <w:gridSpan w:val="2"/>
            <w:tcBorders>
              <w:top w:val="nil"/>
              <w:left w:val="single" w:color="auto" w:sz="4" w:space="0"/>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1257" w:type="dxa"/>
            <w:gridSpan w:val="2"/>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115.79 </w:t>
            </w:r>
          </w:p>
        </w:tc>
        <w:tc>
          <w:tcPr>
            <w:tcW w:w="1256" w:type="dxa"/>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-6.43 </w:t>
            </w:r>
          </w:p>
        </w:tc>
      </w:tr>
      <w:tr>
        <w:tblPrEx>
          <w:tblLayout w:type="fixed"/>
          <w:tblCellMar>
            <w:top w:w="0" w:type="dxa"/>
            <w:left w:w="108" w:type="dxa"/>
            <w:bottom w:w="0" w:type="dxa"/>
            <w:right w:w="108" w:type="dxa"/>
          </w:tblCellMar>
        </w:tblPrEx>
        <w:trPr>
          <w:trHeight w:val="397" w:hRule="atLeast"/>
          <w:jc w:val="center"/>
        </w:trPr>
        <w:tc>
          <w:tcPr>
            <w:tcW w:w="5541" w:type="dxa"/>
            <w:gridSpan w:val="2"/>
            <w:tcBorders>
              <w:top w:val="nil"/>
              <w:left w:val="nil"/>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更新改造</w:t>
            </w:r>
          </w:p>
        </w:tc>
        <w:tc>
          <w:tcPr>
            <w:tcW w:w="898" w:type="dxa"/>
            <w:gridSpan w:val="2"/>
            <w:tcBorders>
              <w:top w:val="nil"/>
              <w:left w:val="single" w:color="auto" w:sz="4" w:space="0"/>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1257" w:type="dxa"/>
            <w:gridSpan w:val="2"/>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77.65 </w:t>
            </w:r>
          </w:p>
        </w:tc>
        <w:tc>
          <w:tcPr>
            <w:tcW w:w="1256" w:type="dxa"/>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24.61 </w:t>
            </w:r>
          </w:p>
        </w:tc>
      </w:tr>
      <w:tr>
        <w:tblPrEx>
          <w:tblLayout w:type="fixed"/>
          <w:tblCellMar>
            <w:top w:w="0" w:type="dxa"/>
            <w:left w:w="108" w:type="dxa"/>
            <w:bottom w:w="0" w:type="dxa"/>
            <w:right w:w="108" w:type="dxa"/>
          </w:tblCellMar>
        </w:tblPrEx>
        <w:trPr>
          <w:trHeight w:val="397" w:hRule="atLeast"/>
          <w:jc w:val="center"/>
        </w:trPr>
        <w:tc>
          <w:tcPr>
            <w:tcW w:w="5541" w:type="dxa"/>
            <w:gridSpan w:val="2"/>
            <w:tcBorders>
              <w:top w:val="nil"/>
              <w:left w:val="nil"/>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其他投资</w:t>
            </w:r>
          </w:p>
        </w:tc>
        <w:tc>
          <w:tcPr>
            <w:tcW w:w="898" w:type="dxa"/>
            <w:gridSpan w:val="2"/>
            <w:tcBorders>
              <w:top w:val="nil"/>
              <w:left w:val="single" w:color="auto" w:sz="4" w:space="0"/>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1257" w:type="dxa"/>
            <w:gridSpan w:val="2"/>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0.45 </w:t>
            </w:r>
          </w:p>
        </w:tc>
        <w:tc>
          <w:tcPr>
            <w:tcW w:w="1256" w:type="dxa"/>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97" w:hRule="atLeast"/>
          <w:jc w:val="center"/>
        </w:trPr>
        <w:tc>
          <w:tcPr>
            <w:tcW w:w="5541" w:type="dxa"/>
            <w:gridSpan w:val="2"/>
            <w:tcBorders>
              <w:top w:val="nil"/>
              <w:left w:val="nil"/>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房地产开发</w:t>
            </w:r>
          </w:p>
        </w:tc>
        <w:tc>
          <w:tcPr>
            <w:tcW w:w="898" w:type="dxa"/>
            <w:gridSpan w:val="2"/>
            <w:tcBorders>
              <w:top w:val="nil"/>
              <w:left w:val="single" w:color="auto" w:sz="4" w:space="0"/>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1257" w:type="dxa"/>
            <w:gridSpan w:val="2"/>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40.17 </w:t>
            </w:r>
          </w:p>
        </w:tc>
        <w:tc>
          <w:tcPr>
            <w:tcW w:w="1256" w:type="dxa"/>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-16.85 </w:t>
            </w:r>
          </w:p>
        </w:tc>
      </w:tr>
      <w:tr>
        <w:tblPrEx>
          <w:tblLayout w:type="fixed"/>
          <w:tblCellMar>
            <w:top w:w="0" w:type="dxa"/>
            <w:left w:w="108" w:type="dxa"/>
            <w:bottom w:w="0" w:type="dxa"/>
            <w:right w:w="108" w:type="dxa"/>
          </w:tblCellMar>
        </w:tblPrEx>
        <w:trPr>
          <w:trHeight w:val="397" w:hRule="atLeast"/>
          <w:jc w:val="center"/>
        </w:trPr>
        <w:tc>
          <w:tcPr>
            <w:tcW w:w="5541" w:type="dxa"/>
            <w:gridSpan w:val="2"/>
            <w:tcBorders>
              <w:top w:val="nil"/>
              <w:left w:val="nil"/>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城镇工矿区建房(500.万以上)</w:t>
            </w:r>
          </w:p>
        </w:tc>
        <w:tc>
          <w:tcPr>
            <w:tcW w:w="898" w:type="dxa"/>
            <w:gridSpan w:val="2"/>
            <w:tcBorders>
              <w:top w:val="nil"/>
              <w:left w:val="single" w:color="auto" w:sz="4" w:space="0"/>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1257" w:type="dxa"/>
            <w:gridSpan w:val="2"/>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256" w:type="dxa"/>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97" w:hRule="atLeast"/>
          <w:jc w:val="center"/>
        </w:trPr>
        <w:tc>
          <w:tcPr>
            <w:tcW w:w="5541" w:type="dxa"/>
            <w:gridSpan w:val="2"/>
            <w:tcBorders>
              <w:top w:val="nil"/>
              <w:left w:val="nil"/>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2、农村投资</w:t>
            </w:r>
          </w:p>
        </w:tc>
        <w:tc>
          <w:tcPr>
            <w:tcW w:w="898" w:type="dxa"/>
            <w:gridSpan w:val="2"/>
            <w:tcBorders>
              <w:top w:val="nil"/>
              <w:left w:val="single" w:color="auto" w:sz="4" w:space="0"/>
              <w:bottom w:val="nil"/>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1257" w:type="dxa"/>
            <w:gridSpan w:val="2"/>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5.88 </w:t>
            </w:r>
          </w:p>
        </w:tc>
        <w:tc>
          <w:tcPr>
            <w:tcW w:w="1256" w:type="dxa"/>
            <w:tcBorders>
              <w:top w:val="nil"/>
              <w:left w:val="single" w:color="auto" w:sz="4" w:space="0"/>
              <w:bottom w:val="nil"/>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22.97 </w:t>
            </w:r>
          </w:p>
        </w:tc>
      </w:tr>
      <w:tr>
        <w:tblPrEx>
          <w:tblLayout w:type="fixed"/>
          <w:tblCellMar>
            <w:top w:w="0" w:type="dxa"/>
            <w:left w:w="108" w:type="dxa"/>
            <w:bottom w:w="0" w:type="dxa"/>
            <w:right w:w="108" w:type="dxa"/>
          </w:tblCellMar>
        </w:tblPrEx>
        <w:trPr>
          <w:trHeight w:val="397" w:hRule="atLeast"/>
          <w:jc w:val="center"/>
        </w:trPr>
        <w:tc>
          <w:tcPr>
            <w:tcW w:w="5541"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#农村私人建房 </w:t>
            </w:r>
          </w:p>
        </w:tc>
        <w:tc>
          <w:tcPr>
            <w:tcW w:w="898"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1257" w:type="dxa"/>
            <w:gridSpan w:val="2"/>
            <w:tcBorders>
              <w:top w:val="nil"/>
              <w:left w:val="nil"/>
              <w:bottom w:val="single" w:color="auto" w:sz="4" w:space="0"/>
              <w:right w:val="single" w:color="auto" w:sz="4" w:space="0"/>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5.88 </w:t>
            </w:r>
          </w:p>
        </w:tc>
        <w:tc>
          <w:tcPr>
            <w:tcW w:w="1256" w:type="dxa"/>
            <w:tcBorders>
              <w:top w:val="nil"/>
              <w:left w:val="nil"/>
              <w:bottom w:val="single" w:color="auto" w:sz="4" w:space="0"/>
              <w:right w:val="nil"/>
            </w:tcBorders>
            <w:shd w:val="clear" w:color="auto" w:fill="FFFFFF"/>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22.97 </w:t>
            </w:r>
          </w:p>
        </w:tc>
      </w:tr>
      <w:tr>
        <w:tblPrEx>
          <w:tblLayout w:type="fixed"/>
          <w:tblCellMar>
            <w:top w:w="0" w:type="dxa"/>
            <w:left w:w="108" w:type="dxa"/>
            <w:bottom w:w="0" w:type="dxa"/>
            <w:right w:w="108" w:type="dxa"/>
          </w:tblCellMar>
        </w:tblPrEx>
        <w:trPr>
          <w:trHeight w:val="585" w:hRule="atLeast"/>
          <w:jc w:val="center"/>
        </w:trPr>
        <w:tc>
          <w:tcPr>
            <w:tcW w:w="8952" w:type="dxa"/>
            <w:gridSpan w:val="7"/>
            <w:tcBorders>
              <w:top w:val="nil"/>
              <w:left w:val="nil"/>
              <w:bottom w:val="nil"/>
              <w:right w:val="nil"/>
            </w:tcBorders>
            <w:shd w:val="clear" w:color="auto" w:fill="auto"/>
            <w:vAlign w:val="center"/>
          </w:tcPr>
          <w:p>
            <w:pPr>
              <w:widowControl/>
              <w:spacing w:beforeLines="30"/>
              <w:jc w:val="center"/>
              <w:rPr>
                <w:rFonts w:ascii="宋体" w:hAnsi="宋体" w:cs="宋体"/>
                <w:b/>
                <w:bCs/>
                <w:kern w:val="0"/>
                <w:sz w:val="28"/>
                <w:szCs w:val="28"/>
              </w:rPr>
            </w:pPr>
            <w:r>
              <w:rPr>
                <w:rFonts w:hint="eastAsia" w:ascii="宋体" w:hAnsi="宋体" w:cs="宋体"/>
                <w:b/>
                <w:bCs/>
                <w:kern w:val="0"/>
                <w:sz w:val="28"/>
                <w:szCs w:val="28"/>
              </w:rPr>
              <w:t>表</w:t>
            </w:r>
            <w:r>
              <w:rPr>
                <w:rFonts w:ascii="宋体" w:hAnsi="宋体" w:cs="宋体"/>
                <w:b/>
                <w:bCs/>
                <w:kern w:val="0"/>
                <w:sz w:val="28"/>
                <w:szCs w:val="28"/>
              </w:rPr>
              <w:t>5  2014</w:t>
            </w:r>
            <w:r>
              <w:rPr>
                <w:rFonts w:hint="eastAsia" w:ascii="宋体" w:hAnsi="宋体" w:cs="宋体"/>
                <w:b/>
                <w:bCs/>
                <w:kern w:val="0"/>
                <w:sz w:val="28"/>
                <w:szCs w:val="28"/>
              </w:rPr>
              <w:t>年按行业分固定资产投资（不含农户）及其增长速度</w:t>
            </w:r>
          </w:p>
        </w:tc>
      </w:tr>
      <w:tr>
        <w:tblPrEx>
          <w:tblLayout w:type="fixed"/>
          <w:tblCellMar>
            <w:top w:w="0" w:type="dxa"/>
            <w:left w:w="108" w:type="dxa"/>
            <w:bottom w:w="0" w:type="dxa"/>
            <w:right w:w="108" w:type="dxa"/>
          </w:tblCellMar>
        </w:tblPrEx>
        <w:trPr>
          <w:trHeight w:val="300" w:hRule="atLeast"/>
          <w:jc w:val="center"/>
        </w:trPr>
        <w:tc>
          <w:tcPr>
            <w:tcW w:w="486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p>
        </w:tc>
        <w:tc>
          <w:tcPr>
            <w:tcW w:w="1080" w:type="dxa"/>
            <w:gridSpan w:val="2"/>
            <w:tcBorders>
              <w:top w:val="nil"/>
              <w:left w:val="nil"/>
              <w:bottom w:val="nil"/>
              <w:right w:val="nil"/>
            </w:tcBorders>
            <w:shd w:val="clear" w:color="auto" w:fill="auto"/>
            <w:vAlign w:val="bottom"/>
          </w:tcPr>
          <w:p>
            <w:pPr>
              <w:widowControl/>
              <w:jc w:val="left"/>
              <w:rPr>
                <w:rFonts w:hint="eastAsia" w:ascii="仿宋_GB2312" w:hAnsi="宋体" w:eastAsia="仿宋_GB2312" w:cs="宋体"/>
                <w:kern w:val="0"/>
                <w:sz w:val="24"/>
              </w:rPr>
            </w:pPr>
          </w:p>
        </w:tc>
        <w:tc>
          <w:tcPr>
            <w:tcW w:w="1440" w:type="dxa"/>
            <w:gridSpan w:val="2"/>
            <w:tcBorders>
              <w:top w:val="nil"/>
              <w:left w:val="nil"/>
              <w:bottom w:val="nil"/>
              <w:right w:val="nil"/>
            </w:tcBorders>
            <w:shd w:val="clear" w:color="auto" w:fill="auto"/>
            <w:vAlign w:val="bottom"/>
          </w:tcPr>
          <w:p>
            <w:pPr>
              <w:widowControl/>
              <w:jc w:val="left"/>
              <w:rPr>
                <w:rFonts w:hint="eastAsia" w:ascii="仿宋_GB2312" w:hAnsi="宋体" w:eastAsia="仿宋_GB2312" w:cs="宋体"/>
                <w:kern w:val="0"/>
                <w:sz w:val="24"/>
              </w:rPr>
            </w:pPr>
          </w:p>
        </w:tc>
        <w:tc>
          <w:tcPr>
            <w:tcW w:w="1572" w:type="dxa"/>
            <w:gridSpan w:val="2"/>
            <w:tcBorders>
              <w:top w:val="nil"/>
              <w:left w:val="nil"/>
              <w:bottom w:val="nil"/>
              <w:right w:val="nil"/>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单位：万元</w:t>
            </w:r>
          </w:p>
        </w:tc>
      </w:tr>
      <w:tr>
        <w:tblPrEx>
          <w:tblLayout w:type="fixed"/>
          <w:tblCellMar>
            <w:top w:w="0" w:type="dxa"/>
            <w:left w:w="108" w:type="dxa"/>
            <w:bottom w:w="0" w:type="dxa"/>
            <w:right w:w="108" w:type="dxa"/>
          </w:tblCellMar>
        </w:tblPrEx>
        <w:trPr>
          <w:trHeight w:val="425" w:hRule="atLeast"/>
          <w:jc w:val="center"/>
        </w:trPr>
        <w:tc>
          <w:tcPr>
            <w:tcW w:w="4860" w:type="dxa"/>
            <w:tcBorders>
              <w:top w:val="single" w:color="000000" w:sz="4" w:space="0"/>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指标名称</w:t>
            </w:r>
          </w:p>
        </w:tc>
        <w:tc>
          <w:tcPr>
            <w:tcW w:w="1080" w:type="dxa"/>
            <w:gridSpan w:val="2"/>
            <w:tcBorders>
              <w:top w:val="single" w:color="000000" w:sz="4" w:space="0"/>
              <w:left w:val="single" w:color="000000"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投资额</w:t>
            </w:r>
          </w:p>
        </w:tc>
        <w:tc>
          <w:tcPr>
            <w:tcW w:w="1440" w:type="dxa"/>
            <w:gridSpan w:val="2"/>
            <w:tcBorders>
              <w:top w:val="single" w:color="000000" w:sz="4" w:space="0"/>
              <w:left w:val="single" w:color="000000"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去年同期</w:t>
            </w:r>
          </w:p>
        </w:tc>
        <w:tc>
          <w:tcPr>
            <w:tcW w:w="1572" w:type="dxa"/>
            <w:gridSpan w:val="2"/>
            <w:tcBorders>
              <w:top w:val="single" w:color="000000" w:sz="4" w:space="0"/>
              <w:left w:val="single" w:color="000000"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同比增长</w:t>
            </w:r>
            <w:r>
              <w:rPr>
                <w:rFonts w:hint="eastAsia" w:ascii="仿宋_GB2312" w:hAnsi="Arial" w:eastAsia="仿宋_GB2312" w:cs="Arial"/>
                <w:kern w:val="0"/>
                <w:sz w:val="24"/>
              </w:rPr>
              <w:t>%</w:t>
            </w:r>
          </w:p>
        </w:tc>
      </w:tr>
      <w:tr>
        <w:tblPrEx>
          <w:tblLayout w:type="fixed"/>
          <w:tblCellMar>
            <w:top w:w="0" w:type="dxa"/>
            <w:left w:w="108" w:type="dxa"/>
            <w:bottom w:w="0" w:type="dxa"/>
            <w:right w:w="108" w:type="dxa"/>
          </w:tblCellMar>
        </w:tblPrEx>
        <w:trPr>
          <w:trHeight w:val="425" w:hRule="atLeast"/>
          <w:jc w:val="center"/>
        </w:trPr>
        <w:tc>
          <w:tcPr>
            <w:tcW w:w="4860" w:type="dxa"/>
            <w:tcBorders>
              <w:top w:val="single" w:color="000000" w:sz="4" w:space="0"/>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自年初累计完成投资（万元）</w:t>
            </w:r>
          </w:p>
        </w:tc>
        <w:tc>
          <w:tcPr>
            <w:tcW w:w="1080" w:type="dxa"/>
            <w:gridSpan w:val="2"/>
            <w:tcBorders>
              <w:top w:val="single" w:color="000000" w:sz="4" w:space="0"/>
              <w:left w:val="single" w:color="000000"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234.05 </w:t>
            </w:r>
          </w:p>
        </w:tc>
        <w:tc>
          <w:tcPr>
            <w:tcW w:w="1440" w:type="dxa"/>
            <w:gridSpan w:val="2"/>
            <w:tcBorders>
              <w:top w:val="single" w:color="000000" w:sz="4" w:space="0"/>
              <w:left w:val="single" w:color="000000"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235.02 </w:t>
            </w:r>
          </w:p>
        </w:tc>
        <w:tc>
          <w:tcPr>
            <w:tcW w:w="1572" w:type="dxa"/>
            <w:gridSpan w:val="2"/>
            <w:tcBorders>
              <w:top w:val="single" w:color="000000" w:sz="4" w:space="0"/>
              <w:left w:val="single" w:color="000000"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-0.4</w:t>
            </w:r>
          </w:p>
        </w:tc>
      </w:tr>
      <w:tr>
        <w:tblPrEx>
          <w:tblLayout w:type="fixed"/>
          <w:tblCellMar>
            <w:top w:w="0" w:type="dxa"/>
            <w:left w:w="108" w:type="dxa"/>
            <w:bottom w:w="0" w:type="dxa"/>
            <w:right w:w="108" w:type="dxa"/>
          </w:tblCellMar>
        </w:tblPrEx>
        <w:trPr>
          <w:trHeight w:val="425" w:hRule="atLeast"/>
          <w:jc w:val="center"/>
        </w:trPr>
        <w:tc>
          <w:tcPr>
            <w:tcW w:w="486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农、林、牧、渔业</w:t>
            </w:r>
          </w:p>
        </w:tc>
        <w:tc>
          <w:tcPr>
            <w:tcW w:w="108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0.04 </w:t>
            </w:r>
          </w:p>
        </w:tc>
        <w:tc>
          <w:tcPr>
            <w:tcW w:w="144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0.18 </w:t>
            </w:r>
          </w:p>
        </w:tc>
        <w:tc>
          <w:tcPr>
            <w:tcW w:w="1572"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-77.2</w:t>
            </w:r>
          </w:p>
        </w:tc>
      </w:tr>
      <w:tr>
        <w:tblPrEx>
          <w:tblLayout w:type="fixed"/>
          <w:tblCellMar>
            <w:top w:w="0" w:type="dxa"/>
            <w:left w:w="108" w:type="dxa"/>
            <w:bottom w:w="0" w:type="dxa"/>
            <w:right w:w="108" w:type="dxa"/>
          </w:tblCellMar>
        </w:tblPrEx>
        <w:trPr>
          <w:trHeight w:val="425" w:hRule="atLeast"/>
          <w:jc w:val="center"/>
        </w:trPr>
        <w:tc>
          <w:tcPr>
            <w:tcW w:w="486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采矿业</w:t>
            </w:r>
          </w:p>
        </w:tc>
        <w:tc>
          <w:tcPr>
            <w:tcW w:w="108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0.21 </w:t>
            </w:r>
          </w:p>
        </w:tc>
        <w:tc>
          <w:tcPr>
            <w:tcW w:w="144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0.94 </w:t>
            </w:r>
          </w:p>
        </w:tc>
        <w:tc>
          <w:tcPr>
            <w:tcW w:w="1572"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-77.4</w:t>
            </w:r>
          </w:p>
        </w:tc>
      </w:tr>
      <w:tr>
        <w:tblPrEx>
          <w:tblLayout w:type="fixed"/>
          <w:tblCellMar>
            <w:top w:w="0" w:type="dxa"/>
            <w:left w:w="108" w:type="dxa"/>
            <w:bottom w:w="0" w:type="dxa"/>
            <w:right w:w="108" w:type="dxa"/>
          </w:tblCellMar>
        </w:tblPrEx>
        <w:trPr>
          <w:trHeight w:val="425" w:hRule="atLeast"/>
          <w:jc w:val="center"/>
        </w:trPr>
        <w:tc>
          <w:tcPr>
            <w:tcW w:w="486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制造业</w:t>
            </w:r>
          </w:p>
        </w:tc>
        <w:tc>
          <w:tcPr>
            <w:tcW w:w="108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86.99 </w:t>
            </w:r>
          </w:p>
        </w:tc>
        <w:tc>
          <w:tcPr>
            <w:tcW w:w="144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92.53 </w:t>
            </w:r>
          </w:p>
        </w:tc>
        <w:tc>
          <w:tcPr>
            <w:tcW w:w="1572"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-6</w:t>
            </w:r>
          </w:p>
        </w:tc>
      </w:tr>
      <w:tr>
        <w:tblPrEx>
          <w:tblLayout w:type="fixed"/>
          <w:tblCellMar>
            <w:top w:w="0" w:type="dxa"/>
            <w:left w:w="108" w:type="dxa"/>
            <w:bottom w:w="0" w:type="dxa"/>
            <w:right w:w="108" w:type="dxa"/>
          </w:tblCellMar>
        </w:tblPrEx>
        <w:trPr>
          <w:trHeight w:val="425" w:hRule="atLeast"/>
          <w:jc w:val="center"/>
        </w:trPr>
        <w:tc>
          <w:tcPr>
            <w:tcW w:w="486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电力、热力、燃气及水生产和供应业</w:t>
            </w:r>
          </w:p>
        </w:tc>
        <w:tc>
          <w:tcPr>
            <w:tcW w:w="108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67.90 </w:t>
            </w:r>
          </w:p>
        </w:tc>
        <w:tc>
          <w:tcPr>
            <w:tcW w:w="144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52.65 </w:t>
            </w:r>
          </w:p>
        </w:tc>
        <w:tc>
          <w:tcPr>
            <w:tcW w:w="1572"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29</w:t>
            </w:r>
          </w:p>
        </w:tc>
      </w:tr>
      <w:tr>
        <w:tblPrEx>
          <w:tblLayout w:type="fixed"/>
          <w:tblCellMar>
            <w:top w:w="0" w:type="dxa"/>
            <w:left w:w="108" w:type="dxa"/>
            <w:bottom w:w="0" w:type="dxa"/>
            <w:right w:w="108" w:type="dxa"/>
          </w:tblCellMar>
        </w:tblPrEx>
        <w:trPr>
          <w:trHeight w:val="425" w:hRule="atLeast"/>
          <w:jc w:val="center"/>
        </w:trPr>
        <w:tc>
          <w:tcPr>
            <w:tcW w:w="486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批发和零售业</w:t>
            </w:r>
          </w:p>
        </w:tc>
        <w:tc>
          <w:tcPr>
            <w:tcW w:w="108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0.11 </w:t>
            </w:r>
          </w:p>
        </w:tc>
        <w:tc>
          <w:tcPr>
            <w:tcW w:w="144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0.71 </w:t>
            </w:r>
          </w:p>
        </w:tc>
        <w:tc>
          <w:tcPr>
            <w:tcW w:w="1572"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-84.6</w:t>
            </w:r>
          </w:p>
        </w:tc>
      </w:tr>
      <w:tr>
        <w:tblPrEx>
          <w:tblLayout w:type="fixed"/>
          <w:tblCellMar>
            <w:top w:w="0" w:type="dxa"/>
            <w:left w:w="108" w:type="dxa"/>
            <w:bottom w:w="0" w:type="dxa"/>
            <w:right w:w="108" w:type="dxa"/>
          </w:tblCellMar>
        </w:tblPrEx>
        <w:trPr>
          <w:trHeight w:val="425" w:hRule="atLeast"/>
          <w:jc w:val="center"/>
        </w:trPr>
        <w:tc>
          <w:tcPr>
            <w:tcW w:w="486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交通运输、仓储和邮政业</w:t>
            </w:r>
          </w:p>
        </w:tc>
        <w:tc>
          <w:tcPr>
            <w:tcW w:w="108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24.07 </w:t>
            </w:r>
          </w:p>
        </w:tc>
        <w:tc>
          <w:tcPr>
            <w:tcW w:w="144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14.43 </w:t>
            </w:r>
          </w:p>
        </w:tc>
        <w:tc>
          <w:tcPr>
            <w:tcW w:w="1572"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66.8</w:t>
            </w:r>
          </w:p>
        </w:tc>
      </w:tr>
      <w:tr>
        <w:tblPrEx>
          <w:tblLayout w:type="fixed"/>
          <w:tblCellMar>
            <w:top w:w="0" w:type="dxa"/>
            <w:left w:w="108" w:type="dxa"/>
            <w:bottom w:w="0" w:type="dxa"/>
            <w:right w:w="108" w:type="dxa"/>
          </w:tblCellMar>
        </w:tblPrEx>
        <w:trPr>
          <w:trHeight w:val="425" w:hRule="atLeast"/>
          <w:jc w:val="center"/>
        </w:trPr>
        <w:tc>
          <w:tcPr>
            <w:tcW w:w="486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住宿和餐饮业</w:t>
            </w:r>
          </w:p>
        </w:tc>
        <w:tc>
          <w:tcPr>
            <w:tcW w:w="108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0.36 </w:t>
            </w:r>
          </w:p>
        </w:tc>
        <w:tc>
          <w:tcPr>
            <w:tcW w:w="144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4.00 </w:t>
            </w:r>
          </w:p>
        </w:tc>
        <w:tc>
          <w:tcPr>
            <w:tcW w:w="1572"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-91.1</w:t>
            </w:r>
          </w:p>
        </w:tc>
      </w:tr>
      <w:tr>
        <w:tblPrEx>
          <w:tblLayout w:type="fixed"/>
          <w:tblCellMar>
            <w:top w:w="0" w:type="dxa"/>
            <w:left w:w="108" w:type="dxa"/>
            <w:bottom w:w="0" w:type="dxa"/>
            <w:right w:w="108" w:type="dxa"/>
          </w:tblCellMar>
        </w:tblPrEx>
        <w:trPr>
          <w:trHeight w:val="425" w:hRule="atLeast"/>
          <w:jc w:val="center"/>
        </w:trPr>
        <w:tc>
          <w:tcPr>
            <w:tcW w:w="486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房地产业</w:t>
            </w:r>
          </w:p>
        </w:tc>
        <w:tc>
          <w:tcPr>
            <w:tcW w:w="108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42.31 </w:t>
            </w:r>
          </w:p>
        </w:tc>
        <w:tc>
          <w:tcPr>
            <w:tcW w:w="144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50.97 </w:t>
            </w:r>
          </w:p>
        </w:tc>
        <w:tc>
          <w:tcPr>
            <w:tcW w:w="1572"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-17</w:t>
            </w:r>
          </w:p>
        </w:tc>
      </w:tr>
      <w:tr>
        <w:tblPrEx>
          <w:tblLayout w:type="fixed"/>
          <w:tblCellMar>
            <w:top w:w="0" w:type="dxa"/>
            <w:left w:w="108" w:type="dxa"/>
            <w:bottom w:w="0" w:type="dxa"/>
            <w:right w:w="108" w:type="dxa"/>
          </w:tblCellMar>
        </w:tblPrEx>
        <w:trPr>
          <w:trHeight w:val="425" w:hRule="atLeast"/>
          <w:jc w:val="center"/>
        </w:trPr>
        <w:tc>
          <w:tcPr>
            <w:tcW w:w="486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租赁和商务服务业</w:t>
            </w:r>
          </w:p>
        </w:tc>
        <w:tc>
          <w:tcPr>
            <w:tcW w:w="108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0.29 </w:t>
            </w:r>
          </w:p>
        </w:tc>
        <w:tc>
          <w:tcPr>
            <w:tcW w:w="144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0.00 </w:t>
            </w:r>
          </w:p>
        </w:tc>
        <w:tc>
          <w:tcPr>
            <w:tcW w:w="1572"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w:t>
            </w:r>
          </w:p>
        </w:tc>
      </w:tr>
      <w:tr>
        <w:tblPrEx>
          <w:tblLayout w:type="fixed"/>
          <w:tblCellMar>
            <w:top w:w="0" w:type="dxa"/>
            <w:left w:w="108" w:type="dxa"/>
            <w:bottom w:w="0" w:type="dxa"/>
            <w:right w:w="108" w:type="dxa"/>
          </w:tblCellMar>
        </w:tblPrEx>
        <w:trPr>
          <w:trHeight w:val="425" w:hRule="atLeast"/>
          <w:jc w:val="center"/>
        </w:trPr>
        <w:tc>
          <w:tcPr>
            <w:tcW w:w="486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水利、环境和公共设施管理业</w:t>
            </w:r>
          </w:p>
        </w:tc>
        <w:tc>
          <w:tcPr>
            <w:tcW w:w="108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9.26 </w:t>
            </w:r>
          </w:p>
        </w:tc>
        <w:tc>
          <w:tcPr>
            <w:tcW w:w="144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16.40 </w:t>
            </w:r>
          </w:p>
        </w:tc>
        <w:tc>
          <w:tcPr>
            <w:tcW w:w="1572"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-43.6</w:t>
            </w:r>
          </w:p>
        </w:tc>
      </w:tr>
      <w:tr>
        <w:tblPrEx>
          <w:tblLayout w:type="fixed"/>
          <w:tblCellMar>
            <w:top w:w="0" w:type="dxa"/>
            <w:left w:w="108" w:type="dxa"/>
            <w:bottom w:w="0" w:type="dxa"/>
            <w:right w:w="108" w:type="dxa"/>
          </w:tblCellMar>
        </w:tblPrEx>
        <w:trPr>
          <w:trHeight w:val="425" w:hRule="atLeast"/>
          <w:jc w:val="center"/>
        </w:trPr>
        <w:tc>
          <w:tcPr>
            <w:tcW w:w="486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教育</w:t>
            </w:r>
          </w:p>
        </w:tc>
        <w:tc>
          <w:tcPr>
            <w:tcW w:w="108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0.35 </w:t>
            </w:r>
          </w:p>
        </w:tc>
        <w:tc>
          <w:tcPr>
            <w:tcW w:w="144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0.65 </w:t>
            </w:r>
          </w:p>
        </w:tc>
        <w:tc>
          <w:tcPr>
            <w:tcW w:w="1572"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-46.1</w:t>
            </w:r>
          </w:p>
        </w:tc>
      </w:tr>
      <w:tr>
        <w:tblPrEx>
          <w:tblLayout w:type="fixed"/>
          <w:tblCellMar>
            <w:top w:w="0" w:type="dxa"/>
            <w:left w:w="108" w:type="dxa"/>
            <w:bottom w:w="0" w:type="dxa"/>
            <w:right w:w="108" w:type="dxa"/>
          </w:tblCellMar>
        </w:tblPrEx>
        <w:trPr>
          <w:trHeight w:val="425" w:hRule="atLeast"/>
          <w:jc w:val="center"/>
        </w:trPr>
        <w:tc>
          <w:tcPr>
            <w:tcW w:w="486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卫生和社会工作</w:t>
            </w:r>
          </w:p>
        </w:tc>
        <w:tc>
          <w:tcPr>
            <w:tcW w:w="108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0.00 </w:t>
            </w:r>
          </w:p>
        </w:tc>
        <w:tc>
          <w:tcPr>
            <w:tcW w:w="144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0.11 </w:t>
            </w:r>
          </w:p>
        </w:tc>
        <w:tc>
          <w:tcPr>
            <w:tcW w:w="1572"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-100</w:t>
            </w:r>
          </w:p>
        </w:tc>
      </w:tr>
      <w:tr>
        <w:tblPrEx>
          <w:tblLayout w:type="fixed"/>
          <w:tblCellMar>
            <w:top w:w="0" w:type="dxa"/>
            <w:left w:w="108" w:type="dxa"/>
            <w:bottom w:w="0" w:type="dxa"/>
            <w:right w:w="108" w:type="dxa"/>
          </w:tblCellMar>
        </w:tblPrEx>
        <w:trPr>
          <w:trHeight w:val="425" w:hRule="atLeast"/>
          <w:jc w:val="center"/>
        </w:trPr>
        <w:tc>
          <w:tcPr>
            <w:tcW w:w="486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文化、体育和娱乐业</w:t>
            </w:r>
          </w:p>
        </w:tc>
        <w:tc>
          <w:tcPr>
            <w:tcW w:w="108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0.13 </w:t>
            </w:r>
          </w:p>
        </w:tc>
        <w:tc>
          <w:tcPr>
            <w:tcW w:w="1440"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0.24 </w:t>
            </w:r>
          </w:p>
        </w:tc>
        <w:tc>
          <w:tcPr>
            <w:tcW w:w="1572" w:type="dxa"/>
            <w:gridSpan w:val="2"/>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-43.2</w:t>
            </w:r>
          </w:p>
        </w:tc>
      </w:tr>
      <w:tr>
        <w:tblPrEx>
          <w:tblLayout w:type="fixed"/>
          <w:tblCellMar>
            <w:top w:w="0" w:type="dxa"/>
            <w:left w:w="108" w:type="dxa"/>
            <w:bottom w:w="0" w:type="dxa"/>
            <w:right w:w="108" w:type="dxa"/>
          </w:tblCellMar>
        </w:tblPrEx>
        <w:trPr>
          <w:trHeight w:val="425" w:hRule="atLeast"/>
          <w:jc w:val="center"/>
        </w:trPr>
        <w:tc>
          <w:tcPr>
            <w:tcW w:w="4860" w:type="dxa"/>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公共管理、社会保障和社会组织</w:t>
            </w:r>
          </w:p>
        </w:tc>
        <w:tc>
          <w:tcPr>
            <w:tcW w:w="1080" w:type="dxa"/>
            <w:gridSpan w:val="2"/>
            <w:tcBorders>
              <w:top w:val="nil"/>
              <w:left w:val="single" w:color="auto" w:sz="4" w:space="0"/>
              <w:bottom w:val="single" w:color="auto" w:sz="4" w:space="0"/>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2.03 </w:t>
            </w:r>
          </w:p>
        </w:tc>
        <w:tc>
          <w:tcPr>
            <w:tcW w:w="1440" w:type="dxa"/>
            <w:gridSpan w:val="2"/>
            <w:tcBorders>
              <w:top w:val="nil"/>
              <w:left w:val="single" w:color="auto" w:sz="4" w:space="0"/>
              <w:bottom w:val="single" w:color="auto" w:sz="4" w:space="0"/>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1.23 </w:t>
            </w:r>
          </w:p>
        </w:tc>
        <w:tc>
          <w:tcPr>
            <w:tcW w:w="1572" w:type="dxa"/>
            <w:gridSpan w:val="2"/>
            <w:tcBorders>
              <w:top w:val="nil"/>
              <w:left w:val="single" w:color="auto" w:sz="4" w:space="0"/>
              <w:bottom w:val="single" w:color="auto" w:sz="4" w:space="0"/>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65.7</w:t>
            </w:r>
          </w:p>
        </w:tc>
      </w:tr>
    </w:tbl>
    <w:p>
      <w:pPr>
        <w:spacing w:line="580" w:lineRule="exact"/>
        <w:ind w:firstLine="562" w:firstLineChars="200"/>
        <w:rPr>
          <w:rFonts w:hint="eastAsia" w:ascii="宋体" w:hAnsi="宋体" w:cs="宋体"/>
          <w:kern w:val="0"/>
          <w:sz w:val="28"/>
          <w:szCs w:val="28"/>
        </w:rPr>
      </w:pPr>
      <w:r>
        <w:rPr>
          <w:rFonts w:hint="eastAsia" w:ascii="宋体" w:hAnsi="宋体" w:cs="宋体"/>
          <w:b/>
          <w:kern w:val="0"/>
          <w:sz w:val="28"/>
          <w:szCs w:val="28"/>
        </w:rPr>
        <w:t>分产业看，三次产业投资同比“两降一增”，第二产业投资增势保持强劲。</w:t>
      </w:r>
      <w:r>
        <w:rPr>
          <w:rFonts w:hint="eastAsia" w:ascii="宋体" w:hAnsi="宋体" w:cs="宋体"/>
          <w:kern w:val="0"/>
          <w:sz w:val="28"/>
          <w:szCs w:val="28"/>
        </w:rPr>
        <w:t>第一产业完成投资0.04亿元，同比下降77.8%；第二产业完成投资155.11亿元、同比增长6.2%；第三产业完成投资78.91亿元，同比下降11.1%。</w:t>
      </w:r>
    </w:p>
    <w:p>
      <w:pPr>
        <w:spacing w:line="580" w:lineRule="exact"/>
        <w:ind w:firstLine="562" w:firstLineChars="200"/>
        <w:rPr>
          <w:rFonts w:hint="eastAsia" w:ascii="宋体" w:hAnsi="宋体" w:cs="宋体"/>
          <w:kern w:val="0"/>
          <w:sz w:val="28"/>
          <w:szCs w:val="28"/>
        </w:rPr>
      </w:pPr>
      <w:r>
        <w:rPr>
          <w:rFonts w:hint="eastAsia" w:ascii="宋体" w:hAnsi="宋体" w:cs="宋体"/>
          <w:b/>
          <w:kern w:val="0"/>
          <w:sz w:val="28"/>
          <w:szCs w:val="28"/>
        </w:rPr>
        <w:t>分资金到位情况看，建设资金到位总体较好，有力保障投资增长。</w:t>
      </w:r>
      <w:r>
        <w:rPr>
          <w:rFonts w:hint="eastAsia" w:ascii="宋体" w:hAnsi="宋体" w:cs="宋体"/>
          <w:kern w:val="0"/>
          <w:sz w:val="28"/>
          <w:szCs w:val="28"/>
        </w:rPr>
        <w:t>固定资产投资到位资金306.76亿元，同比增长29%，比投资增速高28.9个百分点。其中，国家预算内资金1.84亿元，增长54.7%；国内贷款88.86亿元，增长42.2%；自筹资金101.02亿元，下降36.3%；其他资金26.13亿元，增长143.7%。</w:t>
      </w:r>
    </w:p>
    <w:p>
      <w:pPr>
        <w:jc w:val="center"/>
        <w:rPr>
          <w:rFonts w:hint="eastAsia"/>
          <w:szCs w:val="28"/>
        </w:rPr>
      </w:pPr>
      <w:r>
        <w:drawing>
          <wp:inline distT="0" distB="0" distL="0" distR="0">
            <wp:extent cx="5826760" cy="282829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srcRect/>
                    <a:stretch>
                      <a:fillRect/>
                    </a:stretch>
                  </pic:blipFill>
                  <pic:spPr>
                    <a:xfrm>
                      <a:off x="0" y="0"/>
                      <a:ext cx="5826760" cy="2828290"/>
                    </a:xfrm>
                    <a:prstGeom prst="rect">
                      <a:avLst/>
                    </a:prstGeom>
                    <a:noFill/>
                    <a:ln w="9525">
                      <a:noFill/>
                      <a:miter lim="800000"/>
                      <a:headEnd/>
                      <a:tailEnd/>
                    </a:ln>
                  </pic:spPr>
                </pic:pic>
              </a:graphicData>
            </a:graphic>
          </wp:inline>
        </w:drawing>
      </w:r>
    </w:p>
    <w:p>
      <w:pPr>
        <w:spacing w:before="100" w:beforeAutospacing="1" w:line="580" w:lineRule="exact"/>
        <w:ind w:firstLine="560" w:firstLineChars="200"/>
        <w:rPr>
          <w:rFonts w:hint="eastAsia" w:ascii="宋体" w:hAnsi="宋体" w:cs="宋体"/>
          <w:kern w:val="0"/>
          <w:sz w:val="28"/>
          <w:szCs w:val="28"/>
        </w:rPr>
      </w:pPr>
      <w:r>
        <w:rPr>
          <w:rFonts w:hint="eastAsia" w:ascii="宋体" w:hAnsi="宋体" w:cs="宋体"/>
          <w:kern w:val="0"/>
          <w:sz w:val="28"/>
          <w:szCs w:val="28"/>
        </w:rPr>
        <w:t xml:space="preserve">全年房地产业实现增加值5.56亿元，增长5.0%。房地产开发投资完成40.16亿元，下降16.9%。其中，住宅投资完成34亿元，下降17.4% 。全年商品房屋新开工面积32.88万平方米，下降60.9%，其中住宅29.64万平方米，下降56.2%；竣工面积11.93万平方米，增长250.7%，其中住宅11.13万平方米，增长370%；商品房销售面积72.95万平方米，增长7.9%，其中住宅销售面积占96%；商品房销售额30.26亿元，增长17.9%，其中住宅销售额占91%。 </w:t>
      </w:r>
    </w:p>
    <w:tbl>
      <w:tblPr>
        <w:tblStyle w:val="6"/>
        <w:tblW w:w="8280" w:type="dxa"/>
        <w:tblInd w:w="468" w:type="dxa"/>
        <w:tblLayout w:type="fixed"/>
        <w:tblCellMar>
          <w:top w:w="0" w:type="dxa"/>
          <w:left w:w="108" w:type="dxa"/>
          <w:bottom w:w="0" w:type="dxa"/>
          <w:right w:w="108" w:type="dxa"/>
        </w:tblCellMar>
      </w:tblPr>
      <w:tblGrid>
        <w:gridCol w:w="4140"/>
        <w:gridCol w:w="1260"/>
        <w:gridCol w:w="1260"/>
        <w:gridCol w:w="1620"/>
      </w:tblGrid>
      <w:tr>
        <w:tblPrEx>
          <w:tblLayout w:type="fixed"/>
          <w:tblCellMar>
            <w:top w:w="0" w:type="dxa"/>
            <w:left w:w="108" w:type="dxa"/>
            <w:bottom w:w="0" w:type="dxa"/>
            <w:right w:w="108" w:type="dxa"/>
          </w:tblCellMar>
        </w:tblPrEx>
        <w:trPr>
          <w:trHeight w:val="674" w:hRule="atLeast"/>
        </w:trPr>
        <w:tc>
          <w:tcPr>
            <w:tcW w:w="8280" w:type="dxa"/>
            <w:gridSpan w:val="4"/>
            <w:tcBorders>
              <w:top w:val="nil"/>
              <w:left w:val="nil"/>
              <w:bottom w:val="nil"/>
              <w:right w:val="nil"/>
            </w:tcBorders>
            <w:shd w:val="clear" w:color="auto" w:fill="auto"/>
            <w:vAlign w:val="bottom"/>
          </w:tcPr>
          <w:p>
            <w:pPr>
              <w:widowControl/>
              <w:jc w:val="left"/>
              <w:rPr>
                <w:rFonts w:ascii="宋体" w:hAnsi="宋体" w:cs="宋体"/>
                <w:b/>
                <w:bCs/>
                <w:kern w:val="0"/>
                <w:sz w:val="28"/>
                <w:szCs w:val="28"/>
              </w:rPr>
            </w:pPr>
            <w:r>
              <w:rPr>
                <w:rFonts w:hint="eastAsia" w:ascii="宋体" w:hAnsi="宋体" w:cs="宋体"/>
                <w:b/>
                <w:bCs/>
                <w:kern w:val="0"/>
                <w:sz w:val="28"/>
                <w:szCs w:val="28"/>
              </w:rPr>
              <w:t>表</w:t>
            </w:r>
            <w:r>
              <w:rPr>
                <w:b/>
                <w:bCs/>
                <w:kern w:val="0"/>
                <w:sz w:val="28"/>
                <w:szCs w:val="28"/>
              </w:rPr>
              <w:t>6  2014</w:t>
            </w:r>
            <w:r>
              <w:rPr>
                <w:rFonts w:hint="eastAsia" w:ascii="宋体" w:hAnsi="宋体" w:cs="宋体"/>
                <w:b/>
                <w:bCs/>
                <w:kern w:val="0"/>
                <w:sz w:val="28"/>
                <w:szCs w:val="28"/>
              </w:rPr>
              <w:t>年房地产开发和销售主要指标完成情况及其增长速度</w:t>
            </w:r>
          </w:p>
        </w:tc>
      </w:tr>
      <w:tr>
        <w:tblPrEx>
          <w:tblLayout w:type="fixed"/>
          <w:tblCellMar>
            <w:top w:w="0" w:type="dxa"/>
            <w:left w:w="108" w:type="dxa"/>
            <w:bottom w:w="0" w:type="dxa"/>
            <w:right w:w="108" w:type="dxa"/>
          </w:tblCellMar>
        </w:tblPrEx>
        <w:trPr>
          <w:trHeight w:val="454" w:hRule="atLeast"/>
        </w:trPr>
        <w:tc>
          <w:tcPr>
            <w:tcW w:w="41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指标</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单位</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绝对数</w:t>
            </w:r>
          </w:p>
        </w:tc>
        <w:tc>
          <w:tcPr>
            <w:tcW w:w="1620"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比上年增长%</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投资额</w:t>
            </w:r>
          </w:p>
        </w:tc>
        <w:tc>
          <w:tcPr>
            <w:tcW w:w="1260" w:type="dxa"/>
            <w:tcBorders>
              <w:top w:val="nil"/>
              <w:left w:val="nil"/>
              <w:bottom w:val="nil"/>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亿元</w:t>
            </w:r>
          </w:p>
        </w:tc>
        <w:tc>
          <w:tcPr>
            <w:tcW w:w="1260" w:type="dxa"/>
            <w:tcBorders>
              <w:top w:val="nil"/>
              <w:left w:val="nil"/>
              <w:bottom w:val="nil"/>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40.16</w:t>
            </w:r>
          </w:p>
        </w:tc>
        <w:tc>
          <w:tcPr>
            <w:tcW w:w="162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-16.9</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其中：住宅</w:t>
            </w:r>
          </w:p>
        </w:tc>
        <w:tc>
          <w:tcPr>
            <w:tcW w:w="1260" w:type="dxa"/>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亿元</w:t>
            </w:r>
          </w:p>
        </w:tc>
        <w:tc>
          <w:tcPr>
            <w:tcW w:w="126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34</w:t>
            </w:r>
          </w:p>
        </w:tc>
        <w:tc>
          <w:tcPr>
            <w:tcW w:w="1620" w:type="dxa"/>
            <w:tcBorders>
              <w:top w:val="nil"/>
              <w:left w:val="single" w:color="auto" w:sz="4" w:space="0"/>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-17.4</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其中：90平方米以下</w:t>
            </w:r>
          </w:p>
        </w:tc>
        <w:tc>
          <w:tcPr>
            <w:tcW w:w="1260" w:type="dxa"/>
            <w:tcBorders>
              <w:top w:val="nil"/>
              <w:left w:val="single" w:color="auto" w:sz="4" w:space="0"/>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亿元</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7.61</w:t>
            </w:r>
          </w:p>
        </w:tc>
        <w:tc>
          <w:tcPr>
            <w:tcW w:w="162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146.1</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房屋施工面积</w:t>
            </w:r>
          </w:p>
        </w:tc>
        <w:tc>
          <w:tcPr>
            <w:tcW w:w="1260" w:type="dxa"/>
            <w:tcBorders>
              <w:top w:val="nil"/>
              <w:left w:val="single" w:color="auto" w:sz="4" w:space="0"/>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万平方米</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314.52</w:t>
            </w:r>
          </w:p>
        </w:tc>
        <w:tc>
          <w:tcPr>
            <w:tcW w:w="162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-39.0 </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其中：住宅</w:t>
            </w:r>
          </w:p>
        </w:tc>
        <w:tc>
          <w:tcPr>
            <w:tcW w:w="1260" w:type="dxa"/>
            <w:tcBorders>
              <w:top w:val="nil"/>
              <w:left w:val="single" w:color="auto" w:sz="4" w:space="0"/>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万平方米</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227.22</w:t>
            </w:r>
          </w:p>
        </w:tc>
        <w:tc>
          <w:tcPr>
            <w:tcW w:w="162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-42.0 </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房屋新开工面积</w:t>
            </w:r>
          </w:p>
        </w:tc>
        <w:tc>
          <w:tcPr>
            <w:tcW w:w="1260" w:type="dxa"/>
            <w:tcBorders>
              <w:top w:val="nil"/>
              <w:left w:val="single" w:color="auto" w:sz="4" w:space="0"/>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万平方米</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32.88</w:t>
            </w:r>
          </w:p>
        </w:tc>
        <w:tc>
          <w:tcPr>
            <w:tcW w:w="162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-61.0 </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其中：住宅</w:t>
            </w:r>
          </w:p>
        </w:tc>
        <w:tc>
          <w:tcPr>
            <w:tcW w:w="1260" w:type="dxa"/>
            <w:tcBorders>
              <w:top w:val="nil"/>
              <w:left w:val="single" w:color="auto" w:sz="4" w:space="0"/>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万平方米</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29.63</w:t>
            </w:r>
          </w:p>
        </w:tc>
        <w:tc>
          <w:tcPr>
            <w:tcW w:w="162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-56.0 </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本年房屋竣工面积</w:t>
            </w:r>
          </w:p>
        </w:tc>
        <w:tc>
          <w:tcPr>
            <w:tcW w:w="1260" w:type="dxa"/>
            <w:tcBorders>
              <w:top w:val="nil"/>
              <w:left w:val="single" w:color="auto" w:sz="4" w:space="0"/>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万平方米</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11.93</w:t>
            </w:r>
          </w:p>
        </w:tc>
        <w:tc>
          <w:tcPr>
            <w:tcW w:w="162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251.0 </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其中：住宅</w:t>
            </w:r>
          </w:p>
        </w:tc>
        <w:tc>
          <w:tcPr>
            <w:tcW w:w="1260" w:type="dxa"/>
            <w:tcBorders>
              <w:top w:val="nil"/>
              <w:left w:val="single" w:color="auto" w:sz="4" w:space="0"/>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万平方米</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11.13</w:t>
            </w:r>
          </w:p>
        </w:tc>
        <w:tc>
          <w:tcPr>
            <w:tcW w:w="162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370.0 </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本年商品房销售面积</w:t>
            </w:r>
          </w:p>
        </w:tc>
        <w:tc>
          <w:tcPr>
            <w:tcW w:w="1260" w:type="dxa"/>
            <w:tcBorders>
              <w:top w:val="nil"/>
              <w:left w:val="single" w:color="auto" w:sz="4" w:space="0"/>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万平方米</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72.94</w:t>
            </w:r>
          </w:p>
        </w:tc>
        <w:tc>
          <w:tcPr>
            <w:tcW w:w="162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7.9 </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其中：住宅</w:t>
            </w:r>
          </w:p>
        </w:tc>
        <w:tc>
          <w:tcPr>
            <w:tcW w:w="1260" w:type="dxa"/>
            <w:tcBorders>
              <w:top w:val="nil"/>
              <w:left w:val="single" w:color="auto" w:sz="4" w:space="0"/>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万平方米</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70.24</w:t>
            </w:r>
          </w:p>
        </w:tc>
        <w:tc>
          <w:tcPr>
            <w:tcW w:w="162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4.1 </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本年资金来源</w:t>
            </w:r>
          </w:p>
        </w:tc>
        <w:tc>
          <w:tcPr>
            <w:tcW w:w="1260" w:type="dxa"/>
            <w:tcBorders>
              <w:top w:val="nil"/>
              <w:left w:val="single" w:color="auto" w:sz="4" w:space="0"/>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亿元</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54.69</w:t>
            </w:r>
          </w:p>
        </w:tc>
        <w:tc>
          <w:tcPr>
            <w:tcW w:w="162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 xml:space="preserve">3.1 </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其中：国内贷款</w:t>
            </w:r>
          </w:p>
        </w:tc>
        <w:tc>
          <w:tcPr>
            <w:tcW w:w="1260" w:type="dxa"/>
            <w:tcBorders>
              <w:top w:val="nil"/>
              <w:left w:val="single" w:color="auto" w:sz="4" w:space="0"/>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亿元</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5.36</w:t>
            </w:r>
          </w:p>
        </w:tc>
        <w:tc>
          <w:tcPr>
            <w:tcW w:w="162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206.3</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其中：个人按揭贷款</w:t>
            </w:r>
          </w:p>
        </w:tc>
        <w:tc>
          <w:tcPr>
            <w:tcW w:w="1260" w:type="dxa"/>
            <w:tcBorders>
              <w:top w:val="nil"/>
              <w:left w:val="single" w:color="auto" w:sz="4" w:space="0"/>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亿元</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0.85</w:t>
            </w:r>
          </w:p>
        </w:tc>
        <w:tc>
          <w:tcPr>
            <w:tcW w:w="162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-39.4</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本年购置土地面积</w:t>
            </w:r>
          </w:p>
        </w:tc>
        <w:tc>
          <w:tcPr>
            <w:tcW w:w="1260" w:type="dxa"/>
            <w:tcBorders>
              <w:top w:val="nil"/>
              <w:left w:val="single" w:color="auto" w:sz="4" w:space="0"/>
              <w:bottom w:val="nil"/>
              <w:right w:val="nil"/>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万平方米</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20.64</w:t>
            </w:r>
          </w:p>
        </w:tc>
        <w:tc>
          <w:tcPr>
            <w:tcW w:w="1620" w:type="dxa"/>
            <w:tcBorders>
              <w:top w:val="nil"/>
              <w:left w:val="nil"/>
              <w:bottom w:val="nil"/>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1246.5</w:t>
            </w:r>
          </w:p>
        </w:tc>
      </w:tr>
      <w:tr>
        <w:tblPrEx>
          <w:tblLayout w:type="fixed"/>
          <w:tblCellMar>
            <w:top w:w="0" w:type="dxa"/>
            <w:left w:w="108" w:type="dxa"/>
            <w:bottom w:w="0" w:type="dxa"/>
            <w:right w:w="108" w:type="dxa"/>
          </w:tblCellMar>
        </w:tblPrEx>
        <w:trPr>
          <w:trHeight w:val="454" w:hRule="atLeast"/>
        </w:trPr>
        <w:tc>
          <w:tcPr>
            <w:tcW w:w="4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土地成交价款</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Arial" w:eastAsia="仿宋_GB2312" w:cs="Arial"/>
                <w:kern w:val="0"/>
                <w:sz w:val="24"/>
              </w:rPr>
            </w:pPr>
            <w:r>
              <w:rPr>
                <w:rFonts w:hint="eastAsia" w:ascii="仿宋_GB2312" w:hAnsi="Arial" w:eastAsia="仿宋_GB2312" w:cs="Arial"/>
                <w:kern w:val="0"/>
                <w:sz w:val="24"/>
              </w:rPr>
              <w:t>亿元</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1.35</w:t>
            </w:r>
          </w:p>
        </w:tc>
        <w:tc>
          <w:tcPr>
            <w:tcW w:w="1620" w:type="dxa"/>
            <w:tcBorders>
              <w:top w:val="nil"/>
              <w:left w:val="nil"/>
              <w:bottom w:val="single" w:color="auto" w:sz="4" w:space="0"/>
              <w:right w:val="nil"/>
            </w:tcBorders>
            <w:shd w:val="clear" w:color="auto" w:fill="auto"/>
            <w:vAlign w:val="center"/>
          </w:tcPr>
          <w:p>
            <w:pPr>
              <w:widowControl/>
              <w:jc w:val="right"/>
              <w:rPr>
                <w:rFonts w:hint="eastAsia" w:ascii="仿宋_GB2312" w:hAnsi="Arial" w:eastAsia="仿宋_GB2312" w:cs="Arial"/>
                <w:kern w:val="0"/>
                <w:sz w:val="24"/>
              </w:rPr>
            </w:pPr>
            <w:r>
              <w:rPr>
                <w:rFonts w:hint="eastAsia" w:ascii="仿宋_GB2312" w:hAnsi="Arial" w:eastAsia="仿宋_GB2312" w:cs="Arial"/>
                <w:kern w:val="0"/>
                <w:sz w:val="24"/>
              </w:rPr>
              <w:t>99.8</w:t>
            </w:r>
          </w:p>
        </w:tc>
      </w:tr>
    </w:tbl>
    <w:p>
      <w:pPr>
        <w:widowControl/>
        <w:spacing w:beforeLines="50" w:line="580" w:lineRule="exact"/>
        <w:ind w:firstLine="560" w:firstLineChars="200"/>
        <w:rPr>
          <w:rFonts w:hint="eastAsia" w:ascii="宋体" w:hAnsi="宋体" w:cs="宋体"/>
          <w:kern w:val="0"/>
          <w:sz w:val="28"/>
          <w:szCs w:val="28"/>
        </w:rPr>
      </w:pPr>
      <w:r>
        <w:rPr>
          <w:rFonts w:ascii="宋体" w:hAnsi="宋体" w:cs="宋体"/>
          <w:kern w:val="0"/>
          <w:sz w:val="28"/>
          <w:szCs w:val="28"/>
        </w:rPr>
        <w:t>建筑业保持快速增长。全年全</w:t>
      </w:r>
      <w:r>
        <w:rPr>
          <w:rFonts w:hint="eastAsia" w:ascii="宋体" w:hAnsi="宋体" w:cs="宋体"/>
          <w:kern w:val="0"/>
          <w:sz w:val="28"/>
          <w:szCs w:val="28"/>
        </w:rPr>
        <w:t>区</w:t>
      </w:r>
      <w:r>
        <w:rPr>
          <w:rFonts w:ascii="宋体" w:hAnsi="宋体" w:cs="宋体"/>
          <w:kern w:val="0"/>
          <w:sz w:val="28"/>
          <w:szCs w:val="28"/>
        </w:rPr>
        <w:t>建筑业实现增加值</w:t>
      </w:r>
      <w:r>
        <w:rPr>
          <w:rFonts w:hint="eastAsia" w:ascii="宋体" w:hAnsi="宋体" w:cs="宋体"/>
          <w:kern w:val="0"/>
          <w:sz w:val="28"/>
          <w:szCs w:val="28"/>
        </w:rPr>
        <w:t>22.89</w:t>
      </w:r>
      <w:r>
        <w:rPr>
          <w:rFonts w:ascii="宋体" w:hAnsi="宋体" w:cs="宋体"/>
          <w:kern w:val="0"/>
          <w:sz w:val="28"/>
          <w:szCs w:val="28"/>
        </w:rPr>
        <w:t>亿元，增</w:t>
      </w:r>
      <w:r>
        <w:rPr>
          <w:rFonts w:hint="eastAsia" w:ascii="宋体" w:hAnsi="宋体" w:cs="宋体"/>
          <w:kern w:val="0"/>
          <w:sz w:val="28"/>
          <w:szCs w:val="28"/>
        </w:rPr>
        <w:t>长0.3</w:t>
      </w:r>
      <w:r>
        <w:rPr>
          <w:rFonts w:ascii="宋体" w:hAnsi="宋体" w:cs="宋体"/>
          <w:kern w:val="0"/>
          <w:sz w:val="28"/>
          <w:szCs w:val="28"/>
        </w:rPr>
        <w:t>%，全</w:t>
      </w:r>
      <w:r>
        <w:rPr>
          <w:rFonts w:hint="eastAsia" w:ascii="宋体" w:hAnsi="宋体" w:cs="宋体"/>
          <w:kern w:val="0"/>
          <w:sz w:val="28"/>
          <w:szCs w:val="28"/>
        </w:rPr>
        <w:t>区</w:t>
      </w:r>
      <w:r>
        <w:rPr>
          <w:rFonts w:ascii="宋体" w:hAnsi="宋体" w:cs="宋体"/>
          <w:kern w:val="0"/>
          <w:sz w:val="28"/>
          <w:szCs w:val="28"/>
        </w:rPr>
        <w:t>共有资质总承包和专业承包建筑企业</w:t>
      </w:r>
      <w:r>
        <w:rPr>
          <w:rFonts w:hint="eastAsia" w:ascii="宋体" w:hAnsi="宋体" w:cs="宋体"/>
          <w:kern w:val="0"/>
          <w:sz w:val="28"/>
          <w:szCs w:val="28"/>
        </w:rPr>
        <w:t>15</w:t>
      </w:r>
      <w:r>
        <w:rPr>
          <w:rFonts w:ascii="宋体" w:hAnsi="宋体" w:cs="宋体"/>
          <w:kern w:val="0"/>
          <w:sz w:val="28"/>
          <w:szCs w:val="28"/>
        </w:rPr>
        <w:t>家，与上年持平</w:t>
      </w:r>
      <w:r>
        <w:rPr>
          <w:rFonts w:hint="eastAsia" w:ascii="宋体" w:hAnsi="宋体" w:cs="宋体"/>
          <w:kern w:val="0"/>
          <w:sz w:val="28"/>
          <w:szCs w:val="28"/>
        </w:rPr>
        <w:t>，</w:t>
      </w:r>
      <w:r>
        <w:rPr>
          <w:rFonts w:ascii="宋体" w:hAnsi="宋体" w:cs="宋体"/>
          <w:kern w:val="0"/>
          <w:sz w:val="28"/>
          <w:szCs w:val="28"/>
        </w:rPr>
        <w:t>全年完成产值</w:t>
      </w:r>
      <w:r>
        <w:rPr>
          <w:rFonts w:hint="eastAsia" w:ascii="宋体" w:hAnsi="宋体" w:cs="宋体"/>
          <w:kern w:val="0"/>
          <w:sz w:val="28"/>
          <w:szCs w:val="28"/>
        </w:rPr>
        <w:t>22.21</w:t>
      </w:r>
      <w:r>
        <w:rPr>
          <w:rFonts w:ascii="宋体" w:hAnsi="宋体" w:cs="宋体"/>
          <w:kern w:val="0"/>
          <w:sz w:val="28"/>
          <w:szCs w:val="28"/>
        </w:rPr>
        <w:t>亿元，</w:t>
      </w:r>
      <w:r>
        <w:rPr>
          <w:rFonts w:hint="eastAsia" w:ascii="宋体" w:hAnsi="宋体" w:cs="宋体"/>
          <w:kern w:val="0"/>
          <w:sz w:val="28"/>
          <w:szCs w:val="28"/>
        </w:rPr>
        <w:t>下降5.7</w:t>
      </w:r>
      <w:r>
        <w:rPr>
          <w:rFonts w:ascii="宋体" w:hAnsi="宋体" w:cs="宋体"/>
          <w:kern w:val="0"/>
          <w:sz w:val="28"/>
          <w:szCs w:val="28"/>
        </w:rPr>
        <w:t>%。房屋建筑施工面积</w:t>
      </w:r>
      <w:r>
        <w:rPr>
          <w:rFonts w:hint="eastAsia" w:ascii="宋体" w:hAnsi="宋体" w:cs="宋体"/>
          <w:kern w:val="0"/>
          <w:sz w:val="28"/>
          <w:szCs w:val="28"/>
        </w:rPr>
        <w:t>124.73</w:t>
      </w:r>
      <w:r>
        <w:rPr>
          <w:rFonts w:ascii="宋体" w:hAnsi="宋体" w:cs="宋体"/>
          <w:kern w:val="0"/>
          <w:sz w:val="28"/>
          <w:szCs w:val="28"/>
        </w:rPr>
        <w:t>万平方米，增长</w:t>
      </w:r>
      <w:r>
        <w:rPr>
          <w:rFonts w:hint="eastAsia" w:ascii="宋体" w:hAnsi="宋体" w:cs="宋体"/>
          <w:kern w:val="0"/>
          <w:sz w:val="28"/>
          <w:szCs w:val="28"/>
        </w:rPr>
        <w:t>12.43</w:t>
      </w:r>
      <w:r>
        <w:rPr>
          <w:rFonts w:ascii="宋体" w:hAnsi="宋体" w:cs="宋体"/>
          <w:kern w:val="0"/>
          <w:sz w:val="28"/>
          <w:szCs w:val="28"/>
        </w:rPr>
        <w:t>%；房屋建筑竣工面积</w:t>
      </w:r>
      <w:r>
        <w:rPr>
          <w:rFonts w:hint="eastAsia" w:ascii="宋体" w:hAnsi="宋体" w:cs="宋体"/>
          <w:kern w:val="0"/>
          <w:sz w:val="28"/>
          <w:szCs w:val="28"/>
        </w:rPr>
        <w:t>89.69</w:t>
      </w:r>
      <w:r>
        <w:rPr>
          <w:rFonts w:ascii="宋体" w:hAnsi="宋体" w:cs="宋体"/>
          <w:kern w:val="0"/>
          <w:sz w:val="28"/>
          <w:szCs w:val="28"/>
        </w:rPr>
        <w:t>万平方米，</w:t>
      </w:r>
      <w:r>
        <w:rPr>
          <w:rFonts w:hint="eastAsia" w:ascii="宋体" w:hAnsi="宋体" w:cs="宋体"/>
          <w:kern w:val="0"/>
          <w:sz w:val="28"/>
          <w:szCs w:val="28"/>
        </w:rPr>
        <w:t>增长12.83</w:t>
      </w:r>
      <w:r>
        <w:rPr>
          <w:rFonts w:ascii="宋体" w:hAnsi="宋体" w:cs="宋体"/>
          <w:kern w:val="0"/>
          <w:sz w:val="28"/>
          <w:szCs w:val="28"/>
        </w:rPr>
        <w:t>%。</w:t>
      </w:r>
    </w:p>
    <w:p>
      <w:pPr>
        <w:jc w:val="center"/>
        <w:rPr>
          <w:rFonts w:hint="eastAsia"/>
        </w:rPr>
      </w:pPr>
      <w:r>
        <w:drawing>
          <wp:inline distT="0" distB="0" distL="0" distR="0">
            <wp:extent cx="5614035" cy="31686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a:srcRect/>
                    <a:stretch>
                      <a:fillRect/>
                    </a:stretch>
                  </pic:blipFill>
                  <pic:spPr>
                    <a:xfrm>
                      <a:off x="0" y="0"/>
                      <a:ext cx="5614035" cy="3168650"/>
                    </a:xfrm>
                    <a:prstGeom prst="rect">
                      <a:avLst/>
                    </a:prstGeom>
                    <a:noFill/>
                    <a:ln w="9525">
                      <a:noFill/>
                      <a:miter lim="800000"/>
                      <a:headEnd/>
                      <a:tailEnd/>
                    </a:ln>
                  </pic:spPr>
                </pic:pic>
              </a:graphicData>
            </a:graphic>
          </wp:inline>
        </w:drawing>
      </w:r>
    </w:p>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五、国内贸易</w:t>
      </w:r>
    </w:p>
    <w:p>
      <w:pPr>
        <w:spacing w:afterLines="50" w:line="600" w:lineRule="exact"/>
        <w:ind w:firstLine="560" w:firstLineChars="200"/>
        <w:rPr>
          <w:rFonts w:hint="eastAsia" w:ascii="宋体" w:hAnsi="宋体"/>
          <w:color w:val="000000"/>
          <w:sz w:val="28"/>
          <w:szCs w:val="28"/>
        </w:rPr>
      </w:pPr>
      <w:r>
        <w:rPr>
          <w:rFonts w:hint="eastAsia" w:ascii="宋体" w:hAnsi="宋体"/>
          <w:color w:val="000000"/>
          <w:sz w:val="28"/>
          <w:szCs w:val="28"/>
        </w:rPr>
        <w:t>全年全区实现社会消费品零售总额18.17亿元，增长12.5%，分别比上半年、上年同期回落</w:t>
      </w:r>
      <w:r>
        <w:rPr>
          <w:rFonts w:ascii="宋体" w:hAnsi="宋体"/>
          <w:color w:val="000000"/>
          <w:sz w:val="28"/>
          <w:szCs w:val="28"/>
        </w:rPr>
        <w:t>0.4</w:t>
      </w:r>
      <w:r>
        <w:rPr>
          <w:rFonts w:hint="eastAsia" w:ascii="宋体" w:hAnsi="宋体"/>
          <w:color w:val="000000"/>
          <w:sz w:val="28"/>
          <w:szCs w:val="28"/>
        </w:rPr>
        <w:t>个百分点、1.3个百分点。</w:t>
      </w:r>
      <w:r>
        <w:rPr>
          <w:rFonts w:hint="eastAsia" w:ascii="宋体" w:hAnsi="宋体"/>
          <w:b/>
          <w:color w:val="000000"/>
          <w:sz w:val="28"/>
          <w:szCs w:val="28"/>
        </w:rPr>
        <w:t>从销售区域看</w:t>
      </w:r>
      <w:r>
        <w:rPr>
          <w:rFonts w:hint="eastAsia" w:ascii="宋体" w:hAnsi="宋体"/>
          <w:color w:val="000000"/>
          <w:sz w:val="28"/>
          <w:szCs w:val="28"/>
        </w:rPr>
        <w:t>，城镇消费品市场增幅略高于乡村。全年全区实现城镇消费品零售额17.94亿元，增长12.5%；乡村消费品零售额0.23亿元，增长10.5%。城镇增幅高于乡村2</w:t>
      </w:r>
      <w:r>
        <w:rPr>
          <w:rFonts w:ascii="宋体" w:hAnsi="宋体"/>
          <w:color w:val="000000"/>
          <w:sz w:val="28"/>
          <w:szCs w:val="28"/>
        </w:rPr>
        <w:t>.0</w:t>
      </w:r>
      <w:r>
        <w:rPr>
          <w:rFonts w:hint="eastAsia" w:ascii="宋体" w:hAnsi="宋体"/>
          <w:color w:val="000000"/>
          <w:sz w:val="28"/>
          <w:szCs w:val="28"/>
        </w:rPr>
        <w:t>个百分点。</w:t>
      </w:r>
      <w:r>
        <w:rPr>
          <w:rFonts w:hint="eastAsia" w:ascii="宋体" w:hAnsi="宋体"/>
          <w:b/>
          <w:color w:val="000000"/>
          <w:sz w:val="28"/>
          <w:szCs w:val="28"/>
        </w:rPr>
        <w:t>从消费形态看</w:t>
      </w:r>
      <w:r>
        <w:rPr>
          <w:rFonts w:hint="eastAsia" w:ascii="宋体" w:hAnsi="宋体"/>
          <w:color w:val="000000"/>
          <w:sz w:val="28"/>
          <w:szCs w:val="28"/>
        </w:rPr>
        <w:t>，商品零售对消费品市场贡献大于餐饮收入。全年餐饮收入1.85亿元，增长12.3%；对消费品零售额增长的贡献率为9.7%；商品零售16.32亿元，增长14.65%，对消费品零售额增长的贡献率为90.3%。</w:t>
      </w:r>
      <w:r>
        <w:rPr>
          <w:rFonts w:hint="eastAsia" w:ascii="宋体" w:hAnsi="宋体"/>
          <w:b/>
          <w:color w:val="000000"/>
          <w:sz w:val="28"/>
          <w:szCs w:val="28"/>
        </w:rPr>
        <w:t>从企业规模看</w:t>
      </w:r>
      <w:r>
        <w:rPr>
          <w:rFonts w:hint="eastAsia" w:ascii="宋体" w:hAnsi="宋体"/>
          <w:color w:val="000000"/>
          <w:sz w:val="28"/>
          <w:szCs w:val="28"/>
        </w:rPr>
        <w:t>，全年限额以上企业零售额实现零售额3.66亿元，下降0.4%。</w:t>
      </w:r>
    </w:p>
    <w:p>
      <w:pPr>
        <w:jc w:val="center"/>
        <w:rPr>
          <w:rFonts w:hint="eastAsia"/>
        </w:rPr>
      </w:pPr>
      <w:r>
        <w:drawing>
          <wp:inline distT="0" distB="0" distL="0" distR="0">
            <wp:extent cx="5614035" cy="24561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a:srcRect/>
                    <a:stretch>
                      <a:fillRect/>
                    </a:stretch>
                  </pic:blipFill>
                  <pic:spPr>
                    <a:xfrm>
                      <a:off x="0" y="0"/>
                      <a:ext cx="5614035" cy="2456180"/>
                    </a:xfrm>
                    <a:prstGeom prst="rect">
                      <a:avLst/>
                    </a:prstGeom>
                    <a:noFill/>
                    <a:ln w="9525">
                      <a:noFill/>
                      <a:miter lim="800000"/>
                      <a:headEnd/>
                      <a:tailEnd/>
                    </a:ln>
                  </pic:spPr>
                </pic:pic>
              </a:graphicData>
            </a:graphic>
          </wp:inline>
        </w:drawing>
      </w:r>
    </w:p>
    <w:p>
      <w:pPr>
        <w:numPr>
          <w:ilvl w:val="0"/>
          <w:numId w:val="1"/>
        </w:numPr>
        <w:rPr>
          <w:rFonts w:hint="eastAsia"/>
        </w:rPr>
      </w:pPr>
      <w:r>
        <w:rPr>
          <w:rFonts w:hint="eastAsia"/>
        </w:rPr>
        <w:t>2014年</w:t>
      </w:r>
    </w:p>
    <w:p>
      <w:pPr>
        <w:rPr>
          <w:rFonts w:hint="eastAsia"/>
        </w:rPr>
      </w:pPr>
    </w:p>
    <w:p>
      <w:pPr>
        <w:jc w:val="center"/>
        <w:rPr>
          <w:rFonts w:hint="eastAsia"/>
        </w:rPr>
      </w:pPr>
      <w:r>
        <w:drawing>
          <wp:inline distT="0" distB="0" distL="0" distR="0">
            <wp:extent cx="5614035" cy="275399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a:srcRect/>
                    <a:stretch>
                      <a:fillRect/>
                    </a:stretch>
                  </pic:blipFill>
                  <pic:spPr>
                    <a:xfrm>
                      <a:off x="0" y="0"/>
                      <a:ext cx="5614035" cy="2753995"/>
                    </a:xfrm>
                    <a:prstGeom prst="rect">
                      <a:avLst/>
                    </a:prstGeom>
                    <a:noFill/>
                    <a:ln w="9525">
                      <a:noFill/>
                      <a:miter lim="800000"/>
                      <a:headEnd/>
                      <a:tailEnd/>
                    </a:ln>
                  </pic:spPr>
                </pic:pic>
              </a:graphicData>
            </a:graphic>
          </wp:inline>
        </w:drawing>
      </w:r>
    </w:p>
    <w:p>
      <w:pPr>
        <w:widowControl/>
        <w:spacing w:after="100" w:afterAutospacing="1" w:line="600" w:lineRule="exact"/>
        <w:jc w:val="center"/>
        <w:rPr>
          <w:rFonts w:hint="eastAsia" w:ascii="宋体" w:hAnsi="宋体" w:cs="宋体"/>
          <w:b/>
          <w:kern w:val="0"/>
          <w:sz w:val="28"/>
          <w:szCs w:val="28"/>
        </w:rPr>
      </w:pPr>
      <w:r>
        <w:rPr>
          <w:rFonts w:hint="eastAsia" w:ascii="宋体" w:hAnsi="宋体" w:cs="宋体"/>
          <w:b/>
          <w:kern w:val="0"/>
          <w:sz w:val="28"/>
          <w:szCs w:val="28"/>
        </w:rPr>
        <w:t>六、对外贸易和招商引资</w:t>
      </w:r>
    </w:p>
    <w:p>
      <w:pPr>
        <w:spacing w:after="100" w:afterAutospacing="1" w:line="600" w:lineRule="exact"/>
        <w:ind w:firstLine="560" w:firstLineChars="200"/>
        <w:rPr>
          <w:rFonts w:hint="eastAsia" w:ascii="宋体" w:hAnsi="宋体" w:cs="宋体"/>
          <w:kern w:val="0"/>
          <w:sz w:val="28"/>
          <w:szCs w:val="28"/>
        </w:rPr>
      </w:pPr>
      <w:r>
        <w:rPr>
          <w:rFonts w:hint="eastAsia" w:ascii="宋体" w:hAnsi="宋体"/>
          <w:color w:val="000000"/>
          <w:sz w:val="28"/>
          <w:szCs w:val="28"/>
        </w:rPr>
        <w:t>全年全区外贸进出口总额41.47亿美元，增长22.1%。其中，进口总额38.68亿美元，增长27.4%；出口总额2.78亿美元，下降15.8%。边贸成交额完成14.37亿元，下降53.7%，降幅比上半年扩大21.3个百分点，并连续9个月呈回落态势。</w:t>
      </w:r>
      <w:r>
        <w:rPr>
          <w:rFonts w:hint="eastAsia" w:ascii="宋体" w:hAnsi="宋体" w:cs="宋体"/>
          <w:kern w:val="0"/>
          <w:sz w:val="28"/>
          <w:szCs w:val="28"/>
        </w:rPr>
        <w:t>其中出口0.23亿元，增长67.01%，进口14.14亿元，下降54.24%。</w:t>
      </w:r>
    </w:p>
    <w:p>
      <w:pPr>
        <w:jc w:val="center"/>
        <w:rPr>
          <w:rFonts w:hint="eastAsia"/>
        </w:rPr>
      </w:pPr>
      <w:r>
        <w:drawing>
          <wp:inline distT="0" distB="0" distL="0" distR="0">
            <wp:extent cx="5614035" cy="27432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
                    <a:srcRect/>
                    <a:stretch>
                      <a:fillRect/>
                    </a:stretch>
                  </pic:blipFill>
                  <pic:spPr>
                    <a:xfrm>
                      <a:off x="0" y="0"/>
                      <a:ext cx="5614035" cy="2743200"/>
                    </a:xfrm>
                    <a:prstGeom prst="rect">
                      <a:avLst/>
                    </a:prstGeom>
                    <a:noFill/>
                    <a:ln w="9525">
                      <a:noFill/>
                      <a:miter lim="800000"/>
                      <a:headEnd/>
                      <a:tailEnd/>
                    </a:ln>
                  </pic:spPr>
                </pic:pic>
              </a:graphicData>
            </a:graphic>
          </wp:inline>
        </w:drawing>
      </w:r>
    </w:p>
    <w:p>
      <w:pPr>
        <w:jc w:val="center"/>
        <w:rPr>
          <w:rFonts w:hint="eastAsia"/>
        </w:rPr>
      </w:pPr>
      <w:r>
        <w:drawing>
          <wp:inline distT="0" distB="0" distL="0" distR="0">
            <wp:extent cx="5614035" cy="26689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7"/>
                    <a:srcRect/>
                    <a:stretch>
                      <a:fillRect/>
                    </a:stretch>
                  </pic:blipFill>
                  <pic:spPr>
                    <a:xfrm>
                      <a:off x="0" y="0"/>
                      <a:ext cx="5614035" cy="2668905"/>
                    </a:xfrm>
                    <a:prstGeom prst="rect">
                      <a:avLst/>
                    </a:prstGeom>
                    <a:noFill/>
                    <a:ln w="9525">
                      <a:noFill/>
                      <a:miter lim="800000"/>
                      <a:headEnd/>
                      <a:tailEnd/>
                    </a:ln>
                  </pic:spPr>
                </pic:pic>
              </a:graphicData>
            </a:graphic>
          </wp:inline>
        </w:drawing>
      </w:r>
    </w:p>
    <w:p>
      <w:pPr>
        <w:spacing w:line="600" w:lineRule="exact"/>
        <w:ind w:firstLine="658" w:firstLineChars="235"/>
        <w:rPr>
          <w:rFonts w:hint="eastAsia" w:ascii="宋体" w:hAnsi="宋体" w:cs="宋体"/>
          <w:kern w:val="0"/>
          <w:sz w:val="28"/>
          <w:szCs w:val="28"/>
        </w:rPr>
      </w:pPr>
      <w:r>
        <w:rPr>
          <w:rFonts w:hint="eastAsia" w:ascii="宋体" w:hAnsi="宋体" w:cs="宋体"/>
          <w:kern w:val="0"/>
          <w:sz w:val="28"/>
          <w:szCs w:val="28"/>
        </w:rPr>
        <w:t>按招商部门统计，全年全</w:t>
      </w:r>
      <w:r>
        <w:rPr>
          <w:rFonts w:hint="eastAsia" w:ascii="宋体" w:hAnsi="宋体" w:cs="宋体"/>
          <w:kern w:val="0"/>
          <w:sz w:val="28"/>
          <w:szCs w:val="28"/>
          <w:shd w:val="clear" w:color="auto" w:fill="FFFFFF"/>
        </w:rPr>
        <w:t>区完成实际利用外资额（招商口径）1.74亿美元，增长49.1%；</w:t>
      </w:r>
      <w:r>
        <w:rPr>
          <w:rFonts w:hint="eastAsia" w:ascii="宋体" w:hAnsi="宋体" w:cs="宋体"/>
          <w:kern w:val="0"/>
          <w:sz w:val="28"/>
          <w:szCs w:val="28"/>
        </w:rPr>
        <w:t>新引进外来投资项目6个，项目总投资41.22亿元。其中：区外境内合作项目6个，项目总投资41.22亿元。引进区外境内资金136.28亿元。</w:t>
      </w:r>
    </w:p>
    <w:p>
      <w:pPr>
        <w:spacing w:beforeLines="50" w:afterLines="50" w:line="600" w:lineRule="exact"/>
        <w:jc w:val="center"/>
        <w:rPr>
          <w:rFonts w:hint="eastAsia" w:ascii="宋体" w:hAnsi="宋体" w:cs="宋体"/>
          <w:b/>
          <w:kern w:val="0"/>
          <w:sz w:val="28"/>
          <w:szCs w:val="28"/>
        </w:rPr>
      </w:pPr>
      <w:r>
        <w:rPr>
          <w:rFonts w:hint="eastAsia" w:ascii="宋体" w:hAnsi="宋体" w:cs="宋体"/>
          <w:b/>
          <w:kern w:val="0"/>
          <w:sz w:val="28"/>
          <w:szCs w:val="28"/>
        </w:rPr>
        <w:t>七、交通、邮电和旅游</w:t>
      </w:r>
    </w:p>
    <w:p>
      <w:pPr>
        <w:spacing w:line="600" w:lineRule="exact"/>
        <w:ind w:firstLine="560" w:firstLineChars="200"/>
        <w:rPr>
          <w:rFonts w:hint="eastAsia" w:ascii="宋体" w:hAnsi="宋体" w:cs="宋体"/>
          <w:kern w:val="0"/>
          <w:sz w:val="28"/>
          <w:szCs w:val="28"/>
        </w:rPr>
      </w:pPr>
      <w:r>
        <w:rPr>
          <w:rFonts w:hint="eastAsia" w:ascii="宋体" w:hAnsi="宋体" w:cs="宋体"/>
          <w:kern w:val="0"/>
          <w:sz w:val="28"/>
          <w:szCs w:val="28"/>
        </w:rPr>
        <w:t>全年全区交通运输、仓储及邮电通信业实现增加值31.15亿元，增长0.2%，增幅同比提高3.3个百分点。</w:t>
      </w:r>
    </w:p>
    <w:p>
      <w:pPr>
        <w:spacing w:line="600" w:lineRule="exact"/>
        <w:ind w:firstLine="560" w:firstLineChars="200"/>
        <w:rPr>
          <w:rFonts w:hint="eastAsia" w:ascii="宋体" w:hAnsi="宋体" w:cs="宋体"/>
          <w:kern w:val="0"/>
          <w:sz w:val="28"/>
          <w:szCs w:val="28"/>
        </w:rPr>
      </w:pPr>
      <w:r>
        <w:rPr>
          <w:rFonts w:hint="eastAsia" w:ascii="宋体" w:hAnsi="宋体" w:cs="宋体"/>
          <w:kern w:val="0"/>
          <w:sz w:val="28"/>
          <w:szCs w:val="28"/>
        </w:rPr>
        <w:t>全年各种运输方式完成客、货物运输周转量253.1亿吨公里（含市直），增长1.3%。其中，公路运输周转量25.11亿吨公里，增长11.9%；水路运输周转量227.99亿吨公里，增长0.2%。</w:t>
      </w:r>
    </w:p>
    <w:p>
      <w:pPr>
        <w:spacing w:line="600" w:lineRule="exact"/>
        <w:ind w:firstLine="560" w:firstLineChars="200"/>
        <w:rPr>
          <w:rFonts w:hint="eastAsia" w:ascii="宋体" w:hAnsi="宋体" w:cs="宋体"/>
          <w:kern w:val="0"/>
          <w:sz w:val="28"/>
          <w:szCs w:val="28"/>
        </w:rPr>
      </w:pPr>
      <w:r>
        <w:rPr>
          <w:rFonts w:hint="eastAsia" w:ascii="宋体" w:hAnsi="宋体" w:cs="宋体"/>
          <w:kern w:val="0"/>
          <w:sz w:val="28"/>
          <w:szCs w:val="28"/>
        </w:rPr>
        <w:t>全年中小港口货物吞吐量（企沙港）达846.38万吨，同比增长5.2％，从货物流向看，出口366.14万吨，下降9.6％；进口480.24万吨，增长19.9％。从货物种类看，出口商品主要有水泥；进口商品主要有无烟煤等。</w:t>
      </w:r>
    </w:p>
    <w:p>
      <w:pPr>
        <w:spacing w:line="600" w:lineRule="exact"/>
        <w:ind w:firstLine="560" w:firstLineChars="200"/>
        <w:rPr>
          <w:rFonts w:ascii="宋体" w:hAnsi="宋体" w:cs="宋体"/>
          <w:kern w:val="0"/>
          <w:sz w:val="28"/>
          <w:szCs w:val="28"/>
        </w:rPr>
      </w:pPr>
      <w:r>
        <w:rPr>
          <w:rFonts w:hint="eastAsia" w:ascii="宋体" w:hAnsi="宋体" w:cs="宋体"/>
          <w:kern w:val="0"/>
          <w:sz w:val="28"/>
          <w:szCs w:val="28"/>
        </w:rPr>
        <w:t>全年全区完成邮电业务总量4.0亿元(含市直，下同)，增长7.1%。其中，邮政业务总量0.2亿元，增长10.3%；电信业务总量3.81亿元，增长7%。</w:t>
      </w:r>
    </w:p>
    <w:p>
      <w:pPr>
        <w:spacing w:line="600" w:lineRule="exact"/>
        <w:ind w:firstLine="560" w:firstLineChars="200"/>
        <w:rPr>
          <w:rFonts w:hint="eastAsia" w:ascii="宋体" w:hAnsi="宋体" w:cs="宋体"/>
          <w:kern w:val="0"/>
          <w:sz w:val="28"/>
          <w:szCs w:val="28"/>
        </w:rPr>
      </w:pPr>
      <w:r>
        <w:rPr>
          <w:rFonts w:hint="eastAsia" w:ascii="宋体" w:hAnsi="宋体" w:cs="宋体"/>
          <w:kern w:val="0"/>
          <w:sz w:val="28"/>
          <w:szCs w:val="28"/>
        </w:rPr>
        <w:t>按旅游部门统计，全年全区旅游人数136.78万人次(含市直，下同)，增长7.6%，旅游总收入10.11亿元，增长8.9%。</w:t>
      </w:r>
    </w:p>
    <w:p>
      <w:pPr>
        <w:spacing w:beforeLines="50" w:afterLines="50" w:line="600" w:lineRule="exact"/>
        <w:jc w:val="center"/>
        <w:rPr>
          <w:rFonts w:hint="eastAsia" w:ascii="宋体" w:hAnsi="宋体" w:cs="宋体"/>
          <w:b/>
          <w:kern w:val="0"/>
          <w:sz w:val="28"/>
          <w:szCs w:val="28"/>
        </w:rPr>
      </w:pPr>
      <w:r>
        <w:rPr>
          <w:rFonts w:hint="eastAsia" w:ascii="宋体" w:hAnsi="宋体" w:cs="宋体"/>
          <w:b/>
          <w:kern w:val="0"/>
          <w:sz w:val="28"/>
          <w:szCs w:val="28"/>
        </w:rPr>
        <w:t>八、金融和保险</w:t>
      </w:r>
    </w:p>
    <w:p>
      <w:pPr>
        <w:spacing w:line="600" w:lineRule="exact"/>
        <w:ind w:firstLine="560" w:firstLineChars="200"/>
        <w:rPr>
          <w:rFonts w:hint="eastAsia" w:ascii="宋体" w:hAnsi="宋体" w:cs="宋体"/>
          <w:kern w:val="0"/>
          <w:sz w:val="28"/>
          <w:szCs w:val="28"/>
        </w:rPr>
      </w:pPr>
      <w:r>
        <w:rPr>
          <w:rFonts w:hint="eastAsia" w:ascii="宋体" w:hAnsi="宋体" w:cs="宋体"/>
          <w:kern w:val="0"/>
          <w:sz w:val="28"/>
          <w:szCs w:val="28"/>
        </w:rPr>
        <w:t>全年全区金融业实现增加值11.42亿元，增长12.1％。年末金融机构人民币各项存款余额209.41亿元，比上年净增19.41亿元（简称净增，下同），比上年增长10.2（简称增长，下同）%，其中，居民储蓄存款余额72.6亿元，净增6.68亿元，增长10.1%。年末金融机构人民币各项贷款余额231.05亿元，净增32.66亿元，增长16.5%。</w:t>
      </w:r>
    </w:p>
    <w:p>
      <w:pPr>
        <w:spacing w:afterLines="150" w:line="600" w:lineRule="exact"/>
        <w:ind w:firstLine="560" w:firstLineChars="200"/>
        <w:rPr>
          <w:rFonts w:hint="eastAsia" w:ascii="宋体" w:hAnsi="宋体" w:cs="宋体"/>
          <w:kern w:val="0"/>
          <w:sz w:val="28"/>
          <w:szCs w:val="28"/>
        </w:rPr>
      </w:pPr>
      <w:r>
        <w:rPr>
          <w:rFonts w:hint="eastAsia" w:ascii="宋体" w:hAnsi="宋体" w:cs="宋体"/>
          <w:kern w:val="0"/>
          <w:sz w:val="28"/>
          <w:szCs w:val="28"/>
        </w:rPr>
        <w:t>全年全区保险公司保费收入增长17.7%。</w:t>
      </w:r>
    </w:p>
    <w:tbl>
      <w:tblPr>
        <w:tblStyle w:val="6"/>
        <w:tblW w:w="7686" w:type="dxa"/>
        <w:jc w:val="center"/>
        <w:tblInd w:w="0" w:type="dxa"/>
        <w:tblLayout w:type="fixed"/>
        <w:tblCellMar>
          <w:top w:w="0" w:type="dxa"/>
          <w:left w:w="108" w:type="dxa"/>
          <w:bottom w:w="0" w:type="dxa"/>
          <w:right w:w="108" w:type="dxa"/>
        </w:tblCellMar>
      </w:tblPr>
      <w:tblGrid>
        <w:gridCol w:w="3758"/>
        <w:gridCol w:w="742"/>
        <w:gridCol w:w="1260"/>
        <w:gridCol w:w="1926"/>
      </w:tblGrid>
      <w:tr>
        <w:tblPrEx>
          <w:tblLayout w:type="fixed"/>
          <w:tblCellMar>
            <w:top w:w="0" w:type="dxa"/>
            <w:left w:w="108" w:type="dxa"/>
            <w:bottom w:w="0" w:type="dxa"/>
            <w:right w:w="108" w:type="dxa"/>
          </w:tblCellMar>
        </w:tblPrEx>
        <w:trPr>
          <w:trHeight w:val="735" w:hRule="atLeast"/>
          <w:jc w:val="center"/>
        </w:trPr>
        <w:tc>
          <w:tcPr>
            <w:tcW w:w="7686" w:type="dxa"/>
            <w:gridSpan w:val="4"/>
            <w:tcBorders>
              <w:top w:val="nil"/>
              <w:left w:val="nil"/>
              <w:bottom w:val="nil"/>
              <w:right w:val="nil"/>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表7  2014年金融机构人民币存贷款余额及其增长速度</w:t>
            </w:r>
          </w:p>
        </w:tc>
      </w:tr>
      <w:tr>
        <w:tblPrEx>
          <w:tblLayout w:type="fixed"/>
          <w:tblCellMar>
            <w:top w:w="0" w:type="dxa"/>
            <w:left w:w="108" w:type="dxa"/>
            <w:bottom w:w="0" w:type="dxa"/>
            <w:right w:w="108" w:type="dxa"/>
          </w:tblCellMar>
        </w:tblPrEx>
        <w:trPr>
          <w:trHeight w:val="567" w:hRule="atLeast"/>
          <w:jc w:val="center"/>
        </w:trPr>
        <w:tc>
          <w:tcPr>
            <w:tcW w:w="37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指标</w:t>
            </w:r>
          </w:p>
        </w:tc>
        <w:tc>
          <w:tcPr>
            <w:tcW w:w="7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单位</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年末数</w:t>
            </w:r>
          </w:p>
        </w:tc>
        <w:tc>
          <w:tcPr>
            <w:tcW w:w="1926"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同比增长%</w:t>
            </w:r>
          </w:p>
        </w:tc>
      </w:tr>
      <w:tr>
        <w:tblPrEx>
          <w:tblLayout w:type="fixed"/>
          <w:tblCellMar>
            <w:top w:w="0" w:type="dxa"/>
            <w:left w:w="108" w:type="dxa"/>
            <w:bottom w:w="0" w:type="dxa"/>
            <w:right w:w="108" w:type="dxa"/>
          </w:tblCellMar>
        </w:tblPrEx>
        <w:trPr>
          <w:trHeight w:val="567" w:hRule="atLeast"/>
          <w:jc w:val="center"/>
        </w:trPr>
        <w:tc>
          <w:tcPr>
            <w:tcW w:w="3758"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金融机构存款余额</w:t>
            </w:r>
          </w:p>
        </w:tc>
        <w:tc>
          <w:tcPr>
            <w:tcW w:w="742"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1260"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209.41 </w:t>
            </w:r>
          </w:p>
        </w:tc>
        <w:tc>
          <w:tcPr>
            <w:tcW w:w="1926"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10.2 </w:t>
            </w:r>
          </w:p>
        </w:tc>
      </w:tr>
      <w:tr>
        <w:tblPrEx>
          <w:tblLayout w:type="fixed"/>
          <w:tblCellMar>
            <w:top w:w="0" w:type="dxa"/>
            <w:left w:w="108" w:type="dxa"/>
            <w:bottom w:w="0" w:type="dxa"/>
            <w:right w:w="108" w:type="dxa"/>
          </w:tblCellMar>
        </w:tblPrEx>
        <w:trPr>
          <w:trHeight w:val="567" w:hRule="atLeast"/>
          <w:jc w:val="center"/>
        </w:trPr>
        <w:tc>
          <w:tcPr>
            <w:tcW w:w="3758"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其中：个人存款</w:t>
            </w:r>
          </w:p>
        </w:tc>
        <w:tc>
          <w:tcPr>
            <w:tcW w:w="742" w:type="dxa"/>
            <w:tcBorders>
              <w:top w:val="nil"/>
              <w:left w:val="single" w:color="auto" w:sz="4" w:space="0"/>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72.60 </w:t>
            </w:r>
          </w:p>
        </w:tc>
        <w:tc>
          <w:tcPr>
            <w:tcW w:w="1926"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10.1 </w:t>
            </w:r>
          </w:p>
        </w:tc>
      </w:tr>
      <w:tr>
        <w:tblPrEx>
          <w:tblLayout w:type="fixed"/>
          <w:tblCellMar>
            <w:top w:w="0" w:type="dxa"/>
            <w:left w:w="108" w:type="dxa"/>
            <w:bottom w:w="0" w:type="dxa"/>
            <w:right w:w="108" w:type="dxa"/>
          </w:tblCellMar>
        </w:tblPrEx>
        <w:trPr>
          <w:trHeight w:val="567" w:hRule="atLeast"/>
          <w:jc w:val="center"/>
        </w:trPr>
        <w:tc>
          <w:tcPr>
            <w:tcW w:w="3758"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金融机构贷款余额</w:t>
            </w:r>
          </w:p>
        </w:tc>
        <w:tc>
          <w:tcPr>
            <w:tcW w:w="742" w:type="dxa"/>
            <w:tcBorders>
              <w:top w:val="nil"/>
              <w:left w:val="single" w:color="auto" w:sz="4" w:space="0"/>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126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231.05 </w:t>
            </w:r>
          </w:p>
        </w:tc>
        <w:tc>
          <w:tcPr>
            <w:tcW w:w="1926"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16.5 </w:t>
            </w:r>
          </w:p>
        </w:tc>
      </w:tr>
      <w:tr>
        <w:tblPrEx>
          <w:tblLayout w:type="fixed"/>
          <w:tblCellMar>
            <w:top w:w="0" w:type="dxa"/>
            <w:left w:w="108" w:type="dxa"/>
            <w:bottom w:w="0" w:type="dxa"/>
            <w:right w:w="108" w:type="dxa"/>
          </w:tblCellMar>
        </w:tblPrEx>
        <w:trPr>
          <w:trHeight w:val="567" w:hRule="atLeast"/>
          <w:jc w:val="center"/>
        </w:trPr>
        <w:tc>
          <w:tcPr>
            <w:tcW w:w="375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新增金融机构本外币贷款</w:t>
            </w:r>
          </w:p>
        </w:tc>
        <w:tc>
          <w:tcPr>
            <w:tcW w:w="74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亿元</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40.28 </w:t>
            </w:r>
          </w:p>
        </w:tc>
        <w:tc>
          <w:tcPr>
            <w:tcW w:w="1926"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-4.4 </w:t>
            </w:r>
          </w:p>
        </w:tc>
      </w:tr>
    </w:tbl>
    <w:p>
      <w:pPr>
        <w:widowControl/>
        <w:spacing w:beforeLines="150" w:afterLines="50" w:line="600" w:lineRule="exact"/>
        <w:jc w:val="center"/>
        <w:rPr>
          <w:rFonts w:hint="eastAsia" w:ascii="宋体" w:hAnsi="宋体" w:cs="宋体"/>
          <w:b/>
          <w:kern w:val="0"/>
          <w:sz w:val="28"/>
          <w:szCs w:val="28"/>
        </w:rPr>
      </w:pPr>
      <w:r>
        <w:rPr>
          <w:rFonts w:hint="eastAsia" w:ascii="宋体" w:hAnsi="宋体" w:cs="宋体"/>
          <w:b/>
          <w:kern w:val="0"/>
          <w:sz w:val="28"/>
          <w:szCs w:val="28"/>
        </w:rPr>
        <w:t>九、教育和科学技术</w:t>
      </w:r>
    </w:p>
    <w:p>
      <w:pPr>
        <w:widowControl/>
        <w:spacing w:line="600" w:lineRule="exact"/>
        <w:ind w:firstLine="658" w:firstLineChars="235"/>
        <w:jc w:val="left"/>
        <w:rPr>
          <w:rFonts w:hint="eastAsia" w:ascii="宋体" w:hAnsi="宋体" w:cs="宋体"/>
          <w:kern w:val="0"/>
          <w:sz w:val="28"/>
          <w:szCs w:val="28"/>
        </w:rPr>
      </w:pPr>
      <w:r>
        <w:rPr>
          <w:rFonts w:hint="eastAsia" w:ascii="宋体" w:hAnsi="宋体" w:cs="宋体"/>
          <w:kern w:val="0"/>
          <w:sz w:val="28"/>
          <w:szCs w:val="28"/>
        </w:rPr>
        <w:t>年末区镇（街）村各类学校36个，专任教师788人，在校学生14316人。其中，普通中学4个，专任教师178人，在校学生3095人；小学32个，专任教师590人，在校学生11221人。幼儿园31所，在园幼儿6321人。学龄儿童入学率99.54%，小学毕业生升学率99.26%，初中毕业生升学率89.4%。</w:t>
      </w:r>
    </w:p>
    <w:p>
      <w:pPr>
        <w:widowControl/>
        <w:spacing w:line="580" w:lineRule="exact"/>
        <w:ind w:firstLine="560" w:firstLineChars="200"/>
        <w:rPr>
          <w:rFonts w:ascii="宋体" w:hAnsi="宋体" w:cs="宋体"/>
          <w:kern w:val="0"/>
          <w:sz w:val="28"/>
          <w:szCs w:val="28"/>
        </w:rPr>
      </w:pPr>
      <w:r>
        <w:rPr>
          <w:rFonts w:ascii="宋体" w:hAnsi="宋体" w:cs="宋体"/>
          <w:kern w:val="0"/>
          <w:sz w:val="28"/>
          <w:szCs w:val="28"/>
        </w:rPr>
        <w:t>科技事业取得新成果。全</w:t>
      </w:r>
      <w:r>
        <w:rPr>
          <w:rFonts w:hint="eastAsia" w:ascii="宋体" w:hAnsi="宋体" w:cs="宋体"/>
          <w:kern w:val="0"/>
          <w:sz w:val="28"/>
          <w:szCs w:val="28"/>
        </w:rPr>
        <w:t>区</w:t>
      </w:r>
      <w:r>
        <w:rPr>
          <w:rFonts w:ascii="宋体" w:hAnsi="宋体" w:cs="宋体"/>
          <w:kern w:val="0"/>
          <w:sz w:val="28"/>
          <w:szCs w:val="28"/>
        </w:rPr>
        <w:t>共组织实施</w:t>
      </w:r>
      <w:r>
        <w:rPr>
          <w:rFonts w:hint="eastAsia" w:ascii="宋体" w:hAnsi="宋体" w:cs="宋体"/>
          <w:kern w:val="0"/>
          <w:sz w:val="28"/>
          <w:szCs w:val="28"/>
        </w:rPr>
        <w:t>科技项目21项，比上年增加8项，其中，自治区级</w:t>
      </w:r>
      <w:r>
        <w:rPr>
          <w:rFonts w:ascii="宋体" w:hAnsi="宋体" w:cs="宋体"/>
          <w:kern w:val="0"/>
          <w:sz w:val="28"/>
          <w:szCs w:val="28"/>
        </w:rPr>
        <w:t>项目</w:t>
      </w:r>
      <w:r>
        <w:rPr>
          <w:rFonts w:hint="eastAsia" w:ascii="宋体" w:hAnsi="宋体" w:cs="宋体"/>
          <w:kern w:val="0"/>
          <w:sz w:val="28"/>
          <w:szCs w:val="28"/>
        </w:rPr>
        <w:t>5</w:t>
      </w:r>
      <w:r>
        <w:rPr>
          <w:rFonts w:ascii="宋体" w:hAnsi="宋体" w:cs="宋体"/>
          <w:kern w:val="0"/>
          <w:sz w:val="28"/>
          <w:szCs w:val="28"/>
        </w:rPr>
        <w:t>项，科技</w:t>
      </w:r>
      <w:r>
        <w:rPr>
          <w:rFonts w:hint="eastAsia" w:ascii="宋体" w:hAnsi="宋体" w:cs="宋体"/>
          <w:kern w:val="0"/>
          <w:sz w:val="28"/>
          <w:szCs w:val="28"/>
        </w:rPr>
        <w:t>经费347万</w:t>
      </w:r>
      <w:r>
        <w:rPr>
          <w:rFonts w:ascii="宋体" w:hAnsi="宋体" w:cs="宋体"/>
          <w:kern w:val="0"/>
          <w:sz w:val="28"/>
          <w:szCs w:val="28"/>
        </w:rPr>
        <w:t>元。全年取得科技成果</w:t>
      </w:r>
      <w:r>
        <w:rPr>
          <w:rFonts w:hint="eastAsia" w:ascii="宋体" w:hAnsi="宋体" w:cs="宋体"/>
          <w:kern w:val="0"/>
          <w:sz w:val="28"/>
          <w:szCs w:val="28"/>
        </w:rPr>
        <w:t>5</w:t>
      </w:r>
      <w:r>
        <w:rPr>
          <w:rFonts w:ascii="宋体" w:hAnsi="宋体" w:cs="宋体"/>
          <w:kern w:val="0"/>
          <w:sz w:val="28"/>
          <w:szCs w:val="28"/>
        </w:rPr>
        <w:t>项，获得鉴定科技成果</w:t>
      </w:r>
      <w:r>
        <w:rPr>
          <w:rFonts w:hint="eastAsia" w:ascii="宋体" w:hAnsi="宋体" w:cs="宋体"/>
          <w:kern w:val="0"/>
          <w:sz w:val="28"/>
          <w:szCs w:val="28"/>
        </w:rPr>
        <w:t>5</w:t>
      </w:r>
      <w:r>
        <w:rPr>
          <w:rFonts w:ascii="宋体" w:hAnsi="宋体" w:cs="宋体"/>
          <w:kern w:val="0"/>
          <w:sz w:val="28"/>
          <w:szCs w:val="28"/>
        </w:rPr>
        <w:t>项；全年专利申请受理量</w:t>
      </w:r>
      <w:r>
        <w:rPr>
          <w:rFonts w:hint="eastAsia" w:ascii="宋体" w:hAnsi="宋体" w:cs="宋体"/>
          <w:kern w:val="0"/>
          <w:sz w:val="28"/>
          <w:szCs w:val="28"/>
        </w:rPr>
        <w:t>447</w:t>
      </w:r>
      <w:r>
        <w:rPr>
          <w:rFonts w:ascii="宋体" w:hAnsi="宋体" w:cs="宋体"/>
          <w:kern w:val="0"/>
          <w:sz w:val="28"/>
          <w:szCs w:val="28"/>
        </w:rPr>
        <w:t>件，其中发明专利受理</w:t>
      </w:r>
      <w:r>
        <w:rPr>
          <w:rFonts w:hint="eastAsia" w:ascii="宋体" w:hAnsi="宋体" w:cs="宋体"/>
          <w:kern w:val="0"/>
          <w:sz w:val="28"/>
          <w:szCs w:val="28"/>
        </w:rPr>
        <w:t>229</w:t>
      </w:r>
      <w:r>
        <w:rPr>
          <w:rFonts w:ascii="宋体" w:hAnsi="宋体" w:cs="宋体"/>
          <w:kern w:val="0"/>
          <w:sz w:val="28"/>
          <w:szCs w:val="28"/>
        </w:rPr>
        <w:t>项</w:t>
      </w:r>
      <w:r>
        <w:rPr>
          <w:rFonts w:hint="eastAsia" w:ascii="宋体" w:hAnsi="宋体" w:cs="宋体"/>
          <w:kern w:val="0"/>
          <w:sz w:val="28"/>
          <w:szCs w:val="28"/>
        </w:rPr>
        <w:t>，实用新型专利218项，外观专利3项</w:t>
      </w:r>
      <w:r>
        <w:rPr>
          <w:rFonts w:ascii="宋体" w:hAnsi="宋体" w:cs="宋体"/>
          <w:kern w:val="0"/>
          <w:sz w:val="28"/>
          <w:szCs w:val="28"/>
        </w:rPr>
        <w:t>；获得授权专利数</w:t>
      </w:r>
      <w:r>
        <w:rPr>
          <w:rFonts w:hint="eastAsia" w:ascii="宋体" w:hAnsi="宋体" w:cs="宋体"/>
          <w:kern w:val="0"/>
          <w:sz w:val="28"/>
          <w:szCs w:val="28"/>
        </w:rPr>
        <w:t>55</w:t>
      </w:r>
      <w:r>
        <w:rPr>
          <w:rFonts w:ascii="宋体" w:hAnsi="宋体" w:cs="宋体"/>
          <w:kern w:val="0"/>
          <w:sz w:val="28"/>
          <w:szCs w:val="28"/>
        </w:rPr>
        <w:t>项，其中发明专利</w:t>
      </w:r>
      <w:r>
        <w:rPr>
          <w:rFonts w:hint="eastAsia" w:ascii="宋体" w:hAnsi="宋体" w:cs="宋体"/>
          <w:kern w:val="0"/>
          <w:sz w:val="28"/>
          <w:szCs w:val="28"/>
        </w:rPr>
        <w:t>6</w:t>
      </w:r>
      <w:r>
        <w:rPr>
          <w:rFonts w:ascii="宋体" w:hAnsi="宋体" w:cs="宋体"/>
          <w:kern w:val="0"/>
          <w:sz w:val="28"/>
          <w:szCs w:val="28"/>
        </w:rPr>
        <w:t>项，</w:t>
      </w:r>
      <w:r>
        <w:rPr>
          <w:rFonts w:hint="eastAsia" w:ascii="宋体" w:hAnsi="宋体" w:cs="宋体"/>
          <w:kern w:val="0"/>
          <w:sz w:val="28"/>
          <w:szCs w:val="28"/>
        </w:rPr>
        <w:t>实用新型专利48项，外观专利6项。</w:t>
      </w:r>
    </w:p>
    <w:p>
      <w:pPr>
        <w:widowControl/>
        <w:spacing w:line="580" w:lineRule="exact"/>
        <w:ind w:firstLine="658" w:firstLineChars="235"/>
        <w:jc w:val="left"/>
        <w:rPr>
          <w:rFonts w:hint="eastAsia" w:ascii="宋体" w:hAnsi="宋体" w:cs="宋体"/>
          <w:kern w:val="0"/>
          <w:sz w:val="28"/>
          <w:szCs w:val="28"/>
        </w:rPr>
      </w:pPr>
    </w:p>
    <w:p>
      <w:pPr>
        <w:widowControl/>
        <w:spacing w:line="580" w:lineRule="exact"/>
        <w:ind w:firstLine="658" w:firstLineChars="235"/>
        <w:jc w:val="left"/>
        <w:rPr>
          <w:rFonts w:hint="eastAsia" w:ascii="宋体" w:hAnsi="宋体" w:cs="宋体"/>
          <w:kern w:val="0"/>
          <w:sz w:val="28"/>
          <w:szCs w:val="28"/>
        </w:rPr>
      </w:pPr>
    </w:p>
    <w:p>
      <w:pPr>
        <w:widowControl/>
        <w:spacing w:line="580" w:lineRule="exact"/>
        <w:ind w:firstLine="658" w:firstLineChars="235"/>
        <w:jc w:val="left"/>
        <w:rPr>
          <w:rFonts w:hint="eastAsia" w:ascii="宋体" w:hAnsi="宋体" w:cs="宋体"/>
          <w:kern w:val="0"/>
          <w:sz w:val="28"/>
          <w:szCs w:val="28"/>
        </w:rPr>
      </w:pPr>
    </w:p>
    <w:p>
      <w:pPr>
        <w:widowControl/>
        <w:spacing w:line="580" w:lineRule="exact"/>
        <w:ind w:firstLine="658" w:firstLineChars="235"/>
        <w:jc w:val="left"/>
        <w:rPr>
          <w:rFonts w:hint="eastAsia" w:ascii="宋体" w:hAnsi="宋体" w:cs="宋体"/>
          <w:kern w:val="0"/>
          <w:sz w:val="28"/>
          <w:szCs w:val="28"/>
        </w:rPr>
      </w:pPr>
    </w:p>
    <w:tbl>
      <w:tblPr>
        <w:tblStyle w:val="6"/>
        <w:tblW w:w="8176" w:type="dxa"/>
        <w:jc w:val="center"/>
        <w:tblInd w:w="0" w:type="dxa"/>
        <w:tblLayout w:type="fixed"/>
        <w:tblCellMar>
          <w:top w:w="0" w:type="dxa"/>
          <w:left w:w="108" w:type="dxa"/>
          <w:bottom w:w="0" w:type="dxa"/>
          <w:right w:w="108" w:type="dxa"/>
        </w:tblCellMar>
      </w:tblPr>
      <w:tblGrid>
        <w:gridCol w:w="3234"/>
        <w:gridCol w:w="735"/>
        <w:gridCol w:w="1183"/>
        <w:gridCol w:w="1183"/>
        <w:gridCol w:w="1841"/>
      </w:tblGrid>
      <w:tr>
        <w:tblPrEx>
          <w:tblLayout w:type="fixed"/>
          <w:tblCellMar>
            <w:top w:w="0" w:type="dxa"/>
            <w:left w:w="108" w:type="dxa"/>
            <w:bottom w:w="0" w:type="dxa"/>
            <w:right w:w="108" w:type="dxa"/>
          </w:tblCellMar>
        </w:tblPrEx>
        <w:trPr>
          <w:trHeight w:val="615" w:hRule="atLeast"/>
          <w:jc w:val="center"/>
        </w:trPr>
        <w:tc>
          <w:tcPr>
            <w:tcW w:w="8176" w:type="dxa"/>
            <w:gridSpan w:val="5"/>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表8  2014年各类教育发展情况</w:t>
            </w:r>
          </w:p>
        </w:tc>
      </w:tr>
      <w:tr>
        <w:tblPrEx>
          <w:tblLayout w:type="fixed"/>
          <w:tblCellMar>
            <w:top w:w="0" w:type="dxa"/>
            <w:left w:w="108" w:type="dxa"/>
            <w:bottom w:w="0" w:type="dxa"/>
            <w:right w:w="108" w:type="dxa"/>
          </w:tblCellMar>
        </w:tblPrEx>
        <w:trPr>
          <w:trHeight w:val="510" w:hRule="atLeast"/>
          <w:jc w:val="center"/>
        </w:trPr>
        <w:tc>
          <w:tcPr>
            <w:tcW w:w="32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指标名称</w:t>
            </w:r>
          </w:p>
        </w:tc>
        <w:tc>
          <w:tcPr>
            <w:tcW w:w="7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单位</w:t>
            </w:r>
          </w:p>
        </w:tc>
        <w:tc>
          <w:tcPr>
            <w:tcW w:w="11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eastAsia="仿宋_GB2312"/>
                <w:kern w:val="0"/>
                <w:sz w:val="24"/>
              </w:rPr>
            </w:pPr>
            <w:r>
              <w:rPr>
                <w:rFonts w:hint="eastAsia" w:ascii="仿宋_GB2312" w:eastAsia="仿宋_GB2312"/>
                <w:kern w:val="0"/>
                <w:sz w:val="24"/>
              </w:rPr>
              <w:t>2014</w:t>
            </w:r>
            <w:r>
              <w:rPr>
                <w:rFonts w:hint="eastAsia" w:ascii="仿宋_GB2312" w:hAnsi="宋体" w:eastAsia="仿宋_GB2312"/>
                <w:kern w:val="0"/>
                <w:sz w:val="24"/>
              </w:rPr>
              <w:t>年</w:t>
            </w:r>
          </w:p>
        </w:tc>
        <w:tc>
          <w:tcPr>
            <w:tcW w:w="11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eastAsia="仿宋_GB2312"/>
                <w:kern w:val="0"/>
                <w:sz w:val="24"/>
              </w:rPr>
            </w:pPr>
            <w:r>
              <w:rPr>
                <w:rFonts w:hint="eastAsia" w:ascii="仿宋_GB2312" w:eastAsia="仿宋_GB2312"/>
                <w:kern w:val="0"/>
                <w:sz w:val="24"/>
              </w:rPr>
              <w:t>2013</w:t>
            </w:r>
            <w:r>
              <w:rPr>
                <w:rFonts w:hint="eastAsia" w:ascii="仿宋_GB2312" w:hAnsi="宋体" w:eastAsia="仿宋_GB2312"/>
                <w:kern w:val="0"/>
                <w:sz w:val="24"/>
              </w:rPr>
              <w:t>年</w:t>
            </w:r>
          </w:p>
        </w:tc>
        <w:tc>
          <w:tcPr>
            <w:tcW w:w="1841" w:type="dxa"/>
            <w:tcBorders>
              <w:top w:val="single" w:color="auto" w:sz="4" w:space="0"/>
              <w:left w:val="nil"/>
              <w:bottom w:val="single" w:color="auto" w:sz="4" w:space="0"/>
              <w:right w:val="nil"/>
            </w:tcBorders>
            <w:shd w:val="clear" w:color="auto" w:fill="auto"/>
            <w:vAlign w:val="center"/>
          </w:tcPr>
          <w:p>
            <w:pPr>
              <w:widowControl/>
              <w:jc w:val="center"/>
              <w:rPr>
                <w:rFonts w:hint="eastAsia" w:ascii="仿宋_GB2312" w:eastAsia="仿宋_GB2312"/>
                <w:kern w:val="0"/>
                <w:sz w:val="24"/>
              </w:rPr>
            </w:pPr>
            <w:r>
              <w:rPr>
                <w:rFonts w:hint="eastAsia" w:ascii="仿宋_GB2312" w:eastAsia="仿宋_GB2312"/>
                <w:kern w:val="0"/>
                <w:sz w:val="24"/>
              </w:rPr>
              <w:t>2014</w:t>
            </w:r>
            <w:r>
              <w:rPr>
                <w:rFonts w:hint="eastAsia" w:ascii="仿宋_GB2312" w:hAnsi="宋体" w:eastAsia="仿宋_GB2312"/>
                <w:kern w:val="0"/>
                <w:sz w:val="24"/>
              </w:rPr>
              <w:t>年比</w:t>
            </w:r>
            <w:r>
              <w:rPr>
                <w:rFonts w:hint="eastAsia" w:ascii="仿宋_GB2312" w:eastAsia="仿宋_GB2312"/>
                <w:kern w:val="0"/>
                <w:sz w:val="24"/>
              </w:rPr>
              <w:t>2013</w:t>
            </w:r>
            <w:r>
              <w:rPr>
                <w:rFonts w:hint="eastAsia" w:ascii="仿宋_GB2312" w:hAnsi="宋体" w:eastAsia="仿宋_GB2312"/>
                <w:kern w:val="0"/>
                <w:sz w:val="24"/>
              </w:rPr>
              <w:t>年增长</w:t>
            </w:r>
            <w:r>
              <w:rPr>
                <w:rFonts w:hint="eastAsia" w:ascii="仿宋_GB2312" w:eastAsia="仿宋_GB2312"/>
                <w:kern w:val="0"/>
                <w:sz w:val="24"/>
              </w:rPr>
              <w:t>%</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学校数（含教学点）</w:t>
            </w:r>
          </w:p>
        </w:tc>
        <w:tc>
          <w:tcPr>
            <w:tcW w:w="735" w:type="dxa"/>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w:t>
            </w:r>
          </w:p>
        </w:tc>
        <w:tc>
          <w:tcPr>
            <w:tcW w:w="1183" w:type="dxa"/>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36</w:t>
            </w:r>
          </w:p>
        </w:tc>
        <w:tc>
          <w:tcPr>
            <w:tcW w:w="1183" w:type="dxa"/>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35</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2.86%</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普通中学</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33.33%</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小学（含教学点）</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32</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32</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0.00%</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专任教师数</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829</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782</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6.01%</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普通中学</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203</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170</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19.41%</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小学</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626</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612</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2.29%</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在校学生数</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14316</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13448</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6.45%</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普通中学</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3095</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2757</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12.26%</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其中：女生</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1365</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1252</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9.03%</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小学</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11221</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10691</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4.96%</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其中：女生</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4951</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4672</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5.97%</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招生数</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2663</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2688</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-0.93%</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普通中学</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1005</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826</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21.67%</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小学</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2109</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1976</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6.73%</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毕业生数</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2802</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2646</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5.90%</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普通中学</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1196</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1196</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0.00%</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小学</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1525</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1655</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-7.85%</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学龄儿童入学率</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99.54</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99.53</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0.01%</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其中：女童入学率</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99.5</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99.49</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0.01%</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小学毕业生升学率</w:t>
            </w:r>
          </w:p>
        </w:tc>
        <w:tc>
          <w:tcPr>
            <w:tcW w:w="735"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1183" w:type="dxa"/>
            <w:tcBorders>
              <w:top w:val="nil"/>
              <w:left w:val="single" w:color="auto" w:sz="4" w:space="0"/>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99.26</w:t>
            </w:r>
          </w:p>
        </w:tc>
        <w:tc>
          <w:tcPr>
            <w:tcW w:w="1183"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99.25</w:t>
            </w:r>
          </w:p>
        </w:tc>
        <w:tc>
          <w:tcPr>
            <w:tcW w:w="1841" w:type="dxa"/>
            <w:tcBorders>
              <w:top w:val="nil"/>
              <w:left w:val="nil"/>
              <w:bottom w:val="nil"/>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0.01%</w:t>
            </w:r>
          </w:p>
        </w:tc>
      </w:tr>
      <w:tr>
        <w:tblPrEx>
          <w:tblLayout w:type="fixed"/>
          <w:tblCellMar>
            <w:top w:w="0" w:type="dxa"/>
            <w:left w:w="108" w:type="dxa"/>
            <w:bottom w:w="0" w:type="dxa"/>
            <w:right w:w="108" w:type="dxa"/>
          </w:tblCellMar>
        </w:tblPrEx>
        <w:trPr>
          <w:trHeight w:val="454" w:hRule="atLeast"/>
          <w:jc w:val="center"/>
        </w:trPr>
        <w:tc>
          <w:tcPr>
            <w:tcW w:w="323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初中毕业生升学率</w:t>
            </w: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89.4</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89.39</w:t>
            </w:r>
          </w:p>
        </w:tc>
        <w:tc>
          <w:tcPr>
            <w:tcW w:w="1841" w:type="dxa"/>
            <w:tcBorders>
              <w:top w:val="nil"/>
              <w:left w:val="nil"/>
              <w:bottom w:val="single" w:color="auto" w:sz="4" w:space="0"/>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0.01%</w:t>
            </w:r>
          </w:p>
        </w:tc>
      </w:tr>
    </w:tbl>
    <w:p>
      <w:pPr>
        <w:widowControl/>
        <w:spacing w:line="400" w:lineRule="exact"/>
        <w:ind w:firstLine="658" w:firstLineChars="235"/>
        <w:jc w:val="left"/>
        <w:rPr>
          <w:rFonts w:hint="eastAsia" w:ascii="宋体" w:hAnsi="宋体" w:cs="宋体"/>
          <w:kern w:val="0"/>
          <w:sz w:val="28"/>
          <w:szCs w:val="28"/>
        </w:rPr>
      </w:pPr>
    </w:p>
    <w:p>
      <w:pPr>
        <w:widowControl/>
        <w:spacing w:beforeLines="50" w:afterLines="50" w:line="600" w:lineRule="exact"/>
        <w:jc w:val="center"/>
        <w:rPr>
          <w:rFonts w:hint="eastAsia" w:ascii="宋体" w:hAnsi="宋体" w:cs="宋体"/>
          <w:b/>
          <w:kern w:val="0"/>
          <w:sz w:val="28"/>
          <w:szCs w:val="28"/>
        </w:rPr>
      </w:pPr>
    </w:p>
    <w:p>
      <w:pPr>
        <w:widowControl/>
        <w:spacing w:beforeLines="50" w:afterLines="50" w:line="600" w:lineRule="exact"/>
        <w:jc w:val="center"/>
        <w:rPr>
          <w:rFonts w:hint="eastAsia" w:ascii="宋体" w:hAnsi="宋体" w:cs="宋体"/>
          <w:b/>
          <w:kern w:val="0"/>
          <w:sz w:val="28"/>
          <w:szCs w:val="28"/>
        </w:rPr>
      </w:pPr>
      <w:r>
        <w:rPr>
          <w:rFonts w:hint="eastAsia" w:ascii="宋体" w:hAnsi="宋体" w:cs="宋体"/>
          <w:b/>
          <w:kern w:val="0"/>
          <w:sz w:val="28"/>
          <w:szCs w:val="28"/>
        </w:rPr>
        <w:t>十、文化和卫生</w:t>
      </w:r>
    </w:p>
    <w:p>
      <w:pPr>
        <w:widowControl/>
        <w:spacing w:line="600" w:lineRule="exact"/>
        <w:ind w:firstLine="560" w:firstLineChars="200"/>
        <w:rPr>
          <w:rFonts w:ascii="宋体" w:hAnsi="宋体" w:cs="宋体"/>
          <w:kern w:val="0"/>
          <w:sz w:val="28"/>
          <w:szCs w:val="28"/>
        </w:rPr>
      </w:pPr>
      <w:r>
        <w:rPr>
          <w:rFonts w:ascii="宋体" w:hAnsi="宋体" w:cs="宋体"/>
          <w:kern w:val="0"/>
          <w:sz w:val="28"/>
          <w:szCs w:val="28"/>
        </w:rPr>
        <w:t>全</w:t>
      </w:r>
      <w:r>
        <w:rPr>
          <w:rFonts w:hint="eastAsia" w:ascii="宋体" w:hAnsi="宋体" w:cs="宋体"/>
          <w:kern w:val="0"/>
          <w:sz w:val="28"/>
          <w:szCs w:val="28"/>
        </w:rPr>
        <w:t>区</w:t>
      </w:r>
      <w:r>
        <w:rPr>
          <w:rFonts w:ascii="宋体" w:hAnsi="宋体" w:cs="宋体"/>
          <w:kern w:val="0"/>
          <w:sz w:val="28"/>
          <w:szCs w:val="28"/>
        </w:rPr>
        <w:t>有</w:t>
      </w:r>
      <w:r>
        <w:rPr>
          <w:rFonts w:hint="eastAsia" w:ascii="宋体" w:hAnsi="宋体" w:cs="宋体"/>
          <w:kern w:val="0"/>
          <w:sz w:val="28"/>
          <w:szCs w:val="28"/>
        </w:rPr>
        <w:t>区</w:t>
      </w:r>
      <w:r>
        <w:rPr>
          <w:rFonts w:ascii="宋体" w:hAnsi="宋体" w:cs="宋体"/>
          <w:kern w:val="0"/>
          <w:sz w:val="28"/>
          <w:szCs w:val="28"/>
        </w:rPr>
        <w:t>级文化馆</w:t>
      </w:r>
      <w:r>
        <w:rPr>
          <w:rFonts w:hint="eastAsia" w:ascii="宋体" w:hAnsi="宋体" w:cs="宋体"/>
          <w:kern w:val="0"/>
          <w:sz w:val="28"/>
          <w:szCs w:val="28"/>
        </w:rPr>
        <w:t>1个，</w:t>
      </w:r>
      <w:r>
        <w:rPr>
          <w:rFonts w:ascii="宋体" w:hAnsi="宋体" w:cs="宋体"/>
          <w:kern w:val="0"/>
          <w:sz w:val="28"/>
          <w:szCs w:val="28"/>
        </w:rPr>
        <w:t>电影发行放映单位</w:t>
      </w:r>
      <w:r>
        <w:rPr>
          <w:rFonts w:hint="eastAsia" w:ascii="宋体" w:hAnsi="宋体" w:cs="宋体"/>
          <w:kern w:val="0"/>
          <w:sz w:val="28"/>
          <w:szCs w:val="28"/>
        </w:rPr>
        <w:t>3</w:t>
      </w:r>
      <w:r>
        <w:rPr>
          <w:rFonts w:ascii="宋体" w:hAnsi="宋体" w:cs="宋体"/>
          <w:kern w:val="0"/>
          <w:sz w:val="28"/>
          <w:szCs w:val="28"/>
        </w:rPr>
        <w:t>个，乡级广播电视站</w:t>
      </w:r>
      <w:r>
        <w:rPr>
          <w:rFonts w:hint="eastAsia" w:ascii="宋体" w:hAnsi="宋体" w:cs="宋体"/>
          <w:kern w:val="0"/>
          <w:sz w:val="28"/>
          <w:szCs w:val="28"/>
        </w:rPr>
        <w:t>3</w:t>
      </w:r>
      <w:r>
        <w:rPr>
          <w:rFonts w:ascii="宋体" w:hAnsi="宋体" w:cs="宋体"/>
          <w:kern w:val="0"/>
          <w:sz w:val="28"/>
          <w:szCs w:val="28"/>
        </w:rPr>
        <w:t>个，农家书屋</w:t>
      </w:r>
      <w:r>
        <w:rPr>
          <w:rFonts w:hint="eastAsia" w:ascii="宋体" w:hAnsi="宋体" w:cs="宋体"/>
          <w:kern w:val="0"/>
          <w:sz w:val="28"/>
          <w:szCs w:val="28"/>
        </w:rPr>
        <w:t>32</w:t>
      </w:r>
      <w:r>
        <w:rPr>
          <w:rFonts w:ascii="宋体" w:hAnsi="宋体" w:cs="宋体"/>
          <w:kern w:val="0"/>
          <w:sz w:val="28"/>
          <w:szCs w:val="28"/>
        </w:rPr>
        <w:t>个，互联网上网服务营业场所（网吧）</w:t>
      </w:r>
      <w:r>
        <w:rPr>
          <w:rFonts w:hint="eastAsia" w:ascii="宋体" w:hAnsi="宋体" w:cs="宋体"/>
          <w:kern w:val="0"/>
          <w:sz w:val="28"/>
          <w:szCs w:val="28"/>
        </w:rPr>
        <w:t>39</w:t>
      </w:r>
      <w:r>
        <w:rPr>
          <w:rFonts w:ascii="宋体" w:hAnsi="宋体" w:cs="宋体"/>
          <w:kern w:val="0"/>
          <w:sz w:val="28"/>
          <w:szCs w:val="28"/>
        </w:rPr>
        <w:t>个。村级公共服务中心</w:t>
      </w:r>
      <w:r>
        <w:rPr>
          <w:rFonts w:hint="eastAsia" w:ascii="宋体" w:hAnsi="宋体" w:cs="宋体"/>
          <w:kern w:val="0"/>
          <w:sz w:val="28"/>
          <w:szCs w:val="28"/>
        </w:rPr>
        <w:t>26</w:t>
      </w:r>
      <w:r>
        <w:rPr>
          <w:rFonts w:ascii="宋体" w:hAnsi="宋体" w:cs="宋体"/>
          <w:kern w:val="0"/>
          <w:sz w:val="28"/>
          <w:szCs w:val="28"/>
        </w:rPr>
        <w:t>个</w:t>
      </w:r>
      <w:r>
        <w:rPr>
          <w:rFonts w:hint="eastAsia" w:ascii="宋体" w:hAnsi="宋体" w:cs="宋体"/>
          <w:kern w:val="0"/>
          <w:sz w:val="28"/>
          <w:szCs w:val="28"/>
        </w:rPr>
        <w:t>，</w:t>
      </w:r>
      <w:r>
        <w:rPr>
          <w:rFonts w:ascii="宋体" w:hAnsi="宋体" w:cs="宋体"/>
          <w:kern w:val="0"/>
          <w:sz w:val="28"/>
          <w:szCs w:val="28"/>
        </w:rPr>
        <w:t>村级篮球场</w:t>
      </w:r>
      <w:r>
        <w:rPr>
          <w:rFonts w:hint="eastAsia" w:ascii="宋体" w:hAnsi="宋体" w:cs="宋体"/>
          <w:kern w:val="0"/>
          <w:sz w:val="28"/>
          <w:szCs w:val="28"/>
        </w:rPr>
        <w:t>47个</w:t>
      </w:r>
      <w:r>
        <w:rPr>
          <w:rFonts w:ascii="宋体" w:hAnsi="宋体" w:cs="宋体"/>
          <w:kern w:val="0"/>
          <w:sz w:val="28"/>
          <w:szCs w:val="28"/>
        </w:rPr>
        <w:t>。年末全</w:t>
      </w:r>
      <w:r>
        <w:rPr>
          <w:rFonts w:hint="eastAsia" w:ascii="宋体" w:hAnsi="宋体" w:cs="宋体"/>
          <w:kern w:val="0"/>
          <w:sz w:val="28"/>
          <w:szCs w:val="28"/>
        </w:rPr>
        <w:t>区</w:t>
      </w:r>
      <w:r>
        <w:rPr>
          <w:rFonts w:ascii="宋体" w:hAnsi="宋体" w:cs="宋体"/>
          <w:kern w:val="0"/>
          <w:sz w:val="28"/>
          <w:szCs w:val="28"/>
        </w:rPr>
        <w:t>广播节目综合人口覆盖率为</w:t>
      </w:r>
      <w:r>
        <w:rPr>
          <w:rFonts w:hint="eastAsia" w:ascii="宋体" w:hAnsi="宋体" w:cs="宋体"/>
          <w:kern w:val="0"/>
          <w:sz w:val="28"/>
          <w:szCs w:val="28"/>
        </w:rPr>
        <w:t>93.8</w:t>
      </w:r>
      <w:r>
        <w:rPr>
          <w:rFonts w:ascii="宋体" w:hAnsi="宋体" w:cs="宋体"/>
          <w:kern w:val="0"/>
          <w:sz w:val="28"/>
          <w:szCs w:val="28"/>
        </w:rPr>
        <w:t>%，电视节目综合人口覆盖率为</w:t>
      </w:r>
      <w:r>
        <w:rPr>
          <w:rFonts w:hint="eastAsia" w:ascii="宋体" w:hAnsi="宋体" w:cs="宋体"/>
          <w:kern w:val="0"/>
          <w:sz w:val="28"/>
          <w:szCs w:val="28"/>
        </w:rPr>
        <w:t>91.6</w:t>
      </w:r>
      <w:r>
        <w:rPr>
          <w:rFonts w:ascii="宋体" w:hAnsi="宋体" w:cs="宋体"/>
          <w:kern w:val="0"/>
          <w:sz w:val="28"/>
          <w:szCs w:val="28"/>
        </w:rPr>
        <w:t>%。</w:t>
      </w:r>
      <w:r>
        <w:rPr>
          <w:rFonts w:hint="eastAsia" w:ascii="宋体" w:hAnsi="宋体" w:cs="宋体"/>
          <w:kern w:val="0"/>
          <w:sz w:val="28"/>
          <w:szCs w:val="28"/>
        </w:rPr>
        <w:t>电视台累计播出新闻突破240条，增长4.8%；报纸累计播发新闻突破1121条；新闻制作146期。</w:t>
      </w:r>
    </w:p>
    <w:p>
      <w:pPr>
        <w:widowControl/>
        <w:spacing w:line="600" w:lineRule="exact"/>
        <w:ind w:firstLine="560" w:firstLineChars="200"/>
        <w:rPr>
          <w:rFonts w:ascii="宋体" w:hAnsi="宋体" w:cs="宋体"/>
          <w:kern w:val="0"/>
          <w:sz w:val="28"/>
          <w:szCs w:val="28"/>
        </w:rPr>
      </w:pPr>
      <w:r>
        <w:rPr>
          <w:rFonts w:ascii="宋体" w:hAnsi="宋体" w:cs="宋体"/>
          <w:kern w:val="0"/>
          <w:sz w:val="28"/>
          <w:szCs w:val="28"/>
        </w:rPr>
        <w:t>截止年末，全</w:t>
      </w:r>
      <w:r>
        <w:rPr>
          <w:rFonts w:hint="eastAsia" w:ascii="宋体" w:hAnsi="宋体" w:cs="宋体"/>
          <w:kern w:val="0"/>
          <w:sz w:val="28"/>
          <w:szCs w:val="28"/>
        </w:rPr>
        <w:t>区</w:t>
      </w:r>
      <w:r>
        <w:rPr>
          <w:rFonts w:ascii="宋体" w:hAnsi="宋体" w:cs="宋体"/>
          <w:kern w:val="0"/>
          <w:sz w:val="28"/>
          <w:szCs w:val="28"/>
        </w:rPr>
        <w:t>列入市级非物质文化遗产保护名录项目有</w:t>
      </w:r>
      <w:r>
        <w:rPr>
          <w:rFonts w:hint="eastAsia" w:ascii="宋体" w:hAnsi="宋体" w:cs="宋体"/>
          <w:kern w:val="0"/>
          <w:sz w:val="28"/>
          <w:szCs w:val="28"/>
        </w:rPr>
        <w:t>2</w:t>
      </w:r>
      <w:r>
        <w:rPr>
          <w:rFonts w:ascii="宋体" w:hAnsi="宋体" w:cs="宋体"/>
          <w:kern w:val="0"/>
          <w:sz w:val="28"/>
          <w:szCs w:val="28"/>
        </w:rPr>
        <w:t>个</w:t>
      </w:r>
      <w:r>
        <w:rPr>
          <w:rFonts w:hint="eastAsia" w:ascii="宋体" w:hAnsi="宋体" w:cs="宋体"/>
          <w:kern w:val="0"/>
          <w:sz w:val="28"/>
          <w:szCs w:val="28"/>
        </w:rPr>
        <w:t xml:space="preserve"> </w:t>
      </w:r>
      <w:r>
        <w:rPr>
          <w:rFonts w:ascii="宋体" w:hAnsi="宋体" w:cs="宋体"/>
          <w:kern w:val="0"/>
          <w:sz w:val="28"/>
          <w:szCs w:val="28"/>
        </w:rPr>
        <w:t>。</w:t>
      </w:r>
    </w:p>
    <w:p>
      <w:pPr>
        <w:widowControl/>
        <w:spacing w:line="600" w:lineRule="exact"/>
        <w:ind w:firstLine="560" w:firstLineChars="200"/>
        <w:rPr>
          <w:rFonts w:hint="eastAsia" w:ascii="宋体" w:hAnsi="宋体" w:cs="宋体"/>
          <w:kern w:val="0"/>
          <w:sz w:val="28"/>
          <w:szCs w:val="28"/>
        </w:rPr>
      </w:pPr>
      <w:r>
        <w:rPr>
          <w:rFonts w:ascii="宋体" w:hAnsi="宋体" w:cs="宋体"/>
          <w:kern w:val="0"/>
          <w:sz w:val="28"/>
          <w:szCs w:val="28"/>
        </w:rPr>
        <w:t>年内成功承办的重大活动有：</w:t>
      </w:r>
      <w:r>
        <w:rPr>
          <w:rFonts w:hint="eastAsia" w:ascii="宋体" w:hAnsi="宋体" w:cs="宋体"/>
          <w:kern w:val="0"/>
          <w:sz w:val="28"/>
          <w:szCs w:val="28"/>
        </w:rPr>
        <w:t>2014年防城港市海上龙舟赛；首届皮划艇全国邀请赛；2014年港口区疍家嗨海民俗活动。</w:t>
      </w:r>
    </w:p>
    <w:p>
      <w:pPr>
        <w:widowControl/>
        <w:spacing w:line="600" w:lineRule="exact"/>
        <w:ind w:firstLine="560" w:firstLineChars="200"/>
        <w:rPr>
          <w:rFonts w:ascii="宋体" w:hAnsi="宋体" w:cs="宋体"/>
          <w:kern w:val="0"/>
          <w:sz w:val="28"/>
          <w:szCs w:val="28"/>
        </w:rPr>
      </w:pPr>
      <w:r>
        <w:rPr>
          <w:rFonts w:ascii="宋体" w:hAnsi="宋体" w:cs="宋体"/>
          <w:kern w:val="0"/>
          <w:sz w:val="28"/>
          <w:szCs w:val="28"/>
        </w:rPr>
        <w:t>年末全区拥有</w:t>
      </w:r>
      <w:r>
        <w:rPr>
          <w:rFonts w:hint="eastAsia" w:ascii="宋体" w:hAnsi="宋体" w:cs="宋体"/>
          <w:kern w:val="0"/>
          <w:sz w:val="28"/>
          <w:szCs w:val="28"/>
        </w:rPr>
        <w:t>医疗卫生机构94个（含个体），其中，</w:t>
      </w:r>
      <w:r>
        <w:rPr>
          <w:rFonts w:ascii="宋体" w:hAnsi="宋体" w:cs="宋体"/>
          <w:kern w:val="0"/>
          <w:sz w:val="28"/>
          <w:szCs w:val="28"/>
        </w:rPr>
        <w:t>综合性医院</w:t>
      </w:r>
      <w:r>
        <w:rPr>
          <w:rFonts w:hint="eastAsia" w:ascii="宋体" w:hAnsi="宋体" w:cs="宋体"/>
          <w:kern w:val="0"/>
          <w:sz w:val="28"/>
          <w:szCs w:val="28"/>
        </w:rPr>
        <w:t>1</w:t>
      </w:r>
      <w:r>
        <w:rPr>
          <w:rFonts w:ascii="宋体" w:hAnsi="宋体" w:cs="宋体"/>
          <w:kern w:val="0"/>
          <w:sz w:val="28"/>
          <w:szCs w:val="28"/>
        </w:rPr>
        <w:t>个，</w:t>
      </w:r>
      <w:r>
        <w:rPr>
          <w:rFonts w:hint="eastAsia" w:ascii="宋体" w:hAnsi="宋体" w:cs="宋体"/>
          <w:kern w:val="0"/>
          <w:sz w:val="28"/>
          <w:szCs w:val="28"/>
        </w:rPr>
        <w:t>疾病预防控制中心1</w:t>
      </w:r>
      <w:r>
        <w:rPr>
          <w:rFonts w:ascii="宋体" w:hAnsi="宋体" w:cs="宋体"/>
          <w:kern w:val="0"/>
          <w:sz w:val="28"/>
          <w:szCs w:val="28"/>
        </w:rPr>
        <w:t>个，乡镇卫生院</w:t>
      </w:r>
      <w:r>
        <w:rPr>
          <w:rFonts w:hint="eastAsia" w:ascii="宋体" w:hAnsi="宋体" w:cs="宋体"/>
          <w:kern w:val="0"/>
          <w:sz w:val="28"/>
          <w:szCs w:val="28"/>
        </w:rPr>
        <w:t>3</w:t>
      </w:r>
      <w:r>
        <w:rPr>
          <w:rFonts w:ascii="宋体" w:hAnsi="宋体" w:cs="宋体"/>
          <w:kern w:val="0"/>
          <w:sz w:val="28"/>
          <w:szCs w:val="28"/>
        </w:rPr>
        <w:t>个，行政村卫生室</w:t>
      </w:r>
      <w:r>
        <w:rPr>
          <w:rFonts w:hint="eastAsia" w:ascii="宋体" w:hAnsi="宋体" w:cs="宋体"/>
          <w:kern w:val="0"/>
          <w:sz w:val="28"/>
          <w:szCs w:val="28"/>
        </w:rPr>
        <w:t>23</w:t>
      </w:r>
      <w:r>
        <w:rPr>
          <w:rFonts w:ascii="宋体" w:hAnsi="宋体" w:cs="宋体"/>
          <w:kern w:val="0"/>
          <w:sz w:val="28"/>
          <w:szCs w:val="28"/>
        </w:rPr>
        <w:t>个。 全区共有卫生技术人员</w:t>
      </w:r>
      <w:r>
        <w:rPr>
          <w:rFonts w:hint="eastAsia" w:ascii="宋体" w:hAnsi="宋体" w:cs="宋体"/>
          <w:kern w:val="0"/>
          <w:sz w:val="28"/>
          <w:szCs w:val="28"/>
        </w:rPr>
        <w:t>383</w:t>
      </w:r>
      <w:r>
        <w:rPr>
          <w:rFonts w:ascii="宋体" w:hAnsi="宋体" w:cs="宋体"/>
          <w:kern w:val="0"/>
          <w:sz w:val="28"/>
          <w:szCs w:val="28"/>
        </w:rPr>
        <w:t>人，其中执业医师和执业助理医师</w:t>
      </w:r>
      <w:r>
        <w:rPr>
          <w:rFonts w:hint="eastAsia" w:ascii="宋体" w:hAnsi="宋体" w:cs="宋体"/>
          <w:kern w:val="0"/>
          <w:sz w:val="28"/>
          <w:szCs w:val="28"/>
        </w:rPr>
        <w:t>82</w:t>
      </w:r>
      <w:r>
        <w:rPr>
          <w:rFonts w:ascii="宋体" w:hAnsi="宋体" w:cs="宋体"/>
          <w:kern w:val="0"/>
          <w:sz w:val="28"/>
          <w:szCs w:val="28"/>
        </w:rPr>
        <w:t>人，注册护士</w:t>
      </w:r>
      <w:r>
        <w:rPr>
          <w:rFonts w:hint="eastAsia" w:ascii="宋体" w:hAnsi="宋体" w:cs="宋体"/>
          <w:kern w:val="0"/>
          <w:sz w:val="28"/>
          <w:szCs w:val="28"/>
        </w:rPr>
        <w:t>121</w:t>
      </w:r>
      <w:r>
        <w:rPr>
          <w:rFonts w:ascii="宋体" w:hAnsi="宋体" w:cs="宋体"/>
          <w:kern w:val="0"/>
          <w:sz w:val="28"/>
          <w:szCs w:val="28"/>
        </w:rPr>
        <w:t>人。全区医疗卫生机构床位</w:t>
      </w:r>
      <w:r>
        <w:rPr>
          <w:rFonts w:hint="eastAsia" w:ascii="宋体" w:hAnsi="宋体" w:cs="宋体"/>
          <w:kern w:val="0"/>
          <w:sz w:val="28"/>
          <w:szCs w:val="28"/>
        </w:rPr>
        <w:t>274</w:t>
      </w:r>
      <w:r>
        <w:rPr>
          <w:rFonts w:ascii="宋体" w:hAnsi="宋体" w:cs="宋体"/>
          <w:kern w:val="0"/>
          <w:sz w:val="28"/>
          <w:szCs w:val="28"/>
        </w:rPr>
        <w:t>张。</w:t>
      </w:r>
    </w:p>
    <w:p>
      <w:pPr>
        <w:widowControl/>
        <w:spacing w:beforeLines="100" w:afterLines="50" w:line="600" w:lineRule="exact"/>
        <w:ind w:firstLine="562" w:firstLineChars="200"/>
        <w:jc w:val="center"/>
        <w:rPr>
          <w:rFonts w:hint="eastAsia" w:ascii="宋体" w:hAnsi="宋体" w:cs="宋体"/>
          <w:b/>
          <w:kern w:val="0"/>
          <w:sz w:val="28"/>
          <w:szCs w:val="28"/>
        </w:rPr>
      </w:pPr>
      <w:r>
        <w:rPr>
          <w:rFonts w:hint="eastAsia" w:ascii="宋体" w:hAnsi="宋体" w:cs="宋体"/>
          <w:b/>
          <w:kern w:val="0"/>
          <w:sz w:val="28"/>
          <w:szCs w:val="28"/>
        </w:rPr>
        <w:t>十一、人口、人民生活和社会保障</w:t>
      </w:r>
    </w:p>
    <w:p>
      <w:pPr>
        <w:tabs>
          <w:tab w:val="left" w:pos="0"/>
        </w:tabs>
        <w:snapToGrid w:val="0"/>
        <w:spacing w:line="600" w:lineRule="exact"/>
        <w:ind w:firstLine="560" w:firstLineChars="200"/>
        <w:rPr>
          <w:rFonts w:hint="eastAsia" w:ascii="宋体" w:hAnsi="宋体" w:cs="宋体"/>
          <w:kern w:val="0"/>
          <w:sz w:val="28"/>
          <w:szCs w:val="28"/>
        </w:rPr>
      </w:pPr>
      <w:r>
        <w:rPr>
          <w:rFonts w:hint="eastAsia" w:ascii="宋体" w:hAnsi="宋体" w:cs="宋体"/>
          <w:kern w:val="0"/>
          <w:sz w:val="28"/>
          <w:szCs w:val="28"/>
        </w:rPr>
        <w:t>年末常住人口16.54万人，比上年末增加0.2万人，</w:t>
      </w:r>
      <w:r>
        <w:rPr>
          <w:rFonts w:ascii="宋体" w:hAnsi="宋体" w:cs="宋体"/>
          <w:kern w:val="0"/>
          <w:sz w:val="28"/>
          <w:szCs w:val="28"/>
        </w:rPr>
        <w:t>其中城镇人口</w:t>
      </w:r>
      <w:r>
        <w:rPr>
          <w:rFonts w:hint="eastAsia" w:ascii="宋体" w:hAnsi="宋体" w:cs="宋体"/>
          <w:kern w:val="0"/>
          <w:sz w:val="28"/>
          <w:szCs w:val="28"/>
        </w:rPr>
        <w:t>13.31</w:t>
      </w:r>
      <w:r>
        <w:rPr>
          <w:rFonts w:ascii="宋体" w:hAnsi="宋体" w:cs="宋体"/>
          <w:kern w:val="0"/>
          <w:sz w:val="28"/>
          <w:szCs w:val="28"/>
        </w:rPr>
        <w:t>万人</w:t>
      </w:r>
      <w:r>
        <w:rPr>
          <w:rFonts w:hint="eastAsia" w:ascii="宋体" w:hAnsi="宋体" w:cs="宋体"/>
          <w:kern w:val="0"/>
          <w:sz w:val="28"/>
          <w:szCs w:val="28"/>
        </w:rPr>
        <w:t>。</w:t>
      </w:r>
      <w:r>
        <w:rPr>
          <w:rFonts w:ascii="宋体" w:hAnsi="宋体" w:cs="宋体"/>
          <w:kern w:val="0"/>
          <w:sz w:val="28"/>
          <w:szCs w:val="28"/>
        </w:rPr>
        <w:t>据公安部门统计，年末全</w:t>
      </w:r>
      <w:r>
        <w:rPr>
          <w:rFonts w:hint="eastAsia" w:ascii="宋体" w:hAnsi="宋体" w:cs="宋体"/>
          <w:kern w:val="0"/>
          <w:sz w:val="28"/>
          <w:szCs w:val="28"/>
        </w:rPr>
        <w:t>区</w:t>
      </w:r>
      <w:r>
        <w:rPr>
          <w:rFonts w:ascii="宋体" w:hAnsi="宋体" w:cs="宋体"/>
          <w:kern w:val="0"/>
          <w:sz w:val="28"/>
          <w:szCs w:val="28"/>
        </w:rPr>
        <w:t>户籍人口</w:t>
      </w:r>
      <w:r>
        <w:rPr>
          <w:rFonts w:hint="eastAsia" w:ascii="宋体" w:hAnsi="宋体" w:cs="宋体"/>
          <w:kern w:val="0"/>
          <w:sz w:val="28"/>
          <w:szCs w:val="28"/>
        </w:rPr>
        <w:t>13.32</w:t>
      </w:r>
      <w:r>
        <w:rPr>
          <w:rFonts w:ascii="宋体" w:hAnsi="宋体" w:cs="宋体"/>
          <w:kern w:val="0"/>
          <w:sz w:val="28"/>
          <w:szCs w:val="28"/>
        </w:rPr>
        <w:t>万人，比上年末增加</w:t>
      </w:r>
      <w:r>
        <w:rPr>
          <w:rFonts w:hint="eastAsia" w:ascii="宋体" w:hAnsi="宋体" w:cs="宋体"/>
          <w:kern w:val="0"/>
          <w:sz w:val="28"/>
          <w:szCs w:val="28"/>
        </w:rPr>
        <w:t>0.18</w:t>
      </w:r>
      <w:r>
        <w:rPr>
          <w:rFonts w:ascii="宋体" w:hAnsi="宋体" w:cs="宋体"/>
          <w:kern w:val="0"/>
          <w:sz w:val="28"/>
          <w:szCs w:val="28"/>
        </w:rPr>
        <w:t>万人。</w:t>
      </w:r>
      <w:r>
        <w:rPr>
          <w:rFonts w:hint="eastAsia" w:ascii="宋体" w:hAnsi="宋体" w:cs="宋体"/>
          <w:kern w:val="0"/>
          <w:sz w:val="28"/>
          <w:szCs w:val="28"/>
        </w:rPr>
        <w:t>据计生部门统计，全年出生人口1884人，出生率为11.7‰；死亡人口353人，死亡率为2.2‰；自然增长率为9.7‰。</w:t>
      </w:r>
    </w:p>
    <w:p>
      <w:pPr>
        <w:tabs>
          <w:tab w:val="left" w:pos="0"/>
        </w:tabs>
        <w:snapToGrid w:val="0"/>
        <w:spacing w:line="600" w:lineRule="exact"/>
        <w:ind w:firstLine="560" w:firstLineChars="200"/>
        <w:rPr>
          <w:rFonts w:hint="eastAsia" w:ascii="宋体" w:hAnsi="宋体" w:cs="宋体"/>
          <w:kern w:val="0"/>
          <w:sz w:val="28"/>
          <w:szCs w:val="28"/>
        </w:rPr>
      </w:pPr>
    </w:p>
    <w:p>
      <w:pPr>
        <w:tabs>
          <w:tab w:val="left" w:pos="0"/>
        </w:tabs>
        <w:snapToGrid w:val="0"/>
        <w:spacing w:line="600" w:lineRule="exact"/>
        <w:ind w:firstLine="560" w:firstLineChars="200"/>
        <w:rPr>
          <w:rFonts w:hint="eastAsia" w:ascii="宋体" w:hAnsi="宋体" w:cs="宋体"/>
          <w:kern w:val="0"/>
          <w:sz w:val="28"/>
          <w:szCs w:val="28"/>
        </w:rPr>
      </w:pPr>
    </w:p>
    <w:tbl>
      <w:tblPr>
        <w:tblStyle w:val="6"/>
        <w:tblW w:w="7740" w:type="dxa"/>
        <w:tblInd w:w="648" w:type="dxa"/>
        <w:tblLayout w:type="fixed"/>
        <w:tblCellMar>
          <w:top w:w="0" w:type="dxa"/>
          <w:left w:w="108" w:type="dxa"/>
          <w:bottom w:w="0" w:type="dxa"/>
          <w:right w:w="108" w:type="dxa"/>
        </w:tblCellMar>
      </w:tblPr>
      <w:tblGrid>
        <w:gridCol w:w="3600"/>
        <w:gridCol w:w="1980"/>
        <w:gridCol w:w="2160"/>
      </w:tblGrid>
      <w:tr>
        <w:tblPrEx>
          <w:tblLayout w:type="fixed"/>
          <w:tblCellMar>
            <w:top w:w="0" w:type="dxa"/>
            <w:left w:w="108" w:type="dxa"/>
            <w:bottom w:w="0" w:type="dxa"/>
            <w:right w:w="108" w:type="dxa"/>
          </w:tblCellMar>
        </w:tblPrEx>
        <w:trPr>
          <w:trHeight w:val="570" w:hRule="atLeast"/>
        </w:trPr>
        <w:tc>
          <w:tcPr>
            <w:tcW w:w="7740" w:type="dxa"/>
            <w:gridSpan w:val="3"/>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表9  2014年户籍人口数及其构成</w:t>
            </w:r>
          </w:p>
        </w:tc>
      </w:tr>
      <w:tr>
        <w:tblPrEx>
          <w:tblLayout w:type="fixed"/>
          <w:tblCellMar>
            <w:top w:w="0" w:type="dxa"/>
            <w:left w:w="108" w:type="dxa"/>
            <w:bottom w:w="0" w:type="dxa"/>
            <w:right w:w="108" w:type="dxa"/>
          </w:tblCellMar>
        </w:tblPrEx>
        <w:trPr>
          <w:trHeight w:val="454" w:hRule="atLeast"/>
        </w:trPr>
        <w:tc>
          <w:tcPr>
            <w:tcW w:w="36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指标</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年末数（万人）</w:t>
            </w:r>
          </w:p>
        </w:tc>
        <w:tc>
          <w:tcPr>
            <w:tcW w:w="2160" w:type="dxa"/>
            <w:tcBorders>
              <w:top w:val="single" w:color="auto" w:sz="4" w:space="0"/>
              <w:left w:val="nil"/>
              <w:bottom w:val="single" w:color="auto" w:sz="4" w:space="0"/>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比重（%）</w:t>
            </w:r>
          </w:p>
        </w:tc>
      </w:tr>
      <w:tr>
        <w:tblPrEx>
          <w:tblLayout w:type="fixed"/>
          <w:tblCellMar>
            <w:top w:w="0" w:type="dxa"/>
            <w:left w:w="108" w:type="dxa"/>
            <w:bottom w:w="0" w:type="dxa"/>
            <w:right w:w="108" w:type="dxa"/>
          </w:tblCellMar>
        </w:tblPrEx>
        <w:trPr>
          <w:trHeight w:val="454" w:hRule="atLeast"/>
        </w:trPr>
        <w:tc>
          <w:tcPr>
            <w:tcW w:w="3600"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全区总人口</w:t>
            </w:r>
          </w:p>
        </w:tc>
        <w:tc>
          <w:tcPr>
            <w:tcW w:w="1980"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13.32 </w:t>
            </w:r>
          </w:p>
        </w:tc>
        <w:tc>
          <w:tcPr>
            <w:tcW w:w="21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100.0 </w:t>
            </w:r>
          </w:p>
        </w:tc>
      </w:tr>
      <w:tr>
        <w:tblPrEx>
          <w:tblLayout w:type="fixed"/>
          <w:tblCellMar>
            <w:top w:w="0" w:type="dxa"/>
            <w:left w:w="108" w:type="dxa"/>
            <w:bottom w:w="0" w:type="dxa"/>
            <w:right w:w="108" w:type="dxa"/>
          </w:tblCellMar>
        </w:tblPrEx>
        <w:trPr>
          <w:trHeight w:val="454" w:hRule="atLeast"/>
        </w:trPr>
        <w:tc>
          <w:tcPr>
            <w:tcW w:w="360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其中：男性</w:t>
            </w:r>
          </w:p>
        </w:tc>
        <w:tc>
          <w:tcPr>
            <w:tcW w:w="198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6.95 </w:t>
            </w:r>
          </w:p>
        </w:tc>
        <w:tc>
          <w:tcPr>
            <w:tcW w:w="21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52.2 </w:t>
            </w:r>
          </w:p>
        </w:tc>
      </w:tr>
      <w:tr>
        <w:tblPrEx>
          <w:tblLayout w:type="fixed"/>
          <w:tblCellMar>
            <w:top w:w="0" w:type="dxa"/>
            <w:left w:w="108" w:type="dxa"/>
            <w:bottom w:w="0" w:type="dxa"/>
            <w:right w:w="108" w:type="dxa"/>
          </w:tblCellMar>
        </w:tblPrEx>
        <w:trPr>
          <w:trHeight w:val="454" w:hRule="atLeast"/>
        </w:trPr>
        <w:tc>
          <w:tcPr>
            <w:tcW w:w="360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女性</w:t>
            </w:r>
          </w:p>
        </w:tc>
        <w:tc>
          <w:tcPr>
            <w:tcW w:w="198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6.37 </w:t>
            </w:r>
          </w:p>
        </w:tc>
        <w:tc>
          <w:tcPr>
            <w:tcW w:w="21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47.8 </w:t>
            </w:r>
          </w:p>
        </w:tc>
      </w:tr>
      <w:tr>
        <w:tblPrEx>
          <w:tblLayout w:type="fixed"/>
          <w:tblCellMar>
            <w:top w:w="0" w:type="dxa"/>
            <w:left w:w="108" w:type="dxa"/>
            <w:bottom w:w="0" w:type="dxa"/>
            <w:right w:w="108" w:type="dxa"/>
          </w:tblCellMar>
        </w:tblPrEx>
        <w:trPr>
          <w:trHeight w:val="454" w:hRule="atLeast"/>
        </w:trPr>
        <w:tc>
          <w:tcPr>
            <w:tcW w:w="360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其中：0-18岁</w:t>
            </w:r>
          </w:p>
        </w:tc>
        <w:tc>
          <w:tcPr>
            <w:tcW w:w="198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3.48 </w:t>
            </w:r>
          </w:p>
        </w:tc>
        <w:tc>
          <w:tcPr>
            <w:tcW w:w="21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26.1 </w:t>
            </w:r>
          </w:p>
        </w:tc>
      </w:tr>
      <w:tr>
        <w:tblPrEx>
          <w:tblLayout w:type="fixed"/>
          <w:tblCellMar>
            <w:top w:w="0" w:type="dxa"/>
            <w:left w:w="108" w:type="dxa"/>
            <w:bottom w:w="0" w:type="dxa"/>
            <w:right w:w="108" w:type="dxa"/>
          </w:tblCellMar>
        </w:tblPrEx>
        <w:trPr>
          <w:trHeight w:val="454" w:hRule="atLeast"/>
        </w:trPr>
        <w:tc>
          <w:tcPr>
            <w:tcW w:w="360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18-35岁</w:t>
            </w:r>
          </w:p>
        </w:tc>
        <w:tc>
          <w:tcPr>
            <w:tcW w:w="198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3.60 </w:t>
            </w:r>
          </w:p>
        </w:tc>
        <w:tc>
          <w:tcPr>
            <w:tcW w:w="21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27.0 </w:t>
            </w:r>
          </w:p>
        </w:tc>
      </w:tr>
      <w:tr>
        <w:tblPrEx>
          <w:tblLayout w:type="fixed"/>
          <w:tblCellMar>
            <w:top w:w="0" w:type="dxa"/>
            <w:left w:w="108" w:type="dxa"/>
            <w:bottom w:w="0" w:type="dxa"/>
            <w:right w:w="108" w:type="dxa"/>
          </w:tblCellMar>
        </w:tblPrEx>
        <w:trPr>
          <w:trHeight w:val="454" w:hRule="atLeast"/>
        </w:trPr>
        <w:tc>
          <w:tcPr>
            <w:tcW w:w="360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35-60岁</w:t>
            </w:r>
          </w:p>
        </w:tc>
        <w:tc>
          <w:tcPr>
            <w:tcW w:w="1980" w:type="dxa"/>
            <w:tcBorders>
              <w:top w:val="nil"/>
              <w:left w:val="single" w:color="auto" w:sz="4" w:space="0"/>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4.74 </w:t>
            </w:r>
          </w:p>
        </w:tc>
        <w:tc>
          <w:tcPr>
            <w:tcW w:w="21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35.5 </w:t>
            </w:r>
          </w:p>
        </w:tc>
      </w:tr>
      <w:tr>
        <w:tblPrEx>
          <w:tblLayout w:type="fixed"/>
          <w:tblCellMar>
            <w:top w:w="0" w:type="dxa"/>
            <w:left w:w="108" w:type="dxa"/>
            <w:bottom w:w="0" w:type="dxa"/>
            <w:right w:w="108" w:type="dxa"/>
          </w:tblCellMar>
        </w:tblPrEx>
        <w:trPr>
          <w:trHeight w:val="454" w:hRule="atLeast"/>
        </w:trPr>
        <w:tc>
          <w:tcPr>
            <w:tcW w:w="36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60岁以上</w:t>
            </w:r>
          </w:p>
        </w:tc>
        <w:tc>
          <w:tcPr>
            <w:tcW w:w="198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1.51 </w:t>
            </w:r>
          </w:p>
        </w:tc>
        <w:tc>
          <w:tcPr>
            <w:tcW w:w="2160"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11.3 </w:t>
            </w:r>
          </w:p>
        </w:tc>
      </w:tr>
    </w:tbl>
    <w:p>
      <w:pPr>
        <w:spacing w:beforeLines="100" w:afterLines="100" w:line="580" w:lineRule="exact"/>
        <w:ind w:firstLine="560" w:firstLineChars="200"/>
        <w:rPr>
          <w:rFonts w:hint="eastAsia" w:ascii="宋体" w:hAnsi="宋体" w:cs="宋体"/>
          <w:kern w:val="0"/>
          <w:sz w:val="28"/>
          <w:szCs w:val="28"/>
        </w:rPr>
      </w:pPr>
      <w:r>
        <w:rPr>
          <w:rFonts w:hint="eastAsia" w:ascii="宋体" w:hAnsi="宋体" w:cs="宋体"/>
          <w:kern w:val="0"/>
          <w:sz w:val="28"/>
          <w:szCs w:val="28"/>
        </w:rPr>
        <w:t>2014年，全区城镇居民人均可支配收入27937元，增加2212元，增长8.6%。城镇居民人均消费性支出为17216元，增长7.3%，食品消费支出占消费总支出的比重为36.8%。农村居民人均纯收入10063元，同比增加1022元，增长11.3%。人均生活消费支出7840元，增长12.3%。</w:t>
      </w:r>
    </w:p>
    <w:tbl>
      <w:tblPr>
        <w:tblStyle w:val="6"/>
        <w:tblW w:w="8115" w:type="dxa"/>
        <w:jc w:val="center"/>
        <w:tblInd w:w="0" w:type="dxa"/>
        <w:tblLayout w:type="fixed"/>
        <w:tblCellMar>
          <w:top w:w="0" w:type="dxa"/>
          <w:left w:w="108" w:type="dxa"/>
          <w:bottom w:w="0" w:type="dxa"/>
          <w:right w:w="108" w:type="dxa"/>
        </w:tblCellMar>
      </w:tblPr>
      <w:tblGrid>
        <w:gridCol w:w="4112"/>
        <w:gridCol w:w="151"/>
        <w:gridCol w:w="945"/>
        <w:gridCol w:w="1647"/>
        <w:gridCol w:w="1260"/>
      </w:tblGrid>
      <w:tr>
        <w:tblPrEx>
          <w:tblLayout w:type="fixed"/>
          <w:tblCellMar>
            <w:top w:w="0" w:type="dxa"/>
            <w:left w:w="108" w:type="dxa"/>
            <w:bottom w:w="0" w:type="dxa"/>
            <w:right w:w="108" w:type="dxa"/>
          </w:tblCellMar>
        </w:tblPrEx>
        <w:trPr>
          <w:trHeight w:val="390" w:hRule="atLeast"/>
          <w:jc w:val="center"/>
        </w:trPr>
        <w:tc>
          <w:tcPr>
            <w:tcW w:w="8115" w:type="dxa"/>
            <w:gridSpan w:val="5"/>
            <w:tcBorders>
              <w:top w:val="nil"/>
              <w:left w:val="nil"/>
              <w:bottom w:val="nil"/>
              <w:right w:val="nil"/>
            </w:tcBorders>
            <w:shd w:val="clear" w:color="auto" w:fill="auto"/>
            <w:vAlign w:val="center"/>
          </w:tcPr>
          <w:p>
            <w:pPr>
              <w:widowControl/>
              <w:jc w:val="center"/>
              <w:rPr>
                <w:rFonts w:ascii="宋体" w:hAnsi="宋体" w:cs="宋体"/>
                <w:b/>
                <w:color w:val="000000"/>
                <w:kern w:val="0"/>
                <w:sz w:val="28"/>
                <w:szCs w:val="28"/>
              </w:rPr>
            </w:pPr>
            <w:r>
              <w:rPr>
                <w:rFonts w:hint="eastAsia" w:ascii="宋体" w:hAnsi="宋体" w:cs="宋体"/>
                <w:b/>
                <w:color w:val="000000"/>
                <w:kern w:val="0"/>
                <w:sz w:val="28"/>
                <w:szCs w:val="28"/>
              </w:rPr>
              <w:t>表10　　2013年农村居民收支情况</w:t>
            </w:r>
          </w:p>
        </w:tc>
      </w:tr>
      <w:tr>
        <w:tblPrEx>
          <w:tblLayout w:type="fixed"/>
          <w:tblCellMar>
            <w:top w:w="0" w:type="dxa"/>
            <w:left w:w="108" w:type="dxa"/>
            <w:bottom w:w="0" w:type="dxa"/>
            <w:right w:w="108" w:type="dxa"/>
          </w:tblCellMar>
        </w:tblPrEx>
        <w:trPr>
          <w:trHeight w:val="510" w:hRule="atLeast"/>
          <w:jc w:val="center"/>
        </w:trPr>
        <w:tc>
          <w:tcPr>
            <w:tcW w:w="426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收支指标</w:t>
            </w:r>
          </w:p>
        </w:tc>
        <w:tc>
          <w:tcPr>
            <w:tcW w:w="9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单位</w:t>
            </w:r>
          </w:p>
        </w:tc>
        <w:tc>
          <w:tcPr>
            <w:tcW w:w="16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总量</w:t>
            </w:r>
          </w:p>
        </w:tc>
        <w:tc>
          <w:tcPr>
            <w:tcW w:w="1260" w:type="dxa"/>
            <w:tcBorders>
              <w:top w:val="single" w:color="auto" w:sz="4" w:space="0"/>
              <w:left w:val="nil"/>
              <w:bottom w:val="single" w:color="auto" w:sz="4" w:space="0"/>
              <w:right w:val="nil"/>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增长%</w:t>
            </w:r>
          </w:p>
        </w:tc>
      </w:tr>
      <w:tr>
        <w:tblPrEx>
          <w:tblLayout w:type="fixed"/>
          <w:tblCellMar>
            <w:top w:w="0" w:type="dxa"/>
            <w:left w:w="108" w:type="dxa"/>
            <w:bottom w:w="0" w:type="dxa"/>
            <w:right w:w="108" w:type="dxa"/>
          </w:tblCellMar>
        </w:tblPrEx>
        <w:trPr>
          <w:trHeight w:val="510" w:hRule="atLeast"/>
          <w:jc w:val="center"/>
        </w:trPr>
        <w:tc>
          <w:tcPr>
            <w:tcW w:w="4263" w:type="dxa"/>
            <w:gridSpan w:val="2"/>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农民人均纯收入</w:t>
            </w:r>
          </w:p>
        </w:tc>
        <w:tc>
          <w:tcPr>
            <w:tcW w:w="945" w:type="dxa"/>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w:t>
            </w:r>
          </w:p>
        </w:tc>
        <w:tc>
          <w:tcPr>
            <w:tcW w:w="1647"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10063 </w:t>
            </w:r>
          </w:p>
        </w:tc>
        <w:tc>
          <w:tcPr>
            <w:tcW w:w="12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11.3</w:t>
            </w:r>
          </w:p>
        </w:tc>
      </w:tr>
      <w:tr>
        <w:tblPrEx>
          <w:tblLayout w:type="fixed"/>
          <w:tblCellMar>
            <w:top w:w="0" w:type="dxa"/>
            <w:left w:w="108" w:type="dxa"/>
            <w:bottom w:w="0" w:type="dxa"/>
            <w:right w:w="108" w:type="dxa"/>
          </w:tblCellMar>
        </w:tblPrEx>
        <w:trPr>
          <w:trHeight w:val="510" w:hRule="atLeast"/>
          <w:jc w:val="center"/>
        </w:trPr>
        <w:tc>
          <w:tcPr>
            <w:tcW w:w="4263" w:type="dxa"/>
            <w:gridSpan w:val="2"/>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1、工资性收入</w:t>
            </w:r>
          </w:p>
        </w:tc>
        <w:tc>
          <w:tcPr>
            <w:tcW w:w="945" w:type="dxa"/>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w:t>
            </w:r>
          </w:p>
        </w:tc>
        <w:tc>
          <w:tcPr>
            <w:tcW w:w="1647"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4021 </w:t>
            </w:r>
          </w:p>
        </w:tc>
        <w:tc>
          <w:tcPr>
            <w:tcW w:w="12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13.9</w:t>
            </w:r>
          </w:p>
        </w:tc>
      </w:tr>
      <w:tr>
        <w:tblPrEx>
          <w:tblLayout w:type="fixed"/>
          <w:tblCellMar>
            <w:top w:w="0" w:type="dxa"/>
            <w:left w:w="108" w:type="dxa"/>
            <w:bottom w:w="0" w:type="dxa"/>
            <w:right w:w="108" w:type="dxa"/>
          </w:tblCellMar>
        </w:tblPrEx>
        <w:trPr>
          <w:trHeight w:val="510" w:hRule="atLeast"/>
          <w:jc w:val="center"/>
        </w:trPr>
        <w:tc>
          <w:tcPr>
            <w:tcW w:w="4263" w:type="dxa"/>
            <w:gridSpan w:val="2"/>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2、家庭经营性收入</w:t>
            </w:r>
          </w:p>
        </w:tc>
        <w:tc>
          <w:tcPr>
            <w:tcW w:w="945" w:type="dxa"/>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w:t>
            </w:r>
          </w:p>
        </w:tc>
        <w:tc>
          <w:tcPr>
            <w:tcW w:w="1647"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4369 </w:t>
            </w:r>
          </w:p>
        </w:tc>
        <w:tc>
          <w:tcPr>
            <w:tcW w:w="12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11.1</w:t>
            </w:r>
          </w:p>
        </w:tc>
      </w:tr>
      <w:tr>
        <w:tblPrEx>
          <w:tblLayout w:type="fixed"/>
          <w:tblCellMar>
            <w:top w:w="0" w:type="dxa"/>
            <w:left w:w="108" w:type="dxa"/>
            <w:bottom w:w="0" w:type="dxa"/>
            <w:right w:w="108" w:type="dxa"/>
          </w:tblCellMar>
        </w:tblPrEx>
        <w:trPr>
          <w:trHeight w:val="510" w:hRule="atLeast"/>
          <w:jc w:val="center"/>
        </w:trPr>
        <w:tc>
          <w:tcPr>
            <w:tcW w:w="4263" w:type="dxa"/>
            <w:gridSpan w:val="2"/>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3、财产性收入</w:t>
            </w:r>
          </w:p>
        </w:tc>
        <w:tc>
          <w:tcPr>
            <w:tcW w:w="945" w:type="dxa"/>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w:t>
            </w:r>
          </w:p>
        </w:tc>
        <w:tc>
          <w:tcPr>
            <w:tcW w:w="1647"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728 </w:t>
            </w:r>
          </w:p>
        </w:tc>
        <w:tc>
          <w:tcPr>
            <w:tcW w:w="12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4.6</w:t>
            </w:r>
          </w:p>
        </w:tc>
      </w:tr>
      <w:tr>
        <w:tblPrEx>
          <w:tblLayout w:type="fixed"/>
          <w:tblCellMar>
            <w:top w:w="0" w:type="dxa"/>
            <w:left w:w="108" w:type="dxa"/>
            <w:bottom w:w="0" w:type="dxa"/>
            <w:right w:w="108" w:type="dxa"/>
          </w:tblCellMar>
        </w:tblPrEx>
        <w:trPr>
          <w:trHeight w:val="510" w:hRule="atLeast"/>
          <w:jc w:val="center"/>
        </w:trPr>
        <w:tc>
          <w:tcPr>
            <w:tcW w:w="4263" w:type="dxa"/>
            <w:gridSpan w:val="2"/>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4、转移性收入</w:t>
            </w:r>
          </w:p>
        </w:tc>
        <w:tc>
          <w:tcPr>
            <w:tcW w:w="945" w:type="dxa"/>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w:t>
            </w:r>
          </w:p>
        </w:tc>
        <w:tc>
          <w:tcPr>
            <w:tcW w:w="1647"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945</w:t>
            </w:r>
          </w:p>
        </w:tc>
        <w:tc>
          <w:tcPr>
            <w:tcW w:w="12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7.1</w:t>
            </w:r>
          </w:p>
        </w:tc>
      </w:tr>
      <w:tr>
        <w:tblPrEx>
          <w:tblLayout w:type="fixed"/>
          <w:tblCellMar>
            <w:top w:w="0" w:type="dxa"/>
            <w:left w:w="108" w:type="dxa"/>
            <w:bottom w:w="0" w:type="dxa"/>
            <w:right w:w="108" w:type="dxa"/>
          </w:tblCellMar>
        </w:tblPrEx>
        <w:trPr>
          <w:trHeight w:val="510" w:hRule="atLeast"/>
          <w:jc w:val="center"/>
        </w:trPr>
        <w:tc>
          <w:tcPr>
            <w:tcW w:w="4263" w:type="dxa"/>
            <w:gridSpan w:val="2"/>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家庭经营费用支出</w:t>
            </w:r>
          </w:p>
        </w:tc>
        <w:tc>
          <w:tcPr>
            <w:tcW w:w="945" w:type="dxa"/>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w:t>
            </w:r>
          </w:p>
        </w:tc>
        <w:tc>
          <w:tcPr>
            <w:tcW w:w="1647"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8816 </w:t>
            </w:r>
          </w:p>
        </w:tc>
        <w:tc>
          <w:tcPr>
            <w:tcW w:w="12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9.3</w:t>
            </w:r>
          </w:p>
        </w:tc>
      </w:tr>
      <w:tr>
        <w:tblPrEx>
          <w:tblLayout w:type="fixed"/>
          <w:tblCellMar>
            <w:top w:w="0" w:type="dxa"/>
            <w:left w:w="108" w:type="dxa"/>
            <w:bottom w:w="0" w:type="dxa"/>
            <w:right w:w="108" w:type="dxa"/>
          </w:tblCellMar>
        </w:tblPrEx>
        <w:trPr>
          <w:trHeight w:val="510" w:hRule="atLeast"/>
          <w:jc w:val="center"/>
        </w:trPr>
        <w:tc>
          <w:tcPr>
            <w:tcW w:w="426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生活消费支出</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元</w:t>
            </w:r>
          </w:p>
        </w:tc>
        <w:tc>
          <w:tcPr>
            <w:tcW w:w="164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7840 </w:t>
            </w:r>
          </w:p>
        </w:tc>
        <w:tc>
          <w:tcPr>
            <w:tcW w:w="1260"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12.3</w:t>
            </w:r>
          </w:p>
        </w:tc>
      </w:tr>
      <w:tr>
        <w:tblPrEx>
          <w:tblLayout w:type="fixed"/>
          <w:tblCellMar>
            <w:top w:w="0" w:type="dxa"/>
            <w:left w:w="108" w:type="dxa"/>
            <w:bottom w:w="0" w:type="dxa"/>
            <w:right w:w="108" w:type="dxa"/>
          </w:tblCellMar>
        </w:tblPrEx>
        <w:trPr>
          <w:trHeight w:val="405" w:hRule="atLeast"/>
          <w:jc w:val="center"/>
        </w:trPr>
        <w:tc>
          <w:tcPr>
            <w:tcW w:w="8115" w:type="dxa"/>
            <w:gridSpan w:val="5"/>
            <w:tcBorders>
              <w:top w:val="nil"/>
              <w:left w:val="nil"/>
              <w:bottom w:val="nil"/>
              <w:right w:val="nil"/>
            </w:tcBorders>
            <w:shd w:val="clear" w:color="auto" w:fill="auto"/>
            <w:vAlign w:val="center"/>
          </w:tcPr>
          <w:p>
            <w:pPr>
              <w:widowControl/>
              <w:rPr>
                <w:rFonts w:hint="eastAsia" w:ascii="宋体" w:hAnsi="宋体" w:cs="宋体"/>
                <w:color w:val="000000"/>
                <w:kern w:val="0"/>
                <w:sz w:val="24"/>
              </w:rPr>
            </w:pPr>
          </w:p>
          <w:p>
            <w:pPr>
              <w:widowControl/>
              <w:rPr>
                <w:rFonts w:hint="eastAsia" w:ascii="宋体" w:hAnsi="宋体" w:cs="宋体"/>
                <w:color w:val="000000"/>
                <w:kern w:val="0"/>
                <w:sz w:val="24"/>
              </w:rPr>
            </w:pPr>
          </w:p>
          <w:p>
            <w:pPr>
              <w:widowControl/>
              <w:rPr>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05" w:hRule="atLeast"/>
          <w:jc w:val="center"/>
        </w:trPr>
        <w:tc>
          <w:tcPr>
            <w:tcW w:w="8115" w:type="dxa"/>
            <w:gridSpan w:val="5"/>
            <w:tcBorders>
              <w:top w:val="nil"/>
              <w:left w:val="nil"/>
              <w:bottom w:val="nil"/>
              <w:right w:val="nil"/>
            </w:tcBorders>
            <w:shd w:val="clear" w:color="auto" w:fill="auto"/>
            <w:vAlign w:val="center"/>
          </w:tcPr>
          <w:p>
            <w:pPr>
              <w:widowControl/>
              <w:snapToGrid w:val="0"/>
              <w:jc w:val="center"/>
              <w:rPr>
                <w:rFonts w:ascii="宋体" w:hAnsi="宋体" w:cs="宋体"/>
                <w:b/>
                <w:color w:val="000000"/>
                <w:kern w:val="0"/>
                <w:sz w:val="28"/>
                <w:szCs w:val="28"/>
              </w:rPr>
            </w:pPr>
            <w:r>
              <w:rPr>
                <w:rFonts w:hint="eastAsia" w:ascii="宋体" w:hAnsi="宋体" w:cs="宋体"/>
                <w:b/>
                <w:color w:val="000000"/>
                <w:kern w:val="0"/>
                <w:sz w:val="28"/>
                <w:szCs w:val="28"/>
              </w:rPr>
              <w:t>表11　　2013年城镇居民支出情况</w:t>
            </w:r>
          </w:p>
        </w:tc>
      </w:tr>
      <w:tr>
        <w:tblPrEx>
          <w:tblLayout w:type="fixed"/>
          <w:tblCellMar>
            <w:top w:w="0" w:type="dxa"/>
            <w:left w:w="108" w:type="dxa"/>
            <w:bottom w:w="0" w:type="dxa"/>
            <w:right w:w="108" w:type="dxa"/>
          </w:tblCellMar>
        </w:tblPrEx>
        <w:trPr>
          <w:trHeight w:val="454" w:hRule="atLeast"/>
          <w:jc w:val="center"/>
        </w:trPr>
        <w:tc>
          <w:tcPr>
            <w:tcW w:w="41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收支指标</w:t>
            </w:r>
          </w:p>
        </w:tc>
        <w:tc>
          <w:tcPr>
            <w:tcW w:w="109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单位</w:t>
            </w:r>
          </w:p>
        </w:tc>
        <w:tc>
          <w:tcPr>
            <w:tcW w:w="16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总量</w:t>
            </w:r>
          </w:p>
        </w:tc>
        <w:tc>
          <w:tcPr>
            <w:tcW w:w="1260" w:type="dxa"/>
            <w:tcBorders>
              <w:top w:val="single" w:color="auto" w:sz="4" w:space="0"/>
              <w:left w:val="nil"/>
              <w:bottom w:val="single" w:color="auto" w:sz="4" w:space="0"/>
              <w:right w:val="nil"/>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增长%</w:t>
            </w:r>
          </w:p>
        </w:tc>
      </w:tr>
      <w:tr>
        <w:tblPrEx>
          <w:tblLayout w:type="fixed"/>
          <w:tblCellMar>
            <w:top w:w="0" w:type="dxa"/>
            <w:left w:w="108" w:type="dxa"/>
            <w:bottom w:w="0" w:type="dxa"/>
            <w:right w:w="108" w:type="dxa"/>
          </w:tblCellMar>
        </w:tblPrEx>
        <w:trPr>
          <w:trHeight w:val="454" w:hRule="atLeast"/>
          <w:jc w:val="center"/>
        </w:trPr>
        <w:tc>
          <w:tcPr>
            <w:tcW w:w="4112"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生活消费性支出</w:t>
            </w:r>
          </w:p>
        </w:tc>
        <w:tc>
          <w:tcPr>
            <w:tcW w:w="1096" w:type="dxa"/>
            <w:gridSpan w:val="2"/>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元</w:t>
            </w:r>
          </w:p>
        </w:tc>
        <w:tc>
          <w:tcPr>
            <w:tcW w:w="1647"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17216 </w:t>
            </w:r>
          </w:p>
        </w:tc>
        <w:tc>
          <w:tcPr>
            <w:tcW w:w="12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7.3</w:t>
            </w:r>
          </w:p>
        </w:tc>
      </w:tr>
      <w:tr>
        <w:tblPrEx>
          <w:tblLayout w:type="fixed"/>
          <w:tblCellMar>
            <w:top w:w="0" w:type="dxa"/>
            <w:left w:w="108" w:type="dxa"/>
            <w:bottom w:w="0" w:type="dxa"/>
            <w:right w:w="108" w:type="dxa"/>
          </w:tblCellMar>
        </w:tblPrEx>
        <w:trPr>
          <w:trHeight w:val="454" w:hRule="atLeast"/>
          <w:jc w:val="center"/>
        </w:trPr>
        <w:tc>
          <w:tcPr>
            <w:tcW w:w="4112"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1、食品</w:t>
            </w:r>
          </w:p>
        </w:tc>
        <w:tc>
          <w:tcPr>
            <w:tcW w:w="1096" w:type="dxa"/>
            <w:gridSpan w:val="2"/>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元</w:t>
            </w:r>
          </w:p>
        </w:tc>
        <w:tc>
          <w:tcPr>
            <w:tcW w:w="1647"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6339 </w:t>
            </w:r>
          </w:p>
        </w:tc>
        <w:tc>
          <w:tcPr>
            <w:tcW w:w="12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5.1</w:t>
            </w:r>
          </w:p>
        </w:tc>
      </w:tr>
      <w:tr>
        <w:tblPrEx>
          <w:tblLayout w:type="fixed"/>
          <w:tblCellMar>
            <w:top w:w="0" w:type="dxa"/>
            <w:left w:w="108" w:type="dxa"/>
            <w:bottom w:w="0" w:type="dxa"/>
            <w:right w:w="108" w:type="dxa"/>
          </w:tblCellMar>
        </w:tblPrEx>
        <w:trPr>
          <w:trHeight w:val="454" w:hRule="atLeast"/>
          <w:jc w:val="center"/>
        </w:trPr>
        <w:tc>
          <w:tcPr>
            <w:tcW w:w="4112"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2、衣着</w:t>
            </w:r>
          </w:p>
        </w:tc>
        <w:tc>
          <w:tcPr>
            <w:tcW w:w="1096" w:type="dxa"/>
            <w:gridSpan w:val="2"/>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元</w:t>
            </w:r>
          </w:p>
        </w:tc>
        <w:tc>
          <w:tcPr>
            <w:tcW w:w="1647"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1265 </w:t>
            </w:r>
          </w:p>
        </w:tc>
        <w:tc>
          <w:tcPr>
            <w:tcW w:w="12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6.2</w:t>
            </w:r>
          </w:p>
        </w:tc>
      </w:tr>
      <w:tr>
        <w:tblPrEx>
          <w:tblLayout w:type="fixed"/>
          <w:tblCellMar>
            <w:top w:w="0" w:type="dxa"/>
            <w:left w:w="108" w:type="dxa"/>
            <w:bottom w:w="0" w:type="dxa"/>
            <w:right w:w="108" w:type="dxa"/>
          </w:tblCellMar>
        </w:tblPrEx>
        <w:trPr>
          <w:trHeight w:val="454" w:hRule="atLeast"/>
          <w:jc w:val="center"/>
        </w:trPr>
        <w:tc>
          <w:tcPr>
            <w:tcW w:w="4112"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3、居住</w:t>
            </w:r>
          </w:p>
        </w:tc>
        <w:tc>
          <w:tcPr>
            <w:tcW w:w="1096" w:type="dxa"/>
            <w:gridSpan w:val="2"/>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元</w:t>
            </w:r>
          </w:p>
        </w:tc>
        <w:tc>
          <w:tcPr>
            <w:tcW w:w="1647"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2240</w:t>
            </w:r>
          </w:p>
        </w:tc>
        <w:tc>
          <w:tcPr>
            <w:tcW w:w="12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5.7</w:t>
            </w:r>
          </w:p>
        </w:tc>
      </w:tr>
      <w:tr>
        <w:tblPrEx>
          <w:tblLayout w:type="fixed"/>
          <w:tblCellMar>
            <w:top w:w="0" w:type="dxa"/>
            <w:left w:w="108" w:type="dxa"/>
            <w:bottom w:w="0" w:type="dxa"/>
            <w:right w:w="108" w:type="dxa"/>
          </w:tblCellMar>
        </w:tblPrEx>
        <w:trPr>
          <w:trHeight w:val="454" w:hRule="atLeast"/>
          <w:jc w:val="center"/>
        </w:trPr>
        <w:tc>
          <w:tcPr>
            <w:tcW w:w="4112"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4、家庭设备用品及服务</w:t>
            </w:r>
          </w:p>
        </w:tc>
        <w:tc>
          <w:tcPr>
            <w:tcW w:w="1096" w:type="dxa"/>
            <w:gridSpan w:val="2"/>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元</w:t>
            </w:r>
          </w:p>
        </w:tc>
        <w:tc>
          <w:tcPr>
            <w:tcW w:w="1647"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1072</w:t>
            </w:r>
          </w:p>
        </w:tc>
        <w:tc>
          <w:tcPr>
            <w:tcW w:w="12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5.6</w:t>
            </w:r>
          </w:p>
        </w:tc>
      </w:tr>
      <w:tr>
        <w:tblPrEx>
          <w:tblLayout w:type="fixed"/>
          <w:tblCellMar>
            <w:top w:w="0" w:type="dxa"/>
            <w:left w:w="108" w:type="dxa"/>
            <w:bottom w:w="0" w:type="dxa"/>
            <w:right w:w="108" w:type="dxa"/>
          </w:tblCellMar>
        </w:tblPrEx>
        <w:trPr>
          <w:trHeight w:val="454" w:hRule="atLeast"/>
          <w:jc w:val="center"/>
        </w:trPr>
        <w:tc>
          <w:tcPr>
            <w:tcW w:w="4112"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5、医疗保健</w:t>
            </w:r>
          </w:p>
        </w:tc>
        <w:tc>
          <w:tcPr>
            <w:tcW w:w="1096" w:type="dxa"/>
            <w:gridSpan w:val="2"/>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元</w:t>
            </w:r>
          </w:p>
        </w:tc>
        <w:tc>
          <w:tcPr>
            <w:tcW w:w="1647"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975 </w:t>
            </w:r>
          </w:p>
        </w:tc>
        <w:tc>
          <w:tcPr>
            <w:tcW w:w="12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3.9</w:t>
            </w:r>
          </w:p>
        </w:tc>
      </w:tr>
      <w:tr>
        <w:tblPrEx>
          <w:tblLayout w:type="fixed"/>
          <w:tblCellMar>
            <w:top w:w="0" w:type="dxa"/>
            <w:left w:w="108" w:type="dxa"/>
            <w:bottom w:w="0" w:type="dxa"/>
            <w:right w:w="108" w:type="dxa"/>
          </w:tblCellMar>
        </w:tblPrEx>
        <w:trPr>
          <w:trHeight w:val="454" w:hRule="atLeast"/>
          <w:jc w:val="center"/>
        </w:trPr>
        <w:tc>
          <w:tcPr>
            <w:tcW w:w="4112"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6、交通和通信</w:t>
            </w:r>
          </w:p>
        </w:tc>
        <w:tc>
          <w:tcPr>
            <w:tcW w:w="1096" w:type="dxa"/>
            <w:gridSpan w:val="2"/>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元</w:t>
            </w:r>
          </w:p>
        </w:tc>
        <w:tc>
          <w:tcPr>
            <w:tcW w:w="1647"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2429 </w:t>
            </w:r>
          </w:p>
        </w:tc>
        <w:tc>
          <w:tcPr>
            <w:tcW w:w="12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4.0</w:t>
            </w:r>
          </w:p>
        </w:tc>
      </w:tr>
      <w:tr>
        <w:tblPrEx>
          <w:tblLayout w:type="fixed"/>
          <w:tblCellMar>
            <w:top w:w="0" w:type="dxa"/>
            <w:left w:w="108" w:type="dxa"/>
            <w:bottom w:w="0" w:type="dxa"/>
            <w:right w:w="108" w:type="dxa"/>
          </w:tblCellMar>
        </w:tblPrEx>
        <w:trPr>
          <w:trHeight w:val="454" w:hRule="atLeast"/>
          <w:jc w:val="center"/>
        </w:trPr>
        <w:tc>
          <w:tcPr>
            <w:tcW w:w="4112" w:type="dxa"/>
            <w:tcBorders>
              <w:top w:val="nil"/>
              <w:left w:val="nil"/>
              <w:bottom w:val="nil"/>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7、教育文化娱乐服务</w:t>
            </w:r>
          </w:p>
        </w:tc>
        <w:tc>
          <w:tcPr>
            <w:tcW w:w="1096" w:type="dxa"/>
            <w:gridSpan w:val="2"/>
            <w:tcBorders>
              <w:top w:val="nil"/>
              <w:left w:val="nil"/>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元</w:t>
            </w:r>
          </w:p>
        </w:tc>
        <w:tc>
          <w:tcPr>
            <w:tcW w:w="1647" w:type="dxa"/>
            <w:tcBorders>
              <w:top w:val="nil"/>
              <w:left w:val="nil"/>
              <w:bottom w:val="nil"/>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1404 </w:t>
            </w:r>
          </w:p>
        </w:tc>
        <w:tc>
          <w:tcPr>
            <w:tcW w:w="126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3.9</w:t>
            </w:r>
          </w:p>
        </w:tc>
      </w:tr>
      <w:tr>
        <w:tblPrEx>
          <w:tblLayout w:type="fixed"/>
          <w:tblCellMar>
            <w:top w:w="0" w:type="dxa"/>
            <w:left w:w="108" w:type="dxa"/>
            <w:bottom w:w="0" w:type="dxa"/>
            <w:right w:w="108" w:type="dxa"/>
          </w:tblCellMar>
        </w:tblPrEx>
        <w:trPr>
          <w:trHeight w:val="454" w:hRule="atLeast"/>
          <w:jc w:val="center"/>
        </w:trPr>
        <w:tc>
          <w:tcPr>
            <w:tcW w:w="41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8、其他商品和服务</w:t>
            </w:r>
          </w:p>
        </w:tc>
        <w:tc>
          <w:tcPr>
            <w:tcW w:w="109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元</w:t>
            </w:r>
          </w:p>
        </w:tc>
        <w:tc>
          <w:tcPr>
            <w:tcW w:w="164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1102 </w:t>
            </w:r>
          </w:p>
        </w:tc>
        <w:tc>
          <w:tcPr>
            <w:tcW w:w="1260"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3.3</w:t>
            </w:r>
          </w:p>
        </w:tc>
      </w:tr>
    </w:tbl>
    <w:p>
      <w:pPr>
        <w:jc w:val="center"/>
        <w:rPr>
          <w:rFonts w:hint="eastAsia"/>
        </w:rPr>
      </w:pPr>
    </w:p>
    <w:p>
      <w:pPr>
        <w:jc w:val="center"/>
        <w:rPr>
          <w:rFonts w:hint="eastAsia"/>
        </w:rPr>
      </w:pPr>
      <w:r>
        <w:drawing>
          <wp:inline distT="0" distB="0" distL="0" distR="0">
            <wp:extent cx="5273675" cy="29241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8"/>
                    <a:srcRect/>
                    <a:stretch>
                      <a:fillRect/>
                    </a:stretch>
                  </pic:blipFill>
                  <pic:spPr>
                    <a:xfrm>
                      <a:off x="0" y="0"/>
                      <a:ext cx="5273675" cy="2924175"/>
                    </a:xfrm>
                    <a:prstGeom prst="rect">
                      <a:avLst/>
                    </a:prstGeom>
                    <a:noFill/>
                    <a:ln w="9525">
                      <a:noFill/>
                      <a:miter lim="800000"/>
                      <a:headEnd/>
                      <a:tailEnd/>
                    </a:ln>
                  </pic:spPr>
                </pic:pic>
              </a:graphicData>
            </a:graphic>
          </wp:inline>
        </w:drawing>
      </w:r>
      <w:r>
        <w:drawing>
          <wp:inline distT="0" distB="0" distL="0" distR="0">
            <wp:extent cx="5273675" cy="292417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9"/>
                    <a:srcRect/>
                    <a:stretch>
                      <a:fillRect/>
                    </a:stretch>
                  </pic:blipFill>
                  <pic:spPr>
                    <a:xfrm>
                      <a:off x="0" y="0"/>
                      <a:ext cx="5273675" cy="2924175"/>
                    </a:xfrm>
                    <a:prstGeom prst="rect">
                      <a:avLst/>
                    </a:prstGeom>
                    <a:noFill/>
                    <a:ln w="9525">
                      <a:noFill/>
                      <a:miter lim="800000"/>
                      <a:headEnd/>
                      <a:tailEnd/>
                    </a:ln>
                  </pic:spPr>
                </pic:pic>
              </a:graphicData>
            </a:graphic>
          </wp:inline>
        </w:drawing>
      </w:r>
    </w:p>
    <w:p>
      <w:pPr>
        <w:spacing w:line="580" w:lineRule="exact"/>
        <w:ind w:firstLine="560" w:firstLineChars="200"/>
        <w:rPr>
          <w:rFonts w:hint="eastAsia" w:ascii="宋体" w:hAnsi="宋体" w:cs="宋体"/>
          <w:kern w:val="0"/>
          <w:sz w:val="28"/>
          <w:szCs w:val="28"/>
        </w:rPr>
      </w:pPr>
      <w:r>
        <w:rPr>
          <w:rFonts w:hint="eastAsia" w:ascii="宋体" w:hAnsi="宋体" w:cs="宋体"/>
          <w:kern w:val="0"/>
          <w:sz w:val="28"/>
          <w:szCs w:val="28"/>
        </w:rPr>
        <w:t>年末全区基本养老保险参保人数9260人，净增200人；医疗保险参保人数31733人，净增911人；失业保险参保人数7500人；企业职工参加工伤保险人数7626人，净增165人；生育保险参保人数5680人，净增90人；五项保险参保人数突破6万人，达到61798人。征缴五项保险费共计14371.61万元， 净增4462.76万元。全区共有最低生活保障对象38342人，其中城市最低生活保障对象19699人，增加569人，农村最低生活保障对象18643人。</w:t>
      </w:r>
    </w:p>
    <w:p>
      <w:pPr>
        <w:spacing w:line="580" w:lineRule="exact"/>
        <w:ind w:firstLine="560" w:firstLineChars="200"/>
        <w:rPr>
          <w:rFonts w:hint="eastAsia" w:ascii="宋体" w:hAnsi="宋体" w:cs="宋体"/>
          <w:kern w:val="0"/>
          <w:sz w:val="28"/>
          <w:szCs w:val="28"/>
        </w:rPr>
      </w:pPr>
    </w:p>
    <w:p>
      <w:pPr>
        <w:spacing w:line="580" w:lineRule="exact"/>
        <w:ind w:firstLine="482" w:firstLineChars="200"/>
        <w:rPr>
          <w:rFonts w:hint="eastAsia" w:ascii="宋体" w:hAnsi="宋体" w:cs="宋体"/>
          <w:b/>
          <w:kern w:val="0"/>
          <w:sz w:val="24"/>
        </w:rPr>
      </w:pPr>
      <w:r>
        <w:rPr>
          <w:rFonts w:hint="eastAsia" w:ascii="宋体" w:hAnsi="宋体" w:cs="宋体"/>
          <w:b/>
          <w:kern w:val="0"/>
          <w:sz w:val="24"/>
        </w:rPr>
        <w:t>注:</w:t>
      </w:r>
    </w:p>
    <w:p>
      <w:pPr>
        <w:spacing w:line="580" w:lineRule="exact"/>
        <w:ind w:firstLine="480" w:firstLineChars="200"/>
        <w:rPr>
          <w:rFonts w:hint="eastAsia" w:ascii="宋体" w:hAnsi="宋体" w:cs="宋体"/>
          <w:kern w:val="0"/>
          <w:sz w:val="24"/>
        </w:rPr>
      </w:pPr>
      <w:r>
        <w:rPr>
          <w:rFonts w:ascii="宋体" w:hAnsi="宋体" w:cs="宋体"/>
          <w:kern w:val="0"/>
          <w:sz w:val="24"/>
        </w:rPr>
        <w:t xml:space="preserve"> 1、本公报中数据均为初步统计数</w:t>
      </w:r>
      <w:r>
        <w:rPr>
          <w:rFonts w:hint="eastAsia" w:ascii="宋体" w:hAnsi="宋体" w:cs="宋体"/>
          <w:kern w:val="0"/>
          <w:sz w:val="24"/>
        </w:rPr>
        <w:t>，正式数据以《港口区统计年鉴（2014-2015）》为准；</w:t>
      </w:r>
    </w:p>
    <w:p>
      <w:pPr>
        <w:spacing w:line="580" w:lineRule="exact"/>
        <w:ind w:firstLine="480" w:firstLineChars="200"/>
        <w:rPr>
          <w:rFonts w:hint="eastAsia" w:ascii="宋体" w:hAnsi="宋体" w:cs="宋体"/>
          <w:kern w:val="0"/>
          <w:sz w:val="24"/>
        </w:rPr>
      </w:pPr>
      <w:r>
        <w:rPr>
          <w:rFonts w:hint="eastAsia" w:ascii="宋体" w:hAnsi="宋体" w:cs="宋体"/>
          <w:kern w:val="0"/>
          <w:sz w:val="24"/>
        </w:rPr>
        <w:t>2、本公报中2014年数据均为初步统计数。部分数据因四舍五入的原因，存在与分项合计不等的情况。</w:t>
      </w:r>
    </w:p>
    <w:p>
      <w:pPr>
        <w:spacing w:line="580" w:lineRule="exact"/>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、地区生产总值、各产业增加值、人均GDP、农林牧渔业总产值及其分项绝对数按当年价格计算，增长速度按可比价格计算；</w:t>
      </w:r>
    </w:p>
    <w:p>
      <w:pPr>
        <w:spacing w:line="580" w:lineRule="exact"/>
        <w:ind w:firstLine="480" w:firstLineChars="200"/>
        <w:rPr>
          <w:rFonts w:hint="eastAsia" w:ascii="宋体" w:hAnsi="宋体" w:cs="宋体"/>
          <w:kern w:val="0"/>
          <w:sz w:val="24"/>
        </w:rPr>
      </w:pPr>
      <w:r>
        <w:rPr>
          <w:rFonts w:hint="eastAsia" w:ascii="宋体" w:hAnsi="宋体" w:cs="宋体"/>
          <w:kern w:val="0"/>
          <w:sz w:val="24"/>
        </w:rPr>
        <w:t>房地产业投资除房地产开发投资外，还包括建设单位自建房屋以及物业管理、中介服务和其他房地产投资。</w:t>
      </w:r>
    </w:p>
    <w:p>
      <w:pPr>
        <w:spacing w:line="580" w:lineRule="exact"/>
        <w:ind w:firstLine="480" w:firstLineChars="200"/>
        <w:rPr>
          <w:rFonts w:ascii="宋体" w:hAnsi="宋体" w:cs="宋体"/>
          <w:kern w:val="0"/>
          <w:sz w:val="24"/>
        </w:rPr>
      </w:pPr>
      <w:r>
        <w:rPr>
          <w:rFonts w:hint="eastAsia" w:ascii="宋体" w:hAnsi="宋体" w:cs="宋体"/>
          <w:kern w:val="0"/>
          <w:sz w:val="24"/>
        </w:rPr>
        <w:t>4、常住人口指在广西居住半年以上的人口，以及户口在广西、外出广西不满半年或在境外工作学习的人口。</w:t>
      </w:r>
    </w:p>
    <w:p>
      <w:pPr>
        <w:spacing w:line="580" w:lineRule="exact"/>
        <w:ind w:firstLine="480" w:firstLineChars="200"/>
        <w:rPr>
          <w:rFonts w:ascii="宋体" w:hAnsi="宋体" w:cs="宋体"/>
          <w:kern w:val="0"/>
          <w:sz w:val="24"/>
        </w:rPr>
      </w:pPr>
      <w:r>
        <w:rPr>
          <w:rFonts w:hint="eastAsia" w:ascii="宋体" w:hAnsi="宋体" w:cs="宋体"/>
          <w:kern w:val="0"/>
          <w:sz w:val="24"/>
        </w:rPr>
        <w:t>5、 人均收入中位数是指将所有调查户按人均收入水平从低到高顺序排列，处于最中间位置的调查户的人均收入。</w:t>
      </w:r>
    </w:p>
    <w:p>
      <w:pPr>
        <w:spacing w:line="580" w:lineRule="exact"/>
        <w:ind w:firstLine="480" w:firstLineChars="200"/>
        <w:rPr>
          <w:rFonts w:hint="eastAsia"/>
        </w:rPr>
      </w:pPr>
      <w:r>
        <w:rPr>
          <w:rFonts w:hint="eastAsia" w:ascii="宋体" w:hAnsi="宋体" w:cs="宋体"/>
          <w:kern w:val="0"/>
          <w:sz w:val="24"/>
        </w:rPr>
        <w:t>资料来源：本公报中城镇新增就业、登记失业率、社会保险数据来自区</w:t>
      </w:r>
      <w:r>
        <w:rPr>
          <w:rFonts w:hint="eastAsia" w:ascii="宋体" w:hAnsi="宋体" w:cs="宋体"/>
          <w:color w:val="000000"/>
          <w:kern w:val="0"/>
          <w:sz w:val="24"/>
        </w:rPr>
        <w:t>人力资源和社会保障局</w:t>
      </w:r>
      <w:r>
        <w:rPr>
          <w:rFonts w:hint="eastAsia" w:ascii="宋体" w:hAnsi="宋体" w:cs="宋体"/>
          <w:kern w:val="0"/>
          <w:sz w:val="24"/>
        </w:rPr>
        <w:t>；户籍总人口数据来自市公安局；财政数据来自区财政局；城乡居民收入和支出、来自国家统计局防城港市调查队；进出口数据来自区商务局；旅游数据来自区旅游局；教育数据来自区教育局；专利数据、技术合同等数据来自区科技局；文化馆、农村书屋、互联网上网服务营业场所（网吧）、非物质文化遗产、广播电视数据来自区文化体育广播电影电视局；新闻数据来自区宣传部；卫生数据来自区卫生局；低保数据来自区民政局；金融数据、保险数据、邮政业务数据、电信业务数据、交通数据来自市统计局反馈的GDP核算基础资料；其他数据均来自区统计局。</w:t>
      </w:r>
    </w:p>
    <w:p/>
    <w:sectPr>
      <w:footerReference r:id="rId3" w:type="default"/>
      <w:footerReference r:id="rId4" w:type="even"/>
      <w:pgSz w:w="11906" w:h="16838"/>
      <w:pgMar w:top="1985"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2</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D9F"/>
    <w:multiLevelType w:val="multilevel"/>
    <w:tmpl w:val="026B7D9F"/>
    <w:lvl w:ilvl="0" w:tentative="0">
      <w:start w:val="2013"/>
      <w:numFmt w:val="decimal"/>
      <w:lvlText w:val="%1年"/>
      <w:lvlJc w:val="left"/>
      <w:pPr>
        <w:tabs>
          <w:tab w:val="left" w:pos="6060"/>
        </w:tabs>
        <w:ind w:left="6060" w:hanging="3840"/>
      </w:pPr>
      <w:rPr>
        <w:rFonts w:hint="default"/>
      </w:rPr>
    </w:lvl>
    <w:lvl w:ilvl="1" w:tentative="0">
      <w:start w:val="1"/>
      <w:numFmt w:val="lowerLetter"/>
      <w:lvlText w:val="%2)"/>
      <w:lvlJc w:val="left"/>
      <w:pPr>
        <w:tabs>
          <w:tab w:val="left" w:pos="3060"/>
        </w:tabs>
        <w:ind w:left="3060" w:hanging="420"/>
      </w:pPr>
    </w:lvl>
    <w:lvl w:ilvl="2" w:tentative="0">
      <w:start w:val="1"/>
      <w:numFmt w:val="lowerRoman"/>
      <w:lvlText w:val="%3."/>
      <w:lvlJc w:val="right"/>
      <w:pPr>
        <w:tabs>
          <w:tab w:val="left" w:pos="3480"/>
        </w:tabs>
        <w:ind w:left="3480" w:hanging="420"/>
      </w:pPr>
    </w:lvl>
    <w:lvl w:ilvl="3" w:tentative="0">
      <w:start w:val="1"/>
      <w:numFmt w:val="decimal"/>
      <w:lvlText w:val="%4."/>
      <w:lvlJc w:val="left"/>
      <w:pPr>
        <w:tabs>
          <w:tab w:val="left" w:pos="3900"/>
        </w:tabs>
        <w:ind w:left="3900" w:hanging="420"/>
      </w:pPr>
    </w:lvl>
    <w:lvl w:ilvl="4" w:tentative="0">
      <w:start w:val="1"/>
      <w:numFmt w:val="lowerLetter"/>
      <w:lvlText w:val="%5)"/>
      <w:lvlJc w:val="left"/>
      <w:pPr>
        <w:tabs>
          <w:tab w:val="left" w:pos="4320"/>
        </w:tabs>
        <w:ind w:left="4320" w:hanging="420"/>
      </w:pPr>
    </w:lvl>
    <w:lvl w:ilvl="5" w:tentative="0">
      <w:start w:val="1"/>
      <w:numFmt w:val="lowerRoman"/>
      <w:lvlText w:val="%6."/>
      <w:lvlJc w:val="right"/>
      <w:pPr>
        <w:tabs>
          <w:tab w:val="left" w:pos="4740"/>
        </w:tabs>
        <w:ind w:left="4740" w:hanging="420"/>
      </w:pPr>
    </w:lvl>
    <w:lvl w:ilvl="6" w:tentative="0">
      <w:start w:val="1"/>
      <w:numFmt w:val="decimal"/>
      <w:lvlText w:val="%7."/>
      <w:lvlJc w:val="left"/>
      <w:pPr>
        <w:tabs>
          <w:tab w:val="left" w:pos="5160"/>
        </w:tabs>
        <w:ind w:left="5160" w:hanging="420"/>
      </w:pPr>
    </w:lvl>
    <w:lvl w:ilvl="7" w:tentative="0">
      <w:start w:val="1"/>
      <w:numFmt w:val="lowerLetter"/>
      <w:lvlText w:val="%8)"/>
      <w:lvlJc w:val="left"/>
      <w:pPr>
        <w:tabs>
          <w:tab w:val="left" w:pos="5580"/>
        </w:tabs>
        <w:ind w:left="5580" w:hanging="420"/>
      </w:pPr>
    </w:lvl>
    <w:lvl w:ilvl="8" w:tentative="0">
      <w:start w:val="1"/>
      <w:numFmt w:val="lowerRoman"/>
      <w:lvlText w:val="%9."/>
      <w:lvlJc w:val="right"/>
      <w:pPr>
        <w:tabs>
          <w:tab w:val="left" w:pos="6000"/>
        </w:tabs>
        <w:ind w:left="6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30D0"/>
    <w:rsid w:val="009A7C36"/>
    <w:rsid w:val="00B130D0"/>
    <w:rsid w:val="00C32360"/>
    <w:rsid w:val="40484459"/>
    <w:rsid w:val="610F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眉 Char"/>
    <w:basedOn w:val="4"/>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emf"/><Relationship Id="rId18" Type="http://schemas.openxmlformats.org/officeDocument/2006/relationships/image" Target="media/image13.emf"/><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1547</Words>
  <Characters>8818</Characters>
  <Lines>73</Lines>
  <Paragraphs>20</Paragraphs>
  <ScaleCrop>false</ScaleCrop>
  <LinksUpToDate>false</LinksUpToDate>
  <CharactersWithSpaces>10345</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2017-10-23T02:49:00Z</dcterms:created>
  <dc:creator>USER</dc:creator>
  <cp:lastModifiedBy>1</cp:lastModifiedBy>
  <cp:lastPrinted>2017-10-23T09:21:00Z</cp:lastPrinted>
  <dcterms:modified xsi:type="dcterms:W3CDTF">2017-10-24T02:24:22Z</dcterms:modified>
  <dc:title>2014年港口区国民经济和社会发展统计公报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