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2015年上思县国民经济和社会发展</w:t>
      </w:r>
    </w:p>
    <w:p>
      <w:pPr>
        <w:widowControl/>
        <w:shd w:val="clear" w:color="auto" w:fill="FFFFFF"/>
        <w:spacing w:line="64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统 计 公 报</w:t>
      </w:r>
    </w:p>
    <w:p>
      <w:pPr>
        <w:widowControl/>
        <w:shd w:val="clear" w:color="auto" w:fill="FFFFFF"/>
        <w:spacing w:line="200" w:lineRule="exact"/>
        <w:jc w:val="center"/>
        <w:rPr>
          <w:rFonts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400" w:lineRule="exact"/>
        <w:jc w:val="center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上思县统计局</w:t>
      </w:r>
    </w:p>
    <w:p>
      <w:pPr>
        <w:widowControl/>
        <w:shd w:val="clear" w:color="auto" w:fill="FFFFFF"/>
        <w:spacing w:line="400" w:lineRule="exact"/>
        <w:jc w:val="center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（2016年8月1日）</w:t>
      </w:r>
    </w:p>
    <w:p>
      <w:pPr>
        <w:widowControl/>
        <w:shd w:val="clear" w:color="auto" w:fill="FFFFFF"/>
        <w:spacing w:line="400" w:lineRule="exact"/>
        <w:jc w:val="center"/>
        <w:rPr>
          <w:rFonts w:ascii="方正仿宋_GBK" w:hAnsi="宋体" w:eastAsia="方正仿宋_GBK" w:cs="宋体"/>
          <w:kern w:val="0"/>
          <w:sz w:val="28"/>
          <w:szCs w:val="28"/>
        </w:rPr>
      </w:pP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2015年，面对严峻复杂的宏观经济环境和经济持续下行的压力，县委、县政府果断决策，主动作为，克难攻坚，全县经济总体稳步增长，产业结构明显优化，民生保障持续改善，各项社会事业全面进步。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一、综合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初步核算（下同），2015年实现地区生产总值（GDP）695525万元，同比增长5.4%。按常住人口计算，人均地区生产总值33207元。</w:t>
      </w:r>
    </w:p>
    <w:p>
      <w:pPr>
        <w:widowControl/>
        <w:shd w:val="clear" w:color="auto" w:fill="FFFFFF"/>
        <w:spacing w:line="360" w:lineRule="auto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00650" cy="2705100"/>
            <wp:effectExtent l="19050" t="0" r="19050" b="0"/>
            <wp:docPr id="16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从产业看，第一产业实现增加值185172万元，同比下降0.8%；第二产业实现增加值327498万元，同比增长6.8%；第三产业实现增加值182855万元，同比增长9.7%；第二产业中工业增加值实现307695万元，同比增长8.4%。</w:t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从产业结构看，三次产业的比重由去年同期的28.8:45.3:25.9调整为26.6：47.1：26.3，第二、三产业分别提高1.8个百分点、0.4个百分点，第一产业下降2.2个百分点；其中，工业占GDP的比重为44.2%，比上年同期提高1.4个百分点。</w:t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4895850" cy="2333625"/>
            <wp:effectExtent l="19050" t="0" r="19050" b="0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2015年，我县财政收入完成82083万元，同比增长8.1%。其中，税收收入63045万元，同比增长7.6%；非税收收入19038万元，同比增长9.7%；公共财政预算收入59173万元，同比增长20.8%。</w:t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305425" cy="3009900"/>
            <wp:effectExtent l="19050" t="0" r="9525" b="0"/>
            <wp:docPr id="20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共财政预算支出192510万元，同比增长15.2%。其中，教育支出增长9.0%，社会保障和就业支出增长11.2%，科学技术支出增长251.4%，文化体育与传媒支出增长10.1%，医疗卫生支出增长37.1%，节能环保支出增长10.0%，城乡社区事务支出增长4.9%，农林水事务支出增长19.2%。</w:t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年末单位从业人员13476人。其中，女性从业人员4399人；在岗职工8210人，劳务派遣人员1033人，其他从业人员4233人。年末从业人员工资总额44762.6万元。其中，在岗职工工资总额37150.8万元，劳务派遣人员工资总额2152万元，其他从业人员工资总额5459.8万元。年末从业人员平均工资37262元。</w:t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二、农业</w:t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全县农林牧渔业总产值实现304046万元，比上年增长0.45%。其中，农业产值158401万元，增长8.6%；林业产值88101万元，同比下降12.5%；畜牧业产值34200万元，增长2.4%；渔业产值18541万元，增长4.3%；农林牧渔服务业产值4803万元，增长9.0%。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szCs w:val="30"/>
        </w:rPr>
      </w:pPr>
      <w:r>
        <w:rPr>
          <w:rFonts w:ascii="宋体" w:hAnsi="宋体" w:eastAsia="宋体" w:cs="宋体"/>
          <w:kern w:val="0"/>
          <w:sz w:val="24"/>
          <w:szCs w:val="30"/>
        </w:rPr>
        <w:drawing>
          <wp:inline distT="0" distB="0" distL="0" distR="0">
            <wp:extent cx="4667250" cy="2895600"/>
            <wp:effectExtent l="19050" t="0" r="19050" b="0"/>
            <wp:docPr id="10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农作物总播种面积55805公顷，比上年减少1762公顷。其中，粮食播种面积12078公顷，与上年同期基本持平；经济作物播种面积39373公顷，比上年减少了2009公顷；其他农作物播种面积4354公顷，比上年增加了228公顷。经济作物播种面积中，油料播种面积729公顷，与上年同期基本持平；甘蔗播种面积38319公顷，比上年减少2005公顷。其他农作物播种面积中，蔬菜播种面积3815公顷，比上年减少222公顷。年末果园面积4102公顷，比上年增加233公顷。全年粮食总产量46939吨，增长1.0%；油料产量1586吨，增长4.9%；甘蔗总产量2455960吨，与上年同期基本持平；蔬菜总产量47650吨，增长6.8%；水果产量13221吨，增长11.1%。</w:t>
      </w:r>
    </w:p>
    <w:tbl>
      <w:tblPr>
        <w:tblStyle w:val="7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0"/>
        <w:gridCol w:w="140"/>
        <w:gridCol w:w="2180"/>
        <w:gridCol w:w="400"/>
        <w:gridCol w:w="2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>上思县2015年农作物生产情况表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面积（公顷）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产量（吨）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农作物总播种面积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55805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＃粮食合计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12078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46939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谷物合计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10778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44830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稻谷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7143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33045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    早稻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3290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20507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    中稻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579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    晚稻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3728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11876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    旱稻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玉米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3635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11785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豆类合计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995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大豆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绿豆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其他豆类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薯类折粮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1114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薯类合计（鲜薯）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5571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红薯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4466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马铃薯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1105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＃经济作物合计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39373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油料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花生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甘蔗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38319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2455960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糖蔗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38104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2436750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果蔗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19210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木薯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3059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＃其他农作物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4354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蔬菜(含菜瓜)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3815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47650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瓜果类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12250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    西瓜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12250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 xml:space="preserve">        其他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2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Arial" w:asciiTheme="minorEastAsia" w:hAnsiTheme="minorEastAsia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2"/>
                <w:szCs w:val="32"/>
              </w:rPr>
              <w:t>上思县2015年蔬菜生产情况表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播种面积（公顷）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产量（吨）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蔬菜合计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3815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47650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一.叶菜类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772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其中：芹菜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266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3298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菜心菜（油菜）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269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3224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菠菜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二.白菜类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1084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12622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其中：大白菜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1069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12544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三.甘蓝类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其中：卷心菜（结球甘蓝）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四.根茎类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515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9232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其中：白萝卜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212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3677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胡萝卜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139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1979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生姜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101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1875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榨菜头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五.瓜菜类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417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5244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其中：黄瓜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151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2074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南瓜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冬瓜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125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1749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六.豆类（菜用）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324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3541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其中：豆角（豇豆）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117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四季豆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七.茄果类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2451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其中：茄子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辣椒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西红柿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八.葱蒜类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2336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其中：大葱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107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蒜头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2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九.水生菜类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其中：莲藕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十.其它蔬菜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134</w:t>
            </w:r>
          </w:p>
        </w:tc>
        <w:tc>
          <w:tcPr>
            <w:tcW w:w="2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1651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tbl>
      <w:tblPr>
        <w:tblStyle w:val="7"/>
        <w:tblW w:w="82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0"/>
        <w:gridCol w:w="41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2"/>
                <w:szCs w:val="32"/>
              </w:rPr>
              <w:t>上思县2015年茶叶、水果及食用坚果生产情况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   计量单位：吨  公顷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园林水果合计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13221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1.梨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2.柑橘类水果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2162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其中：柑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橙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3.热带水果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6524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其中：香蕉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1996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菠萝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荔枝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龙眼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芒果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火龙果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百香果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其他蕉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4.其他水果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4476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其中：桃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葡萄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柿子(按鲜柿计算)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李子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其他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3535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食用坚果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澳洲坚果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年末果园面积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其中：梨  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柑橘园（含金橘）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橙  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蕉园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其中：香蕉园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菠萝园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荔枝园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龙眼园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芒果园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葡萄园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柿子园</w:t>
            </w:r>
          </w:p>
        </w:tc>
        <w:tc>
          <w:tcPr>
            <w:tcW w:w="4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李子园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151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火龙果园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百香果园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其他果园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873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肉类总产量11456吨，增长0.9%；禽蛋总产量738吨，增长0.4%。奶类总产量4780吨，增长0.1%；天然蜂蜜产量333吨，增长6.7%。全年生猪出栏6.63万头，同比下降2.4%；出栏家禽308.96万只，比上年增加6.32万只，同比增长2.1%。年末大牲畜存栏4.47万头，增长16.1%；生猪存栏4.62万头，增长0.2%。</w:t>
      </w:r>
    </w:p>
    <w:tbl>
      <w:tblPr>
        <w:tblStyle w:val="7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0"/>
        <w:gridCol w:w="1700"/>
        <w:gridCol w:w="31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3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2"/>
                <w:szCs w:val="32"/>
              </w:rPr>
              <w:t>上思县2015年畜牧业生产情况表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本期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一、畜禽出栏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猪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山羊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家禽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308.96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151.97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鸭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148.01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鹅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8.98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家兔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肉狗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二、畜禽存栏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大牲畜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#役用畜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肉牛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奶牛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马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猪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#能繁殖母猪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万头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山羊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家禽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214.12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145.41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肉鸡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125.40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蛋鸡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鸭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64.74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鹅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家兔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万只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0.43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三、畜禽产品产量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肉类总产量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猪肉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4947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牛肉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羊肉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禽肉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5287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鸡肉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2567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鸭肉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2482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鹅肉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238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家兔肉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狗肉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禽蛋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738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鸡蛋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奶类产量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4780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#生牛奶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4780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天然蜂蜜产量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31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333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全年水产品产量17758吨，增长4.5%。其中，淡水捕捞水产品产量3433吨，下降1.8%；淡水养殖水产品产量14325吨，增长6.1%。</w:t>
      </w:r>
    </w:p>
    <w:tbl>
      <w:tblPr>
        <w:tblStyle w:val="7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0"/>
        <w:gridCol w:w="1900"/>
        <w:gridCol w:w="31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23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8"/>
                <w:szCs w:val="28"/>
              </w:rPr>
              <w:t xml:space="preserve">  上思县2015年渔业生产情况表A311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一、水产品产量总计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（一）海水产品产量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（二）淡水产品产量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17758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1.淡水捕捞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3433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（1）鱼类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3382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（2）虾蟹类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（3）贝类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（4）其他类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2.淡水养殖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14325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（1）鱼类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13968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（2）虾蟹类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（3）贝类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吨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210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  （4）其他类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二、水产品养殖面积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（一）海水养殖面积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（二）淡水养殖面积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1835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1.池塘养殖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2.河沟养殖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3.山塘水库养殖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626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 xml:space="preserve">      4.其他养殖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补充资料：稻田养鱼面积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公顷</w:t>
            </w:r>
          </w:p>
        </w:tc>
        <w:tc>
          <w:tcPr>
            <w:tcW w:w="31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981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造林面积5880公顷，比上年增加627公顷，增长11.9%；当年成林抚育面积14726公顷，增长100.8%。全年木材采伐运输量58.99万立方米，下降42.6%。全年松脂产量31708吨，增长2.8%；八角产量372吨，增长3.6%；竹笋干产量50吨；桂皮产量40吨。</w:t>
      </w:r>
    </w:p>
    <w:tbl>
      <w:tblPr>
        <w:tblStyle w:val="7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1560"/>
        <w:gridCol w:w="29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32"/>
                <w:szCs w:val="32"/>
              </w:rPr>
              <w:t>上思县2015年林业生产情况表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计量单位</w:t>
            </w:r>
          </w:p>
        </w:tc>
        <w:tc>
          <w:tcPr>
            <w:tcW w:w="29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一、营林情况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荒山荒(沙)地造林面积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按造林方式分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人工造林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按经济成份分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公有经济造林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    国有经济造林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非公有经济造林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按林种用途分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用材林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经济林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  防护林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667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更新造林（迹地更新）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4080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四旁（零星）植树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万株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362.00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未成林抚育实际面积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9980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成林抚育面积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14726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中、幼龄林抚育面积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14726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当年苗木产量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万株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育苗面积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公顷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二、主要林产品产量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油桐籽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油茶籽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天然松脂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31708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竹笋干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八角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372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桂皮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三、全社会竹木采伐运输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全社会木材采伐运输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万立方米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58.99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原木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万立方米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58.99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  其中：桉木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万立方米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53.90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全社会竹材采伐运输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大杂竹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万根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1264.65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3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 xml:space="preserve">        小杂竹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吨</w:t>
            </w:r>
          </w:p>
        </w:tc>
        <w:tc>
          <w:tcPr>
            <w:tcW w:w="29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16900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末农业机械总动力324650千瓦，增长6.4%；机耕面积23817公顷，下降7.7%；机播面积7079公顷，增长9.9%；机收面积7817公顷，增长18.6%。全年农村用电量6207万千瓦时，增长7.2%。化肥施用实物量128952吨，增长0.7%；农田有效灌溉面积12810公顷，增长7.8%。</w:t>
      </w:r>
    </w:p>
    <w:p>
      <w:pPr>
        <w:widowControl/>
        <w:spacing w:line="520" w:lineRule="exact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b/>
          <w:kern w:val="0"/>
          <w:sz w:val="32"/>
          <w:szCs w:val="32"/>
        </w:rPr>
        <w:t>　　</w:t>
      </w: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三、工业和建筑业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全部工业总产值实现1140673万元，，同比增长11.7%。其中，规模以上工业总产值实现1100757万元，同比增长11.8%。在规模以上工业总产值中，从分轻重工业看，轻工业总产值实现646558万元，同比增长12.7%；重工业总产值实现454199万元，同比增长10.5%；从登记注册类型看，集体企业产值实现5728万元，同比下降1.2%；股份制企业产值实现785519万元，同比增长11.4%；外商及港澳台商投资企业产值实现298416万元，同比增长12.9%；其他经济类型企业产值实现11094万元，同比增长19.1%。</w:t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114925" cy="3200400"/>
            <wp:effectExtent l="19050" t="0" r="28574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2015年全部工业增加值实现307695万元，按可比价格计算，同比增长8.4%;其中，规模以上工业增加值实现292527万元，增长8.5%。</w:t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191125" cy="3028950"/>
            <wp:effectExtent l="19050" t="0" r="9525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274310" cy="3047365"/>
            <wp:effectExtent l="19050" t="0" r="21590" b="1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从产品上看，多数工业产品产量出现负增长。</w:t>
      </w:r>
    </w:p>
    <w:tbl>
      <w:tblPr>
        <w:tblStyle w:val="7"/>
        <w:tblW w:w="82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961"/>
        <w:gridCol w:w="1114"/>
        <w:gridCol w:w="20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2015年主要工业产品产量及其增长速度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产量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同比增长（%）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成品糖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334590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-0.10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冷冻水产品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10455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-41.20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发酵酒精（折96度，商品量）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千升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14464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-35.80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饮料酒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千升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13830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18.50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人造板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369180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6.00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其中：胶合板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118440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8.00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      纤维板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立方米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250740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5.10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甲醛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177460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48.10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合成复合肥料（实物量）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19347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-8.40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松香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19017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-0.30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松节油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2011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-4.00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中成药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19755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13.30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硅酸盐水泥熟料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4001438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-0.60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  其中：窑外分解窑水泥熟料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4001438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-0.60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水泥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吨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3758551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-1.40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砖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万块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7270 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 xml:space="preserve">-16.20 </w:t>
            </w:r>
          </w:p>
        </w:tc>
      </w:tr>
    </w:tbl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从企业效益看。全年规模以上工业企业实现主营业务收入469303万元，同比下降3.1%；分别实现利润总额、利税总额36950万元、58003万元，分别下降11.1%、5.8%；亏损企业亏损额1532万元，下降95.4%。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2015年，全县规模以上工业企业22家，其中产值超亿元企业13家，比上年增加1家。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2015年建筑业实现增加值19803万元，按可比价计算,比上年下降14%。</w:t>
      </w:r>
    </w:p>
    <w:p>
      <w:pPr>
        <w:widowControl/>
        <w:spacing w:line="520" w:lineRule="exact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宋体"/>
          <w:b/>
          <w:kern w:val="0"/>
          <w:sz w:val="32"/>
          <w:szCs w:val="32"/>
        </w:rPr>
        <w:t>　　</w:t>
      </w: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四、固定资产投资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2015年，全社会固定资产投资总额567755万元，同比增长11.2%。其中，固定资产投资（城镇+农村非农户）完成532408万元，同比增长11.9%；农村私人建房投资完成35347万元，同比增长0.5%。</w:t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181600" cy="2333625"/>
            <wp:effectExtent l="19050" t="0" r="19050" b="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drawing>
          <wp:inline distT="0" distB="0" distL="0" distR="0">
            <wp:extent cx="5181600" cy="2714625"/>
            <wp:effectExtent l="19050" t="0" r="19050" b="0"/>
            <wp:docPr id="7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>
      <w:pPr>
        <w:widowControl/>
        <w:shd w:val="clear" w:color="auto" w:fill="FFFFFF"/>
        <w:wordWrap w:val="0"/>
        <w:spacing w:line="52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在固定资产投资中，分管理渠道看，基本建设投资完成179098万元，同比下降4.5%；更新改造投资完成344924万元，同比增长23.8%，房地产开发投资完成8386万元，同比下降12.4%。分产业看，第一产业完成投资28835万元，增长33.7%；第二产业完成投资139400万元，增长25.9%；第三产业完成投资364173万元，增长6.1%。</w:t>
      </w:r>
    </w:p>
    <w:tbl>
      <w:tblPr>
        <w:tblStyle w:val="7"/>
        <w:tblW w:w="81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8"/>
        <w:gridCol w:w="1403"/>
        <w:gridCol w:w="15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2015年分行业固定资产投资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1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行（产）业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投资额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比上年增长%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532408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11.9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第一产业（农、林、牧、渔业）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28835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33.7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第二产业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139400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25.9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工业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139400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25.9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采矿业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8375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-22.4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制造业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116812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18.3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农副食品加工业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2429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-59.1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酒、饮料和精制茶制造业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13910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268.7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木材加工和木、竹、藤、棕、草制品业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23036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-45.6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化学原料和化学制品制造业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15586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52.8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医药制造业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5016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-57.7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非金属矿物制品业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56835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130.4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电力、热力、燃气及水生产和供应业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14213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1144.6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电力、热力生产和供应业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12777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1038.8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水的生产和供应业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1436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7080.0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建筑业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第三产业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364173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交通运输、仓储和邮政业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171700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22.6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道路运输业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170140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21.5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仓储业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1560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2014年为0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住宿和餐饮业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2389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-80.5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住宿业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1830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-75.0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餐饮业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559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-88.7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房地产业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28062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房地产业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28062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水利、环境和公共设施管理业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129000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-9.1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水利管理业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37934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-9.6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生态保护和环境治理业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9465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25.6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公共设施管理业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81601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-11.7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教育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-18.9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教育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4609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-18.9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卫生和社会工作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1256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2412.0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卫生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2014年为0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社会工作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1056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2012.0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文化、体育和娱乐业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20680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55.7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文化艺术业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7260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31.3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体育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10020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104.5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娱乐业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3400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19.3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公共管理、社会保障和社会组织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6477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66.6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国家机构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1977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163.6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基层群众自治组织</w:t>
            </w:r>
          </w:p>
        </w:tc>
        <w:tc>
          <w:tcPr>
            <w:tcW w:w="14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57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43.4 </w:t>
            </w:r>
          </w:p>
        </w:tc>
      </w:tr>
    </w:tbl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2015年，商品房销售面积3778平方米，同比下降56.6%。</w:t>
      </w:r>
    </w:p>
    <w:p>
      <w:pPr>
        <w:widowControl/>
        <w:spacing w:line="520" w:lineRule="exact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宋体" w:hAnsi="宋体" w:eastAsia="方正仿宋_GBK" w:cs="宋体"/>
          <w:kern w:val="0"/>
          <w:sz w:val="32"/>
          <w:szCs w:val="32"/>
        </w:rPr>
        <w:t> </w:t>
      </w:r>
      <w:r>
        <w:rPr>
          <w:rFonts w:hint="eastAsia" w:ascii="方正仿宋_GBK" w:hAnsi="Times New Roman" w:eastAsia="方正仿宋_GBK" w:cs="宋体"/>
          <w:b/>
          <w:kern w:val="0"/>
          <w:sz w:val="32"/>
          <w:szCs w:val="32"/>
        </w:rPr>
        <w:t>　</w:t>
      </w:r>
      <w:r>
        <w:rPr>
          <w:rFonts w:hint="eastAsia" w:ascii="方正小标宋简体" w:hAnsi="Times New Roman" w:eastAsia="方正小标宋简体" w:cs="宋体"/>
          <w:b/>
          <w:kern w:val="0"/>
          <w:sz w:val="32"/>
          <w:szCs w:val="32"/>
        </w:rPr>
        <w:t>　</w:t>
      </w: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五、国内贸易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2015年，全县实现社会消费品零售总额182513万元，同比增长10.3%。其中，按销售单位所在地分，城镇消费品零售额120874万元，增长10.4%，乡村消费品零售额61639万元，增长10.0%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jc w:val="center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ascii="方正仿宋_GBK" w:hAnsi="宋体" w:eastAsia="方正仿宋_GBK" w:cs="宋体"/>
          <w:kern w:val="0"/>
          <w:sz w:val="32"/>
          <w:szCs w:val="32"/>
        </w:rPr>
        <w:drawing>
          <wp:inline distT="0" distB="0" distL="0" distR="0">
            <wp:extent cx="5143500" cy="2314575"/>
            <wp:effectExtent l="19050" t="0" r="19050" b="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>
      <w:pPr>
        <w:widowControl/>
        <w:shd w:val="clear" w:color="auto" w:fill="FFFFFF"/>
        <w:jc w:val="center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ascii="方正仿宋_GBK" w:hAnsi="宋体" w:eastAsia="方正仿宋_GBK" w:cs="宋体"/>
          <w:kern w:val="0"/>
          <w:sz w:val="32"/>
          <w:szCs w:val="32"/>
        </w:rPr>
        <w:drawing>
          <wp:inline distT="0" distB="0" distL="0" distR="0">
            <wp:extent cx="5114925" cy="2828925"/>
            <wp:effectExtent l="19050" t="0" r="9525" b="0"/>
            <wp:docPr id="9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实现商品销售额327399万元，同比增长14.6%，其中，批发业实现销售额151663万元，同比增长9.4%；零售业实现销售额175736万元，同比增长19.5%。住宿和餐饮业分别实现营业额2802万元和28403万元，同比分别增长15.8%和16.2%。</w:t>
      </w:r>
    </w:p>
    <w:p>
      <w:pPr>
        <w:widowControl/>
        <w:spacing w:line="520" w:lineRule="exact"/>
        <w:ind w:firstLine="627" w:firstLineChars="196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六、交通、邮电、旅游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交通运输、仓储和邮政业实现增加值29980万元，比上年增长5%。公路水路客货运周转量79644.6万吨公里，增长3.4%；公路客运周转量16976.9万人公里，同比下降5.9%，公路货运周转量77946.9万吨公里，增长3.6%。全县公路通车里程1250.72公里，其中高速公路49.20公里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全年完成邮电业务总量28647万元，同比增长26.5%，其中邮政业务总量1269万元，同比增长14.3%；电信业务总量27378万元，同比增长27.2%。年末固定电话用户1.15万户，移动电话用户18.31万户，国际互联网用户3.55户。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末，上思县累计接待入境游客0.44万人次，同比增长8.5%；国内旅游人数141.28万人次，同比增长4.8%。累计入境收入820.34万元，增长7.0％；国内旅游收入9.71亿元，同比增长15.1%；2015年旅游总收入97920.34万元，同比增长15.0%。</w:t>
      </w:r>
    </w:p>
    <w:p>
      <w:pPr>
        <w:widowControl/>
        <w:shd w:val="clear" w:color="auto" w:fill="FFFFFF"/>
        <w:spacing w:line="520" w:lineRule="exact"/>
        <w:ind w:firstLine="627" w:firstLineChars="196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七、金融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2015年，金融业实现增加值16293万元，比上年增长15%。年末金融机构人民币存款余额490628万元，同比增长8.1%;其中住户存款余额296665万元，同比下降0.47%。金融机构人民币贷款余额288918万元，同比增长24.1%。</w:t>
      </w:r>
    </w:p>
    <w:p>
      <w:pPr>
        <w:widowControl/>
        <w:spacing w:line="520" w:lineRule="exact"/>
        <w:jc w:val="left"/>
        <w:rPr>
          <w:rFonts w:ascii="方正仿宋_GBK" w:hAnsi="Times New Roman" w:eastAsia="方正仿宋_GBK" w:cs="宋体"/>
          <w:kern w:val="0"/>
          <w:sz w:val="32"/>
          <w:szCs w:val="32"/>
        </w:rPr>
      </w:pPr>
      <w:r>
        <w:rPr>
          <w:rFonts w:hint="eastAsia" w:ascii="方正仿宋_GBK" w:hAnsi="Times New Roman" w:eastAsia="方正仿宋_GBK" w:cs="宋体"/>
          <w:b/>
          <w:kern w:val="0"/>
          <w:sz w:val="32"/>
          <w:szCs w:val="32"/>
        </w:rPr>
        <w:t>　</w:t>
      </w:r>
      <w:r>
        <w:rPr>
          <w:rFonts w:hint="eastAsia" w:ascii="方正仿宋_GBK" w:hAnsi="Times New Roman" w:eastAsia="方正仿宋_GBK" w:cs="宋体"/>
          <w:kern w:val="0"/>
          <w:sz w:val="32"/>
          <w:szCs w:val="32"/>
        </w:rPr>
        <w:t>　</w:t>
      </w:r>
    </w:p>
    <w:p>
      <w:pPr>
        <w:widowControl/>
        <w:spacing w:line="520" w:lineRule="exact"/>
        <w:ind w:firstLine="640" w:firstLineChars="200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八、教育、科技、文化、卫生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全年在校小学生19490人，小学专任教师1103人；普通中学在校学生11604人，普通中学专任教师646人；中等职业教育学校在校学生987人，中等职业教育学校专任教师35人；学龄儿童入学率99.6%。专业技术人员3365人，其中农业技术人员86人。全年专利授权32件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年末县级以上公共图书馆1个，剧场、影剧院1个，体育场馆1个。公共图书馆图书总藏量44.57千册。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年末全县共有医院卫生院数16个，疾病预防控制中心1所，卫生监督防治病机构1所，妇幼保健院（所、站）1所。全县医疗卫生机构床位总数为750张。全县医疗卫生机构技术人员835人，其中执业（助理）医师266人。</w:t>
      </w:r>
    </w:p>
    <w:p>
      <w:pPr>
        <w:widowControl/>
        <w:spacing w:line="520" w:lineRule="exact"/>
        <w:ind w:firstLine="640" w:firstLineChars="200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九、人民生活和社会保障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2015年，全县年末户籍人口24.41万人，比上年末增加0.24万元。年末常住人口24.60万人，比上年末增加0.22万人，其中城镇人口5.31万人。全年人口出生率12.32‰，人口死亡率3.22‰，人口自然生长率9.1‰。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2015年，农村居民人均纯收入8486元，比上年增长9.0%；城镇居民人均可支配收入18347元，比上年增长7.2%。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年末参加城乡基本养老保险 8.78 万人，比上年末增加0.42万人。参加城镇基本医疗保险7.21万人，比上年末增加0.09万人。参加失业保险1.08万人，比上年末增加 0.04万人。参加工伤保险2.13万人，比上年末增加0.33万人。参加生育保险1.44万人，比上年末增加0.02万人。</w:t>
      </w:r>
    </w:p>
    <w:p>
      <w:pPr>
        <w:widowControl/>
        <w:jc w:val="center"/>
        <w:rPr>
          <w:rFonts w:ascii="方正仿宋_GBK" w:hAnsi="宋体" w:eastAsia="方正仿宋_GBK" w:cs="宋体"/>
          <w:kern w:val="0"/>
          <w:sz w:val="32"/>
          <w:szCs w:val="32"/>
        </w:rPr>
      </w:pPr>
      <w:r>
        <w:rPr>
          <w:rFonts w:ascii="方正仿宋_GBK" w:hAnsi="宋体" w:eastAsia="方正仿宋_GBK" w:cs="宋体"/>
          <w:kern w:val="0"/>
          <w:sz w:val="32"/>
          <w:szCs w:val="32"/>
        </w:rPr>
        <w:drawing>
          <wp:inline distT="0" distB="0" distL="0" distR="0">
            <wp:extent cx="4962525" cy="2895600"/>
            <wp:effectExtent l="19050" t="0" r="9525" b="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>
      <w:pPr>
        <w:widowControl/>
        <w:jc w:val="center"/>
        <w:rPr>
          <w:rFonts w:hint="eastAsia" w:ascii="方正仿宋_GBK" w:hAnsi="宋体" w:eastAsia="方正仿宋_GBK" w:cs="宋体"/>
          <w:kern w:val="0"/>
          <w:sz w:val="32"/>
          <w:szCs w:val="32"/>
        </w:rPr>
      </w:pPr>
      <w:r>
        <w:rPr>
          <w:rFonts w:ascii="方正仿宋_GBK" w:hAnsi="宋体" w:eastAsia="方正仿宋_GBK" w:cs="宋体"/>
          <w:kern w:val="0"/>
          <w:sz w:val="32"/>
          <w:szCs w:val="32"/>
        </w:rPr>
        <w:drawing>
          <wp:inline distT="0" distB="0" distL="0" distR="0">
            <wp:extent cx="4886325" cy="3219450"/>
            <wp:effectExtent l="19050" t="0" r="9525" b="0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全年享受城镇最低生活保障的居民为7.13千人，比上年末下降0.15千人； 享受农村最低生活保障的农民为29.73千人，比上年末增加0.64千人。全年发放城镇居民最低生活保障金2310万元，同比增长0.95%；发放农村居民最低生活保障金4025万元，同比增长1.09%。</w:t>
      </w:r>
      <w:bookmarkStart w:id="0" w:name="_GoBack"/>
      <w:bookmarkEnd w:id="0"/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年末各类收养性社会福利单位（含社会福利院、光荣院、敬老院、五保村）14个；各种社会福利收养性单位床位数455张，收养各类人员272人。</w:t>
      </w:r>
    </w:p>
    <w:p>
      <w:pPr>
        <w:widowControl/>
        <w:spacing w:line="520" w:lineRule="exact"/>
        <w:ind w:firstLine="672" w:firstLineChars="210"/>
        <w:jc w:val="left"/>
        <w:rPr>
          <w:rFonts w:ascii="方正小标宋简体" w:hAnsi="Times New Roman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32"/>
          <w:szCs w:val="32"/>
        </w:rPr>
        <w:t>十、资源、环境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年末全县耕地面积58650公顷。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全年完成造林面积5880公顷。自然保护区面积38083公顷。全县森林面积156547公顷，森林覆盖率达55.61%。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全县垃圾处理站5个，污水处理厂1座，污水处理厂集中处理率为83.24%。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全年工业二氧化硫排放1476吨，氮氧化物排放5732吨，全年城区空气质量均达到优良以上。</w:t>
      </w:r>
    </w:p>
    <w:p>
      <w:pPr>
        <w:widowControl/>
        <w:spacing w:line="520" w:lineRule="exact"/>
        <w:ind w:firstLine="640" w:firstLineChars="200"/>
        <w:jc w:val="left"/>
        <w:rPr>
          <w:rFonts w:ascii="方正仿宋_GBK" w:hAnsi="宋体" w:eastAsia="方正仿宋_GBK" w:cs="宋体"/>
          <w:kern w:val="0"/>
          <w:sz w:val="32"/>
          <w:szCs w:val="32"/>
        </w:rPr>
      </w:pPr>
    </w:p>
    <w:p>
      <w:pPr>
        <w:widowControl/>
        <w:spacing w:line="520" w:lineRule="exact"/>
        <w:ind w:firstLine="480" w:firstLineChars="200"/>
        <w:jc w:val="left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注：</w:t>
      </w:r>
    </w:p>
    <w:p>
      <w:pPr>
        <w:widowControl/>
        <w:spacing w:line="520" w:lineRule="exact"/>
        <w:ind w:firstLine="480" w:firstLineChars="200"/>
        <w:jc w:val="left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1. 本公报中数据均为初步统计数，正式数据以《防城港市统计年鉴（2016）》为准。</w:t>
      </w:r>
    </w:p>
    <w:p>
      <w:pPr>
        <w:widowControl/>
        <w:spacing w:line="520" w:lineRule="exact"/>
        <w:ind w:firstLine="480" w:firstLineChars="200"/>
        <w:jc w:val="left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2. 地区生产总值、各产业增加值、人均GDP、农林牧渔业总产值及其分项绝对数按当年价格计算，增长速度按可比价格计算。</w:t>
      </w:r>
    </w:p>
    <w:p>
      <w:pPr>
        <w:widowControl/>
        <w:spacing w:line="520" w:lineRule="exact"/>
        <w:ind w:firstLine="480" w:firstLineChars="200"/>
        <w:jc w:val="left"/>
        <w:rPr>
          <w:rFonts w:hint="eastAsia"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3. 常住人口是指在上思县居住半年以上的人口，以及户口在上思县、外出上思县不满半年或在境外工作学习的人口。</w:t>
      </w:r>
    </w:p>
    <w:p>
      <w:pPr>
        <w:widowControl/>
        <w:spacing w:line="520" w:lineRule="exact"/>
        <w:ind w:firstLine="480" w:firstLineChars="200"/>
        <w:jc w:val="left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4、邮电业务总量按2010年不变价格计算。</w:t>
      </w:r>
    </w:p>
    <w:p>
      <w:pPr>
        <w:widowControl/>
        <w:spacing w:line="520" w:lineRule="exact"/>
        <w:ind w:firstLine="480" w:firstLineChars="200"/>
        <w:jc w:val="left"/>
        <w:rPr>
          <w:rFonts w:ascii="方正小标宋简体" w:hAnsi="宋体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5. 部分数据因四舍五入原因，存在与分项合计不等情况。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8610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18</w:t>
        </w:r>
        <w:r>
          <w:rPr>
            <w:sz w:val="21"/>
            <w:szCs w:val="21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C77"/>
    <w:rsid w:val="0000647C"/>
    <w:rsid w:val="0001090E"/>
    <w:rsid w:val="000257C7"/>
    <w:rsid w:val="00047B64"/>
    <w:rsid w:val="0006179C"/>
    <w:rsid w:val="00062AD6"/>
    <w:rsid w:val="00073F2D"/>
    <w:rsid w:val="000A4E84"/>
    <w:rsid w:val="000B3523"/>
    <w:rsid w:val="000B78B4"/>
    <w:rsid w:val="000C7B88"/>
    <w:rsid w:val="000E2A2C"/>
    <w:rsid w:val="000E5ED7"/>
    <w:rsid w:val="000F141C"/>
    <w:rsid w:val="000F7923"/>
    <w:rsid w:val="00104F0E"/>
    <w:rsid w:val="0011583F"/>
    <w:rsid w:val="00121390"/>
    <w:rsid w:val="00127FC6"/>
    <w:rsid w:val="00134277"/>
    <w:rsid w:val="00137FAA"/>
    <w:rsid w:val="00143E08"/>
    <w:rsid w:val="00166B76"/>
    <w:rsid w:val="001901AF"/>
    <w:rsid w:val="001958B1"/>
    <w:rsid w:val="001C3E6B"/>
    <w:rsid w:val="001D3A57"/>
    <w:rsid w:val="00202901"/>
    <w:rsid w:val="00211A7F"/>
    <w:rsid w:val="00220726"/>
    <w:rsid w:val="002540A9"/>
    <w:rsid w:val="00271020"/>
    <w:rsid w:val="00295BF6"/>
    <w:rsid w:val="002A2EA0"/>
    <w:rsid w:val="002A4062"/>
    <w:rsid w:val="002B0A8C"/>
    <w:rsid w:val="002E648A"/>
    <w:rsid w:val="003003F2"/>
    <w:rsid w:val="00306B40"/>
    <w:rsid w:val="00344A94"/>
    <w:rsid w:val="00347F4B"/>
    <w:rsid w:val="00352A6C"/>
    <w:rsid w:val="0035573C"/>
    <w:rsid w:val="0038067E"/>
    <w:rsid w:val="00384A05"/>
    <w:rsid w:val="00390952"/>
    <w:rsid w:val="003B3DD6"/>
    <w:rsid w:val="003B4315"/>
    <w:rsid w:val="003C5545"/>
    <w:rsid w:val="003C6DC8"/>
    <w:rsid w:val="003D7798"/>
    <w:rsid w:val="0042523C"/>
    <w:rsid w:val="004329E5"/>
    <w:rsid w:val="004521E6"/>
    <w:rsid w:val="004639EB"/>
    <w:rsid w:val="004723E6"/>
    <w:rsid w:val="004946E9"/>
    <w:rsid w:val="004A05FC"/>
    <w:rsid w:val="004A6DF7"/>
    <w:rsid w:val="004B3D7C"/>
    <w:rsid w:val="004C11C9"/>
    <w:rsid w:val="004C4431"/>
    <w:rsid w:val="004E4D9A"/>
    <w:rsid w:val="004E5C77"/>
    <w:rsid w:val="005004F0"/>
    <w:rsid w:val="0050397B"/>
    <w:rsid w:val="005316D6"/>
    <w:rsid w:val="0053426C"/>
    <w:rsid w:val="00535E3C"/>
    <w:rsid w:val="005442A5"/>
    <w:rsid w:val="00570D7C"/>
    <w:rsid w:val="00587448"/>
    <w:rsid w:val="005B6C57"/>
    <w:rsid w:val="005C65C4"/>
    <w:rsid w:val="005C6D12"/>
    <w:rsid w:val="005D4A34"/>
    <w:rsid w:val="005F2D9E"/>
    <w:rsid w:val="00605B97"/>
    <w:rsid w:val="00643C56"/>
    <w:rsid w:val="006449B5"/>
    <w:rsid w:val="006562A3"/>
    <w:rsid w:val="006935D7"/>
    <w:rsid w:val="006A44F3"/>
    <w:rsid w:val="006B278F"/>
    <w:rsid w:val="006D559D"/>
    <w:rsid w:val="006F61B8"/>
    <w:rsid w:val="007043C0"/>
    <w:rsid w:val="0071009D"/>
    <w:rsid w:val="00712042"/>
    <w:rsid w:val="00721AA2"/>
    <w:rsid w:val="007270D1"/>
    <w:rsid w:val="007355BB"/>
    <w:rsid w:val="00736A69"/>
    <w:rsid w:val="007C3919"/>
    <w:rsid w:val="007F0A7D"/>
    <w:rsid w:val="007F74E3"/>
    <w:rsid w:val="00817935"/>
    <w:rsid w:val="008567E1"/>
    <w:rsid w:val="00872252"/>
    <w:rsid w:val="0087400B"/>
    <w:rsid w:val="00876622"/>
    <w:rsid w:val="008819A4"/>
    <w:rsid w:val="00904778"/>
    <w:rsid w:val="00914203"/>
    <w:rsid w:val="00914AA4"/>
    <w:rsid w:val="0091538E"/>
    <w:rsid w:val="009327E1"/>
    <w:rsid w:val="009439D5"/>
    <w:rsid w:val="0094643A"/>
    <w:rsid w:val="009902B2"/>
    <w:rsid w:val="009A09F9"/>
    <w:rsid w:val="009A69ED"/>
    <w:rsid w:val="009D5FD8"/>
    <w:rsid w:val="009D6ACC"/>
    <w:rsid w:val="009E5527"/>
    <w:rsid w:val="00A1390E"/>
    <w:rsid w:val="00A149DF"/>
    <w:rsid w:val="00A2261F"/>
    <w:rsid w:val="00A240F4"/>
    <w:rsid w:val="00A35EC7"/>
    <w:rsid w:val="00A45207"/>
    <w:rsid w:val="00A50552"/>
    <w:rsid w:val="00A507C5"/>
    <w:rsid w:val="00A50D88"/>
    <w:rsid w:val="00A529D3"/>
    <w:rsid w:val="00A647F6"/>
    <w:rsid w:val="00A70AD0"/>
    <w:rsid w:val="00A95A1A"/>
    <w:rsid w:val="00A95A3D"/>
    <w:rsid w:val="00A964E6"/>
    <w:rsid w:val="00A97A55"/>
    <w:rsid w:val="00AA6EE3"/>
    <w:rsid w:val="00AC38F2"/>
    <w:rsid w:val="00AC703C"/>
    <w:rsid w:val="00AD17F8"/>
    <w:rsid w:val="00AE6469"/>
    <w:rsid w:val="00AF7236"/>
    <w:rsid w:val="00AF764A"/>
    <w:rsid w:val="00B017D0"/>
    <w:rsid w:val="00B54DD5"/>
    <w:rsid w:val="00B97384"/>
    <w:rsid w:val="00BC0162"/>
    <w:rsid w:val="00BC3DF9"/>
    <w:rsid w:val="00C10283"/>
    <w:rsid w:val="00C1691D"/>
    <w:rsid w:val="00C46C15"/>
    <w:rsid w:val="00C6043C"/>
    <w:rsid w:val="00C93088"/>
    <w:rsid w:val="00C9379E"/>
    <w:rsid w:val="00CA466B"/>
    <w:rsid w:val="00CA5583"/>
    <w:rsid w:val="00CB0111"/>
    <w:rsid w:val="00CC4310"/>
    <w:rsid w:val="00CD17E7"/>
    <w:rsid w:val="00CE1BDF"/>
    <w:rsid w:val="00CE316E"/>
    <w:rsid w:val="00D11DC7"/>
    <w:rsid w:val="00D23E32"/>
    <w:rsid w:val="00D26C25"/>
    <w:rsid w:val="00D3067F"/>
    <w:rsid w:val="00D53753"/>
    <w:rsid w:val="00D728FB"/>
    <w:rsid w:val="00D77646"/>
    <w:rsid w:val="00D9503E"/>
    <w:rsid w:val="00DB71A8"/>
    <w:rsid w:val="00DC60EC"/>
    <w:rsid w:val="00DC74D0"/>
    <w:rsid w:val="00DD6EC2"/>
    <w:rsid w:val="00DE2A79"/>
    <w:rsid w:val="00DE5C1A"/>
    <w:rsid w:val="00DE6E57"/>
    <w:rsid w:val="00E11BBD"/>
    <w:rsid w:val="00E13354"/>
    <w:rsid w:val="00E163F7"/>
    <w:rsid w:val="00E215DB"/>
    <w:rsid w:val="00E2206F"/>
    <w:rsid w:val="00E27A91"/>
    <w:rsid w:val="00E4239B"/>
    <w:rsid w:val="00E4421C"/>
    <w:rsid w:val="00E4707E"/>
    <w:rsid w:val="00E5397F"/>
    <w:rsid w:val="00E72C54"/>
    <w:rsid w:val="00E83D97"/>
    <w:rsid w:val="00E87DA3"/>
    <w:rsid w:val="00E90E05"/>
    <w:rsid w:val="00ED7C43"/>
    <w:rsid w:val="00EE37F2"/>
    <w:rsid w:val="00EF5154"/>
    <w:rsid w:val="00F14281"/>
    <w:rsid w:val="00F23EAC"/>
    <w:rsid w:val="00F31F88"/>
    <w:rsid w:val="00F425ED"/>
    <w:rsid w:val="00F53041"/>
    <w:rsid w:val="00F62260"/>
    <w:rsid w:val="00F667DC"/>
    <w:rsid w:val="00F66F4F"/>
    <w:rsid w:val="00F7006D"/>
    <w:rsid w:val="00F835FB"/>
    <w:rsid w:val="00F90E78"/>
    <w:rsid w:val="00F93005"/>
    <w:rsid w:val="00FB5AD0"/>
    <w:rsid w:val="00FC2426"/>
    <w:rsid w:val="00FC6F32"/>
    <w:rsid w:val="00FC7C6D"/>
    <w:rsid w:val="00FE6424"/>
    <w:rsid w:val="032C776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sz w:val="18"/>
      <w:szCs w:val="18"/>
      <w:u w:val="non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chart" Target="charts/chart13.xml"/><Relationship Id="rId16" Type="http://schemas.openxmlformats.org/officeDocument/2006/relationships/chart" Target="charts/chart12.xml"/><Relationship Id="rId15" Type="http://schemas.openxmlformats.org/officeDocument/2006/relationships/chart" Target="charts/chart11.xml"/><Relationship Id="rId14" Type="http://schemas.openxmlformats.org/officeDocument/2006/relationships/chart" Target="charts/chart10.xml"/><Relationship Id="rId13" Type="http://schemas.openxmlformats.org/officeDocument/2006/relationships/chart" Target="charts/chart9.xml"/><Relationship Id="rId12" Type="http://schemas.openxmlformats.org/officeDocument/2006/relationships/chart" Target="charts/chart8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0844;&#25253;\&#20844;&#25253;&#25968;&#2545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2011</a:t>
            </a:r>
            <a:r>
              <a:rPr lang="zh-CN" altLang="en-US" sz="1200"/>
              <a:t>年</a:t>
            </a:r>
            <a:r>
              <a:rPr lang="en-US" altLang="zh-CN" sz="1200"/>
              <a:t>-2015</a:t>
            </a:r>
            <a:r>
              <a:rPr lang="zh-CN" altLang="en-US" sz="1200"/>
              <a:t>年地区生产总值及其增长速度</a:t>
            </a:r>
            <a:endParaRPr lang="zh-CN" alt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总量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0.00732600732600737"/>
                  <c:y val="0.014084507042253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Sheet1!$B$5:$B$9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Sheet1!$C$5:$C$9</c:f>
              <c:numCache>
                <c:formatCode>General</c:formatCode>
                <c:ptCount val="5"/>
                <c:pt idx="0">
                  <c:v>550990</c:v>
                </c:pt>
                <c:pt idx="1">
                  <c:v>589657</c:v>
                </c:pt>
                <c:pt idx="2">
                  <c:v>629631</c:v>
                </c:pt>
                <c:pt idx="3">
                  <c:v>640828</c:v>
                </c:pt>
                <c:pt idx="4">
                  <c:v>695525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8099456"/>
        <c:axId val="88101248"/>
      </c:barChart>
      <c:lineChart>
        <c:grouping val="standard"/>
        <c:varyColors val="0"/>
        <c:ser>
          <c:idx val="1"/>
          <c:order val="1"/>
          <c:tx>
            <c:strRef>
              <c:f>Sheet1!$D$4</c:f>
              <c:strCache>
                <c:ptCount val="1"/>
                <c:pt idx="0">
                  <c:v>增速</c:v>
                </c:pt>
              </c:strCache>
            </c:strRef>
          </c:tx>
          <c:dLbls>
            <c:dLbl>
              <c:idx val="0"/>
              <c:layout>
                <c:manualLayout>
                  <c:x val="-0.040251572327044"/>
                  <c:y val="-0.05633802816901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50943396226415"/>
                  <c:y val="-0.02816901408450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Sheet1!$B$5:$B$9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Sheet1!$D$5:$D$9</c:f>
              <c:numCache>
                <c:formatCode>General</c:formatCode>
                <c:ptCount val="5"/>
                <c:pt idx="0">
                  <c:v>12.5</c:v>
                </c:pt>
                <c:pt idx="1">
                  <c:v>14.1</c:v>
                </c:pt>
                <c:pt idx="2">
                  <c:v>7.7</c:v>
                </c:pt>
                <c:pt idx="3">
                  <c:v>4.9</c:v>
                </c:pt>
                <c:pt idx="4">
                  <c:v>5.4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107264"/>
        <c:axId val="88103936"/>
      </c:lineChart>
      <c:catAx>
        <c:axId val="880994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01248"/>
        <c:crosses val="autoZero"/>
        <c:auto val="1"/>
        <c:lblAlgn val="ctr"/>
        <c:lblOffset val="100"/>
        <c:noMultiLvlLbl val="0"/>
      </c:catAx>
      <c:valAx>
        <c:axId val="8810124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万元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987840891546324"/>
              <c:y val="0.047466096940777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099456"/>
        <c:crosses val="autoZero"/>
        <c:crossBetween val="between"/>
      </c:valAx>
      <c:catAx>
        <c:axId val="88107264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03936"/>
        <c:crosses val="autoZero"/>
        <c:auto val="1"/>
        <c:lblAlgn val="ctr"/>
        <c:lblOffset val="100"/>
        <c:noMultiLvlLbl val="0"/>
      </c:catAx>
      <c:valAx>
        <c:axId val="88103936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98849804578458"/>
              <c:y val="0.070083682637703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07264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2015</a:t>
            </a:r>
            <a:r>
              <a:rPr lang="zh-CN" altLang="en-US" sz="1200"/>
              <a:t>年全县社会消费品零售总额累计增速（同比）</a:t>
            </a:r>
            <a:endParaRPr lang="zh-CN" altLang="en-US" sz="1200"/>
          </a:p>
        </c:rich>
      </c:tx>
      <c:layout>
        <c:manualLayout>
          <c:xMode val="edge"/>
          <c:yMode val="edge"/>
          <c:x val="0.137648525397251"/>
          <c:y val="0.0338983050847458"/>
        </c:manualLayout>
      </c:layout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Sheet1!$C$95</c:f>
              <c:strCache>
                <c:ptCount val="1"/>
                <c:pt idx="0">
                  <c:v>增速</c:v>
                </c:pt>
              </c:strCache>
            </c:strRef>
          </c:tx>
          <c:dLbls>
            <c:dLbl>
              <c:idx val="0"/>
              <c:layout>
                <c:manualLayout>
                  <c:x val="-0.0388888888888889"/>
                  <c:y val="-0.06481481481481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5"/>
                  <c:y val="-0.06018518518518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5"/>
                  <c:y val="-0.07407407407407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722222222222224"/>
                  <c:y val="-0.06018518518518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Sheet1!$B$96:$B$99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Sheet1!$C$96:$C$99</c:f>
              <c:numCache>
                <c:formatCode>0.0_ </c:formatCode>
                <c:ptCount val="4"/>
                <c:pt idx="0">
                  <c:v>8</c:v>
                </c:pt>
                <c:pt idx="1">
                  <c:v>8.1</c:v>
                </c:pt>
                <c:pt idx="2">
                  <c:v>8.7</c:v>
                </c:pt>
                <c:pt idx="3">
                  <c:v>10.3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347392"/>
        <c:axId val="88348928"/>
      </c:lineChart>
      <c:catAx>
        <c:axId val="883473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48928"/>
        <c:crosses val="autoZero"/>
        <c:auto val="1"/>
        <c:lblAlgn val="ctr"/>
        <c:lblOffset val="100"/>
        <c:noMultiLvlLbl val="0"/>
      </c:catAx>
      <c:valAx>
        <c:axId val="88348928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85131312493754"/>
              <c:y val="0.0954321811468481"/>
            </c:manualLayout>
          </c:layout>
          <c:overlay val="0"/>
        </c:title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4739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100"/>
              <a:t>2011</a:t>
            </a:r>
            <a:r>
              <a:rPr lang="zh-CN" altLang="en-US" sz="1100"/>
              <a:t>年</a:t>
            </a:r>
            <a:r>
              <a:rPr lang="en-US" altLang="zh-CN" sz="1100"/>
              <a:t>-2015</a:t>
            </a:r>
            <a:r>
              <a:rPr lang="zh-CN" altLang="en-US" sz="1100"/>
              <a:t>年社会消费品零售总额及其增长速度</a:t>
            </a:r>
            <a:endParaRPr lang="zh-CN" altLang="en-US" sz="1100"/>
          </a:p>
        </c:rich>
      </c:tx>
      <c:layout>
        <c:manualLayout>
          <c:xMode val="edge"/>
          <c:yMode val="edge"/>
          <c:x val="0.232740418941885"/>
          <c:y val="0.0309730848861284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Sheet1!$C$101</c:f>
              <c:strCache>
                <c:ptCount val="1"/>
                <c:pt idx="0">
                  <c:v>社会消费品零售总额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Sheet1!$B$102:$B$106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Sheet1!$C$102:$C$106</c:f>
              <c:numCache>
                <c:formatCode>0_ </c:formatCode>
                <c:ptCount val="5"/>
                <c:pt idx="0">
                  <c:v>112006</c:v>
                </c:pt>
                <c:pt idx="1">
                  <c:v>130063</c:v>
                </c:pt>
                <c:pt idx="2">
                  <c:v>147442</c:v>
                </c:pt>
                <c:pt idx="3">
                  <c:v>165470</c:v>
                </c:pt>
                <c:pt idx="4">
                  <c:v>182513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8363776"/>
        <c:axId val="88365312"/>
      </c:barChart>
      <c:lineChart>
        <c:grouping val="standard"/>
        <c:varyColors val="0"/>
        <c:ser>
          <c:idx val="1"/>
          <c:order val="1"/>
          <c:tx>
            <c:strRef>
              <c:f>Sheet1!$D$101</c:f>
              <c:strCache>
                <c:ptCount val="1"/>
                <c:pt idx="0">
                  <c:v>增速</c:v>
                </c:pt>
              </c:strCache>
            </c:strRef>
          </c:tx>
          <c:dLbls>
            <c:dLbl>
              <c:idx val="2"/>
              <c:layout>
                <c:manualLayout>
                  <c:x val="0"/>
                  <c:y val="0.048014773776546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Sheet1!$B$102:$B$106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Sheet1!$D$102:$D$106</c:f>
              <c:numCache>
                <c:formatCode>General</c:formatCode>
                <c:ptCount val="5"/>
                <c:pt idx="0">
                  <c:v>18.3</c:v>
                </c:pt>
                <c:pt idx="1">
                  <c:v>16.1</c:v>
                </c:pt>
                <c:pt idx="2">
                  <c:v>13.4</c:v>
                </c:pt>
                <c:pt idx="3">
                  <c:v>12.2</c:v>
                </c:pt>
                <c:pt idx="4">
                  <c:v>10.3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377600"/>
        <c:axId val="88375680"/>
      </c:lineChart>
      <c:catAx>
        <c:axId val="883637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65312"/>
        <c:crosses val="autoZero"/>
        <c:auto val="1"/>
        <c:lblAlgn val="ctr"/>
        <c:lblOffset val="100"/>
        <c:noMultiLvlLbl val="0"/>
      </c:catAx>
      <c:valAx>
        <c:axId val="88365312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万元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03468547912993"/>
              <c:y val="0.0537372856093819"/>
            </c:manualLayout>
          </c:layout>
          <c:overlay val="0"/>
        </c:title>
        <c:numFmt formatCode="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63776"/>
        <c:crosses val="autoZero"/>
        <c:crossBetween val="between"/>
      </c:valAx>
      <c:catAx>
        <c:axId val="8837760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75680"/>
        <c:crosses val="autoZero"/>
        <c:auto val="1"/>
        <c:lblAlgn val="ctr"/>
        <c:lblOffset val="100"/>
        <c:noMultiLvlLbl val="0"/>
      </c:catAx>
      <c:valAx>
        <c:axId val="88375680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86443268665491"/>
              <c:y val="0.055205356948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77600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2011</a:t>
            </a:r>
            <a:r>
              <a:rPr lang="zh-CN" altLang="en-US" sz="1200"/>
              <a:t>年</a:t>
            </a:r>
            <a:r>
              <a:rPr lang="en-US" altLang="zh-CN" sz="1200"/>
              <a:t>-2015</a:t>
            </a:r>
            <a:r>
              <a:rPr lang="zh-CN" altLang="en-US" sz="1200"/>
              <a:t>年农民人均纯收入及其增速</a:t>
            </a:r>
            <a:endParaRPr lang="zh-CN" alt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Sheet1!$C$109</c:f>
              <c:strCache>
                <c:ptCount val="1"/>
                <c:pt idx="0">
                  <c:v>农民人均纯收入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Sheet1!$B$110:$B$114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Sheet1!$C$110:$C$114</c:f>
              <c:numCache>
                <c:formatCode>0_ </c:formatCode>
                <c:ptCount val="5"/>
                <c:pt idx="0">
                  <c:v>5414</c:v>
                </c:pt>
                <c:pt idx="1">
                  <c:v>6274</c:v>
                </c:pt>
                <c:pt idx="2">
                  <c:v>7090</c:v>
                </c:pt>
                <c:pt idx="3">
                  <c:v>7785</c:v>
                </c:pt>
                <c:pt idx="4">
                  <c:v>8486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8392448"/>
        <c:axId val="88393984"/>
      </c:barChart>
      <c:lineChart>
        <c:grouping val="standard"/>
        <c:varyColors val="0"/>
        <c:ser>
          <c:idx val="1"/>
          <c:order val="1"/>
          <c:tx>
            <c:strRef>
              <c:f>Sheet1!$D$109</c:f>
              <c:strCache>
                <c:ptCount val="1"/>
                <c:pt idx="0">
                  <c:v>增速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Sheet1!$B$110:$B$114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Sheet1!$D$110:$D$114</c:f>
              <c:numCache>
                <c:formatCode>General</c:formatCode>
                <c:ptCount val="5"/>
                <c:pt idx="0">
                  <c:v>15.6</c:v>
                </c:pt>
                <c:pt idx="1">
                  <c:v>15.9</c:v>
                </c:pt>
                <c:pt idx="2">
                  <c:v>13</c:v>
                </c:pt>
                <c:pt idx="3">
                  <c:v>9.8</c:v>
                </c:pt>
                <c:pt idx="4">
                  <c:v>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418560"/>
        <c:axId val="88416640"/>
      </c:lineChart>
      <c:catAx>
        <c:axId val="883924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93984"/>
        <c:crosses val="autoZero"/>
        <c:auto val="1"/>
        <c:lblAlgn val="ctr"/>
        <c:lblOffset val="100"/>
        <c:noMultiLvlLbl val="0"/>
      </c:catAx>
      <c:valAx>
        <c:axId val="88393984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944444444444445"/>
              <c:y val="0.0656222659667541"/>
            </c:manualLayout>
          </c:layout>
          <c:overlay val="0"/>
        </c:title>
        <c:numFmt formatCode="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392448"/>
        <c:crosses val="autoZero"/>
        <c:crossBetween val="between"/>
      </c:valAx>
      <c:catAx>
        <c:axId val="8841856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416640"/>
        <c:crosses val="autoZero"/>
        <c:auto val="1"/>
        <c:lblAlgn val="ctr"/>
        <c:lblOffset val="100"/>
        <c:noMultiLvlLbl val="0"/>
      </c:catAx>
      <c:valAx>
        <c:axId val="88416640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8"/>
              <c:y val="0.060992636337124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418560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2011</a:t>
            </a:r>
            <a:r>
              <a:rPr lang="zh-CN" altLang="en-US" sz="1200"/>
              <a:t>年</a:t>
            </a:r>
            <a:r>
              <a:rPr lang="en-US" altLang="zh-CN" sz="1200"/>
              <a:t>-2015</a:t>
            </a:r>
            <a:r>
              <a:rPr lang="zh-CN" altLang="en-US" sz="1200"/>
              <a:t>年城镇居民人均可支配收入及其增速</a:t>
            </a:r>
            <a:endParaRPr lang="zh-CN" alt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Sheet1!$C$117</c:f>
              <c:strCache>
                <c:ptCount val="1"/>
                <c:pt idx="0">
                  <c:v>城镇居民人均可支配收入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Sheet1!$B$118:$B$122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Sheet1!$C$118:$C$122</c:f>
              <c:numCache>
                <c:formatCode>0_ </c:formatCode>
                <c:ptCount val="5"/>
                <c:pt idx="0">
                  <c:v>12934</c:v>
                </c:pt>
                <c:pt idx="1">
                  <c:v>14567</c:v>
                </c:pt>
                <c:pt idx="2">
                  <c:v>15951</c:v>
                </c:pt>
                <c:pt idx="3">
                  <c:v>17115</c:v>
                </c:pt>
                <c:pt idx="4">
                  <c:v>18347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8433408"/>
        <c:axId val="88434944"/>
      </c:barChart>
      <c:lineChart>
        <c:grouping val="standard"/>
        <c:varyColors val="0"/>
        <c:ser>
          <c:idx val="1"/>
          <c:order val="1"/>
          <c:tx>
            <c:strRef>
              <c:f>Sheet1!$D$117</c:f>
              <c:strCache>
                <c:ptCount val="1"/>
                <c:pt idx="0">
                  <c:v>增速</c:v>
                </c:pt>
              </c:strCache>
            </c:strRef>
          </c:tx>
          <c:dLbls>
            <c:dLbl>
              <c:idx val="0"/>
              <c:layout>
                <c:manualLayout>
                  <c:x val="-0.0701754385964912"/>
                  <c:y val="-0.0473372781065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Sheet1!$B$118:$B$122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Sheet1!$D$118:$D$122</c:f>
              <c:numCache>
                <c:formatCode>General</c:formatCode>
                <c:ptCount val="5"/>
                <c:pt idx="0">
                  <c:v>10.4</c:v>
                </c:pt>
                <c:pt idx="1">
                  <c:v>12.6</c:v>
                </c:pt>
                <c:pt idx="2">
                  <c:v>9.5</c:v>
                </c:pt>
                <c:pt idx="3">
                  <c:v>7.3</c:v>
                </c:pt>
                <c:pt idx="4">
                  <c:v>7.2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447232"/>
        <c:axId val="88445312"/>
      </c:lineChart>
      <c:catAx>
        <c:axId val="884334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434944"/>
        <c:crosses val="autoZero"/>
        <c:auto val="1"/>
        <c:lblAlgn val="ctr"/>
        <c:lblOffset val="100"/>
        <c:noMultiLvlLbl val="0"/>
      </c:catAx>
      <c:valAx>
        <c:axId val="88434944"/>
        <c:scaling>
          <c:orientation val="minMax"/>
        </c:scaling>
        <c:delete val="0"/>
        <c:axPos val="l"/>
        <c:majorGridlines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03768783288054"/>
              <c:y val="0.0623622047244096"/>
            </c:manualLayout>
          </c:layout>
          <c:overlay val="0"/>
        </c:title>
        <c:numFmt formatCode="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433408"/>
        <c:crosses val="autoZero"/>
        <c:crossBetween val="between"/>
      </c:valAx>
      <c:catAx>
        <c:axId val="8844723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445312"/>
        <c:crosses val="autoZero"/>
        <c:auto val="1"/>
        <c:lblAlgn val="ctr"/>
        <c:lblOffset val="100"/>
        <c:noMultiLvlLbl val="0"/>
      </c:catAx>
      <c:valAx>
        <c:axId val="88445312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82527777777778"/>
              <c:y val="0.072092082239720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447232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2015</a:t>
            </a:r>
            <a:r>
              <a:rPr lang="zh-CN" altLang="en-US"/>
              <a:t>年地区生产总值结构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1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Sheet1!$B$14:$B$16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Sheet1!$C$14:$C$16</c:f>
              <c:numCache>
                <c:formatCode>0.0%</c:formatCode>
                <c:ptCount val="3"/>
                <c:pt idx="0">
                  <c:v>0.266</c:v>
                </c:pt>
                <c:pt idx="1">
                  <c:v>0.471</c:v>
                </c:pt>
                <c:pt idx="2">
                  <c:v>0.263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400"/>
              <a:t>2011</a:t>
            </a:r>
            <a:r>
              <a:rPr lang="zh-CN" altLang="en-US" sz="1400"/>
              <a:t>年</a:t>
            </a:r>
            <a:r>
              <a:rPr lang="en-US" altLang="zh-CN" sz="1400"/>
              <a:t>-2015</a:t>
            </a:r>
            <a:r>
              <a:rPr lang="zh-CN" altLang="en-US" sz="1400"/>
              <a:t>年财政收入及其增长速度</a:t>
            </a:r>
            <a:endParaRPr lang="zh-CN" altLang="en-US" sz="14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Sheet1!$C$16</c:f>
              <c:strCache>
                <c:ptCount val="1"/>
                <c:pt idx="0">
                  <c:v>财政收入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0.00718132854578094"/>
                  <c:y val="0.021097046413502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Sheet1!$B$17:$B$21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Sheet1!$C$17:$C$21</c:f>
              <c:numCache>
                <c:formatCode>General</c:formatCode>
                <c:ptCount val="5"/>
                <c:pt idx="0">
                  <c:v>51701</c:v>
                </c:pt>
                <c:pt idx="1">
                  <c:v>62066</c:v>
                </c:pt>
                <c:pt idx="2">
                  <c:v>69688</c:v>
                </c:pt>
                <c:pt idx="3">
                  <c:v>75970</c:v>
                </c:pt>
                <c:pt idx="4">
                  <c:v>82083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8164608"/>
        <c:axId val="88178688"/>
      </c:barChart>
      <c:lineChart>
        <c:grouping val="standard"/>
        <c:varyColors val="0"/>
        <c:ser>
          <c:idx val="1"/>
          <c:order val="1"/>
          <c:tx>
            <c:strRef>
              <c:f>Sheet1!$D$16</c:f>
              <c:strCache>
                <c:ptCount val="1"/>
                <c:pt idx="0">
                  <c:v>增速</c:v>
                </c:pt>
              </c:strCache>
            </c:strRef>
          </c:tx>
          <c:dLbls>
            <c:dLbl>
              <c:idx val="0"/>
              <c:layout>
                <c:manualLayout>
                  <c:x val="-0.0177777777777778"/>
                  <c:y val="-0.04796163069544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01589301337333"/>
                  <c:y val="-0.04316546762589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en-US"/>
                      <a:t>9.0</a:t>
                    </a:r>
                    <a:endParaRPr lang="en-US" alt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Sheet1!$B$17:$B$21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Sheet1!$D$17:$D$21</c:f>
              <c:numCache>
                <c:formatCode>General</c:formatCode>
                <c:ptCount val="5"/>
                <c:pt idx="0">
                  <c:v>17.7</c:v>
                </c:pt>
                <c:pt idx="1">
                  <c:v>20.1</c:v>
                </c:pt>
                <c:pt idx="2">
                  <c:v>12.3</c:v>
                </c:pt>
                <c:pt idx="3">
                  <c:v>9</c:v>
                </c:pt>
                <c:pt idx="4">
                  <c:v>8.1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8183936"/>
        <c:axId val="88181376"/>
      </c:lineChart>
      <c:catAx>
        <c:axId val="881646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78688"/>
        <c:crosses val="autoZero"/>
        <c:auto val="1"/>
        <c:lblAlgn val="ctr"/>
        <c:lblOffset val="100"/>
        <c:noMultiLvlLbl val="0"/>
      </c:catAx>
      <c:valAx>
        <c:axId val="8817868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万元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02915951972556"/>
              <c:y val="0.06289386082837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64608"/>
        <c:crosses val="autoZero"/>
        <c:crossBetween val="between"/>
      </c:valAx>
      <c:catAx>
        <c:axId val="8818393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81376"/>
        <c:crosses val="autoZero"/>
        <c:auto val="1"/>
        <c:lblAlgn val="ctr"/>
        <c:lblOffset val="100"/>
        <c:noMultiLvlLbl val="0"/>
      </c:catAx>
      <c:valAx>
        <c:axId val="88181376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9642081189251"/>
              <c:y val="0.068574675116829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88183936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2015</a:t>
            </a:r>
            <a:r>
              <a:rPr lang="zh-CN" altLang="en-US"/>
              <a:t>年上思县农业结构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explosion val="16"/>
          <c:dPt>
            <c:idx val="0"/>
            <c:bubble3D val="0"/>
          </c:dPt>
          <c:dPt>
            <c:idx val="1"/>
            <c:bubble3D val="0"/>
            <c:explosion val="12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Sheet1!$B$34:$B$38</c:f>
              <c:strCache>
                <c:ptCount val="5"/>
                <c:pt idx="0">
                  <c:v>农业</c:v>
                </c:pt>
                <c:pt idx="1">
                  <c:v>林业</c:v>
                </c:pt>
                <c:pt idx="2">
                  <c:v>畜牧业</c:v>
                </c:pt>
                <c:pt idx="3">
                  <c:v>渔业</c:v>
                </c:pt>
                <c:pt idx="4">
                  <c:v>农林牧渔服务业</c:v>
                </c:pt>
              </c:strCache>
            </c:strRef>
          </c:cat>
          <c:val>
            <c:numRef>
              <c:f>Sheet1!$C$34:$C$38</c:f>
              <c:numCache>
                <c:formatCode>0.0%</c:formatCode>
                <c:ptCount val="5"/>
                <c:pt idx="0">
                  <c:v>0.521</c:v>
                </c:pt>
                <c:pt idx="1">
                  <c:v>0.29</c:v>
                </c:pt>
                <c:pt idx="2">
                  <c:v>0.112</c:v>
                </c:pt>
                <c:pt idx="3">
                  <c:v>0.061</c:v>
                </c:pt>
                <c:pt idx="4">
                  <c:v>0.016</c:v>
                </c:pt>
              </c:numCache>
            </c:numRef>
          </c:val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2011</a:t>
            </a:r>
            <a:r>
              <a:rPr lang="zh-CN" altLang="en-US" sz="1200"/>
              <a:t>年</a:t>
            </a:r>
            <a:r>
              <a:rPr lang="en-US" altLang="zh-CN" sz="1200"/>
              <a:t>-2015</a:t>
            </a:r>
            <a:r>
              <a:rPr lang="zh-CN" altLang="en-US" sz="1200"/>
              <a:t>年全部工业总产值及其增长速度</a:t>
            </a:r>
            <a:endParaRPr lang="zh-CN" altLang="en-US" sz="1200"/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Sheet1!$C$25</c:f>
              <c:strCache>
                <c:ptCount val="1"/>
                <c:pt idx="0">
                  <c:v>总产值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Sheet1!$B$26:$B$30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Sheet1!$C$26:$C$30</c:f>
              <c:numCache>
                <c:formatCode>General</c:formatCode>
                <c:ptCount val="5"/>
                <c:pt idx="0">
                  <c:v>676894</c:v>
                </c:pt>
                <c:pt idx="1">
                  <c:v>813139</c:v>
                </c:pt>
                <c:pt idx="2">
                  <c:v>933110</c:v>
                </c:pt>
                <c:pt idx="3">
                  <c:v>1035924</c:v>
                </c:pt>
                <c:pt idx="4">
                  <c:v>1140673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3451904"/>
        <c:axId val="155930624"/>
      </c:barChart>
      <c:lineChart>
        <c:grouping val="standard"/>
        <c:varyColors val="0"/>
        <c:ser>
          <c:idx val="1"/>
          <c:order val="1"/>
          <c:tx>
            <c:strRef>
              <c:f>Sheet1!$D$25</c:f>
              <c:strCache>
                <c:ptCount val="1"/>
                <c:pt idx="0">
                  <c:v>增速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Sheet1!$B$26:$B$30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Sheet1!$D$26:$D$30</c:f>
              <c:numCache>
                <c:formatCode>General</c:formatCode>
                <c:ptCount val="5"/>
                <c:pt idx="0">
                  <c:v>38.9</c:v>
                </c:pt>
                <c:pt idx="1">
                  <c:v>24.7</c:v>
                </c:pt>
                <c:pt idx="2">
                  <c:v>14.7</c:v>
                </c:pt>
                <c:pt idx="3">
                  <c:v>11.7</c:v>
                </c:pt>
                <c:pt idx="4">
                  <c:v>11.7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71569152"/>
        <c:axId val="171516672"/>
      </c:lineChart>
      <c:catAx>
        <c:axId val="1534519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5930624"/>
        <c:crosses val="autoZero"/>
        <c:auto val="1"/>
        <c:lblAlgn val="ctr"/>
        <c:lblOffset val="100"/>
        <c:noMultiLvlLbl val="0"/>
      </c:catAx>
      <c:valAx>
        <c:axId val="15593062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万元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11731821731145"/>
              <c:y val="0.05227940257467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53451904"/>
        <c:crosses val="autoZero"/>
        <c:crossBetween val="between"/>
      </c:valAx>
      <c:catAx>
        <c:axId val="17156915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1516672"/>
        <c:crosses val="autoZero"/>
        <c:auto val="1"/>
        <c:lblAlgn val="ctr"/>
        <c:lblOffset val="100"/>
        <c:noMultiLvlLbl val="0"/>
      </c:catAx>
      <c:valAx>
        <c:axId val="171516672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92513987494633"/>
              <c:y val="0.05385670541182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71569152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100"/>
              <a:t>2015</a:t>
            </a:r>
            <a:r>
              <a:rPr lang="zh-CN" altLang="en-US" sz="1100"/>
              <a:t>年规模以上工业增加值各月累计增长速度（同比）</a:t>
            </a:r>
            <a:endParaRPr lang="zh-CN" altLang="en-US" sz="11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Sheet1!$C$33</c:f>
              <c:strCache>
                <c:ptCount val="1"/>
                <c:pt idx="0">
                  <c:v>增速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Sheet1!$B$34:$B$44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Sheet1!$C$34:$C$44</c:f>
              <c:numCache>
                <c:formatCode>0.0_ </c:formatCode>
                <c:ptCount val="11"/>
                <c:pt idx="0">
                  <c:v>4.7</c:v>
                </c:pt>
                <c:pt idx="1">
                  <c:v>8</c:v>
                </c:pt>
                <c:pt idx="2">
                  <c:v>12.2</c:v>
                </c:pt>
                <c:pt idx="3">
                  <c:v>17</c:v>
                </c:pt>
                <c:pt idx="4">
                  <c:v>8.5</c:v>
                </c:pt>
                <c:pt idx="5">
                  <c:v>8.4</c:v>
                </c:pt>
                <c:pt idx="6">
                  <c:v>10.1</c:v>
                </c:pt>
                <c:pt idx="7">
                  <c:v>9.5</c:v>
                </c:pt>
                <c:pt idx="8">
                  <c:v>9.6</c:v>
                </c:pt>
                <c:pt idx="9">
                  <c:v>9.6</c:v>
                </c:pt>
                <c:pt idx="10">
                  <c:v>8.5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9255808"/>
        <c:axId val="249257344"/>
      </c:lineChart>
      <c:catAx>
        <c:axId val="249255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9257344"/>
        <c:crosses val="autoZero"/>
        <c:auto val="1"/>
        <c:lblAlgn val="ctr"/>
        <c:lblOffset val="100"/>
        <c:noMultiLvlLbl val="0"/>
      </c:catAx>
      <c:valAx>
        <c:axId val="24925734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0842764266795088"/>
              <c:y val="0.0743788098614977"/>
            </c:manualLayout>
          </c:layout>
          <c:overlay val="0"/>
        </c:title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92558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2011</a:t>
            </a:r>
            <a:r>
              <a:rPr lang="zh-CN" altLang="en-US" sz="1200"/>
              <a:t>年</a:t>
            </a:r>
            <a:r>
              <a:rPr lang="en-US" altLang="zh-CN" sz="1200"/>
              <a:t>-2015</a:t>
            </a:r>
            <a:r>
              <a:rPr lang="zh-CN" altLang="en-US" sz="1200"/>
              <a:t>年规模以上工业增加值及其增速</a:t>
            </a:r>
            <a:endParaRPr lang="zh-CN" altLang="en-US" sz="1200"/>
          </a:p>
        </c:rich>
      </c:tx>
      <c:layout>
        <c:manualLayout>
          <c:xMode val="edge"/>
          <c:yMode val="edge"/>
          <c:x val="0.266877003696337"/>
          <c:y val="0.0376745721156117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Sheet1!$C$47</c:f>
              <c:strCache>
                <c:ptCount val="1"/>
                <c:pt idx="0">
                  <c:v>规模以上工业增加值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Sheet1!$B$48:$B$52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Sheet1!$C$48:$C$52</c:f>
              <c:numCache>
                <c:formatCode>0_ </c:formatCode>
                <c:ptCount val="5"/>
                <c:pt idx="0">
                  <c:v>206536</c:v>
                </c:pt>
                <c:pt idx="1">
                  <c:v>240320</c:v>
                </c:pt>
                <c:pt idx="2">
                  <c:v>275728</c:v>
                </c:pt>
                <c:pt idx="3">
                  <c:v>289369</c:v>
                </c:pt>
                <c:pt idx="4">
                  <c:v>292527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9797248"/>
        <c:axId val="250216832"/>
      </c:barChart>
      <c:lineChart>
        <c:grouping val="standard"/>
        <c:varyColors val="0"/>
        <c:ser>
          <c:idx val="1"/>
          <c:order val="1"/>
          <c:tx>
            <c:strRef>
              <c:f>Sheet1!$D$47</c:f>
              <c:strCache>
                <c:ptCount val="1"/>
                <c:pt idx="0">
                  <c:v>增速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Sheet1!$B$48:$B$52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Sheet1!$D$48:$D$52</c:f>
              <c:numCache>
                <c:formatCode>General</c:formatCode>
                <c:ptCount val="5"/>
                <c:pt idx="0">
                  <c:v>16.1</c:v>
                </c:pt>
                <c:pt idx="1">
                  <c:v>30.5</c:v>
                </c:pt>
                <c:pt idx="2">
                  <c:v>12.2</c:v>
                </c:pt>
                <c:pt idx="3">
                  <c:v>11.7</c:v>
                </c:pt>
                <c:pt idx="4">
                  <c:v>8.5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0553856"/>
        <c:axId val="250219904"/>
      </c:lineChart>
      <c:catAx>
        <c:axId val="24979724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216832"/>
        <c:crosses val="autoZero"/>
        <c:auto val="1"/>
        <c:lblAlgn val="ctr"/>
        <c:lblOffset val="100"/>
        <c:noMultiLvlLbl val="0"/>
      </c:catAx>
      <c:valAx>
        <c:axId val="250216832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万元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03806228373703"/>
              <c:y val="0.0535904568815126"/>
            </c:manualLayout>
          </c:layout>
          <c:overlay val="0"/>
        </c:title>
        <c:numFmt formatCode="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49797248"/>
        <c:crosses val="autoZero"/>
        <c:crossBetween val="between"/>
      </c:valAx>
      <c:catAx>
        <c:axId val="25055385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219904"/>
        <c:crosses val="autoZero"/>
        <c:auto val="1"/>
        <c:lblAlgn val="ctr"/>
        <c:lblOffset val="100"/>
        <c:noMultiLvlLbl val="0"/>
      </c:catAx>
      <c:valAx>
        <c:axId val="250219904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900346020761239"/>
              <c:y val="0.065566504785704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553856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2015</a:t>
            </a:r>
            <a:r>
              <a:rPr lang="zh-CN" altLang="en-US" sz="1200"/>
              <a:t>年固定资产投资各月累计增长速度（同比）</a:t>
            </a:r>
            <a:endParaRPr lang="zh-CN" altLang="en-US" sz="1200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Sheet1!$C$55</c:f>
              <c:strCache>
                <c:ptCount val="1"/>
                <c:pt idx="0">
                  <c:v>增速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Sheet1!$B$56:$B$66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Sheet1!$C$56:$C$66</c:f>
              <c:numCache>
                <c:formatCode>0.0_ </c:formatCode>
                <c:ptCount val="11"/>
                <c:pt idx="0">
                  <c:v>3.5</c:v>
                </c:pt>
                <c:pt idx="1">
                  <c:v>12.1</c:v>
                </c:pt>
                <c:pt idx="2">
                  <c:v>16.9</c:v>
                </c:pt>
                <c:pt idx="3">
                  <c:v>25</c:v>
                </c:pt>
                <c:pt idx="4">
                  <c:v>9.8</c:v>
                </c:pt>
                <c:pt idx="5">
                  <c:v>5.8</c:v>
                </c:pt>
                <c:pt idx="6">
                  <c:v>6.3</c:v>
                </c:pt>
                <c:pt idx="7">
                  <c:v>9.7</c:v>
                </c:pt>
                <c:pt idx="8">
                  <c:v>10.4</c:v>
                </c:pt>
                <c:pt idx="9">
                  <c:v>9.4</c:v>
                </c:pt>
                <c:pt idx="10">
                  <c:v>11.9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50627584"/>
        <c:axId val="250629504"/>
      </c:lineChart>
      <c:catAx>
        <c:axId val="2506275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629504"/>
        <c:crosses val="autoZero"/>
        <c:auto val="1"/>
        <c:lblAlgn val="ctr"/>
        <c:lblOffset val="100"/>
        <c:noMultiLvlLbl val="0"/>
      </c:catAx>
      <c:valAx>
        <c:axId val="25062950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04525175270874"/>
              <c:y val="0.0676541994750656"/>
            </c:manualLayout>
          </c:layout>
          <c:overlay val="0"/>
        </c:title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0627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 altLang="zh-CN" sz="1200"/>
              <a:t>2011</a:t>
            </a:r>
            <a:r>
              <a:rPr lang="zh-CN" altLang="en-US" sz="1200"/>
              <a:t>年</a:t>
            </a:r>
            <a:r>
              <a:rPr lang="en-US" altLang="zh-CN" sz="1200"/>
              <a:t>-2015</a:t>
            </a:r>
            <a:r>
              <a:rPr lang="zh-CN" altLang="en-US" sz="1200"/>
              <a:t>年全社会固定资产投资及其增长速度</a:t>
            </a:r>
            <a:endParaRPr lang="zh-CN" altLang="en-US" sz="1200"/>
          </a:p>
        </c:rich>
      </c:tx>
      <c:layout>
        <c:manualLayout>
          <c:xMode val="edge"/>
          <c:yMode val="edge"/>
          <c:x val="0.194654739848695"/>
          <c:y val="0.0327485380116959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Sheet1!$C$69</c:f>
              <c:strCache>
                <c:ptCount val="1"/>
                <c:pt idx="0">
                  <c:v>全社会固定资产投资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0.00735294117647059"/>
                  <c:y val="0.014035087719298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Sheet1!$B$70:$B$74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Sheet1!$C$70:$C$74</c:f>
              <c:numCache>
                <c:formatCode>0_ </c:formatCode>
                <c:ptCount val="5"/>
                <c:pt idx="0">
                  <c:v>573409</c:v>
                </c:pt>
                <c:pt idx="1">
                  <c:v>690708</c:v>
                </c:pt>
                <c:pt idx="2">
                  <c:v>543166</c:v>
                </c:pt>
                <c:pt idx="3">
                  <c:v>510790</c:v>
                </c:pt>
                <c:pt idx="4">
                  <c:v>567755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9030016"/>
        <c:axId val="260703744"/>
      </c:barChart>
      <c:lineChart>
        <c:grouping val="standard"/>
        <c:varyColors val="0"/>
        <c:ser>
          <c:idx val="1"/>
          <c:order val="1"/>
          <c:tx>
            <c:strRef>
              <c:f>Sheet1!$D$69</c:f>
              <c:strCache>
                <c:ptCount val="1"/>
                <c:pt idx="0">
                  <c:v>累计增速</c:v>
                </c:pt>
              </c:strCache>
            </c:strRef>
          </c:tx>
          <c:dLbls>
            <c:dLbl>
              <c:idx val="0"/>
              <c:layout>
                <c:manualLayout>
                  <c:x val="-0.0490196078431376"/>
                  <c:y val="-0.07017543859649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Sheet1!$B$70:$B$74</c:f>
              <c:strCache>
                <c:ptCount val="5"/>
                <c:pt idx="0">
                  <c:v>2011年</c:v>
                </c:pt>
                <c:pt idx="1">
                  <c:v>2012年</c:v>
                </c:pt>
                <c:pt idx="2">
                  <c:v>2013年</c:v>
                </c:pt>
                <c:pt idx="3">
                  <c:v>2014年</c:v>
                </c:pt>
                <c:pt idx="4">
                  <c:v>2015年</c:v>
                </c:pt>
              </c:strCache>
            </c:strRef>
          </c:cat>
          <c:val>
            <c:numRef>
              <c:f>Sheet1!$D$70:$D$74</c:f>
              <c:numCache>
                <c:formatCode>0.0_ </c:formatCode>
                <c:ptCount val="5"/>
                <c:pt idx="0">
                  <c:v>38.3</c:v>
                </c:pt>
                <c:pt idx="1">
                  <c:v>20.5</c:v>
                </c:pt>
                <c:pt idx="2">
                  <c:v>13.8</c:v>
                </c:pt>
                <c:pt idx="3">
                  <c:v>-6</c:v>
                </c:pt>
                <c:pt idx="4">
                  <c:v>11.2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0713088"/>
        <c:axId val="260710400"/>
      </c:lineChart>
      <c:catAx>
        <c:axId val="2590300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0703744"/>
        <c:crosses val="autoZero"/>
        <c:auto val="1"/>
        <c:lblAlgn val="ctr"/>
        <c:lblOffset val="100"/>
        <c:noMultiLvlLbl val="0"/>
      </c:catAx>
      <c:valAx>
        <c:axId val="26070374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万元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11173184357542"/>
              <c:y val="0.0739246208085381"/>
            </c:manualLayout>
          </c:layout>
          <c:overlay val="0"/>
        </c:title>
        <c:numFmt formatCode="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59030016"/>
        <c:crosses val="autoZero"/>
        <c:crossBetween val="between"/>
      </c:valAx>
      <c:catAx>
        <c:axId val="26071308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0710400"/>
        <c:crosses val="autoZero"/>
        <c:auto val="1"/>
        <c:lblAlgn val="ctr"/>
        <c:lblOffset val="100"/>
        <c:noMultiLvlLbl val="0"/>
      </c:catAx>
      <c:valAx>
        <c:axId val="260710400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%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0.875133457479832"/>
              <c:y val="0.066872829015185"/>
            </c:manualLayout>
          </c:layout>
          <c:overlay val="0"/>
        </c:title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60713088"/>
        <c:crosses val="max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BE4912-C5F4-47C0-B047-02C4AA6BF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18</Pages>
  <Words>1594</Words>
  <Characters>9089</Characters>
  <Lines>75</Lines>
  <Paragraphs>21</Paragraphs>
  <TotalTime>0</TotalTime>
  <ScaleCrop>false</ScaleCrop>
  <LinksUpToDate>false</LinksUpToDate>
  <CharactersWithSpaces>10662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2016-07-21T08:00:00Z</dcterms:created>
  <dc:creator>User</dc:creator>
  <cp:lastModifiedBy>lenovo</cp:lastModifiedBy>
  <dcterms:modified xsi:type="dcterms:W3CDTF">2016-12-08T00:11:32Z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