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0"/>
          <w:szCs w:val="48"/>
          <w:highlight w:val="none"/>
        </w:rPr>
      </w:pPr>
      <w:r>
        <w:rPr>
          <w:rFonts w:hint="eastAsia" w:ascii="黑体" w:hAnsi="黑体" w:eastAsia="黑体" w:cs="黑体"/>
          <w:sz w:val="40"/>
          <w:szCs w:val="48"/>
          <w:highlight w:val="none"/>
        </w:rPr>
        <w:t>2016年东兴市国民经济和社会发展</w:t>
      </w:r>
    </w:p>
    <w:p>
      <w:pPr>
        <w:jc w:val="center"/>
        <w:rPr>
          <w:rFonts w:ascii="黑体" w:hAnsi="黑体" w:eastAsia="黑体" w:cs="黑体"/>
          <w:sz w:val="40"/>
          <w:szCs w:val="48"/>
          <w:highlight w:val="none"/>
        </w:rPr>
      </w:pPr>
      <w:r>
        <w:rPr>
          <w:rFonts w:hint="eastAsia" w:ascii="黑体" w:hAnsi="黑体" w:eastAsia="黑体" w:cs="黑体"/>
          <w:sz w:val="40"/>
          <w:szCs w:val="48"/>
          <w:highlight w:val="none"/>
        </w:rPr>
        <w:t>统计公报</w:t>
      </w:r>
    </w:p>
    <w:p>
      <w:pPr>
        <w:jc w:val="center"/>
        <w:rPr>
          <w:rFonts w:ascii="仿宋_GB2312" w:hAnsi="仿宋_GB2312" w:eastAsia="仿宋_GB2312" w:cs="仿宋_GB2312"/>
          <w:sz w:val="32"/>
          <w:szCs w:val="40"/>
          <w:highlight w:val="none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东兴市统计局</w:t>
      </w:r>
    </w:p>
    <w:p>
      <w:pPr>
        <w:jc w:val="center"/>
        <w:rPr>
          <w:rFonts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2017年6月10日</w:t>
      </w:r>
    </w:p>
    <w:p>
      <w:pPr>
        <w:jc w:val="center"/>
        <w:rPr>
          <w:rFonts w:ascii="仿宋_GB2312" w:hAnsi="仿宋_GB2312" w:eastAsia="仿宋_GB2312" w:cs="仿宋_GB2312"/>
          <w:sz w:val="32"/>
          <w:szCs w:val="40"/>
          <w:highlight w:val="none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2016年，面对复杂的发展环境，全市各族人民在东兴市市委、市政府的正确领导下，全力推进稳增长、促改革、调结构、惠民生等各项工作，全市经济运行呈现稳中向好的发展态势，实现了“十三五”良好开局。</w:t>
      </w:r>
    </w:p>
    <w:p>
      <w:pPr>
        <w:ind w:firstLine="640" w:firstLineChars="200"/>
        <w:jc w:val="left"/>
        <w:rPr>
          <w:rFonts w:ascii="楷体" w:hAnsi="楷体" w:eastAsia="楷体" w:cs="楷体"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Cs/>
          <w:sz w:val="32"/>
          <w:szCs w:val="32"/>
          <w:highlight w:val="none"/>
        </w:rPr>
        <w:t>一、综合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2016年末全市户籍总人口14.74万人；常住人口15.71万人，其中城镇人口10.98万人，人口城镇化率69.9%。年度内人口出生率13.7‰，死亡率3.5‰，人口自然增长率10.2‰。</w:t>
      </w:r>
    </w:p>
    <w:p>
      <w:pPr>
        <w:ind w:firstLine="640" w:firstLineChars="200"/>
        <w:jc w:val="left"/>
        <w:rPr>
          <w:rFonts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全市实现生产总值</w:t>
      </w:r>
      <w:r>
        <w:rPr>
          <w:rFonts w:ascii="仿宋_GB2312" w:eastAsia="仿宋_GB2312"/>
          <w:bCs/>
          <w:sz w:val="32"/>
          <w:szCs w:val="32"/>
          <w:highlight w:val="none"/>
        </w:rPr>
        <w:t>92.99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亿元，同比增长10.3%（按2015年不变价格计算）。其中，第一产业增加值17.22亿元，增长3.3%；第二产业增加值38.41亿元，增长14.1%；第三产业增加值37.55亿元，增长9.4%。三次产业增加值占地区生产总值比重分别为18.3%、41.3%和40.4%,与上年同期相比，第一产业和第三产业分别提高了0.2个百分点和0.9个百分点，第二产业下降1.</w:t>
      </w:r>
      <w:r>
        <w:rPr>
          <w:rFonts w:ascii="仿宋_GB2312" w:eastAsia="仿宋_GB2312"/>
          <w:bCs/>
          <w:sz w:val="32"/>
          <w:szCs w:val="32"/>
          <w:highlight w:val="none"/>
        </w:rPr>
        <w:t>1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个百分点。对经济增长的贡献率分别为5.8%、58.0%和36.2%。按常住人口计算，人均地区生产总值59</w:t>
      </w:r>
      <w:r>
        <w:rPr>
          <w:rFonts w:ascii="仿宋_GB2312" w:eastAsia="仿宋_GB2312"/>
          <w:bCs/>
          <w:sz w:val="32"/>
          <w:szCs w:val="32"/>
          <w:highlight w:val="none"/>
        </w:rPr>
        <w:t>513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元，增长</w:t>
      </w:r>
      <w:r>
        <w:rPr>
          <w:rFonts w:ascii="仿宋_GB2312" w:eastAsia="仿宋_GB2312"/>
          <w:bCs/>
          <w:sz w:val="32"/>
          <w:szCs w:val="32"/>
          <w:highlight w:val="none"/>
        </w:rPr>
        <w:t>7.3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%。</w:t>
      </w:r>
    </w:p>
    <w:p>
      <w:pPr>
        <w:jc w:val="left"/>
        <w:rPr>
          <w:rFonts w:ascii="仿宋_GB2312" w:hAnsi="仿宋_GB2312" w:eastAsia="仿宋_GB2312" w:cs="仿宋_GB2312"/>
          <w:sz w:val="24"/>
          <w:szCs w:val="32"/>
          <w:highlight w:val="none"/>
        </w:rPr>
      </w:pPr>
      <w:r>
        <w:rPr>
          <w:highlight w:val="none"/>
        </w:rPr>
        <w:drawing>
          <wp:inline distT="0" distB="0" distL="114300" distR="114300">
            <wp:extent cx="5496560" cy="2550795"/>
            <wp:effectExtent l="0" t="0" r="8890" b="190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jc w:val="center"/>
        <w:rPr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32"/>
          <w:highlight w:val="none"/>
        </w:rPr>
        <w:t>图1:2012年—2016年地区生产总值</w:t>
      </w:r>
    </w:p>
    <w:p>
      <w:pPr>
        <w:jc w:val="left"/>
        <w:rPr>
          <w:rFonts w:ascii="仿宋_GB2312" w:hAnsi="仿宋_GB2312" w:eastAsia="仿宋_GB2312" w:cs="仿宋_GB2312"/>
          <w:sz w:val="24"/>
          <w:szCs w:val="32"/>
          <w:highlight w:val="none"/>
        </w:rPr>
      </w:pPr>
    </w:p>
    <w:p>
      <w:pPr>
        <w:jc w:val="left"/>
        <w:rPr>
          <w:highlight w:val="none"/>
        </w:rPr>
      </w:pPr>
      <w:r>
        <w:rPr>
          <w:highlight w:val="none"/>
        </w:rPr>
        <w:drawing>
          <wp:inline distT="0" distB="0" distL="114300" distR="114300">
            <wp:extent cx="5315585" cy="3234690"/>
            <wp:effectExtent l="0" t="0" r="18415" b="381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jc w:val="center"/>
        <w:rPr>
          <w:rFonts w:ascii="仿宋_GB2312" w:hAnsi="仿宋_GB2312" w:eastAsia="仿宋_GB2312" w:cs="仿宋_GB2312"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32"/>
          <w:highlight w:val="none"/>
        </w:rPr>
        <w:t>图2:2012年—2016年三次产业比重</w:t>
      </w:r>
    </w:p>
    <w:p>
      <w:pPr>
        <w:jc w:val="center"/>
        <w:rPr>
          <w:rFonts w:ascii="仿宋_GB2312" w:hAnsi="仿宋_GB2312" w:eastAsia="仿宋_GB2312" w:cs="仿宋_GB2312"/>
          <w:sz w:val="24"/>
          <w:szCs w:val="32"/>
          <w:highlight w:val="none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全年新增就业人数4514人。年末登记失业人员389人，比上年减少</w:t>
      </w:r>
      <w:r>
        <w:rPr>
          <w:rFonts w:ascii="仿宋_GB2312" w:hAnsi="仿宋_GB2312" w:eastAsia="仿宋_GB2312" w:cs="仿宋_GB2312"/>
          <w:sz w:val="32"/>
          <w:szCs w:val="40"/>
          <w:highlight w:val="none"/>
        </w:rPr>
        <w:t>88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人，城镇登记失业率</w:t>
      </w:r>
      <w:r>
        <w:rPr>
          <w:rFonts w:ascii="仿宋_GB2312" w:hAnsi="仿宋_GB2312" w:eastAsia="仿宋_GB2312" w:cs="仿宋_GB2312"/>
          <w:sz w:val="32"/>
          <w:szCs w:val="40"/>
          <w:highlight w:val="none"/>
        </w:rPr>
        <w:t>2.7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%，比上年末高0.6个百分点。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40"/>
          <w:highlight w:val="none"/>
        </w:rPr>
      </w:pPr>
    </w:p>
    <w:p>
      <w:pPr>
        <w:numPr>
          <w:ilvl w:val="0"/>
          <w:numId w:val="1"/>
        </w:numPr>
        <w:spacing w:line="540" w:lineRule="exact"/>
        <w:ind w:firstLine="640" w:firstLineChars="200"/>
        <w:jc w:val="left"/>
        <w:rPr>
          <w:rFonts w:ascii="楷体" w:hAnsi="楷体" w:eastAsia="楷体" w:cs="楷体"/>
          <w:sz w:val="32"/>
          <w:szCs w:val="40"/>
          <w:highlight w:val="none"/>
        </w:rPr>
      </w:pPr>
      <w:r>
        <w:rPr>
          <w:rFonts w:hint="eastAsia" w:ascii="楷体" w:hAnsi="楷体" w:eastAsia="楷体" w:cs="楷体"/>
          <w:sz w:val="32"/>
          <w:szCs w:val="40"/>
          <w:highlight w:val="none"/>
        </w:rPr>
        <w:t>农业</w:t>
      </w:r>
    </w:p>
    <w:p>
      <w:pPr>
        <w:spacing w:line="540" w:lineRule="exact"/>
        <w:ind w:firstLine="720" w:firstLineChars="225"/>
        <w:rPr>
          <w:rFonts w:ascii="仿宋_GB2312" w:eastAsia="仿宋_GB2312"/>
          <w:color w:val="0000FF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全年农林牧渔业实现产值27.88亿元，增长3.4%。</w:t>
      </w:r>
      <w:r>
        <w:rPr>
          <w:rFonts w:hint="eastAsia" w:ascii="仿宋_GB2312" w:eastAsia="仿宋_GB2312"/>
          <w:sz w:val="32"/>
          <w:szCs w:val="32"/>
          <w:highlight w:val="none"/>
        </w:rPr>
        <w:t>其中，农业产值3.93亿元，增长2.2%；林业产值0.38亿元，下降1.5%；牧业产值2.16亿元，下降1.0%；渔业产值20.92亿元，增长4.2%；农林牧渔服务业产值0.48亿元，增长3.2%。</w:t>
      </w:r>
    </w:p>
    <w:p>
      <w:pPr>
        <w:spacing w:line="540" w:lineRule="exact"/>
        <w:ind w:firstLine="720" w:firstLineChars="225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年末实有耕地面积0.56万公顷，农田有效灌溉面积0.35万公顷。农业机械总动力12.34万千瓦，化肥使用量（折纯量）0.17万吨。</w:t>
      </w:r>
    </w:p>
    <w:p>
      <w:pPr>
        <w:spacing w:line="540" w:lineRule="exact"/>
        <w:ind w:firstLine="720" w:firstLineChars="225"/>
        <w:rPr>
          <w:rFonts w:ascii="仿宋_GB2312" w:eastAsia="仿宋_GB2312"/>
          <w:color w:val="0070C0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全年农作物播种面积0.97万公顷，下降1.0%。其中，粮食种植面积0.60万公顷，经济作物面积0.06万公顷，其他农作物面积0.30万公顷。</w:t>
      </w:r>
    </w:p>
    <w:p>
      <w:pPr>
        <w:spacing w:line="540" w:lineRule="exact"/>
        <w:ind w:firstLine="720" w:firstLineChars="225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全年粮食总产量2.36万吨，下降0.9%；甘蔗产量1.49万吨，下降6.2%；薯类产量0.26万吨，下降0.1%。蔬菜产量4.28万吨，增长0.5%；水果产量1.14万吨，下降0.3%；肉类总产量0.77万吨，增长0.1%；水产品产量13.3万吨，增长4.0%。</w:t>
      </w:r>
    </w:p>
    <w:p>
      <w:pPr>
        <w:widowControl/>
        <w:adjustRightInd w:val="0"/>
        <w:snapToGrid w:val="0"/>
        <w:spacing w:line="360" w:lineRule="exact"/>
        <w:jc w:val="center"/>
        <w:rPr>
          <w:rFonts w:ascii="黑体" w:hAnsi="黑体" w:eastAsia="黑体" w:cs="黑体"/>
          <w:bCs/>
          <w:sz w:val="24"/>
          <w:highlight w:val="none"/>
        </w:rPr>
      </w:pPr>
      <w:r>
        <w:rPr>
          <w:rFonts w:hint="eastAsia" w:ascii="黑体" w:hAnsi="黑体" w:eastAsia="黑体" w:cs="黑体"/>
          <w:bCs/>
          <w:snapToGrid w:val="0"/>
          <w:kern w:val="0"/>
          <w:sz w:val="24"/>
          <w:highlight w:val="none"/>
          <w:lang w:bidi="ar"/>
        </w:rPr>
        <w:t>2016年主要农副产品产量及增速</w:t>
      </w:r>
    </w:p>
    <w:tbl>
      <w:tblPr>
        <w:tblStyle w:val="6"/>
        <w:tblW w:w="6690" w:type="dxa"/>
        <w:jc w:val="center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8" w:space="0"/>
          <w:insideV w:val="single" w:color="000000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80"/>
        <w:gridCol w:w="2235"/>
        <w:gridCol w:w="2175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690" w:type="dxa"/>
            <w:gridSpan w:val="3"/>
            <w:tcBorders>
              <w:top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单位：万吨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产 品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产 量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比上年增长%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粮 食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2.36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-0.9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   #稻 谷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1.93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-0.8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甘 蔗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1.49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-6.2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薯 类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0.26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-0.1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油 料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0.06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0.4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蔬 菜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4.28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0.5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水果产量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1.14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-0.3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肉类总产量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0.77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0.1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水产品产量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13.31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4.0 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  #海水产品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12.36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4.1</w:t>
            </w:r>
          </w:p>
        </w:tc>
      </w:tr>
    </w:tbl>
    <w:p>
      <w:pPr>
        <w:jc w:val="center"/>
        <w:rPr>
          <w:rFonts w:ascii="楷体" w:hAnsi="楷体" w:eastAsia="楷体" w:cs="楷体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32"/>
          <w:highlight w:val="none"/>
        </w:rPr>
        <w:t>表</w:t>
      </w:r>
      <w:r>
        <w:rPr>
          <w:rFonts w:ascii="仿宋_GB2312" w:hAnsi="仿宋_GB2312" w:eastAsia="仿宋_GB2312" w:cs="仿宋_GB2312"/>
          <w:sz w:val="24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24"/>
          <w:szCs w:val="32"/>
          <w:highlight w:val="none"/>
        </w:rPr>
        <w:t>:2016年主要农副产品产量及增速</w:t>
      </w:r>
    </w:p>
    <w:p>
      <w:pPr>
        <w:rPr>
          <w:rFonts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 xml:space="preserve">    三、工业和建筑业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全市工业稳中加快，对经济推动作用显著。全市全部工业总产值147.48亿元，增长19.9%，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实现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工业增加值30.42亿元，增长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15.2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。其中，规模以上工业总产值完成143.80亿元，增长20.5%，增幅比去年提高2.6个百分点。规模以上工业增加值29.03亿元，增长15.8%，增幅比去年提高6.7个百分点。</w:t>
      </w:r>
    </w:p>
    <w:p>
      <w:pPr>
        <w:ind w:firstLine="420" w:firstLineChars="200"/>
        <w:jc w:val="left"/>
        <w:rPr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486410</wp:posOffset>
                </wp:positionV>
                <wp:extent cx="838835" cy="264160"/>
                <wp:effectExtent l="0" t="0" r="0" b="0"/>
                <wp:wrapNone/>
                <wp:docPr id="7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835" cy="264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hAnsiTheme="minorBidi"/>
                                <w:kern w:val="24"/>
                                <w:sz w:val="18"/>
                                <w:szCs w:val="18"/>
                              </w:rPr>
                              <w:t>总量（亿元）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24pt;margin-top:38.3pt;height:20.8pt;width:66.05pt;z-index:251658240;mso-width-relative:page;mso-height-relative:page;" filled="f" stroked="f" coordsize="21600,21600" o:gfxdata="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BZ985HZAAAACQEAAA8AAAAAAAAAAQAgAAAAIgAAAGRycy9k&#10;b3ducmV2LnhtbFBLAQIUABQAAAAIAIdO4kBvUHRhjwEAAPACAAAOAAAAAAAAAAEAIAAAACgBAABk&#10;cnMvZTJvRG9jLnhtbFBLBQYAAAAABgAGAFkBAAAp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hAnsiTheme="minorBidi"/>
                          <w:kern w:val="24"/>
                          <w:sz w:val="18"/>
                          <w:szCs w:val="18"/>
                        </w:rPr>
                        <w:t>总量（亿元）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467360</wp:posOffset>
                </wp:positionV>
                <wp:extent cx="723900" cy="266065"/>
                <wp:effectExtent l="0" t="0" r="0" b="0"/>
                <wp:wrapNone/>
                <wp:docPr id="8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66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hAnsiTheme="minorBidi"/>
                                <w:kern w:val="24"/>
                                <w:sz w:val="18"/>
                                <w:szCs w:val="18"/>
                              </w:rPr>
                              <w:t>增速（%）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358.5pt;margin-top:36.8pt;height:20.95pt;width:57pt;z-index:251659264;mso-width-relative:page;mso-height-relative:page;" filled="f" stroked="f" coordsize="21600,21600" o:gfxdata="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CxyMAzbAAAACgEAAA8AAAAAAAAAAQAgAAAAIgAAAGRycy9k&#10;b3ducmV2LnhtbFBLAQIUABQAAAAIAIdO4kB3fDasjQEAAPACAAAOAAAAAAAAAAEAIAAAACoBAABk&#10;cnMvZTJvRG9jLnhtbFBLBQYAAAAABgAGAFkBAAAp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hAnsiTheme="minorBidi"/>
                          <w:kern w:val="24"/>
                          <w:sz w:val="18"/>
                          <w:szCs w:val="18"/>
                        </w:rPr>
                        <w:t>增速（%）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highlight w:val="none"/>
        </w:rPr>
        <w:drawing>
          <wp:inline distT="0" distB="0" distL="114300" distR="114300">
            <wp:extent cx="5047615" cy="2990215"/>
            <wp:effectExtent l="0" t="0" r="635" b="635"/>
            <wp:docPr id="6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ind w:firstLine="480" w:firstLineChars="200"/>
        <w:jc w:val="center"/>
        <w:rPr>
          <w:rFonts w:ascii="仿宋_GB2312" w:hAnsi="仿宋_GB2312" w:eastAsia="仿宋_GB2312" w:cs="仿宋_GB2312"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32"/>
          <w:highlight w:val="none"/>
        </w:rPr>
        <w:t>图3:2012年—2016年规上工业增加值及增速</w:t>
      </w:r>
    </w:p>
    <w:p>
      <w:pPr>
        <w:ind w:firstLine="480" w:firstLineChars="200"/>
        <w:jc w:val="center"/>
        <w:rPr>
          <w:rFonts w:ascii="仿宋_GB2312" w:hAnsi="仿宋_GB2312" w:eastAsia="仿宋_GB2312" w:cs="仿宋_GB2312"/>
          <w:sz w:val="24"/>
          <w:szCs w:val="32"/>
          <w:highlight w:val="none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规模以上工业中，从轻重工业看，轻工业增加值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15.86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亿元，增长16.5%；重工业增加值1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3.17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亿元，增长15.1%。分别拉动规上工业增加值增长8.8个百分点和7.0个百分点。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从经济类型看，国有企业增加值增长4.6%，股份制企业增加值增长16.1%，其他经济类型企业增加值增长12.2%。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从行业看，酒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饮料和精制茶制造业增加值总量较上年扩大88.4倍；金属制品业增加值增长28.7%；废弃资源综合利用业增长25.2%；农副食品加工业增加值增长19.5%；木材加工和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木、竹、藤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草制品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业增加值增长14.8%。</w:t>
      </w:r>
    </w:p>
    <w:p>
      <w:pPr>
        <w:widowControl/>
        <w:wordWrap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从企业效益看，全年规模以上工业企业实现主营业务收入12</w:t>
      </w:r>
      <w:r>
        <w:rPr>
          <w:rFonts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9.35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亿元，增长</w:t>
      </w:r>
      <w:r>
        <w:rPr>
          <w:rFonts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31.8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%；实现利润总额</w:t>
      </w:r>
      <w:r>
        <w:rPr>
          <w:rFonts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7.59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亿元，增长17.0%；实现销售产值139.99亿元，增长21.6%。</w:t>
      </w:r>
    </w:p>
    <w:p>
      <w:pPr>
        <w:widowControl/>
        <w:snapToGrid w:val="0"/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年末共有资质等级的建筑企业19家。全年建筑业企业实现增加值7.98亿元，增长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10.7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%。全年完成建筑业总产值21.43亿元，增长15.5%。</w:t>
      </w:r>
    </w:p>
    <w:p>
      <w:pPr>
        <w:widowControl/>
        <w:snapToGrid w:val="0"/>
        <w:spacing w:line="600" w:lineRule="exact"/>
        <w:ind w:firstLine="640" w:firstLineChars="200"/>
        <w:jc w:val="left"/>
        <w:rPr>
          <w:rFonts w:ascii="楷体" w:hAnsi="楷体" w:eastAsia="楷体" w:cs="楷体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kern w:val="0"/>
          <w:sz w:val="32"/>
          <w:szCs w:val="32"/>
          <w:highlight w:val="none"/>
        </w:rPr>
        <w:t>四、固定资产投资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全市完成固定资产投资（不含农户）120.61亿元，增长8.5%，比上年回落2.7个百分点。其中项目投资110.61亿元，增长16.2%。</w:t>
      </w:r>
    </w:p>
    <w:p>
      <w:pPr>
        <w:ind w:firstLine="42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419100</wp:posOffset>
                </wp:positionV>
                <wp:extent cx="666750" cy="285750"/>
                <wp:effectExtent l="0" t="0" r="0" b="0"/>
                <wp:wrapNone/>
                <wp:docPr id="11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hAnsiTheme="minorBidi"/>
                                <w:kern w:val="24"/>
                                <w:sz w:val="18"/>
                                <w:szCs w:val="18"/>
                              </w:rPr>
                              <w:t>增速（%）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348.75pt;margin-top:33pt;height:22.5pt;width:52.5pt;z-index:251661312;mso-width-relative:page;mso-height-relative:page;" filled="f" stroked="f" coordsize="21600,21600" o:gfxdata="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2x4pNtoAAAAKAQAADwAAAAAAAAABACAAAAAiAAAAZHJzL2Rv&#10;d25yZXYueG1sUEsBAhQAFAAAAAgAh07iQATaySKNAQAA8gIAAA4AAAAAAAAAAQAgAAAAKQEAAGRy&#10;cy9lMm9Eb2MueG1sUEsFBgAAAAAGAAYAWQEAAC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hAnsiTheme="minorBidi"/>
                          <w:kern w:val="24"/>
                          <w:sz w:val="18"/>
                          <w:szCs w:val="18"/>
                        </w:rPr>
                        <w:t>增速（%）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400050</wp:posOffset>
                </wp:positionV>
                <wp:extent cx="838835" cy="292735"/>
                <wp:effectExtent l="0" t="0" r="0" b="0"/>
                <wp:wrapNone/>
                <wp:docPr id="12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835" cy="292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hAnsiTheme="minorBidi"/>
                                <w:kern w:val="24"/>
                                <w:sz w:val="18"/>
                                <w:szCs w:val="18"/>
                              </w:rPr>
                              <w:t>总量（亿元）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22.5pt;margin-top:31.5pt;height:23.05pt;width:66.05pt;z-index:251660288;mso-width-relative:page;mso-height-relative:page;" filled="f" stroked="f" coordsize="21600,21600" o:gfxdata="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p6tpiNoAAAAJAQAADwAAAAAAAAABACAAAAAiAAAAZHJz&#10;L2Rvd25yZXYueG1sUEsBAhQAFAAAAAgAh07iQCH5OV2QAQAA8gIAAA4AAAAAAAAAAQAgAAAAKQEA&#10;AGRycy9lMm9Eb2MueG1sUEsFBgAAAAAGAAYAWQEAACs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hAnsiTheme="minorBidi"/>
                          <w:kern w:val="24"/>
                          <w:sz w:val="18"/>
                          <w:szCs w:val="18"/>
                        </w:rPr>
                        <w:t>总量（亿元）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highlight w:val="none"/>
        </w:rPr>
        <w:drawing>
          <wp:inline distT="0" distB="0" distL="114300" distR="114300">
            <wp:extent cx="4886325" cy="2847340"/>
            <wp:effectExtent l="0" t="0" r="9525" b="10160"/>
            <wp:docPr id="10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ind w:firstLine="480" w:firstLineChars="200"/>
        <w:jc w:val="center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32"/>
          <w:highlight w:val="none"/>
        </w:rPr>
        <w:t>图4:2012年—2016年固定资产投资及增速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分产业看，第一产业完成投资4.13亿元，总量扩大2.5倍；第二产业完成投资20.34亿元，下降11.8%；第三产业完成投资96.15亿元，增长11.2%。</w:t>
      </w:r>
    </w:p>
    <w:p>
      <w:pPr>
        <w:ind w:firstLine="480" w:firstLineChars="200"/>
        <w:jc w:val="left"/>
        <w:rPr>
          <w:rFonts w:ascii="仿宋_GB2312" w:hAnsi="仿宋_GB2312" w:eastAsia="仿宋_GB2312" w:cs="仿宋_GB2312"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32"/>
          <w:highlight w:val="none"/>
        </w:rPr>
        <w:t xml:space="preserve">        </w:t>
      </w:r>
    </w:p>
    <w:tbl>
      <w:tblPr>
        <w:tblStyle w:val="6"/>
        <w:tblW w:w="7484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35"/>
        <w:gridCol w:w="1650"/>
        <w:gridCol w:w="149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84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highlight w:val="none"/>
                <w:lang w:bidi="ar"/>
              </w:rPr>
              <w:t>按行业分固定资产投资完成情况表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4335" w:type="dxa"/>
            <w:shd w:val="clear" w:color="auto" w:fill="auto"/>
            <w:vAlign w:val="bottom"/>
          </w:tcPr>
          <w:p>
            <w:pPr>
              <w:rPr>
                <w:rFonts w:ascii="Arial" w:hAnsi="Arial" w:eastAsia="宋体" w:cs="Arial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>
            <w:pPr>
              <w:rPr>
                <w:rFonts w:ascii="Arial" w:hAnsi="Arial" w:eastAsia="宋体" w:cs="Arial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99" w:type="dxa"/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单位：亿元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行</w:t>
            </w:r>
            <w:r>
              <w:rPr>
                <w:rStyle w:val="7"/>
                <w:rFonts w:hint="eastAsia" w:asciiTheme="minorEastAsia" w:hAnsiTheme="minorEastAsia" w:cstheme="minorEastAsia"/>
                <w:sz w:val="22"/>
                <w:szCs w:val="22"/>
                <w:highlight w:val="none"/>
                <w:lang w:bidi="ar"/>
              </w:rPr>
              <w:t xml:space="preserve">   </w:t>
            </w:r>
            <w:r>
              <w:rPr>
                <w:rStyle w:val="8"/>
                <w:rFonts w:hint="default" w:asciiTheme="minorEastAsia" w:hAnsiTheme="minorEastAsia" w:eastAsiaTheme="minorEastAsia" w:cstheme="minorEastAsia"/>
                <w:sz w:val="22"/>
                <w:szCs w:val="22"/>
                <w:highlight w:val="none"/>
                <w:lang w:bidi="ar"/>
              </w:rPr>
              <w:t>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投资额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同比增长</w:t>
            </w:r>
            <w:r>
              <w:rPr>
                <w:rStyle w:val="7"/>
                <w:rFonts w:hint="eastAsia" w:asciiTheme="minorEastAsia" w:hAnsiTheme="minorEastAsia" w:cstheme="minorEastAsia"/>
                <w:sz w:val="22"/>
                <w:szCs w:val="22"/>
                <w:highlight w:val="none"/>
                <w:lang w:bidi="ar"/>
              </w:rPr>
              <w:t>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固定资产投资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120.61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8.5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    农、林、牧、渔业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4.13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146.7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    制造业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18.66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3.4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    电力、热力、燃气及水生产和供应业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1.68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-66.4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    批发和零售业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19.14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-4.2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    交通运输、仓储和邮政业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12.72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10.4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    住宿和餐饮业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5.73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-41.3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    房地产业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17.02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-2.5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    租赁和商务服务业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0.70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  <w:t>上年同期为0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    科学研究和技术服务业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0.03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-10.1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    水利、环境和公共设施管理业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37.03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56.5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    居民服务、修理和其他服务业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0.16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  <w:t>上年同期为0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    教育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0.58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-29.1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    卫生和社会工作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1.00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194.1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    文化、体育和娱乐业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0.53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-70.6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    公共管理、社会保障和社会组织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1.51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64.6</w:t>
            </w:r>
          </w:p>
        </w:tc>
      </w:tr>
    </w:tbl>
    <w:p>
      <w:pPr>
        <w:rPr>
          <w:rFonts w:ascii="仿宋_GB2312" w:hAnsi="仿宋_GB2312" w:eastAsia="仿宋_GB2312" w:cs="仿宋_GB2312"/>
          <w:sz w:val="24"/>
          <w:szCs w:val="32"/>
          <w:highlight w:val="none"/>
        </w:rPr>
      </w:pPr>
    </w:p>
    <w:p>
      <w:pPr>
        <w:jc w:val="center"/>
        <w:rPr>
          <w:rFonts w:ascii="仿宋_GB2312" w:hAnsi="仿宋_GB2312" w:eastAsia="仿宋_GB2312" w:cs="仿宋_GB2312"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32"/>
          <w:highlight w:val="none"/>
        </w:rPr>
        <w:t>表</w:t>
      </w:r>
      <w:r>
        <w:rPr>
          <w:rFonts w:ascii="仿宋_GB2312" w:hAnsi="仿宋_GB2312" w:eastAsia="仿宋_GB2312" w:cs="仿宋_GB2312"/>
          <w:sz w:val="24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24"/>
          <w:szCs w:val="32"/>
          <w:highlight w:val="none"/>
        </w:rPr>
        <w:t>:2016年分行业固定资产投资及增速</w:t>
      </w:r>
    </w:p>
    <w:p>
      <w:pPr>
        <w:ind w:firstLine="480" w:firstLineChars="200"/>
        <w:jc w:val="left"/>
        <w:rPr>
          <w:rFonts w:ascii="仿宋_GB2312" w:hAnsi="仿宋_GB2312" w:eastAsia="仿宋_GB2312" w:cs="仿宋_GB2312"/>
          <w:sz w:val="24"/>
          <w:szCs w:val="32"/>
          <w:highlight w:val="none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全年房地产开发投资10.01亿元，下降37.6%。商品房销售面积47.15万平方米，下降1.4%。</w:t>
      </w:r>
    </w:p>
    <w:p>
      <w:pPr>
        <w:numPr>
          <w:ilvl w:val="0"/>
          <w:numId w:val="2"/>
        </w:numPr>
        <w:ind w:firstLine="640" w:firstLineChars="200"/>
        <w:jc w:val="left"/>
        <w:rPr>
          <w:rFonts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国内贸易</w:t>
      </w:r>
    </w:p>
    <w:p>
      <w:pPr>
        <w:ind w:firstLine="419" w:firstLineChars="131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全年实现社会消费品零售总额24.90亿元，增长11.3%。按经营地统计，城镇消费品零售总额23.52亿元，增长11.3%；农村消费品零售总额1.37亿元，增长11.2%。</w:t>
      </w:r>
    </w:p>
    <w:p>
      <w:pPr>
        <w:ind w:firstLine="275" w:firstLineChars="131"/>
        <w:jc w:val="center"/>
        <w:rPr>
          <w:highlight w:val="none"/>
        </w:rPr>
      </w:pPr>
      <w:r>
        <w:rPr>
          <w:highlight w:val="none"/>
        </w:rPr>
        <w:drawing>
          <wp:inline distT="0" distB="0" distL="114300" distR="114300">
            <wp:extent cx="4572000" cy="2743200"/>
            <wp:effectExtent l="4445" t="4445" r="14605" b="14605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jc w:val="center"/>
        <w:rPr>
          <w:rFonts w:ascii="仿宋_GB2312" w:hAnsi="仿宋_GB2312" w:eastAsia="仿宋_GB2312" w:cs="仿宋_GB2312"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32"/>
          <w:highlight w:val="none"/>
        </w:rPr>
        <w:t>图5:2012年—2016年社会消费品零售总额及增速</w:t>
      </w:r>
    </w:p>
    <w:p>
      <w:pPr>
        <w:ind w:firstLine="275" w:firstLineChars="131"/>
        <w:jc w:val="center"/>
        <w:rPr>
          <w:highlight w:val="none"/>
        </w:rPr>
      </w:pPr>
    </w:p>
    <w:p>
      <w:pPr>
        <w:numPr>
          <w:ilvl w:val="0"/>
          <w:numId w:val="2"/>
        </w:numPr>
        <w:ind w:firstLine="640" w:firstLineChars="200"/>
        <w:jc w:val="left"/>
        <w:rPr>
          <w:rFonts w:ascii="楷体" w:hAnsi="楷体" w:eastAsia="楷体" w:cs="楷体"/>
          <w:sz w:val="32"/>
          <w:szCs w:val="40"/>
          <w:highlight w:val="none"/>
        </w:rPr>
      </w:pPr>
      <w:r>
        <w:rPr>
          <w:rFonts w:hint="eastAsia" w:ascii="楷体" w:hAnsi="楷体" w:eastAsia="楷体" w:cs="楷体"/>
          <w:sz w:val="32"/>
          <w:szCs w:val="40"/>
          <w:highlight w:val="none"/>
        </w:rPr>
        <w:t>对外贸易和招商引资</w:t>
      </w:r>
    </w:p>
    <w:p>
      <w:pPr>
        <w:ind w:firstLine="419" w:firstLineChars="131"/>
        <w:jc w:val="left"/>
        <w:rPr>
          <w:rFonts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 xml:space="preserve"> 据海关统计，全年外贸进出口总额30.90亿美元，同比增长9.5%，其中，出口总额14.06亿美元，同比下降26.</w:t>
      </w:r>
      <w:r>
        <w:rPr>
          <w:rFonts w:ascii="仿宋_GB2312" w:hAnsi="仿宋_GB2312" w:eastAsia="仿宋_GB2312" w:cs="仿宋_GB2312"/>
          <w:sz w:val="32"/>
          <w:szCs w:val="40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%；进口总额16.83亿美元，同比增长85.1%。</w:t>
      </w:r>
    </w:p>
    <w:p>
      <w:pPr>
        <w:ind w:firstLine="419" w:firstLineChars="131"/>
        <w:jc w:val="left"/>
        <w:rPr>
          <w:rFonts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据招商部门统计，全年新引进外来投资项目</w:t>
      </w:r>
      <w:r>
        <w:rPr>
          <w:rFonts w:ascii="仿宋_GB2312" w:hAnsi="仿宋_GB2312" w:eastAsia="仿宋_GB2312" w:cs="仿宋_GB2312"/>
          <w:sz w:val="32"/>
          <w:szCs w:val="40"/>
          <w:highlight w:val="none"/>
        </w:rPr>
        <w:t>17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个，新增到位资金7</w:t>
      </w:r>
      <w:r>
        <w:rPr>
          <w:rFonts w:ascii="仿宋_GB2312" w:hAnsi="仿宋_GB2312" w:eastAsia="仿宋_GB2312" w:cs="仿宋_GB2312"/>
          <w:sz w:val="32"/>
          <w:szCs w:val="40"/>
          <w:highlight w:val="none"/>
        </w:rPr>
        <w:t>5.38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亿元，增长1</w:t>
      </w:r>
      <w:r>
        <w:rPr>
          <w:rFonts w:ascii="仿宋_GB2312" w:hAnsi="仿宋_GB2312" w:eastAsia="仿宋_GB2312" w:cs="仿宋_GB2312"/>
          <w:sz w:val="32"/>
          <w:szCs w:val="40"/>
          <w:highlight w:val="none"/>
        </w:rPr>
        <w:t>4.8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%。其中，内资到位资金7</w:t>
      </w:r>
      <w:r>
        <w:rPr>
          <w:rFonts w:ascii="仿宋_GB2312" w:hAnsi="仿宋_GB2312" w:eastAsia="仿宋_GB2312" w:cs="仿宋_GB2312"/>
          <w:sz w:val="32"/>
          <w:szCs w:val="40"/>
          <w:highlight w:val="none"/>
        </w:rPr>
        <w:t>3.01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亿元，外资到位资金0.34亿美元。</w:t>
      </w:r>
    </w:p>
    <w:p>
      <w:pPr>
        <w:ind w:firstLine="419" w:firstLineChars="131"/>
        <w:jc w:val="left"/>
        <w:rPr>
          <w:rFonts w:ascii="楷体" w:hAnsi="楷体" w:eastAsia="楷体" w:cs="楷体"/>
          <w:sz w:val="32"/>
          <w:szCs w:val="40"/>
          <w:highlight w:val="none"/>
        </w:rPr>
      </w:pPr>
      <w:r>
        <w:rPr>
          <w:rFonts w:hint="eastAsia" w:ascii="楷体" w:hAnsi="楷体" w:eastAsia="楷体" w:cs="楷体"/>
          <w:sz w:val="32"/>
          <w:szCs w:val="40"/>
          <w:highlight w:val="none"/>
        </w:rPr>
        <w:t>七、交通、邮电和旅游</w:t>
      </w:r>
    </w:p>
    <w:p>
      <w:pPr>
        <w:ind w:firstLine="419" w:firstLineChars="131"/>
        <w:jc w:val="left"/>
        <w:rPr>
          <w:rFonts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全年交通运输、仓储及邮政业实现增加值5.51亿元，增长16.1%。全年公路客货运周转量5.86亿吨公里，增长12.3%。其中，货物运输总量342.5万吨，增长15.6%；旅客运输总量425.1万人，增长1.5%。</w:t>
      </w:r>
    </w:p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全年完成邮电业务总量（当年价）7.15亿元，增长50.7%。其中，邮政业务总量1.25亿元，增长84.9%；电信业务总量5.90亿元，增长45.1%。年末固定电话用户3.31万户，移动电话用户18.50万户，互联网宽带接入用户4.51万户。</w:t>
      </w:r>
    </w:p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旅游产业发展较快，全年经东兴口岸出入境人数715.58万人次，增长17.5%。</w:t>
      </w:r>
      <w:r>
        <w:rPr>
          <w:rFonts w:ascii="仿宋_GB2312" w:eastAsia="仿宋_GB2312"/>
          <w:sz w:val="32"/>
          <w:szCs w:val="32"/>
          <w:highlight w:val="none"/>
        </w:rPr>
        <w:t>全市接待游客</w:t>
      </w:r>
      <w:r>
        <w:rPr>
          <w:rFonts w:hint="eastAsia" w:ascii="仿宋_GB2312" w:eastAsia="仿宋_GB2312"/>
          <w:sz w:val="32"/>
          <w:szCs w:val="32"/>
          <w:highlight w:val="none"/>
        </w:rPr>
        <w:t>752.93</w:t>
      </w:r>
      <w:r>
        <w:rPr>
          <w:rFonts w:ascii="仿宋_GB2312" w:eastAsia="仿宋_GB2312"/>
          <w:sz w:val="32"/>
          <w:szCs w:val="32"/>
          <w:highlight w:val="none"/>
        </w:rPr>
        <w:t>万人次，增长</w:t>
      </w:r>
      <w:r>
        <w:rPr>
          <w:rFonts w:hint="eastAsia" w:ascii="仿宋_GB2312" w:eastAsia="仿宋_GB2312"/>
          <w:sz w:val="32"/>
          <w:szCs w:val="32"/>
          <w:highlight w:val="none"/>
        </w:rPr>
        <w:t>12.2</w:t>
      </w:r>
      <w:r>
        <w:rPr>
          <w:rFonts w:ascii="仿宋_GB2312" w:eastAsia="仿宋_GB2312"/>
          <w:sz w:val="32"/>
          <w:szCs w:val="32"/>
          <w:highlight w:val="none"/>
        </w:rPr>
        <w:t>%</w:t>
      </w:r>
      <w:r>
        <w:rPr>
          <w:rFonts w:hint="eastAsia" w:ascii="仿宋_GB2312" w:eastAsia="仿宋_GB2312"/>
          <w:sz w:val="32"/>
          <w:szCs w:val="32"/>
          <w:highlight w:val="none"/>
        </w:rPr>
        <w:t>；旅游总收入65.22亿元，同比增长35.4%，其中国内旅游收入62.82亿元，增长36.6%，国际旅游（外汇）收入</w:t>
      </w:r>
      <w:r>
        <w:rPr>
          <w:rFonts w:ascii="仿宋_GB2312" w:eastAsia="仿宋_GB2312"/>
          <w:sz w:val="32"/>
          <w:szCs w:val="32"/>
          <w:highlight w:val="none"/>
        </w:rPr>
        <w:t>3735</w:t>
      </w:r>
      <w:r>
        <w:rPr>
          <w:rFonts w:hint="eastAsia" w:ascii="仿宋_GB2312" w:eastAsia="仿宋_GB2312"/>
          <w:sz w:val="32"/>
          <w:szCs w:val="32"/>
          <w:highlight w:val="none"/>
        </w:rPr>
        <w:t>万美元，增长10.</w:t>
      </w:r>
      <w:r>
        <w:rPr>
          <w:rFonts w:ascii="仿宋_GB2312" w:eastAsia="仿宋_GB2312"/>
          <w:sz w:val="32"/>
          <w:szCs w:val="32"/>
          <w:highlight w:val="none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</w:rPr>
        <w:t>%。</w:t>
      </w:r>
    </w:p>
    <w:p>
      <w:pPr>
        <w:ind w:firstLine="720" w:firstLineChars="225"/>
        <w:rPr>
          <w:rFonts w:ascii="楷体" w:hAnsi="楷体" w:eastAsia="楷体" w:cs="楷体"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Cs/>
          <w:sz w:val="32"/>
          <w:szCs w:val="32"/>
          <w:highlight w:val="none"/>
        </w:rPr>
        <w:t>八、财政和金融</w:t>
      </w:r>
    </w:p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全年全市财政收入14.61亿元，增长6.7%。公共财政预算收入12.51亿元，增长5.6%，其中，税收收入7.90亿元，增长5.8%；非税收收入4.61亿元，增长5.2%。公共财政预算支出26.45亿元，增长5.0%。</w:t>
      </w:r>
    </w:p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全年金融业增加值4.18亿元，增长9.2%。全市年末金融机构人民币存款余额132.93亿元，增长11.0%；人民币贷款余额79.52亿元，增长8.6%。</w:t>
      </w:r>
    </w:p>
    <w:p>
      <w:pPr>
        <w:ind w:firstLine="640" w:firstLineChars="200"/>
        <w:rPr>
          <w:rFonts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九、教育和科学技术</w:t>
      </w:r>
    </w:p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全市在校生数32628人，专任教师1366人，当年招生8184人，毕业生6295人。其中，普通中学8所，专任教师487人，在校生9745人，当年招生3599人，毕业生3275人；中等职业技术学校1所，专任教师28人，在校生1606人，当年招生437人，毕业生115人；普通小学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37</w:t>
      </w:r>
      <w:r>
        <w:rPr>
          <w:rFonts w:hint="eastAsia" w:ascii="仿宋_GB2312" w:eastAsia="仿宋_GB2312"/>
          <w:sz w:val="32"/>
          <w:szCs w:val="32"/>
          <w:highlight w:val="none"/>
        </w:rPr>
        <w:t>所，专任教师851人，在校生21277人，当年招生4148人，毕业生2905人。幼儿园84所，在园儿童数13527人。</w:t>
      </w:r>
    </w:p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全年共组织实施科技项目3项，项目总投资160万元。专利申请受理量</w:t>
      </w:r>
      <w:r>
        <w:rPr>
          <w:rFonts w:ascii="仿宋_GB2312" w:eastAsia="仿宋_GB2312"/>
          <w:sz w:val="32"/>
          <w:szCs w:val="32"/>
          <w:highlight w:val="none"/>
        </w:rPr>
        <w:t>250</w:t>
      </w:r>
      <w:r>
        <w:rPr>
          <w:rFonts w:hint="eastAsia" w:ascii="仿宋_GB2312" w:eastAsia="仿宋_GB2312"/>
          <w:sz w:val="32"/>
          <w:szCs w:val="32"/>
          <w:highlight w:val="none"/>
        </w:rPr>
        <w:t>件，其中发明231件。获得授权专利数10件。</w:t>
      </w:r>
    </w:p>
    <w:p>
      <w:pPr>
        <w:ind w:firstLine="640" w:firstLineChars="200"/>
        <w:rPr>
          <w:rFonts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十、文化、卫生和体育</w:t>
      </w:r>
    </w:p>
    <w:p>
      <w:pPr>
        <w:ind w:firstLine="720" w:firstLineChars="225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年末全市公共图书馆1个，藏书量40.9千册。博物馆1个，文化馆1个，全民健身活动场所5个，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城区内有游泳池6个，青少年活动中心1个，老年活动中心1个。</w:t>
      </w:r>
      <w:r>
        <w:rPr>
          <w:rFonts w:hint="eastAsia" w:ascii="仿宋_GB2312" w:eastAsia="仿宋_GB2312"/>
          <w:sz w:val="32"/>
          <w:szCs w:val="32"/>
          <w:highlight w:val="none"/>
        </w:rPr>
        <w:t>全年举行体育运动竞赛场次11次。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年末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全市共有卫生机构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128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个；其中等级医院1个，妇幼保健院1个，疾控预防中心1个；乡镇卫生院3个。共有卫生技术人员1002人；其中执业（助理）医师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406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人，注册护士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361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人。全市医院、乡镇卫生院（含妇幼保健院）床位总数为500张。</w:t>
      </w:r>
    </w:p>
    <w:p>
      <w:pPr>
        <w:ind w:firstLine="720" w:firstLineChars="225"/>
        <w:rPr>
          <w:rFonts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十一、人民生活和社会保障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城镇居民人均可支配收入34993元，增长7.5%。农村居民人均可支配收入14960元，增长10.0%。</w:t>
      </w:r>
    </w:p>
    <w:p>
      <w:pPr>
        <w:ind w:firstLine="275" w:firstLineChars="131"/>
        <w:jc w:val="center"/>
        <w:rPr>
          <w:highlight w:val="none"/>
        </w:rPr>
      </w:pPr>
      <w:r>
        <w:rPr>
          <w:highlight w:val="none"/>
        </w:rPr>
        <w:drawing>
          <wp:inline distT="0" distB="0" distL="114300" distR="114300">
            <wp:extent cx="4572000" cy="1866900"/>
            <wp:effectExtent l="0" t="0" r="0" b="0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>
      <w:pPr>
        <w:ind w:firstLine="314" w:firstLineChars="131"/>
        <w:jc w:val="center"/>
        <w:rPr>
          <w:rFonts w:ascii="仿宋_GB2312" w:hAnsi="仿宋_GB2312" w:eastAsia="仿宋_GB2312" w:cs="仿宋_GB2312"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32"/>
          <w:highlight w:val="none"/>
        </w:rPr>
        <w:t>图6:2012年—2016年城镇居民人均可支配收入及增速</w:t>
      </w:r>
    </w:p>
    <w:p>
      <w:pPr>
        <w:ind w:firstLine="314" w:firstLineChars="131"/>
        <w:jc w:val="center"/>
        <w:rPr>
          <w:rFonts w:ascii="仿宋_GB2312" w:hAnsi="仿宋_GB2312" w:eastAsia="仿宋_GB2312" w:cs="仿宋_GB2312"/>
          <w:sz w:val="24"/>
          <w:szCs w:val="32"/>
          <w:highlight w:val="none"/>
        </w:rPr>
      </w:pPr>
    </w:p>
    <w:p>
      <w:pPr>
        <w:ind w:firstLine="275" w:firstLineChars="131"/>
        <w:jc w:val="center"/>
        <w:rPr>
          <w:highlight w:val="none"/>
        </w:rPr>
      </w:pPr>
      <w:r>
        <w:rPr>
          <w:highlight w:val="none"/>
        </w:rPr>
        <w:drawing>
          <wp:inline distT="0" distB="0" distL="114300" distR="114300">
            <wp:extent cx="4572000" cy="2743200"/>
            <wp:effectExtent l="0" t="0" r="0" b="0"/>
            <wp:docPr id="13" name="图表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ind w:firstLine="314" w:firstLineChars="131"/>
        <w:jc w:val="center"/>
        <w:rPr>
          <w:rFonts w:ascii="仿宋_GB2312" w:hAnsi="仿宋_GB2312" w:eastAsia="仿宋_GB2312" w:cs="仿宋_GB2312"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32"/>
          <w:highlight w:val="none"/>
        </w:rPr>
        <w:t>图7:2012年—2016年农村居民人均可支配收入及增速</w:t>
      </w:r>
    </w:p>
    <w:p>
      <w:pPr>
        <w:ind w:firstLine="275" w:firstLineChars="131"/>
        <w:jc w:val="center"/>
        <w:rPr>
          <w:highlight w:val="none"/>
        </w:rPr>
      </w:pPr>
    </w:p>
    <w:p>
      <w:pPr>
        <w:ind w:firstLine="419" w:firstLineChars="131"/>
        <w:jc w:val="left"/>
        <w:rPr>
          <w:rFonts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年末参加城镇职工基本养老保险1.53万人；参加城镇居民基本医疗保险</w:t>
      </w:r>
      <w:r>
        <w:rPr>
          <w:rFonts w:ascii="仿宋_GB2312" w:hAnsi="仿宋_GB2312" w:eastAsia="仿宋_GB2312" w:cs="仿宋_GB2312"/>
          <w:sz w:val="32"/>
          <w:szCs w:val="40"/>
          <w:highlight w:val="none"/>
        </w:rPr>
        <w:t>5.35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万人；参加失业保险9050人；参加工伤保险1.30万人；参加生育保险9550人。年末参加新型农村合作医疗10.33万人，新型农村社会养老保险5.14万人。</w:t>
      </w:r>
    </w:p>
    <w:p>
      <w:pPr>
        <w:ind w:firstLine="419" w:firstLineChars="131"/>
        <w:jc w:val="left"/>
        <w:rPr>
          <w:rFonts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全年享受城镇最低生活保障570人，比上年减少671人。享受农村最低生活保障2661人，比上年减少</w:t>
      </w:r>
      <w:r>
        <w:rPr>
          <w:rFonts w:ascii="仿宋_GB2312" w:hAnsi="仿宋_GB2312" w:eastAsia="仿宋_GB2312" w:cs="仿宋_GB2312"/>
          <w:sz w:val="32"/>
          <w:szCs w:val="40"/>
          <w:highlight w:val="none"/>
        </w:rPr>
        <w:t>3567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人。</w:t>
      </w:r>
    </w:p>
    <w:p>
      <w:pPr>
        <w:ind w:firstLine="419" w:firstLineChars="131"/>
        <w:jc w:val="left"/>
        <w:rPr>
          <w:rFonts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年末各类收养性社会福利单位(含社会福利院、光荣院、敬老院、五保村）</w:t>
      </w:r>
      <w:r>
        <w:rPr>
          <w:rFonts w:ascii="仿宋_GB2312" w:hAnsi="仿宋_GB2312" w:eastAsia="仿宋_GB2312" w:cs="仿宋_GB2312"/>
          <w:sz w:val="32"/>
          <w:szCs w:val="40"/>
          <w:highlight w:val="none"/>
        </w:rPr>
        <w:t>28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个。各种社会福利收养性单位床位数</w:t>
      </w:r>
      <w:r>
        <w:rPr>
          <w:rFonts w:ascii="仿宋_GB2312" w:hAnsi="仿宋_GB2312" w:eastAsia="仿宋_GB2312" w:cs="仿宋_GB2312"/>
          <w:sz w:val="32"/>
          <w:szCs w:val="40"/>
          <w:highlight w:val="none"/>
        </w:rPr>
        <w:t>355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张,收养各类人员</w:t>
      </w:r>
      <w:r>
        <w:rPr>
          <w:rFonts w:ascii="仿宋_GB2312" w:hAnsi="仿宋_GB2312" w:eastAsia="仿宋_GB2312" w:cs="仿宋_GB2312"/>
          <w:sz w:val="32"/>
          <w:szCs w:val="40"/>
          <w:highlight w:val="none"/>
        </w:rPr>
        <w:t>153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人。</w:t>
      </w:r>
    </w:p>
    <w:p>
      <w:pPr>
        <w:ind w:firstLine="419" w:firstLineChars="131"/>
        <w:jc w:val="left"/>
        <w:rPr>
          <w:rFonts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楷体" w:hAnsi="楷体" w:eastAsia="楷体" w:cs="楷体"/>
          <w:sz w:val="32"/>
          <w:szCs w:val="40"/>
          <w:highlight w:val="none"/>
        </w:rPr>
        <w:t>十二、资源、环境和安全生产</w:t>
      </w:r>
    </w:p>
    <w:p>
      <w:pPr>
        <w:ind w:firstLine="419" w:firstLineChars="131"/>
        <w:jc w:val="left"/>
        <w:rPr>
          <w:rFonts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年末大中型水库蓄水总量3968万立方米，比上年末减少338万立方米。全市森林面积3.18万公顷，森林覆盖率达56.31%。年末建成区面积</w:t>
      </w:r>
      <w:r>
        <w:rPr>
          <w:rFonts w:ascii="仿宋_GB2312" w:hAnsi="仿宋_GB2312" w:eastAsia="仿宋_GB2312" w:cs="仿宋_GB2312"/>
          <w:sz w:val="32"/>
          <w:szCs w:val="40"/>
          <w:highlight w:val="none"/>
        </w:rPr>
        <w:t>11.90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平方公里，建成区绿化面积2</w:t>
      </w:r>
      <w:r>
        <w:rPr>
          <w:rFonts w:ascii="仿宋_GB2312" w:hAnsi="仿宋_GB2312" w:eastAsia="仿宋_GB2312" w:cs="仿宋_GB2312"/>
          <w:sz w:val="32"/>
          <w:szCs w:val="40"/>
          <w:highlight w:val="none"/>
        </w:rPr>
        <w:t>.61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平方</w:t>
      </w:r>
      <w:r>
        <w:rPr>
          <w:rFonts w:ascii="仿宋_GB2312" w:hAnsi="仿宋_GB2312" w:eastAsia="仿宋_GB2312" w:cs="仿宋_GB2312"/>
          <w:sz w:val="32"/>
          <w:szCs w:val="40"/>
          <w:highlight w:val="none"/>
        </w:rPr>
        <w:t>公里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，建成区绿化覆盖率达</w:t>
      </w:r>
      <w:r>
        <w:rPr>
          <w:rFonts w:ascii="仿宋_GB2312" w:hAnsi="仿宋_GB2312" w:eastAsia="仿宋_GB2312" w:cs="仿宋_GB2312"/>
          <w:sz w:val="32"/>
          <w:szCs w:val="40"/>
          <w:highlight w:val="none"/>
        </w:rPr>
        <w:t>21.9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%。年末道路长度</w:t>
      </w:r>
      <w:r>
        <w:rPr>
          <w:rFonts w:ascii="仿宋_GB2312" w:hAnsi="仿宋_GB2312" w:eastAsia="仿宋_GB2312" w:cs="仿宋_GB2312"/>
          <w:sz w:val="32"/>
          <w:szCs w:val="40"/>
          <w:highlight w:val="none"/>
        </w:rPr>
        <w:t>176.52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公里，比上年末增加</w:t>
      </w:r>
      <w:r>
        <w:rPr>
          <w:rFonts w:ascii="仿宋_GB2312" w:hAnsi="仿宋_GB2312" w:eastAsia="仿宋_GB2312" w:cs="仿宋_GB2312"/>
          <w:sz w:val="32"/>
          <w:szCs w:val="40"/>
          <w:highlight w:val="none"/>
        </w:rPr>
        <w:t>12.72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公里。供气管道长度106.71公里，比上年末增加76.47公里。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全年城镇供水量1303万平方米，城镇年供水综合生产能力10万立方米/日，人均日生活用水量106立方米。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全年全社会用电量4.78亿千瓦时，比上年增长8.9%。其中，居民生活用电2.47亿千瓦时，工业用电7496万千瓦时。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全年工业废水排放量为120.06万吨，废水达标排放率100%；工业固体废物产生量为0.46吨，综合利用率100%。工业烟尘排放量为165.83吨，去除量355.40吨。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全年治安案件查处2410起，比上年减少119起。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年内质量检查单位312家，处理假冒伪劣商品案件9件。</w:t>
      </w:r>
    </w:p>
    <w:p>
      <w:pPr>
        <w:ind w:firstLine="560" w:firstLineChars="200"/>
        <w:jc w:val="left"/>
        <w:rPr>
          <w:rFonts w:ascii="仿宋_GB2312" w:hAnsi="仿宋_GB2312" w:eastAsia="仿宋_GB2312" w:cs="仿宋_GB2312"/>
          <w:sz w:val="28"/>
          <w:szCs w:val="36"/>
          <w:highlight w:val="none"/>
        </w:rPr>
      </w:pPr>
    </w:p>
    <w:p>
      <w:pPr>
        <w:ind w:firstLine="560" w:firstLineChars="200"/>
        <w:jc w:val="left"/>
        <w:rPr>
          <w:rFonts w:ascii="仿宋_GB2312" w:hAnsi="仿宋_GB2312" w:eastAsia="仿宋_GB2312" w:cs="仿宋_GB2312"/>
          <w:sz w:val="28"/>
          <w:szCs w:val="36"/>
          <w:highlight w:val="none"/>
        </w:rPr>
      </w:pPr>
    </w:p>
    <w:p>
      <w:pPr>
        <w:spacing w:line="360" w:lineRule="auto"/>
        <w:jc w:val="left"/>
        <w:rPr>
          <w:rFonts w:ascii="仿宋_GB2312" w:hAnsi="仿宋_GB2312" w:eastAsia="仿宋_GB2312" w:cs="仿宋_GB2312"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注：</w:t>
      </w:r>
      <w:r>
        <w:rPr>
          <w:rFonts w:hint="eastAsia" w:ascii="仿宋_GB2312" w:hAnsi="仿宋_GB2312" w:eastAsia="仿宋_GB2312" w:cs="仿宋_GB2312"/>
          <w:sz w:val="24"/>
          <w:szCs w:val="32"/>
          <w:highlight w:val="none"/>
        </w:rPr>
        <w:t>1、本公报中部分数据因四舍五入的原因，存在着与分项合计不等的情况。</w:t>
      </w:r>
    </w:p>
    <w:p>
      <w:pPr>
        <w:numPr>
          <w:ilvl w:val="0"/>
          <w:numId w:val="3"/>
        </w:numPr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32"/>
          <w:highlight w:val="none"/>
        </w:rPr>
        <w:t>地区生产总值、各产业增加值及各项产值绝对数按现行价格计算，增长速度按可比价格计算（工业总产值除外）。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固定资产投资(不含农户)的口径为计划总投资500万元及以上固定资产投资项目的投资及房地产开发项目的投资。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常住人口是指在本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居住半年以上的人口，以及常住户口在本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、外出本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不满半年的或在境外工作学习的人口。总人口指本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全部户籍人口，不包括未落实常住户口。</w:t>
      </w:r>
      <w:bookmarkStart w:id="0" w:name="_GoBack"/>
      <w:bookmarkEnd w:id="0"/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5、本公报部分指标数据来自相关部门提供。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sectPr>
      <w:headerReference r:id="rId3" w:type="default"/>
      <w:footerReference r:id="rId4" w:type="default"/>
      <w:pgSz w:w="11906" w:h="16838"/>
      <w:pgMar w:top="1361" w:right="1701" w:bottom="136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0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cs="Times New Roman"/>
                        <w:sz w:val="20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8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57A4B"/>
    <w:multiLevelType w:val="singleLevel"/>
    <w:tmpl w:val="59657A4B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965E507"/>
    <w:multiLevelType w:val="singleLevel"/>
    <w:tmpl w:val="5965E507"/>
    <w:lvl w:ilvl="0" w:tentative="0">
      <w:start w:val="5"/>
      <w:numFmt w:val="chineseCounting"/>
      <w:suff w:val="nothing"/>
      <w:lvlText w:val="%1、"/>
      <w:lvlJc w:val="left"/>
    </w:lvl>
  </w:abstractNum>
  <w:abstractNum w:abstractNumId="2">
    <w:nsid w:val="59B5DD75"/>
    <w:multiLevelType w:val="singleLevel"/>
    <w:tmpl w:val="59B5DD7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C5843"/>
    <w:rsid w:val="56540C5D"/>
    <w:rsid w:val="6D7C58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chart" Target="charts/chart7.xml"/><Relationship Id="rId11" Type="http://schemas.openxmlformats.org/officeDocument/2006/relationships/chart" Target="charts/chart6.xml"/><Relationship Id="rId10" Type="http://schemas.openxmlformats.org/officeDocument/2006/relationships/chart" Target="charts/chart5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32508;&#21512;\&#32479;&#35745;&#20844;&#25253;\2016&#20844;&#25253;&#22270;&#3492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32508;&#21512;\&#32479;&#35745;&#20844;&#25253;\2016&#20844;&#25253;&#22270;&#34920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C:\Users\win\Desktop\2016&#20844;&#25253;&#22270;&#34920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C:\Users\win\Desktop\2016&#20844;&#25253;&#22270;&#34920;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C:\Users\win\Desktop\2016&#20844;&#25253;&#22270;&#34920;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C:\Users\win\Desktop\2016&#20844;&#25253;&#22270;&#34920;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C:\Users\win\Desktop\2016&#20844;&#25253;&#22270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400">
                <a:latin typeface="黑体" panose="02010609060101010101" charset="-122"/>
                <a:ea typeface="黑体" panose="02010609060101010101" charset="-122"/>
              </a:rPr>
              <a:t>2012</a:t>
            </a:r>
            <a:r>
              <a:rPr lang="zh-CN" altLang="en-US" sz="1400">
                <a:latin typeface="黑体" panose="02010609060101010101" charset="-122"/>
                <a:ea typeface="黑体" panose="02010609060101010101" charset="-122"/>
              </a:rPr>
              <a:t>年</a:t>
            </a:r>
            <a:r>
              <a:rPr lang="en-US" altLang="zh-CN" sz="1400">
                <a:latin typeface="黑体" panose="02010609060101010101" charset="-122"/>
                <a:ea typeface="黑体" panose="02010609060101010101" charset="-122"/>
              </a:rPr>
              <a:t>-2016</a:t>
            </a:r>
            <a:r>
              <a:rPr lang="zh-CN" altLang="en-US" sz="1400">
                <a:latin typeface="黑体" panose="02010609060101010101" charset="-122"/>
                <a:ea typeface="黑体" panose="02010609060101010101" charset="-122"/>
              </a:rPr>
              <a:t>年地区生产总值</a:t>
            </a:r>
            <a:endParaRPr lang="zh-CN" altLang="en-US" sz="140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"总量（亿元）"</c:f>
              <c:strCache>
                <c:ptCount val="1"/>
                <c:pt idx="0">
                  <c:v>总量（亿元）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[2016公报图表.xlsx]Sheet1!$E$3:$I$3</c:f>
              <c:strCache>
                <c:ptCount val="5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</c:strCache>
            </c:strRef>
          </c:cat>
          <c:val>
            <c:numRef>
              <c:f>[2016公报图表.xlsx]Sheet1!$E$4:$I$4</c:f>
              <c:numCache>
                <c:formatCode>0.00_ </c:formatCode>
                <c:ptCount val="5"/>
                <c:pt idx="0">
                  <c:v>62.4503592553066</c:v>
                </c:pt>
                <c:pt idx="1">
                  <c:v>70.7696768300969</c:v>
                </c:pt>
                <c:pt idx="2">
                  <c:v>78.5706940163189</c:v>
                </c:pt>
                <c:pt idx="3">
                  <c:v>85.4351</c:v>
                </c:pt>
                <c:pt idx="4">
                  <c:v>92.99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8224512"/>
        <c:axId val="88225664"/>
      </c:barChart>
      <c:lineChart>
        <c:grouping val="standard"/>
        <c:varyColors val="0"/>
        <c:ser>
          <c:idx val="1"/>
          <c:order val="1"/>
          <c:tx>
            <c:strRef>
              <c:f>"增速（%）"</c:f>
              <c:strCache>
                <c:ptCount val="1"/>
                <c:pt idx="0">
                  <c:v>增速（%）</c:v>
                </c:pt>
              </c:strCache>
            </c:strRef>
          </c:tx>
          <c:spPr>
            <a:ln w="28575" cap="rnd" cmpd="sng" algn="ctr">
              <a:solidFill>
                <a:srgbClr val="FF3399"/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FF3399"/>
              </a:solidFill>
              <a:ln w="9525" cap="flat" cmpd="sng" algn="ctr">
                <a:solidFill>
                  <a:srgbClr val="FF3399"/>
                </a:solidFill>
                <a:prstDash val="solid"/>
                <a:round/>
              </a:ln>
            </c:spPr>
          </c:marker>
          <c:dLbls>
            <c:dLbl>
              <c:idx val="1"/>
              <c:layout>
                <c:manualLayout>
                  <c:x val="0"/>
                  <c:y val="0.12812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[2016公报图表.xlsx]Sheet1!$E$3:$I$3</c:f>
              <c:strCache>
                <c:ptCount val="5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</c:strCache>
            </c:strRef>
          </c:cat>
          <c:val>
            <c:numRef>
              <c:f>[2016公报图表.xlsx]Sheet1!$E$5:$I$5</c:f>
              <c:numCache>
                <c:formatCode>0.00_ </c:formatCode>
                <c:ptCount val="5"/>
                <c:pt idx="0">
                  <c:v>19.0757019058834</c:v>
                </c:pt>
                <c:pt idx="1" c:formatCode="General">
                  <c:v>12.3</c:v>
                </c:pt>
                <c:pt idx="2" c:formatCode="0.0_ ">
                  <c:v>8.3</c:v>
                </c:pt>
                <c:pt idx="3" c:formatCode="0.0_ ">
                  <c:v>8.61</c:v>
                </c:pt>
                <c:pt idx="4" c:formatCode="0.0_ ">
                  <c:v>10.3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8227200"/>
        <c:axId val="88237184"/>
      </c:lineChart>
      <c:catAx>
        <c:axId val="8822451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8225664"/>
        <c:crosses val="autoZero"/>
        <c:auto val="1"/>
        <c:lblAlgn val="ctr"/>
        <c:lblOffset val="100"/>
        <c:noMultiLvlLbl val="0"/>
      </c:catAx>
      <c:valAx>
        <c:axId val="8822566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prstDash val="solid"/>
              <a:round/>
            </a:ln>
          </c:spPr>
        </c:majorGridlines>
        <c:numFmt formatCode="0.0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8224512"/>
        <c:crosses val="autoZero"/>
        <c:crossBetween val="between"/>
      </c:valAx>
      <c:catAx>
        <c:axId val="88227200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8237184"/>
        <c:crosses val="autoZero"/>
        <c:auto val="1"/>
        <c:lblAlgn val="ctr"/>
        <c:lblOffset val="100"/>
        <c:noMultiLvlLbl val="0"/>
      </c:catAx>
      <c:valAx>
        <c:axId val="88237184"/>
        <c:scaling>
          <c:orientation val="minMax"/>
        </c:scaling>
        <c:delete val="0"/>
        <c:axPos val="r"/>
        <c:numFmt formatCode="0.0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8227200"/>
        <c:crosses val="max"/>
        <c:crossBetween val="between"/>
      </c:valAx>
    </c:plotArea>
    <c:legend>
      <c:legendPos val="t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baseline="0">
                <a:solidFill>
                  <a:schemeClr val="tx1"/>
                </a:solidFill>
                <a:latin typeface="黑体" panose="02010609060101010101" charset="-122"/>
                <a:ea typeface="黑体" panose="02010609060101010101" charset="-122"/>
                <a:cs typeface="+mn-cs"/>
              </a:defRPr>
            </a:pPr>
            <a:r>
              <a:rPr lang="en-US" altLang="zh-CN" sz="1400" b="0">
                <a:latin typeface="黑体" panose="02010609060101010101" charset="-122"/>
                <a:ea typeface="黑体" panose="02010609060101010101" charset="-122"/>
              </a:rPr>
              <a:t>2012</a:t>
            </a:r>
            <a:r>
              <a:rPr lang="zh-CN" altLang="en-US" sz="1400" b="0">
                <a:latin typeface="黑体" panose="02010609060101010101" charset="-122"/>
                <a:ea typeface="黑体" panose="02010609060101010101" charset="-122"/>
              </a:rPr>
              <a:t>年</a:t>
            </a:r>
            <a:r>
              <a:rPr lang="en-US" altLang="zh-CN" sz="1400" b="0">
                <a:latin typeface="黑体" panose="02010609060101010101" charset="-122"/>
                <a:ea typeface="黑体" panose="02010609060101010101" charset="-122"/>
              </a:rPr>
              <a:t>-2016</a:t>
            </a:r>
            <a:r>
              <a:rPr lang="zh-CN" altLang="en-US" sz="1400" b="0">
                <a:latin typeface="黑体" panose="02010609060101010101" charset="-122"/>
                <a:ea typeface="黑体" panose="02010609060101010101" charset="-122"/>
              </a:rPr>
              <a:t>年三次产业比重</a:t>
            </a:r>
            <a:endParaRPr lang="zh-CN" altLang="en-US" sz="1400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"第一产业"</c:f>
              <c:strCache>
                <c:ptCount val="1"/>
                <c:pt idx="0">
                  <c:v>第一产业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[2016公报图表.xlsx]Sheet1!$E$8:$I$8</c:f>
              <c:strCache>
                <c:ptCount val="5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</c:strCache>
            </c:strRef>
          </c:cat>
          <c:val>
            <c:numRef>
              <c:f>[2016公报图表.xlsx]Sheet1!$E$9:$I$9</c:f>
              <c:numCache>
                <c:formatCode>0.0_ </c:formatCode>
                <c:ptCount val="5"/>
                <c:pt idx="0">
                  <c:v>17.1845288449451</c:v>
                </c:pt>
                <c:pt idx="1">
                  <c:v>17.7359860355643</c:v>
                </c:pt>
                <c:pt idx="2">
                  <c:v>17.8670943101054</c:v>
                </c:pt>
                <c:pt idx="3">
                  <c:v>18.0776987444271</c:v>
                </c:pt>
                <c:pt idx="4" c:formatCode="General">
                  <c:v>18.3</c:v>
                </c:pt>
              </c:numCache>
            </c:numRef>
          </c:val>
        </c:ser>
        <c:ser>
          <c:idx val="1"/>
          <c:order val="1"/>
          <c:tx>
            <c:strRef>
              <c:f>"第二产业"</c:f>
              <c:strCache>
                <c:ptCount val="1"/>
                <c:pt idx="0">
                  <c:v>第二产业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[2016公报图表.xlsx]Sheet1!$E$8:$I$8</c:f>
              <c:strCache>
                <c:ptCount val="5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</c:strCache>
            </c:strRef>
          </c:cat>
          <c:val>
            <c:numRef>
              <c:f>[2016公报图表.xlsx]Sheet1!$E$10:$I$10</c:f>
              <c:numCache>
                <c:formatCode>0.0_ </c:formatCode>
                <c:ptCount val="5"/>
                <c:pt idx="0">
                  <c:v>40.6742163827475</c:v>
                </c:pt>
                <c:pt idx="1">
                  <c:v>42.7235927042979</c:v>
                </c:pt>
                <c:pt idx="2">
                  <c:v>43.395221417045</c:v>
                </c:pt>
                <c:pt idx="3">
                  <c:v>42.4023798944864</c:v>
                </c:pt>
                <c:pt idx="4" c:formatCode="General">
                  <c:v>41.3</c:v>
                </c:pt>
              </c:numCache>
            </c:numRef>
          </c:val>
        </c:ser>
        <c:ser>
          <c:idx val="2"/>
          <c:order val="2"/>
          <c:tx>
            <c:strRef>
              <c:f>"第三产业"</c:f>
              <c:strCache>
                <c:ptCount val="1"/>
                <c:pt idx="0">
                  <c:v>第三产业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[2016公报图表.xlsx]Sheet1!$E$8:$I$8</c:f>
              <c:strCache>
                <c:ptCount val="5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</c:strCache>
            </c:strRef>
          </c:cat>
          <c:val>
            <c:numRef>
              <c:f>[2016公报图表.xlsx]Sheet1!$E$11:$I$11</c:f>
              <c:numCache>
                <c:formatCode>0.0_ </c:formatCode>
                <c:ptCount val="5"/>
                <c:pt idx="0">
                  <c:v>42.1412547723074</c:v>
                </c:pt>
                <c:pt idx="1">
                  <c:v>39.5404212601378</c:v>
                </c:pt>
                <c:pt idx="2">
                  <c:v>38.7376842728497</c:v>
                </c:pt>
                <c:pt idx="3">
                  <c:v>39.5199770237321</c:v>
                </c:pt>
                <c:pt idx="4" c:formatCode="General">
                  <c:v>40.4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4800256"/>
        <c:axId val="44802048"/>
      </c:barChart>
      <c:catAx>
        <c:axId val="4480025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802048"/>
        <c:crosses val="autoZero"/>
        <c:auto val="1"/>
        <c:lblAlgn val="ctr"/>
        <c:lblOffset val="100"/>
        <c:noMultiLvlLbl val="0"/>
      </c:catAx>
      <c:valAx>
        <c:axId val="44802048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800256"/>
        <c:crosses val="autoZero"/>
        <c:crossBetween val="between"/>
      </c:valAx>
      <c:spPr>
        <a:ln>
          <a:noFill/>
        </a:ln>
      </c:spPr>
    </c:plotArea>
    <c:legend>
      <c:legendPos val="t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lang="en-US" altLang="zh-CN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2012</a:t>
            </a:r>
            <a:r>
              <a:rPr lang="zh-CN" altLang="en-US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</a:t>
            </a:r>
            <a:r>
              <a:rPr lang="en-US" altLang="zh-CN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-2016</a:t>
            </a:r>
            <a:r>
              <a:rPr lang="zh-CN" altLang="en-US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年规上工业增加值及增速</a:t>
            </a:r>
            <a:endParaRPr lang="zh-CN" altLang="en-US">
              <a:solidFill>
                <a:sysClr val="windowText" lastClr="000000"/>
              </a:solidFill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86753050698201"/>
          <c:y val="0.2586536419622"/>
          <c:w val="0.841715939111838"/>
          <c:h val="0.6386493947759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"总量（亿元）"</c:f>
              <c:strCache>
                <c:ptCount val="1"/>
                <c:pt idx="0">
                  <c:v>总量（亿元）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[2016公报图表.xlsx]Sheet1!$C$14:$G$14</c:f>
              <c:strCache>
                <c:ptCount val="5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</c:strCache>
            </c:strRef>
          </c:cat>
          <c:val>
            <c:numRef>
              <c:f>[2016公报图表.xlsx]Sheet1!$C$15:$G$15</c:f>
              <c:numCache>
                <c:formatCode>0.00_ ;[Red]\-0.00\ </c:formatCode>
                <c:ptCount val="5"/>
                <c:pt idx="0" c:formatCode="0.00_ ;[Red]\-0.00\ ">
                  <c:v>18.4858</c:v>
                </c:pt>
                <c:pt idx="1" c:formatCode="0.00_ ;[Red]\-0.00\ ">
                  <c:v>22.9195</c:v>
                </c:pt>
                <c:pt idx="2" c:formatCode="0.00_ ;[Red]\-0.00\ ">
                  <c:v>26.0903</c:v>
                </c:pt>
                <c:pt idx="3" c:formatCode="0.00_ ;[Red]\-0.00\ ">
                  <c:v>27.7497</c:v>
                </c:pt>
                <c:pt idx="4" c:formatCode="0.00_ ;[Red]\-0.00\ ">
                  <c:v>29.0287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15943776"/>
        <c:axId val="515944168"/>
      </c:barChart>
      <c:lineChart>
        <c:grouping val="standard"/>
        <c:varyColors val="0"/>
        <c:ser>
          <c:idx val="1"/>
          <c:order val="1"/>
          <c:tx>
            <c:strRef>
              <c:f>"增速（%）"</c:f>
              <c:strCache>
                <c:ptCount val="1"/>
                <c:pt idx="0">
                  <c:v>增速（%）</c:v>
                </c:pt>
              </c:strCache>
            </c:strRef>
          </c:tx>
          <c:spPr>
            <a:ln w="28575" cap="rnd">
              <a:solidFill>
                <a:srgbClr val="FF3399"/>
              </a:solidFill>
              <a:round/>
            </a:ln>
            <a:effectLst/>
          </c:spPr>
          <c:marker>
            <c:symbol val="diamond"/>
            <c:size val="5"/>
            <c:spPr>
              <a:solidFill>
                <a:srgbClr val="FF3399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1"/>
              <c:layout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[2016公报图表.xlsx]Sheet1!$C$14:$G$14</c:f>
              <c:strCache>
                <c:ptCount val="5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</c:strCache>
            </c:strRef>
          </c:cat>
          <c:val>
            <c:numRef>
              <c:f>[2016公报图表.xlsx]Sheet1!$C$16:$G$16</c:f>
              <c:numCache>
                <c:formatCode>0.0_ ;[Red]\-0.0\ </c:formatCode>
                <c:ptCount val="5"/>
                <c:pt idx="0" c:formatCode="0.0_ ;[Red]\-0.0\ ">
                  <c:v>35.1</c:v>
                </c:pt>
                <c:pt idx="1" c:formatCode="0.0_ ;[Red]\-0.0\ ">
                  <c:v>19.8</c:v>
                </c:pt>
                <c:pt idx="2" c:formatCode="0.0_ ;[Red]\-0.0\ ">
                  <c:v>10.6</c:v>
                </c:pt>
                <c:pt idx="3" c:formatCode="0.0_ ;[Red]\-0.0\ ">
                  <c:v>9.1</c:v>
                </c:pt>
                <c:pt idx="4" c:formatCode="0.0_ ;[Red]\-0.0\ ">
                  <c:v>15.8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15944560"/>
        <c:axId val="521178992"/>
      </c:lineChart>
      <c:catAx>
        <c:axId val="5159437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50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515944168"/>
        <c:crosses val="autoZero"/>
        <c:auto val="1"/>
        <c:lblAlgn val="ctr"/>
        <c:lblOffset val="100"/>
        <c:noMultiLvlLbl val="0"/>
      </c:catAx>
      <c:valAx>
        <c:axId val="51594416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_ ;[Red]\-0.00\ 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50000"/>
              </a:schemeClr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515943776"/>
        <c:crosses val="autoZero"/>
        <c:crossBetween val="between"/>
      </c:valAx>
      <c:catAx>
        <c:axId val="5159445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21178992"/>
        <c:crosses val="autoZero"/>
        <c:auto val="1"/>
        <c:lblAlgn val="ctr"/>
        <c:lblOffset val="100"/>
        <c:noMultiLvlLbl val="0"/>
      </c:catAx>
      <c:valAx>
        <c:axId val="521178992"/>
        <c:scaling>
          <c:orientation val="minMax"/>
        </c:scaling>
        <c:delete val="0"/>
        <c:axPos val="r"/>
        <c:numFmt formatCode="0.0_ ;[Red]\-0.0\ 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50000"/>
              </a:schemeClr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515944560"/>
        <c:crosses val="max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lang="en-US" altLang="zh-CN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2012</a:t>
            </a:r>
            <a:r>
              <a:rPr lang="zh-CN" altLang="en-US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</a:t>
            </a:r>
            <a:r>
              <a:rPr lang="en-US" altLang="zh-CN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-2016</a:t>
            </a:r>
            <a:r>
              <a:rPr lang="zh-CN" altLang="en-US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年固定资产投资及增速</a:t>
            </a:r>
            <a:endParaRPr lang="zh-CN" altLang="en-US">
              <a:solidFill>
                <a:sysClr val="windowText" lastClr="000000"/>
              </a:solidFill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"总量（亿元）"</c:f>
              <c:strCache>
                <c:ptCount val="1"/>
                <c:pt idx="0">
                  <c:v>总量（亿元）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[2016公报图表.xlsx]Sheet1!$C$19:$G$19</c:f>
              <c:strCache>
                <c:ptCount val="5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</c:strCache>
            </c:strRef>
          </c:cat>
          <c:val>
            <c:numRef>
              <c:f>[2016公报图表.xlsx]Sheet1!$C$20:$G$20</c:f>
              <c:numCache>
                <c:formatCode>0.00_ </c:formatCode>
                <c:ptCount val="5"/>
                <c:pt idx="0">
                  <c:v>94.7728</c:v>
                </c:pt>
                <c:pt idx="1">
                  <c:v>86.3335</c:v>
                </c:pt>
                <c:pt idx="2">
                  <c:v>100.0163</c:v>
                </c:pt>
                <c:pt idx="3">
                  <c:v>111.1883</c:v>
                </c:pt>
                <c:pt idx="4">
                  <c:v>120.6129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21179776"/>
        <c:axId val="521180168"/>
      </c:barChart>
      <c:lineChart>
        <c:grouping val="standard"/>
        <c:varyColors val="0"/>
        <c:ser>
          <c:idx val="1"/>
          <c:order val="1"/>
          <c:tx>
            <c:strRef>
              <c:f>"增速（%）"</c:f>
              <c:strCache>
                <c:ptCount val="1"/>
                <c:pt idx="0">
                  <c:v>增速（%）</c:v>
                </c:pt>
              </c:strCache>
            </c:strRef>
          </c:tx>
          <c:spPr>
            <a:ln w="22225" cap="rnd">
              <a:solidFill>
                <a:srgbClr val="FF3399"/>
              </a:solidFill>
              <a:round/>
            </a:ln>
            <a:effectLst/>
          </c:spPr>
          <c:marker>
            <c:symbol val="diamond"/>
            <c:size val="5"/>
            <c:spPr>
              <a:solidFill>
                <a:srgbClr val="FF3399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0.000268031189083821"/>
                  <c:y val="0.13588437902666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[2016公报图表.xlsx]Sheet1!$C$19:$G$19</c:f>
              <c:strCache>
                <c:ptCount val="5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</c:strCache>
            </c:strRef>
          </c:cat>
          <c:val>
            <c:numRef>
              <c:f>[2016公报图表.xlsx]Sheet1!$C$21:$G$21</c:f>
              <c:numCache>
                <c:formatCode>General</c:formatCode>
                <c:ptCount val="5"/>
                <c:pt idx="0" c:formatCode="General">
                  <c:v>36.8</c:v>
                </c:pt>
                <c:pt idx="1" c:formatCode="General">
                  <c:v>20.9</c:v>
                </c:pt>
                <c:pt idx="2" c:formatCode="General">
                  <c:v>15.8</c:v>
                </c:pt>
                <c:pt idx="3" c:formatCode="General">
                  <c:v>11.2</c:v>
                </c:pt>
                <c:pt idx="4" c:formatCode="General">
                  <c:v>8.5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21180560"/>
        <c:axId val="520894424"/>
      </c:lineChart>
      <c:catAx>
        <c:axId val="5211797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50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521180168"/>
        <c:crosses val="autoZero"/>
        <c:auto val="1"/>
        <c:lblAlgn val="ctr"/>
        <c:lblOffset val="100"/>
        <c:noMultiLvlLbl val="0"/>
      </c:catAx>
      <c:valAx>
        <c:axId val="52118016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_);[Red]\(#,##0\)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50000"/>
              </a:schemeClr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521179776"/>
        <c:crosses val="autoZero"/>
        <c:crossBetween val="between"/>
      </c:valAx>
      <c:catAx>
        <c:axId val="5211805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20894424"/>
        <c:crosses val="autoZero"/>
        <c:auto val="1"/>
        <c:lblAlgn val="ctr"/>
        <c:lblOffset val="100"/>
        <c:noMultiLvlLbl val="0"/>
      </c:catAx>
      <c:valAx>
        <c:axId val="520894424"/>
        <c:scaling>
          <c:orientation val="minMax"/>
        </c:scaling>
        <c:delete val="0"/>
        <c:axPos val="r"/>
        <c:numFmt formatCode="#,##0.0_);[Red]\(#,##0.0\)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50000"/>
              </a:schemeClr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521180560"/>
        <c:crosses val="max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lang="en-US" altLang="zh-CN" sz="1200">
                <a:solidFill>
                  <a:schemeClr val="tx1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2012-2016</a:t>
            </a:r>
            <a:r>
              <a:rPr lang="zh-CN" altLang="en-US" sz="1200">
                <a:solidFill>
                  <a:schemeClr val="tx1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年社会消费品零售总额及增速</a:t>
            </a:r>
            <a:endParaRPr lang="zh-CN" altLang="en-US" sz="1200">
              <a:solidFill>
                <a:schemeClr val="tx1"/>
              </a:solidFill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</c:rich>
      </c:tx>
      <c:layout>
        <c:manualLayout>
          <c:xMode val="edge"/>
          <c:yMode val="edge"/>
          <c:x val="0.242222222222222"/>
          <c:y val="0.0243337195828505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"总量（亿元）"</c:f>
              <c:strCache>
                <c:ptCount val="1"/>
                <c:pt idx="0">
                  <c:v>总量（亿元）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[2016公报图表.xlsx]Sheet1!$C$24:$G$24</c:f>
              <c:strCache>
                <c:ptCount val="5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</c:strCache>
            </c:strRef>
          </c:cat>
          <c:val>
            <c:numRef>
              <c:f>[2016公报图表.xlsx]Sheet1!$C$25:$G$25</c:f>
              <c:numCache>
                <c:formatCode>0.00_ </c:formatCode>
                <c:ptCount val="5"/>
                <c:pt idx="0">
                  <c:v>15.68458</c:v>
                </c:pt>
                <c:pt idx="1">
                  <c:v>17.8726</c:v>
                </c:pt>
                <c:pt idx="2">
                  <c:v>20.1924</c:v>
                </c:pt>
                <c:pt idx="3">
                  <c:v>22.36919</c:v>
                </c:pt>
                <c:pt idx="4">
                  <c:v>24.8969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20895208"/>
        <c:axId val="520895600"/>
      </c:barChart>
      <c:lineChart>
        <c:grouping val="standard"/>
        <c:varyColors val="0"/>
        <c:ser>
          <c:idx val="1"/>
          <c:order val="1"/>
          <c:tx>
            <c:strRef>
              <c:f>"增速（%）"</c:f>
              <c:strCache>
                <c:ptCount val="1"/>
                <c:pt idx="0">
                  <c:v>增速（%）</c:v>
                </c:pt>
              </c:strCache>
            </c:strRef>
          </c:tx>
          <c:spPr>
            <a:ln w="28575" cap="rnd">
              <a:solidFill>
                <a:srgbClr val="FF3399"/>
              </a:solidFill>
              <a:round/>
            </a:ln>
            <a:effectLst/>
          </c:spPr>
          <c:marker>
            <c:symbol val="diamond"/>
            <c:size val="5"/>
            <c:spPr>
              <a:solidFill>
                <a:srgbClr val="FF3399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3"/>
              <c:layout>
                <c:manualLayout>
                  <c:x val="0.00208333333333333"/>
                  <c:y val="-0.0034762456546929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[2016公报图表.xlsx]Sheet1!$C$24:$G$24</c:f>
              <c:strCache>
                <c:ptCount val="5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</c:strCache>
            </c:strRef>
          </c:cat>
          <c:val>
            <c:numRef>
              <c:f>[2016公报图表.xlsx]Sheet1!$C$26:$G$26</c:f>
              <c:numCache>
                <c:formatCode>General</c:formatCode>
                <c:ptCount val="5"/>
                <c:pt idx="0" c:formatCode="General">
                  <c:v>16.72</c:v>
                </c:pt>
                <c:pt idx="1" c:formatCode="0.0_ ">
                  <c:v>14</c:v>
                </c:pt>
                <c:pt idx="2" c:formatCode="General">
                  <c:v>12.98</c:v>
                </c:pt>
                <c:pt idx="3" c:formatCode="General">
                  <c:v>10.78</c:v>
                </c:pt>
                <c:pt idx="4" c:formatCode="General">
                  <c:v>11.3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20895992"/>
        <c:axId val="520193776"/>
      </c:lineChart>
      <c:catAx>
        <c:axId val="5208952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20895600"/>
        <c:crosses val="autoZero"/>
        <c:auto val="1"/>
        <c:lblAlgn val="ctr"/>
        <c:lblOffset val="100"/>
        <c:noMultiLvlLbl val="0"/>
      </c:catAx>
      <c:valAx>
        <c:axId val="52089560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_ 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5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20895208"/>
        <c:crosses val="autoZero"/>
        <c:crossBetween val="between"/>
      </c:valAx>
      <c:catAx>
        <c:axId val="5208959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20193776"/>
        <c:crosses val="autoZero"/>
        <c:auto val="1"/>
        <c:lblAlgn val="ctr"/>
        <c:lblOffset val="100"/>
        <c:noMultiLvlLbl val="0"/>
      </c:catAx>
      <c:valAx>
        <c:axId val="520193776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50000"/>
              </a:schemeClr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520895992"/>
        <c:crosses val="max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lang="en-US" altLang="zh-CN" sz="14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2012</a:t>
            </a:r>
            <a:r>
              <a:rPr lang="zh-CN" altLang="en-US" sz="14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</a:t>
            </a:r>
            <a:r>
              <a:rPr lang="en-US" altLang="zh-CN" sz="14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-2016</a:t>
            </a:r>
            <a:r>
              <a:rPr lang="zh-CN" altLang="en-US" sz="1400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年城镇居民人均可支配收入</a:t>
            </a:r>
            <a:endParaRPr lang="zh-CN" altLang="en-US" sz="1400"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"总量（元）"</c:f>
              <c:strCache>
                <c:ptCount val="1"/>
                <c:pt idx="0">
                  <c:v>总量（元）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[2016公报图表.xlsx]Sheet1!$C$29:$G$29</c:f>
              <c:strCache>
                <c:ptCount val="5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</c:strCache>
            </c:strRef>
          </c:cat>
          <c:val>
            <c:numRef>
              <c:f>[2016公报图表.xlsx]Sheet1!$C$30:$G$30</c:f>
              <c:numCache>
                <c:formatCode>General</c:formatCode>
                <c:ptCount val="5"/>
                <c:pt idx="0" c:formatCode="General">
                  <c:v>26110</c:v>
                </c:pt>
                <c:pt idx="1" c:formatCode="General">
                  <c:v>28747</c:v>
                </c:pt>
                <c:pt idx="2" c:formatCode="General">
                  <c:v>31363</c:v>
                </c:pt>
                <c:pt idx="3" c:formatCode="General">
                  <c:v>33558</c:v>
                </c:pt>
                <c:pt idx="4" c:formatCode="General">
                  <c:v>34993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20194560"/>
        <c:axId val="520194952"/>
      </c:barChart>
      <c:lineChart>
        <c:grouping val="standard"/>
        <c:varyColors val="0"/>
        <c:ser>
          <c:idx val="1"/>
          <c:order val="1"/>
          <c:tx>
            <c:strRef>
              <c:f>"增速（%）"</c:f>
              <c:strCache>
                <c:ptCount val="1"/>
                <c:pt idx="0">
                  <c:v>增速（%）</c:v>
                </c:pt>
              </c:strCache>
            </c:strRef>
          </c:tx>
          <c:spPr>
            <a:ln w="28575" cap="rnd">
              <a:solidFill>
                <a:srgbClr val="FF3399"/>
              </a:solidFill>
              <a:round/>
            </a:ln>
            <a:effectLst/>
          </c:spPr>
          <c:marker>
            <c:symbol val="diamond"/>
            <c:size val="5"/>
            <c:spPr>
              <a:solidFill>
                <a:srgbClr val="FF3399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2"/>
              <c:layout>
                <c:manualLayout>
                  <c:x val="0"/>
                  <c:y val="-0.028769841269841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[2016公报图表.xlsx]Sheet1!$C$29:$G$29</c:f>
              <c:strCache>
                <c:ptCount val="5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</c:strCache>
            </c:strRef>
          </c:cat>
          <c:val>
            <c:numRef>
              <c:f>[2016公报图表.xlsx]Sheet1!$C$31:$G$31</c:f>
              <c:numCache>
                <c:formatCode>0.0_ </c:formatCode>
                <c:ptCount val="5"/>
                <c:pt idx="0">
                  <c:v>12.6304891726339</c:v>
                </c:pt>
                <c:pt idx="1">
                  <c:v>10.0995787054768</c:v>
                </c:pt>
                <c:pt idx="2">
                  <c:v>9.1000800083487</c:v>
                </c:pt>
                <c:pt idx="3">
                  <c:v>7</c:v>
                </c:pt>
                <c:pt idx="4">
                  <c:v>7.5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20195344"/>
        <c:axId val="498797952"/>
      </c:lineChart>
      <c:catAx>
        <c:axId val="5201945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20194952"/>
        <c:crosses val="autoZero"/>
        <c:auto val="1"/>
        <c:lblAlgn val="ctr"/>
        <c:lblOffset val="100"/>
        <c:noMultiLvlLbl val="0"/>
      </c:catAx>
      <c:valAx>
        <c:axId val="520194952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>
                <a:lumMod val="75000"/>
                <a:lumOff val="2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20194560"/>
        <c:crosses val="autoZero"/>
        <c:crossBetween val="between"/>
      </c:valAx>
      <c:catAx>
        <c:axId val="5201953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98797952"/>
        <c:crosses val="autoZero"/>
        <c:auto val="1"/>
        <c:lblAlgn val="ctr"/>
        <c:lblOffset val="100"/>
        <c:noMultiLvlLbl val="0"/>
      </c:catAx>
      <c:valAx>
        <c:axId val="498797952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20195344"/>
        <c:crosses val="max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lang="en-US" altLang="zh-CN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2012</a:t>
            </a:r>
            <a:r>
              <a:rPr lang="zh-CN" altLang="en-US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</a:t>
            </a:r>
            <a:r>
              <a:rPr lang="en-US" altLang="zh-CN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-2016</a:t>
            </a:r>
            <a:r>
              <a:rPr lang="zh-CN" altLang="en-US"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年农村居民人均可支配收入</a:t>
            </a:r>
            <a:endParaRPr lang="zh-CN" altLang="en-US"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"总量（元）"</c:f>
              <c:strCache>
                <c:ptCount val="1"/>
                <c:pt idx="0">
                  <c:v>总量（元）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[2016公报图表.xlsx]Sheet1!$C$32:$G$32</c:f>
              <c:strCache>
                <c:ptCount val="5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</c:strCache>
            </c:strRef>
          </c:cat>
          <c:val>
            <c:numRef>
              <c:f>[2016公报图表.xlsx]Sheet1!$C$33:$G$33</c:f>
              <c:numCache>
                <c:formatCode>0_ </c:formatCode>
                <c:ptCount val="5"/>
                <c:pt idx="0">
                  <c:v>9263.91</c:v>
                </c:pt>
                <c:pt idx="1" c:formatCode="General">
                  <c:v>10542</c:v>
                </c:pt>
                <c:pt idx="2" c:formatCode="General">
                  <c:v>11860</c:v>
                </c:pt>
                <c:pt idx="3" c:formatCode="General">
                  <c:v>12904</c:v>
                </c:pt>
                <c:pt idx="4" c:formatCode="General">
                  <c:v>14960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98798736"/>
        <c:axId val="498799128"/>
      </c:barChart>
      <c:lineChart>
        <c:grouping val="standard"/>
        <c:varyColors val="0"/>
        <c:ser>
          <c:idx val="1"/>
          <c:order val="1"/>
          <c:tx>
            <c:strRef>
              <c:f>"增速（%）"</c:f>
              <c:strCache>
                <c:ptCount val="1"/>
                <c:pt idx="0">
                  <c:v>增速（%）</c:v>
                </c:pt>
              </c:strCache>
            </c:strRef>
          </c:tx>
          <c:spPr>
            <a:ln w="28575" cap="rnd">
              <a:solidFill>
                <a:srgbClr val="FF3399"/>
              </a:solidFill>
              <a:round/>
            </a:ln>
            <a:effectLst/>
          </c:spPr>
          <c:marker>
            <c:symbol val="diamond"/>
            <c:size val="5"/>
            <c:spPr>
              <a:solidFill>
                <a:srgbClr val="FF3399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3"/>
              <c:layout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[2016公报图表.xlsx]Sheet1!$C$32:$G$32</c:f>
              <c:strCache>
                <c:ptCount val="5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</c:strCache>
            </c:strRef>
          </c:cat>
          <c:val>
            <c:numRef>
              <c:f>[2016公报图表.xlsx]Sheet1!$C$34:$G$34</c:f>
              <c:numCache>
                <c:formatCode>0.0_ </c:formatCode>
                <c:ptCount val="5"/>
                <c:pt idx="0">
                  <c:v>15.7051120176507</c:v>
                </c:pt>
                <c:pt idx="1">
                  <c:v>13.79644232295</c:v>
                </c:pt>
                <c:pt idx="2">
                  <c:v>12.5023714665149</c:v>
                </c:pt>
                <c:pt idx="3">
                  <c:v>8.8</c:v>
                </c:pt>
                <c:pt idx="4">
                  <c:v>10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98799520"/>
        <c:axId val="498799912"/>
      </c:lineChart>
      <c:catAx>
        <c:axId val="49879873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65000"/>
                <a:lumOff val="3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98799128"/>
        <c:crosses val="autoZero"/>
        <c:auto val="1"/>
        <c:lblAlgn val="ctr"/>
        <c:lblOffset val="100"/>
        <c:noMultiLvlLbl val="0"/>
      </c:catAx>
      <c:valAx>
        <c:axId val="49879912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_ " sourceLinked="1"/>
        <c:majorTickMark val="out"/>
        <c:minorTickMark val="none"/>
        <c:tickLblPos val="nextTo"/>
        <c:spPr>
          <a:noFill/>
          <a:ln>
            <a:solidFill>
              <a:schemeClr val="tx1">
                <a:lumMod val="75000"/>
                <a:lumOff val="2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98798736"/>
        <c:crosses val="autoZero"/>
        <c:crossBetween val="between"/>
      </c:valAx>
      <c:catAx>
        <c:axId val="4987995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98799912"/>
        <c:crosses val="autoZero"/>
        <c:auto val="1"/>
        <c:lblAlgn val="ctr"/>
        <c:lblOffset val="100"/>
        <c:noMultiLvlLbl val="0"/>
      </c:catAx>
      <c:valAx>
        <c:axId val="498799912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98799520"/>
        <c:crosses val="max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2017-09-05T09:17:00Z</dcterms:created>
  <dc:creator>Lenovo</dc:creator>
  <cp:lastModifiedBy>Lenovo</cp:lastModifiedBy>
  <dcterms:modified xsi:type="dcterms:W3CDTF">2017-09-11T00:51:00Z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