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防城港市消防工作“十四五”规划</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rFonts w:hint="eastAsia" w:ascii="仿宋_GB2312" w:hAnsi="仿宋_GB2312" w:eastAsia="仿宋_GB2312" w:cs="仿宋_GB2312"/>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rFonts w:hint="eastAsia" w:ascii="仿宋_GB2312" w:hAnsi="仿宋_GB2312" w:eastAsia="仿宋_GB2312" w:cs="仿宋_GB2312"/>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rFonts w:hint="eastAsia" w:ascii="仿宋_GB2312" w:hAnsi="仿宋_GB2312" w:eastAsia="仿宋_GB2312" w:cs="仿宋_GB2312"/>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rFonts w:hint="eastAsia" w:ascii="仿宋_GB2312" w:hAnsi="仿宋_GB2312" w:eastAsia="仿宋_GB2312" w:cs="仿宋_GB2312"/>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rFonts w:hint="eastAsia" w:ascii="仿宋_GB2312" w:hAnsi="仿宋_GB2312" w:eastAsia="仿宋_GB2312" w:cs="仿宋_GB2312"/>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2022年4月14日</w:t>
      </w:r>
    </w:p>
    <w:p>
      <w:pPr>
        <w:pStyle w:val="27"/>
        <w:spacing w:line="360" w:lineRule="auto"/>
        <w:ind w:left="0" w:leftChars="0" w:firstLine="0"/>
        <w:jc w:val="center"/>
        <w:rPr>
          <w:b/>
          <w:bCs/>
          <w:color w:val="auto"/>
          <w:sz w:val="32"/>
          <w:szCs w:val="32"/>
        </w:rPr>
      </w:pPr>
      <w:bookmarkStart w:id="1" w:name="_Toc19915"/>
      <w:r>
        <w:rPr>
          <w:b/>
          <w:bCs/>
          <w:color w:val="auto"/>
          <w:sz w:val="32"/>
          <w:szCs w:val="32"/>
        </w:rPr>
        <w:t>目  录</w:t>
      </w:r>
      <w:bookmarkEnd w:id="1"/>
    </w:p>
    <w:p>
      <w:pPr>
        <w:pStyle w:val="19"/>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黑体" w:hAnsi="黑体" w:eastAsia="黑体" w:cs="黑体"/>
          <w:color w:val="auto"/>
          <w:sz w:val="28"/>
          <w:szCs w:val="28"/>
        </w:rPr>
      </w:pPr>
      <w:r>
        <w:rPr>
          <w:b/>
          <w:bCs/>
          <w:color w:val="auto"/>
          <w:sz w:val="32"/>
          <w:szCs w:val="32"/>
        </w:rPr>
        <w:fldChar w:fldCharType="begin"/>
      </w:r>
      <w:r>
        <w:rPr>
          <w:b/>
          <w:bCs/>
          <w:color w:val="auto"/>
          <w:sz w:val="32"/>
          <w:szCs w:val="32"/>
        </w:rPr>
        <w:instrText xml:space="preserve">TOC \o "1-2" \h \u </w:instrText>
      </w:r>
      <w:r>
        <w:rPr>
          <w:b/>
          <w:bCs/>
          <w:color w:val="auto"/>
          <w:sz w:val="32"/>
          <w:szCs w:val="32"/>
        </w:rPr>
        <w:fldChar w:fldCharType="separate"/>
      </w:r>
      <w:r>
        <w:rPr>
          <w:rFonts w:hint="eastAsia" w:ascii="黑体" w:hAnsi="黑体" w:eastAsia="黑体" w:cs="黑体"/>
          <w:bCs/>
          <w:color w:val="auto"/>
          <w:sz w:val="28"/>
          <w:szCs w:val="28"/>
        </w:rPr>
        <w:fldChar w:fldCharType="begin"/>
      </w:r>
      <w:r>
        <w:rPr>
          <w:rFonts w:hint="eastAsia" w:ascii="黑体" w:hAnsi="黑体" w:eastAsia="黑体" w:cs="黑体"/>
          <w:bCs/>
          <w:color w:val="auto"/>
          <w:sz w:val="28"/>
          <w:szCs w:val="28"/>
        </w:rPr>
        <w:instrText xml:space="preserve"> HYPERLINK \l _Toc29938 </w:instrText>
      </w:r>
      <w:r>
        <w:rPr>
          <w:rFonts w:hint="eastAsia" w:ascii="黑体" w:hAnsi="黑体" w:eastAsia="黑体" w:cs="黑体"/>
          <w:bCs/>
          <w:color w:val="auto"/>
          <w:sz w:val="28"/>
          <w:szCs w:val="28"/>
        </w:rPr>
        <w:fldChar w:fldCharType="separate"/>
      </w:r>
      <w:r>
        <w:rPr>
          <w:rFonts w:hint="eastAsia" w:ascii="黑体" w:hAnsi="黑体" w:eastAsia="黑体" w:cs="黑体"/>
          <w:color w:val="auto"/>
          <w:kern w:val="21"/>
          <w:sz w:val="28"/>
          <w:szCs w:val="28"/>
          <w:lang w:bidi="ar"/>
        </w:rPr>
        <w:t>第一章  形势分析</w:t>
      </w:r>
      <w:r>
        <w:rPr>
          <w:rFonts w:hint="eastAsia" w:ascii="黑体" w:hAnsi="黑体" w:eastAsia="黑体" w:cs="黑体"/>
          <w:color w:val="auto"/>
          <w:sz w:val="28"/>
          <w:szCs w:val="28"/>
        </w:rPr>
        <w:tab/>
      </w:r>
      <w:r>
        <w:rPr>
          <w:rFonts w:hint="default" w:ascii="黑体" w:hAnsi="黑体" w:eastAsia="黑体" w:cs="黑体"/>
          <w:color w:val="auto"/>
          <w:sz w:val="28"/>
          <w:szCs w:val="28"/>
          <w:lang w:val="en"/>
        </w:rPr>
        <w:t>..............</w:t>
      </w:r>
      <w:r>
        <w:rPr>
          <w:rFonts w:hint="eastAsia"/>
          <w:bCs/>
          <w:color w:val="auto"/>
          <w:kern w:val="2"/>
          <w:sz w:val="24"/>
          <w:szCs w:val="24"/>
          <w:lang w:val="en-US" w:eastAsia="zh-CN" w:bidi="ar-SA"/>
        </w:rPr>
        <w:fldChar w:fldCharType="begin"/>
      </w:r>
      <w:r>
        <w:rPr>
          <w:rFonts w:hint="eastAsia"/>
          <w:bCs/>
          <w:color w:val="auto"/>
          <w:kern w:val="2"/>
          <w:sz w:val="24"/>
          <w:szCs w:val="24"/>
          <w:lang w:val="en-US" w:eastAsia="zh-CN" w:bidi="ar-SA"/>
        </w:rPr>
        <w:instrText xml:space="preserve"> PAGEREF _Toc29938 \h </w:instrText>
      </w:r>
      <w:r>
        <w:rPr>
          <w:rFonts w:hint="eastAsia"/>
          <w:bCs/>
          <w:color w:val="auto"/>
          <w:kern w:val="2"/>
          <w:sz w:val="24"/>
          <w:szCs w:val="24"/>
          <w:lang w:val="en-US" w:eastAsia="zh-CN" w:bidi="ar-SA"/>
        </w:rPr>
        <w:fldChar w:fldCharType="separate"/>
      </w:r>
      <w:r>
        <w:rPr>
          <w:rFonts w:hint="eastAsia"/>
          <w:bCs/>
          <w:color w:val="auto"/>
          <w:kern w:val="2"/>
          <w:sz w:val="24"/>
          <w:szCs w:val="24"/>
          <w:lang w:val="en-US" w:eastAsia="zh-CN" w:bidi="ar-SA"/>
        </w:rPr>
        <w:t>- 4 -</w:t>
      </w:r>
      <w:r>
        <w:rPr>
          <w:rFonts w:hint="eastAsia"/>
          <w:bCs/>
          <w:color w:val="auto"/>
          <w:kern w:val="2"/>
          <w:sz w:val="24"/>
          <w:szCs w:val="24"/>
          <w:lang w:val="en-US" w:eastAsia="zh-CN" w:bidi="ar-SA"/>
        </w:rPr>
        <w:fldChar w:fldCharType="end"/>
      </w:r>
      <w:r>
        <w:rPr>
          <w:rFonts w:hint="eastAsia" w:ascii="黑体" w:hAnsi="黑体" w:eastAsia="黑体" w:cs="黑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楷体" w:hAnsi="楷体" w:eastAsia="楷体" w:cs="楷体"/>
          <w:color w:val="auto"/>
          <w:sz w:val="28"/>
          <w:szCs w:val="28"/>
        </w:rPr>
      </w:pPr>
      <w:r>
        <w:rPr>
          <w:rFonts w:hint="eastAsia" w:ascii="楷体" w:hAnsi="楷体" w:eastAsia="楷体" w:cs="楷体"/>
          <w:bCs/>
          <w:color w:val="auto"/>
          <w:sz w:val="28"/>
          <w:szCs w:val="28"/>
        </w:rPr>
        <w:fldChar w:fldCharType="begin"/>
      </w:r>
      <w:r>
        <w:rPr>
          <w:rFonts w:hint="eastAsia" w:ascii="楷体" w:hAnsi="楷体" w:eastAsia="楷体" w:cs="楷体"/>
          <w:bCs/>
          <w:color w:val="auto"/>
          <w:sz w:val="28"/>
          <w:szCs w:val="28"/>
        </w:rPr>
        <w:instrText xml:space="preserve"> HYPERLINK \l _Toc18837 </w:instrText>
      </w:r>
      <w:r>
        <w:rPr>
          <w:rFonts w:hint="eastAsia" w:ascii="楷体" w:hAnsi="楷体" w:eastAsia="楷体" w:cs="楷体"/>
          <w:bCs/>
          <w:color w:val="auto"/>
          <w:sz w:val="28"/>
          <w:szCs w:val="28"/>
        </w:rPr>
        <w:fldChar w:fldCharType="separate"/>
      </w:r>
      <w:r>
        <w:rPr>
          <w:rFonts w:hint="eastAsia" w:ascii="楷体" w:hAnsi="楷体" w:eastAsia="楷体" w:cs="楷体"/>
          <w:color w:val="auto"/>
          <w:kern w:val="21"/>
          <w:sz w:val="28"/>
          <w:szCs w:val="28"/>
          <w:lang w:bidi="ar"/>
        </w:rPr>
        <w:t>第一节  发展基础</w:t>
      </w:r>
      <w:r>
        <w:rPr>
          <w:rFonts w:hint="eastAsia" w:ascii="楷体" w:hAnsi="楷体" w:eastAsia="楷体" w:cs="楷体"/>
          <w:color w:val="auto"/>
          <w:sz w:val="28"/>
          <w:szCs w:val="28"/>
        </w:rPr>
        <w:tab/>
      </w:r>
      <w:r>
        <w:rPr>
          <w:rFonts w:hint="eastAsia"/>
          <w:bCs/>
          <w:color w:val="auto"/>
          <w:sz w:val="24"/>
          <w:lang w:val="en-US" w:eastAsia="zh-CN"/>
        </w:rPr>
        <w:fldChar w:fldCharType="begin"/>
      </w:r>
      <w:r>
        <w:rPr>
          <w:rFonts w:hint="eastAsia"/>
          <w:bCs/>
          <w:color w:val="auto"/>
          <w:sz w:val="24"/>
          <w:lang w:val="en-US" w:eastAsia="zh-CN"/>
        </w:rPr>
        <w:instrText xml:space="preserve"> PAGEREF _Toc18837 \h </w:instrText>
      </w:r>
      <w:r>
        <w:rPr>
          <w:rFonts w:hint="eastAsia"/>
          <w:bCs/>
          <w:color w:val="auto"/>
          <w:sz w:val="24"/>
          <w:lang w:val="en-US" w:eastAsia="zh-CN"/>
        </w:rPr>
        <w:fldChar w:fldCharType="separate"/>
      </w:r>
      <w:r>
        <w:rPr>
          <w:rFonts w:hint="eastAsia"/>
          <w:bCs/>
          <w:color w:val="auto"/>
          <w:sz w:val="24"/>
          <w:lang w:val="en-US" w:eastAsia="zh-CN"/>
        </w:rPr>
        <w:t>- 4 -</w:t>
      </w:r>
      <w:r>
        <w:rPr>
          <w:rFonts w:hint="eastAsia"/>
          <w:bCs/>
          <w:color w:val="auto"/>
          <w:sz w:val="24"/>
          <w:lang w:val="en-US" w:eastAsia="zh-CN"/>
        </w:rPr>
        <w:fldChar w:fldCharType="end"/>
      </w:r>
      <w:r>
        <w:rPr>
          <w:rFonts w:hint="eastAsia" w:ascii="楷体" w:hAnsi="楷体" w:eastAsia="楷体" w:cs="楷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楷体" w:hAnsi="楷体" w:eastAsia="楷体" w:cs="楷体"/>
          <w:color w:val="auto"/>
          <w:sz w:val="28"/>
          <w:szCs w:val="28"/>
        </w:rPr>
      </w:pPr>
      <w:r>
        <w:rPr>
          <w:rFonts w:hint="eastAsia" w:ascii="楷体" w:hAnsi="楷体" w:eastAsia="楷体" w:cs="楷体"/>
          <w:bCs/>
          <w:color w:val="auto"/>
          <w:sz w:val="28"/>
          <w:szCs w:val="28"/>
        </w:rPr>
        <w:fldChar w:fldCharType="begin"/>
      </w:r>
      <w:r>
        <w:rPr>
          <w:rFonts w:hint="eastAsia" w:ascii="楷体" w:hAnsi="楷体" w:eastAsia="楷体" w:cs="楷体"/>
          <w:bCs/>
          <w:color w:val="auto"/>
          <w:sz w:val="28"/>
          <w:szCs w:val="28"/>
        </w:rPr>
        <w:instrText xml:space="preserve"> HYPERLINK \l _Toc28198 </w:instrText>
      </w:r>
      <w:r>
        <w:rPr>
          <w:rFonts w:hint="eastAsia" w:ascii="楷体" w:hAnsi="楷体" w:eastAsia="楷体" w:cs="楷体"/>
          <w:bCs/>
          <w:color w:val="auto"/>
          <w:sz w:val="28"/>
          <w:szCs w:val="28"/>
        </w:rPr>
        <w:fldChar w:fldCharType="separate"/>
      </w:r>
      <w:r>
        <w:rPr>
          <w:rFonts w:hint="eastAsia" w:ascii="楷体" w:hAnsi="楷体" w:eastAsia="楷体" w:cs="楷体"/>
          <w:color w:val="auto"/>
          <w:kern w:val="21"/>
          <w:sz w:val="28"/>
          <w:szCs w:val="28"/>
          <w:lang w:bidi="ar"/>
        </w:rPr>
        <w:t>第二节  “十四五”时期面临挑战和发展机遇</w:t>
      </w:r>
      <w:r>
        <w:rPr>
          <w:rFonts w:hint="eastAsia" w:ascii="楷体" w:hAnsi="楷体" w:eastAsia="楷体" w:cs="楷体"/>
          <w:color w:val="auto"/>
          <w:sz w:val="28"/>
          <w:szCs w:val="28"/>
        </w:rPr>
        <w:tab/>
      </w:r>
      <w:r>
        <w:rPr>
          <w:rFonts w:hint="eastAsia"/>
          <w:bCs/>
          <w:color w:val="auto"/>
          <w:sz w:val="24"/>
          <w:lang w:val="en-US" w:eastAsia="zh-CN"/>
        </w:rPr>
        <w:fldChar w:fldCharType="begin"/>
      </w:r>
      <w:r>
        <w:rPr>
          <w:rFonts w:hint="eastAsia"/>
          <w:bCs/>
          <w:color w:val="auto"/>
          <w:sz w:val="24"/>
          <w:lang w:val="en-US" w:eastAsia="zh-CN"/>
        </w:rPr>
        <w:instrText xml:space="preserve"> PAGEREF _Toc28198 \h </w:instrText>
      </w:r>
      <w:r>
        <w:rPr>
          <w:rFonts w:hint="eastAsia"/>
          <w:bCs/>
          <w:color w:val="auto"/>
          <w:sz w:val="24"/>
          <w:lang w:val="en-US" w:eastAsia="zh-CN"/>
        </w:rPr>
        <w:fldChar w:fldCharType="separate"/>
      </w:r>
      <w:r>
        <w:rPr>
          <w:rFonts w:hint="eastAsia"/>
          <w:bCs/>
          <w:color w:val="auto"/>
          <w:sz w:val="24"/>
          <w:lang w:val="en-US" w:eastAsia="zh-CN"/>
        </w:rPr>
        <w:t>- 6 -</w:t>
      </w:r>
      <w:r>
        <w:rPr>
          <w:rFonts w:hint="eastAsia"/>
          <w:bCs/>
          <w:color w:val="auto"/>
          <w:sz w:val="24"/>
          <w:lang w:val="en-US" w:eastAsia="zh-CN"/>
        </w:rPr>
        <w:fldChar w:fldCharType="end"/>
      </w:r>
      <w:r>
        <w:rPr>
          <w:rFonts w:hint="eastAsia" w:ascii="楷体" w:hAnsi="楷体" w:eastAsia="楷体" w:cs="楷体"/>
          <w:bCs/>
          <w:color w:val="auto"/>
          <w:sz w:val="28"/>
          <w:szCs w:val="28"/>
        </w:rPr>
        <w:fldChar w:fldCharType="end"/>
      </w:r>
    </w:p>
    <w:p>
      <w:pPr>
        <w:pStyle w:val="19"/>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黑体" w:hAnsi="黑体" w:eastAsia="黑体" w:cs="黑体"/>
          <w:color w:val="auto"/>
          <w:sz w:val="28"/>
          <w:szCs w:val="28"/>
        </w:rPr>
      </w:pPr>
      <w:r>
        <w:rPr>
          <w:rFonts w:hint="eastAsia" w:ascii="黑体" w:hAnsi="黑体" w:eastAsia="黑体" w:cs="黑体"/>
          <w:bCs/>
          <w:color w:val="auto"/>
          <w:sz w:val="28"/>
          <w:szCs w:val="28"/>
        </w:rPr>
        <w:fldChar w:fldCharType="begin"/>
      </w:r>
      <w:r>
        <w:rPr>
          <w:rFonts w:hint="eastAsia" w:ascii="黑体" w:hAnsi="黑体" w:eastAsia="黑体" w:cs="黑体"/>
          <w:bCs/>
          <w:color w:val="auto"/>
          <w:sz w:val="28"/>
          <w:szCs w:val="28"/>
        </w:rPr>
        <w:instrText xml:space="preserve"> HYPERLINK \l _Toc28343 </w:instrText>
      </w:r>
      <w:r>
        <w:rPr>
          <w:rFonts w:hint="eastAsia" w:ascii="黑体" w:hAnsi="黑体" w:eastAsia="黑体" w:cs="黑体"/>
          <w:bCs/>
          <w:color w:val="auto"/>
          <w:sz w:val="28"/>
          <w:szCs w:val="28"/>
        </w:rPr>
        <w:fldChar w:fldCharType="separate"/>
      </w:r>
      <w:r>
        <w:rPr>
          <w:rFonts w:hint="eastAsia" w:ascii="黑体" w:hAnsi="黑体" w:eastAsia="黑体" w:cs="黑体"/>
          <w:color w:val="auto"/>
          <w:kern w:val="21"/>
          <w:sz w:val="28"/>
          <w:szCs w:val="28"/>
          <w:lang w:bidi="ar"/>
        </w:rPr>
        <w:t>第二章  总体要求与发展目标</w:t>
      </w:r>
      <w:r>
        <w:rPr>
          <w:rFonts w:hint="eastAsia" w:ascii="黑体" w:hAnsi="黑体" w:eastAsia="黑体" w:cs="黑体"/>
          <w:color w:val="auto"/>
          <w:sz w:val="28"/>
          <w:szCs w:val="28"/>
        </w:rPr>
        <w:tab/>
      </w:r>
      <w:r>
        <w:rPr>
          <w:rFonts w:hint="eastAsia"/>
          <w:bCs/>
          <w:color w:val="auto"/>
          <w:kern w:val="2"/>
          <w:sz w:val="24"/>
          <w:szCs w:val="24"/>
          <w:lang w:val="en-US" w:eastAsia="zh-CN" w:bidi="ar-SA"/>
        </w:rPr>
        <w:fldChar w:fldCharType="begin"/>
      </w:r>
      <w:r>
        <w:rPr>
          <w:rFonts w:hint="eastAsia"/>
          <w:bCs/>
          <w:color w:val="auto"/>
          <w:kern w:val="2"/>
          <w:sz w:val="24"/>
          <w:szCs w:val="24"/>
          <w:lang w:val="en-US" w:eastAsia="zh-CN" w:bidi="ar-SA"/>
        </w:rPr>
        <w:instrText xml:space="preserve"> PAGEREF _Toc28343 \h </w:instrText>
      </w:r>
      <w:r>
        <w:rPr>
          <w:rFonts w:hint="eastAsia"/>
          <w:bCs/>
          <w:color w:val="auto"/>
          <w:kern w:val="2"/>
          <w:sz w:val="24"/>
          <w:szCs w:val="24"/>
          <w:lang w:val="en-US" w:eastAsia="zh-CN" w:bidi="ar-SA"/>
        </w:rPr>
        <w:fldChar w:fldCharType="separate"/>
      </w:r>
      <w:r>
        <w:rPr>
          <w:rFonts w:hint="eastAsia"/>
          <w:bCs/>
          <w:color w:val="auto"/>
          <w:kern w:val="2"/>
          <w:sz w:val="24"/>
          <w:szCs w:val="24"/>
          <w:lang w:val="en-US" w:eastAsia="zh-CN" w:bidi="ar-SA"/>
        </w:rPr>
        <w:t>- 8 -</w:t>
      </w:r>
      <w:r>
        <w:rPr>
          <w:rFonts w:hint="eastAsia"/>
          <w:bCs/>
          <w:color w:val="auto"/>
          <w:kern w:val="2"/>
          <w:sz w:val="24"/>
          <w:szCs w:val="24"/>
          <w:lang w:val="en-US" w:eastAsia="zh-CN" w:bidi="ar-SA"/>
        </w:rPr>
        <w:fldChar w:fldCharType="end"/>
      </w:r>
      <w:r>
        <w:rPr>
          <w:rFonts w:hint="eastAsia" w:ascii="黑体" w:hAnsi="黑体" w:eastAsia="黑体" w:cs="黑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楷体" w:hAnsi="楷体" w:eastAsia="楷体" w:cs="楷体"/>
          <w:color w:val="auto"/>
          <w:sz w:val="28"/>
          <w:szCs w:val="28"/>
        </w:rPr>
      </w:pPr>
      <w:r>
        <w:rPr>
          <w:rFonts w:hint="eastAsia" w:ascii="楷体" w:hAnsi="楷体" w:eastAsia="楷体" w:cs="楷体"/>
          <w:bCs/>
          <w:color w:val="auto"/>
          <w:sz w:val="28"/>
          <w:szCs w:val="28"/>
        </w:rPr>
        <w:fldChar w:fldCharType="begin"/>
      </w:r>
      <w:r>
        <w:rPr>
          <w:rFonts w:hint="eastAsia" w:ascii="楷体" w:hAnsi="楷体" w:eastAsia="楷体" w:cs="楷体"/>
          <w:bCs/>
          <w:color w:val="auto"/>
          <w:sz w:val="28"/>
          <w:szCs w:val="28"/>
        </w:rPr>
        <w:instrText xml:space="preserve"> HYPERLINK \l _Toc24873 </w:instrText>
      </w:r>
      <w:r>
        <w:rPr>
          <w:rFonts w:hint="eastAsia" w:ascii="楷体" w:hAnsi="楷体" w:eastAsia="楷体" w:cs="楷体"/>
          <w:bCs/>
          <w:color w:val="auto"/>
          <w:sz w:val="28"/>
          <w:szCs w:val="28"/>
        </w:rPr>
        <w:fldChar w:fldCharType="separate"/>
      </w:r>
      <w:r>
        <w:rPr>
          <w:rFonts w:hint="eastAsia" w:ascii="楷体" w:hAnsi="楷体" w:eastAsia="楷体" w:cs="楷体"/>
          <w:color w:val="auto"/>
          <w:kern w:val="21"/>
          <w:sz w:val="28"/>
          <w:szCs w:val="28"/>
          <w:lang w:bidi="ar"/>
        </w:rPr>
        <w:t>第一节  指导思想</w:t>
      </w:r>
      <w:r>
        <w:rPr>
          <w:rFonts w:hint="eastAsia" w:ascii="楷体" w:hAnsi="楷体" w:eastAsia="楷体" w:cs="楷体"/>
          <w:color w:val="auto"/>
          <w:sz w:val="28"/>
          <w:szCs w:val="28"/>
        </w:rPr>
        <w:tab/>
      </w:r>
      <w:r>
        <w:rPr>
          <w:rFonts w:hint="eastAsia"/>
          <w:bCs/>
          <w:color w:val="auto"/>
          <w:sz w:val="24"/>
          <w:lang w:val="en-US" w:eastAsia="zh-CN"/>
        </w:rPr>
        <w:fldChar w:fldCharType="begin"/>
      </w:r>
      <w:r>
        <w:rPr>
          <w:rFonts w:hint="eastAsia"/>
          <w:bCs/>
          <w:color w:val="auto"/>
          <w:sz w:val="24"/>
          <w:lang w:val="en-US" w:eastAsia="zh-CN"/>
        </w:rPr>
        <w:instrText xml:space="preserve"> PAGEREF _Toc24873 \h </w:instrText>
      </w:r>
      <w:r>
        <w:rPr>
          <w:rFonts w:hint="eastAsia"/>
          <w:bCs/>
          <w:color w:val="auto"/>
          <w:sz w:val="24"/>
          <w:lang w:val="en-US" w:eastAsia="zh-CN"/>
        </w:rPr>
        <w:fldChar w:fldCharType="separate"/>
      </w:r>
      <w:r>
        <w:rPr>
          <w:rFonts w:hint="eastAsia"/>
          <w:bCs/>
          <w:color w:val="auto"/>
          <w:sz w:val="24"/>
          <w:lang w:val="en-US" w:eastAsia="zh-CN"/>
        </w:rPr>
        <w:t>- 8 -</w:t>
      </w:r>
      <w:r>
        <w:rPr>
          <w:rFonts w:hint="eastAsia"/>
          <w:bCs/>
          <w:color w:val="auto"/>
          <w:sz w:val="24"/>
          <w:lang w:val="en-US" w:eastAsia="zh-CN"/>
        </w:rPr>
        <w:fldChar w:fldCharType="end"/>
      </w:r>
      <w:r>
        <w:rPr>
          <w:rFonts w:hint="eastAsia" w:ascii="楷体" w:hAnsi="楷体" w:eastAsia="楷体" w:cs="楷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楷体" w:hAnsi="楷体" w:eastAsia="楷体" w:cs="楷体"/>
          <w:color w:val="auto"/>
          <w:sz w:val="28"/>
          <w:szCs w:val="28"/>
        </w:rPr>
      </w:pPr>
      <w:r>
        <w:rPr>
          <w:rFonts w:hint="eastAsia" w:ascii="楷体" w:hAnsi="楷体" w:eastAsia="楷体" w:cs="楷体"/>
          <w:bCs/>
          <w:color w:val="auto"/>
          <w:sz w:val="28"/>
          <w:szCs w:val="28"/>
        </w:rPr>
        <w:fldChar w:fldCharType="begin"/>
      </w:r>
      <w:r>
        <w:rPr>
          <w:rFonts w:hint="eastAsia" w:ascii="楷体" w:hAnsi="楷体" w:eastAsia="楷体" w:cs="楷体"/>
          <w:bCs/>
          <w:color w:val="auto"/>
          <w:sz w:val="28"/>
          <w:szCs w:val="28"/>
        </w:rPr>
        <w:instrText xml:space="preserve"> HYPERLINK \l _Toc12432 </w:instrText>
      </w:r>
      <w:r>
        <w:rPr>
          <w:rFonts w:hint="eastAsia" w:ascii="楷体" w:hAnsi="楷体" w:eastAsia="楷体" w:cs="楷体"/>
          <w:bCs/>
          <w:color w:val="auto"/>
          <w:sz w:val="28"/>
          <w:szCs w:val="28"/>
        </w:rPr>
        <w:fldChar w:fldCharType="separate"/>
      </w:r>
      <w:r>
        <w:rPr>
          <w:rFonts w:hint="eastAsia" w:ascii="楷体" w:hAnsi="楷体" w:eastAsia="楷体" w:cs="楷体"/>
          <w:color w:val="auto"/>
          <w:kern w:val="21"/>
          <w:sz w:val="28"/>
          <w:szCs w:val="28"/>
          <w:lang w:bidi="ar"/>
        </w:rPr>
        <w:t>第二节  工作原则</w:t>
      </w:r>
      <w:r>
        <w:rPr>
          <w:rFonts w:hint="eastAsia" w:ascii="楷体" w:hAnsi="楷体" w:eastAsia="楷体" w:cs="楷体"/>
          <w:color w:val="auto"/>
          <w:sz w:val="28"/>
          <w:szCs w:val="28"/>
        </w:rPr>
        <w:tab/>
      </w:r>
      <w:r>
        <w:rPr>
          <w:rFonts w:hint="eastAsia"/>
          <w:bCs/>
          <w:color w:val="auto"/>
          <w:sz w:val="24"/>
          <w:lang w:val="en-US" w:eastAsia="zh-CN"/>
        </w:rPr>
        <w:fldChar w:fldCharType="begin"/>
      </w:r>
      <w:r>
        <w:rPr>
          <w:rFonts w:hint="eastAsia"/>
          <w:bCs/>
          <w:color w:val="auto"/>
          <w:sz w:val="24"/>
          <w:lang w:val="en-US" w:eastAsia="zh-CN"/>
        </w:rPr>
        <w:instrText xml:space="preserve"> PAGEREF _Toc12432 \h </w:instrText>
      </w:r>
      <w:r>
        <w:rPr>
          <w:rFonts w:hint="eastAsia"/>
          <w:bCs/>
          <w:color w:val="auto"/>
          <w:sz w:val="24"/>
          <w:lang w:val="en-US" w:eastAsia="zh-CN"/>
        </w:rPr>
        <w:fldChar w:fldCharType="separate"/>
      </w:r>
      <w:r>
        <w:rPr>
          <w:rFonts w:hint="eastAsia"/>
          <w:bCs/>
          <w:color w:val="auto"/>
          <w:sz w:val="24"/>
          <w:lang w:val="en-US" w:eastAsia="zh-CN"/>
        </w:rPr>
        <w:t>- 9 -</w:t>
      </w:r>
      <w:r>
        <w:rPr>
          <w:rFonts w:hint="eastAsia"/>
          <w:bCs/>
          <w:color w:val="auto"/>
          <w:sz w:val="24"/>
          <w:lang w:val="en-US" w:eastAsia="zh-CN"/>
        </w:rPr>
        <w:fldChar w:fldCharType="end"/>
      </w:r>
      <w:r>
        <w:rPr>
          <w:rFonts w:hint="eastAsia" w:ascii="楷体" w:hAnsi="楷体" w:eastAsia="楷体" w:cs="楷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楷体" w:hAnsi="楷体" w:eastAsia="楷体" w:cs="楷体"/>
          <w:color w:val="auto"/>
          <w:sz w:val="28"/>
          <w:szCs w:val="28"/>
        </w:rPr>
      </w:pPr>
      <w:r>
        <w:rPr>
          <w:rFonts w:hint="eastAsia" w:ascii="楷体" w:hAnsi="楷体" w:eastAsia="楷体" w:cs="楷体"/>
          <w:bCs/>
          <w:color w:val="auto"/>
          <w:sz w:val="28"/>
          <w:szCs w:val="28"/>
        </w:rPr>
        <w:fldChar w:fldCharType="begin"/>
      </w:r>
      <w:r>
        <w:rPr>
          <w:rFonts w:hint="eastAsia" w:ascii="楷体" w:hAnsi="楷体" w:eastAsia="楷体" w:cs="楷体"/>
          <w:bCs/>
          <w:color w:val="auto"/>
          <w:sz w:val="28"/>
          <w:szCs w:val="28"/>
        </w:rPr>
        <w:instrText xml:space="preserve"> HYPERLINK \l _Toc1179 </w:instrText>
      </w:r>
      <w:r>
        <w:rPr>
          <w:rFonts w:hint="eastAsia" w:ascii="楷体" w:hAnsi="楷体" w:eastAsia="楷体" w:cs="楷体"/>
          <w:bCs/>
          <w:color w:val="auto"/>
          <w:sz w:val="28"/>
          <w:szCs w:val="28"/>
        </w:rPr>
        <w:fldChar w:fldCharType="separate"/>
      </w:r>
      <w:r>
        <w:rPr>
          <w:rFonts w:hint="eastAsia" w:ascii="楷体" w:hAnsi="楷体" w:eastAsia="楷体" w:cs="楷体"/>
          <w:color w:val="auto"/>
          <w:kern w:val="21"/>
          <w:sz w:val="28"/>
          <w:szCs w:val="28"/>
          <w:lang w:bidi="ar"/>
        </w:rPr>
        <w:t>第三节  主要目标</w:t>
      </w:r>
      <w:r>
        <w:rPr>
          <w:rFonts w:hint="eastAsia" w:ascii="楷体" w:hAnsi="楷体" w:eastAsia="楷体" w:cs="楷体"/>
          <w:color w:val="auto"/>
          <w:sz w:val="28"/>
          <w:szCs w:val="28"/>
        </w:rPr>
        <w:tab/>
      </w:r>
      <w:r>
        <w:rPr>
          <w:rFonts w:hint="eastAsia"/>
          <w:bCs/>
          <w:color w:val="auto"/>
          <w:sz w:val="24"/>
          <w:lang w:val="en-US" w:eastAsia="zh-CN"/>
        </w:rPr>
        <w:fldChar w:fldCharType="begin"/>
      </w:r>
      <w:r>
        <w:rPr>
          <w:rFonts w:hint="eastAsia"/>
          <w:bCs/>
          <w:color w:val="auto"/>
          <w:sz w:val="24"/>
          <w:lang w:val="en-US" w:eastAsia="zh-CN"/>
        </w:rPr>
        <w:instrText xml:space="preserve"> PAGEREF _Toc1179 \h </w:instrText>
      </w:r>
      <w:r>
        <w:rPr>
          <w:rFonts w:hint="eastAsia"/>
          <w:bCs/>
          <w:color w:val="auto"/>
          <w:sz w:val="24"/>
          <w:lang w:val="en-US" w:eastAsia="zh-CN"/>
        </w:rPr>
        <w:fldChar w:fldCharType="separate"/>
      </w:r>
      <w:r>
        <w:rPr>
          <w:rFonts w:hint="eastAsia"/>
          <w:bCs/>
          <w:color w:val="auto"/>
          <w:sz w:val="24"/>
          <w:lang w:val="en-US" w:eastAsia="zh-CN"/>
        </w:rPr>
        <w:t>- 10 -</w:t>
      </w:r>
      <w:r>
        <w:rPr>
          <w:rFonts w:hint="eastAsia"/>
          <w:bCs/>
          <w:color w:val="auto"/>
          <w:sz w:val="24"/>
          <w:lang w:val="en-US" w:eastAsia="zh-CN"/>
        </w:rPr>
        <w:fldChar w:fldCharType="end"/>
      </w:r>
      <w:r>
        <w:rPr>
          <w:rFonts w:hint="eastAsia" w:ascii="楷体" w:hAnsi="楷体" w:eastAsia="楷体" w:cs="楷体"/>
          <w:bCs/>
          <w:color w:val="auto"/>
          <w:sz w:val="28"/>
          <w:szCs w:val="28"/>
        </w:rPr>
        <w:fldChar w:fldCharType="end"/>
      </w:r>
    </w:p>
    <w:p>
      <w:pPr>
        <w:pStyle w:val="19"/>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黑体" w:hAnsi="黑体" w:eastAsia="黑体" w:cs="黑体"/>
          <w:color w:val="auto"/>
          <w:sz w:val="28"/>
          <w:szCs w:val="28"/>
        </w:rPr>
      </w:pPr>
      <w:r>
        <w:rPr>
          <w:rFonts w:hint="eastAsia" w:ascii="黑体" w:hAnsi="黑体" w:eastAsia="黑体" w:cs="黑体"/>
          <w:bCs/>
          <w:color w:val="auto"/>
          <w:sz w:val="28"/>
          <w:szCs w:val="28"/>
        </w:rPr>
        <w:fldChar w:fldCharType="begin"/>
      </w:r>
      <w:r>
        <w:rPr>
          <w:rFonts w:hint="eastAsia" w:ascii="黑体" w:hAnsi="黑体" w:eastAsia="黑体" w:cs="黑体"/>
          <w:bCs/>
          <w:color w:val="auto"/>
          <w:sz w:val="28"/>
          <w:szCs w:val="28"/>
        </w:rPr>
        <w:instrText xml:space="preserve"> HYPERLINK \l _Toc24171 </w:instrText>
      </w:r>
      <w:r>
        <w:rPr>
          <w:rFonts w:hint="eastAsia" w:ascii="黑体" w:hAnsi="黑体" w:eastAsia="黑体" w:cs="黑体"/>
          <w:bCs/>
          <w:color w:val="auto"/>
          <w:sz w:val="28"/>
          <w:szCs w:val="28"/>
        </w:rPr>
        <w:fldChar w:fldCharType="separate"/>
      </w:r>
      <w:r>
        <w:rPr>
          <w:rFonts w:hint="eastAsia" w:ascii="黑体" w:hAnsi="黑体" w:eastAsia="黑体" w:cs="黑体"/>
          <w:color w:val="auto"/>
          <w:kern w:val="21"/>
          <w:sz w:val="28"/>
          <w:szCs w:val="28"/>
          <w:lang w:bidi="ar"/>
        </w:rPr>
        <w:t>第三章  主要任务</w:t>
      </w:r>
      <w:r>
        <w:rPr>
          <w:rFonts w:hint="eastAsia" w:ascii="黑体" w:hAnsi="黑体" w:eastAsia="黑体" w:cs="黑体"/>
          <w:color w:val="auto"/>
          <w:sz w:val="28"/>
          <w:szCs w:val="28"/>
        </w:rPr>
        <w:tab/>
      </w:r>
      <w:r>
        <w:rPr>
          <w:rFonts w:hint="eastAsia"/>
          <w:bCs/>
          <w:color w:val="auto"/>
          <w:kern w:val="2"/>
          <w:sz w:val="24"/>
          <w:szCs w:val="24"/>
          <w:lang w:val="en-US" w:eastAsia="zh-CN" w:bidi="ar-SA"/>
        </w:rPr>
        <w:fldChar w:fldCharType="begin"/>
      </w:r>
      <w:r>
        <w:rPr>
          <w:rFonts w:hint="eastAsia"/>
          <w:bCs/>
          <w:color w:val="auto"/>
          <w:kern w:val="2"/>
          <w:sz w:val="24"/>
          <w:szCs w:val="24"/>
          <w:lang w:val="en-US" w:eastAsia="zh-CN" w:bidi="ar-SA"/>
        </w:rPr>
        <w:instrText xml:space="preserve"> PAGEREF _Toc24171 \h </w:instrText>
      </w:r>
      <w:r>
        <w:rPr>
          <w:rFonts w:hint="eastAsia"/>
          <w:bCs/>
          <w:color w:val="auto"/>
          <w:kern w:val="2"/>
          <w:sz w:val="24"/>
          <w:szCs w:val="24"/>
          <w:lang w:val="en-US" w:eastAsia="zh-CN" w:bidi="ar-SA"/>
        </w:rPr>
        <w:fldChar w:fldCharType="separate"/>
      </w:r>
      <w:r>
        <w:rPr>
          <w:rFonts w:hint="eastAsia"/>
          <w:bCs/>
          <w:color w:val="auto"/>
          <w:kern w:val="2"/>
          <w:sz w:val="24"/>
          <w:szCs w:val="24"/>
          <w:lang w:val="en-US" w:eastAsia="zh-CN" w:bidi="ar-SA"/>
        </w:rPr>
        <w:t>- 10 -</w:t>
      </w:r>
      <w:r>
        <w:rPr>
          <w:rFonts w:hint="eastAsia"/>
          <w:bCs/>
          <w:color w:val="auto"/>
          <w:kern w:val="2"/>
          <w:sz w:val="24"/>
          <w:szCs w:val="24"/>
          <w:lang w:val="en-US" w:eastAsia="zh-CN" w:bidi="ar-SA"/>
        </w:rPr>
        <w:fldChar w:fldCharType="end"/>
      </w:r>
      <w:r>
        <w:rPr>
          <w:rFonts w:hint="eastAsia" w:ascii="黑体" w:hAnsi="黑体" w:eastAsia="黑体" w:cs="黑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楷体" w:hAnsi="楷体" w:eastAsia="楷体" w:cs="楷体"/>
          <w:color w:val="auto"/>
          <w:sz w:val="28"/>
          <w:szCs w:val="28"/>
        </w:rPr>
      </w:pPr>
      <w:r>
        <w:rPr>
          <w:rFonts w:hint="eastAsia" w:ascii="楷体" w:hAnsi="楷体" w:eastAsia="楷体" w:cs="楷体"/>
          <w:bCs/>
          <w:color w:val="auto"/>
          <w:sz w:val="28"/>
          <w:szCs w:val="28"/>
        </w:rPr>
        <w:fldChar w:fldCharType="begin"/>
      </w:r>
      <w:r>
        <w:rPr>
          <w:rFonts w:hint="eastAsia" w:ascii="楷体" w:hAnsi="楷体" w:eastAsia="楷体" w:cs="楷体"/>
          <w:bCs/>
          <w:color w:val="auto"/>
          <w:sz w:val="28"/>
          <w:szCs w:val="28"/>
        </w:rPr>
        <w:instrText xml:space="preserve"> HYPERLINK \l _Toc14612 </w:instrText>
      </w:r>
      <w:r>
        <w:rPr>
          <w:rFonts w:hint="eastAsia" w:ascii="楷体" w:hAnsi="楷体" w:eastAsia="楷体" w:cs="楷体"/>
          <w:bCs/>
          <w:color w:val="auto"/>
          <w:sz w:val="28"/>
          <w:szCs w:val="28"/>
        </w:rPr>
        <w:fldChar w:fldCharType="separate"/>
      </w:r>
      <w:r>
        <w:rPr>
          <w:rFonts w:hint="eastAsia" w:ascii="楷体" w:hAnsi="楷体" w:eastAsia="楷体" w:cs="楷体"/>
          <w:color w:val="auto"/>
          <w:kern w:val="21"/>
          <w:sz w:val="28"/>
          <w:szCs w:val="28"/>
          <w:lang w:bidi="ar"/>
        </w:rPr>
        <w:t>第一节  夯实公共消防安全基础</w:t>
      </w:r>
      <w:r>
        <w:rPr>
          <w:rFonts w:hint="eastAsia" w:ascii="楷体" w:hAnsi="楷体" w:eastAsia="楷体" w:cs="楷体"/>
          <w:color w:val="auto"/>
          <w:sz w:val="28"/>
          <w:szCs w:val="28"/>
        </w:rPr>
        <w:tab/>
      </w:r>
      <w:r>
        <w:rPr>
          <w:rFonts w:hint="eastAsia"/>
          <w:bCs/>
          <w:color w:val="auto"/>
          <w:sz w:val="24"/>
          <w:lang w:val="en-US" w:eastAsia="zh-CN"/>
        </w:rPr>
        <w:fldChar w:fldCharType="begin"/>
      </w:r>
      <w:r>
        <w:rPr>
          <w:rFonts w:hint="eastAsia"/>
          <w:bCs/>
          <w:color w:val="auto"/>
          <w:sz w:val="24"/>
          <w:lang w:val="en-US" w:eastAsia="zh-CN"/>
        </w:rPr>
        <w:instrText xml:space="preserve"> PAGEREF _Toc14612 \h </w:instrText>
      </w:r>
      <w:r>
        <w:rPr>
          <w:rFonts w:hint="eastAsia"/>
          <w:bCs/>
          <w:color w:val="auto"/>
          <w:sz w:val="24"/>
          <w:lang w:val="en-US" w:eastAsia="zh-CN"/>
        </w:rPr>
        <w:fldChar w:fldCharType="separate"/>
      </w:r>
      <w:r>
        <w:rPr>
          <w:rFonts w:hint="eastAsia"/>
          <w:bCs/>
          <w:color w:val="auto"/>
          <w:sz w:val="24"/>
          <w:lang w:val="en-US" w:eastAsia="zh-CN"/>
        </w:rPr>
        <w:t>- 10 -</w:t>
      </w:r>
      <w:r>
        <w:rPr>
          <w:rFonts w:hint="eastAsia"/>
          <w:bCs/>
          <w:color w:val="auto"/>
          <w:sz w:val="24"/>
          <w:lang w:val="en-US" w:eastAsia="zh-CN"/>
        </w:rPr>
        <w:fldChar w:fldCharType="end"/>
      </w:r>
      <w:r>
        <w:rPr>
          <w:rFonts w:hint="eastAsia" w:ascii="楷体" w:hAnsi="楷体" w:eastAsia="楷体" w:cs="楷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楷体" w:hAnsi="楷体" w:eastAsia="楷体" w:cs="楷体"/>
          <w:color w:val="auto"/>
          <w:sz w:val="28"/>
          <w:szCs w:val="28"/>
        </w:rPr>
      </w:pPr>
      <w:r>
        <w:rPr>
          <w:rFonts w:hint="eastAsia" w:ascii="楷体" w:hAnsi="楷体" w:eastAsia="楷体" w:cs="楷体"/>
          <w:bCs/>
          <w:color w:val="auto"/>
          <w:sz w:val="28"/>
          <w:szCs w:val="28"/>
        </w:rPr>
        <w:fldChar w:fldCharType="begin"/>
      </w:r>
      <w:r>
        <w:rPr>
          <w:rFonts w:hint="eastAsia" w:ascii="楷体" w:hAnsi="楷体" w:eastAsia="楷体" w:cs="楷体"/>
          <w:bCs/>
          <w:color w:val="auto"/>
          <w:sz w:val="28"/>
          <w:szCs w:val="28"/>
        </w:rPr>
        <w:instrText xml:space="preserve"> HYPERLINK \l _Toc29434 </w:instrText>
      </w:r>
      <w:r>
        <w:rPr>
          <w:rFonts w:hint="eastAsia" w:ascii="楷体" w:hAnsi="楷体" w:eastAsia="楷体" w:cs="楷体"/>
          <w:bCs/>
          <w:color w:val="auto"/>
          <w:sz w:val="28"/>
          <w:szCs w:val="28"/>
        </w:rPr>
        <w:fldChar w:fldCharType="separate"/>
      </w:r>
      <w:r>
        <w:rPr>
          <w:rFonts w:hint="eastAsia" w:ascii="楷体" w:hAnsi="楷体" w:eastAsia="楷体" w:cs="楷体"/>
          <w:color w:val="auto"/>
          <w:kern w:val="21"/>
          <w:sz w:val="28"/>
          <w:szCs w:val="28"/>
          <w:lang w:bidi="ar"/>
        </w:rPr>
        <w:t>第二节  强化科技与信息化支撑</w:t>
      </w:r>
      <w:r>
        <w:rPr>
          <w:rFonts w:hint="eastAsia" w:ascii="楷体" w:hAnsi="楷体" w:eastAsia="楷体" w:cs="楷体"/>
          <w:color w:val="auto"/>
          <w:sz w:val="28"/>
          <w:szCs w:val="28"/>
        </w:rPr>
        <w:tab/>
      </w:r>
      <w:r>
        <w:rPr>
          <w:rFonts w:hint="eastAsia"/>
          <w:bCs/>
          <w:color w:val="auto"/>
          <w:sz w:val="24"/>
          <w:lang w:val="en-US" w:eastAsia="zh-CN"/>
        </w:rPr>
        <w:fldChar w:fldCharType="begin"/>
      </w:r>
      <w:r>
        <w:rPr>
          <w:rFonts w:hint="eastAsia"/>
          <w:bCs/>
          <w:color w:val="auto"/>
          <w:sz w:val="24"/>
          <w:lang w:val="en-US" w:eastAsia="zh-CN"/>
        </w:rPr>
        <w:instrText xml:space="preserve"> PAGEREF _Toc29434 \h </w:instrText>
      </w:r>
      <w:r>
        <w:rPr>
          <w:rFonts w:hint="eastAsia"/>
          <w:bCs/>
          <w:color w:val="auto"/>
          <w:sz w:val="24"/>
          <w:lang w:val="en-US" w:eastAsia="zh-CN"/>
        </w:rPr>
        <w:fldChar w:fldCharType="separate"/>
      </w:r>
      <w:r>
        <w:rPr>
          <w:rFonts w:hint="eastAsia"/>
          <w:bCs/>
          <w:color w:val="auto"/>
          <w:sz w:val="24"/>
          <w:lang w:val="en-US" w:eastAsia="zh-CN"/>
        </w:rPr>
        <w:t>- 13 -</w:t>
      </w:r>
      <w:r>
        <w:rPr>
          <w:rFonts w:hint="eastAsia"/>
          <w:bCs/>
          <w:color w:val="auto"/>
          <w:sz w:val="24"/>
          <w:lang w:val="en-US" w:eastAsia="zh-CN"/>
        </w:rPr>
        <w:fldChar w:fldCharType="end"/>
      </w:r>
      <w:r>
        <w:rPr>
          <w:rFonts w:hint="eastAsia" w:ascii="楷体" w:hAnsi="楷体" w:eastAsia="楷体" w:cs="楷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楷体" w:hAnsi="楷体" w:eastAsia="楷体" w:cs="楷体"/>
          <w:color w:val="auto"/>
          <w:sz w:val="28"/>
          <w:szCs w:val="28"/>
        </w:rPr>
      </w:pPr>
      <w:r>
        <w:rPr>
          <w:rFonts w:hint="eastAsia" w:ascii="楷体" w:hAnsi="楷体" w:eastAsia="楷体" w:cs="楷体"/>
          <w:bCs/>
          <w:color w:val="auto"/>
          <w:sz w:val="28"/>
          <w:szCs w:val="28"/>
        </w:rPr>
        <w:fldChar w:fldCharType="begin"/>
      </w:r>
      <w:r>
        <w:rPr>
          <w:rFonts w:hint="eastAsia" w:ascii="楷体" w:hAnsi="楷体" w:eastAsia="楷体" w:cs="楷体"/>
          <w:bCs/>
          <w:color w:val="auto"/>
          <w:sz w:val="28"/>
          <w:szCs w:val="28"/>
        </w:rPr>
        <w:instrText xml:space="preserve"> HYPERLINK \l _Toc8472 </w:instrText>
      </w:r>
      <w:r>
        <w:rPr>
          <w:rFonts w:hint="eastAsia" w:ascii="楷体" w:hAnsi="楷体" w:eastAsia="楷体" w:cs="楷体"/>
          <w:bCs/>
          <w:color w:val="auto"/>
          <w:sz w:val="28"/>
          <w:szCs w:val="28"/>
        </w:rPr>
        <w:fldChar w:fldCharType="separate"/>
      </w:r>
      <w:r>
        <w:rPr>
          <w:rFonts w:hint="eastAsia" w:ascii="楷体" w:hAnsi="楷体" w:eastAsia="楷体" w:cs="楷体"/>
          <w:color w:val="auto"/>
          <w:kern w:val="21"/>
          <w:sz w:val="28"/>
          <w:szCs w:val="28"/>
          <w:lang w:bidi="ar"/>
        </w:rPr>
        <w:t>第三节  提升风险防范化解能力</w:t>
      </w:r>
      <w:r>
        <w:rPr>
          <w:rFonts w:hint="eastAsia" w:ascii="楷体" w:hAnsi="楷体" w:eastAsia="楷体" w:cs="楷体"/>
          <w:color w:val="auto"/>
          <w:sz w:val="28"/>
          <w:szCs w:val="28"/>
        </w:rPr>
        <w:tab/>
      </w:r>
      <w:r>
        <w:rPr>
          <w:rFonts w:hint="eastAsia"/>
          <w:bCs/>
          <w:color w:val="auto"/>
          <w:sz w:val="24"/>
          <w:lang w:val="en-US" w:eastAsia="zh-CN"/>
        </w:rPr>
        <w:fldChar w:fldCharType="begin"/>
      </w:r>
      <w:r>
        <w:rPr>
          <w:rFonts w:hint="eastAsia"/>
          <w:bCs/>
          <w:color w:val="auto"/>
          <w:sz w:val="24"/>
          <w:lang w:val="en-US" w:eastAsia="zh-CN"/>
        </w:rPr>
        <w:instrText xml:space="preserve"> PAGEREF _Toc8472 \h </w:instrText>
      </w:r>
      <w:r>
        <w:rPr>
          <w:rFonts w:hint="eastAsia"/>
          <w:bCs/>
          <w:color w:val="auto"/>
          <w:sz w:val="24"/>
          <w:lang w:val="en-US" w:eastAsia="zh-CN"/>
        </w:rPr>
        <w:fldChar w:fldCharType="separate"/>
      </w:r>
      <w:r>
        <w:rPr>
          <w:rFonts w:hint="eastAsia"/>
          <w:bCs/>
          <w:color w:val="auto"/>
          <w:sz w:val="24"/>
          <w:lang w:val="en-US" w:eastAsia="zh-CN"/>
        </w:rPr>
        <w:t>- 15 -</w:t>
      </w:r>
      <w:r>
        <w:rPr>
          <w:rFonts w:hint="eastAsia"/>
          <w:bCs/>
          <w:color w:val="auto"/>
          <w:sz w:val="24"/>
          <w:lang w:val="en-US" w:eastAsia="zh-CN"/>
        </w:rPr>
        <w:fldChar w:fldCharType="end"/>
      </w:r>
      <w:r>
        <w:rPr>
          <w:rFonts w:hint="eastAsia" w:ascii="楷体" w:hAnsi="楷体" w:eastAsia="楷体" w:cs="楷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楷体" w:hAnsi="楷体" w:eastAsia="楷体" w:cs="楷体"/>
          <w:color w:val="auto"/>
          <w:sz w:val="28"/>
          <w:szCs w:val="28"/>
        </w:rPr>
      </w:pPr>
      <w:r>
        <w:rPr>
          <w:rFonts w:hint="eastAsia" w:ascii="楷体" w:hAnsi="楷体" w:eastAsia="楷体" w:cs="楷体"/>
          <w:bCs/>
          <w:color w:val="auto"/>
          <w:sz w:val="28"/>
          <w:szCs w:val="28"/>
        </w:rPr>
        <w:fldChar w:fldCharType="begin"/>
      </w:r>
      <w:r>
        <w:rPr>
          <w:rFonts w:hint="eastAsia" w:ascii="楷体" w:hAnsi="楷体" w:eastAsia="楷体" w:cs="楷体"/>
          <w:bCs/>
          <w:color w:val="auto"/>
          <w:sz w:val="28"/>
          <w:szCs w:val="28"/>
        </w:rPr>
        <w:instrText xml:space="preserve"> HYPERLINK \l _Toc5884 </w:instrText>
      </w:r>
      <w:r>
        <w:rPr>
          <w:rFonts w:hint="eastAsia" w:ascii="楷体" w:hAnsi="楷体" w:eastAsia="楷体" w:cs="楷体"/>
          <w:bCs/>
          <w:color w:val="auto"/>
          <w:sz w:val="28"/>
          <w:szCs w:val="28"/>
        </w:rPr>
        <w:fldChar w:fldCharType="separate"/>
      </w:r>
      <w:r>
        <w:rPr>
          <w:rFonts w:hint="eastAsia" w:ascii="楷体" w:hAnsi="楷体" w:eastAsia="楷体" w:cs="楷体"/>
          <w:color w:val="auto"/>
          <w:kern w:val="21"/>
          <w:sz w:val="28"/>
          <w:szCs w:val="28"/>
          <w:lang w:bidi="ar"/>
        </w:rPr>
        <w:t>第四节 构建现代化消防救援力量体系</w:t>
      </w:r>
      <w:r>
        <w:rPr>
          <w:rFonts w:hint="eastAsia" w:ascii="楷体" w:hAnsi="楷体" w:eastAsia="楷体" w:cs="楷体"/>
          <w:color w:val="auto"/>
          <w:sz w:val="28"/>
          <w:szCs w:val="28"/>
        </w:rPr>
        <w:tab/>
      </w:r>
      <w:r>
        <w:rPr>
          <w:rFonts w:hint="eastAsia"/>
          <w:bCs/>
          <w:color w:val="auto"/>
          <w:sz w:val="24"/>
          <w:lang w:val="en-US" w:eastAsia="zh-CN"/>
        </w:rPr>
        <w:fldChar w:fldCharType="begin"/>
      </w:r>
      <w:r>
        <w:rPr>
          <w:rFonts w:hint="eastAsia"/>
          <w:bCs/>
          <w:color w:val="auto"/>
          <w:sz w:val="24"/>
          <w:lang w:val="en-US" w:eastAsia="zh-CN"/>
        </w:rPr>
        <w:instrText xml:space="preserve"> PAGEREF _Toc5884 \h </w:instrText>
      </w:r>
      <w:r>
        <w:rPr>
          <w:rFonts w:hint="eastAsia"/>
          <w:bCs/>
          <w:color w:val="auto"/>
          <w:sz w:val="24"/>
          <w:lang w:val="en-US" w:eastAsia="zh-CN"/>
        </w:rPr>
        <w:fldChar w:fldCharType="separate"/>
      </w:r>
      <w:r>
        <w:rPr>
          <w:rFonts w:hint="eastAsia"/>
          <w:bCs/>
          <w:color w:val="auto"/>
          <w:sz w:val="24"/>
          <w:lang w:val="en-US" w:eastAsia="zh-CN"/>
        </w:rPr>
        <w:t>- 20 -</w:t>
      </w:r>
      <w:r>
        <w:rPr>
          <w:rFonts w:hint="eastAsia"/>
          <w:bCs/>
          <w:color w:val="auto"/>
          <w:sz w:val="24"/>
          <w:lang w:val="en-US" w:eastAsia="zh-CN"/>
        </w:rPr>
        <w:fldChar w:fldCharType="end"/>
      </w:r>
      <w:r>
        <w:rPr>
          <w:rFonts w:hint="eastAsia" w:ascii="楷体" w:hAnsi="楷体" w:eastAsia="楷体" w:cs="楷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楷体" w:hAnsi="楷体" w:eastAsia="楷体" w:cs="楷体"/>
          <w:color w:val="auto"/>
          <w:sz w:val="28"/>
          <w:szCs w:val="28"/>
        </w:rPr>
      </w:pPr>
      <w:r>
        <w:rPr>
          <w:rFonts w:hint="eastAsia" w:ascii="楷体" w:hAnsi="楷体" w:eastAsia="楷体" w:cs="楷体"/>
          <w:bCs/>
          <w:color w:val="auto"/>
          <w:sz w:val="28"/>
          <w:szCs w:val="28"/>
        </w:rPr>
        <w:fldChar w:fldCharType="begin"/>
      </w:r>
      <w:r>
        <w:rPr>
          <w:rFonts w:hint="eastAsia" w:ascii="楷体" w:hAnsi="楷体" w:eastAsia="楷体" w:cs="楷体"/>
          <w:bCs/>
          <w:color w:val="auto"/>
          <w:sz w:val="28"/>
          <w:szCs w:val="28"/>
        </w:rPr>
        <w:instrText xml:space="preserve"> HYPERLINK \l _Toc14731 </w:instrText>
      </w:r>
      <w:r>
        <w:rPr>
          <w:rFonts w:hint="eastAsia" w:ascii="楷体" w:hAnsi="楷体" w:eastAsia="楷体" w:cs="楷体"/>
          <w:bCs/>
          <w:color w:val="auto"/>
          <w:sz w:val="28"/>
          <w:szCs w:val="28"/>
        </w:rPr>
        <w:fldChar w:fldCharType="separate"/>
      </w:r>
      <w:r>
        <w:rPr>
          <w:rFonts w:hint="eastAsia" w:ascii="楷体" w:hAnsi="楷体" w:eastAsia="楷体" w:cs="楷体"/>
          <w:color w:val="auto"/>
          <w:kern w:val="21"/>
          <w:sz w:val="28"/>
          <w:szCs w:val="28"/>
          <w:lang w:bidi="ar"/>
        </w:rPr>
        <w:t>第五节  强化装备配备和战勤保障能力建设</w:t>
      </w:r>
      <w:r>
        <w:rPr>
          <w:rFonts w:hint="eastAsia" w:ascii="楷体" w:hAnsi="楷体" w:eastAsia="楷体" w:cs="楷体"/>
          <w:color w:val="auto"/>
          <w:sz w:val="28"/>
          <w:szCs w:val="28"/>
        </w:rPr>
        <w:tab/>
      </w:r>
      <w:r>
        <w:rPr>
          <w:rFonts w:hint="eastAsia"/>
          <w:bCs/>
          <w:color w:val="auto"/>
          <w:sz w:val="24"/>
          <w:lang w:val="en-US" w:eastAsia="zh-CN"/>
        </w:rPr>
        <w:fldChar w:fldCharType="begin"/>
      </w:r>
      <w:r>
        <w:rPr>
          <w:rFonts w:hint="eastAsia"/>
          <w:bCs/>
          <w:color w:val="auto"/>
          <w:sz w:val="24"/>
          <w:lang w:val="en-US" w:eastAsia="zh-CN"/>
        </w:rPr>
        <w:instrText xml:space="preserve"> PAGEREF _Toc14731 \h </w:instrText>
      </w:r>
      <w:r>
        <w:rPr>
          <w:rFonts w:hint="eastAsia"/>
          <w:bCs/>
          <w:color w:val="auto"/>
          <w:sz w:val="24"/>
          <w:lang w:val="en-US" w:eastAsia="zh-CN"/>
        </w:rPr>
        <w:fldChar w:fldCharType="separate"/>
      </w:r>
      <w:r>
        <w:rPr>
          <w:rFonts w:hint="eastAsia"/>
          <w:bCs/>
          <w:color w:val="auto"/>
          <w:sz w:val="24"/>
          <w:lang w:val="en-US" w:eastAsia="zh-CN"/>
        </w:rPr>
        <w:t>- 26 -</w:t>
      </w:r>
      <w:r>
        <w:rPr>
          <w:rFonts w:hint="eastAsia"/>
          <w:bCs/>
          <w:color w:val="auto"/>
          <w:sz w:val="24"/>
          <w:lang w:val="en-US" w:eastAsia="zh-CN"/>
        </w:rPr>
        <w:fldChar w:fldCharType="end"/>
      </w:r>
      <w:r>
        <w:rPr>
          <w:rFonts w:hint="eastAsia" w:ascii="楷体" w:hAnsi="楷体" w:eastAsia="楷体" w:cs="楷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楷体" w:hAnsi="楷体" w:eastAsia="楷体" w:cs="楷体"/>
          <w:color w:val="auto"/>
          <w:sz w:val="28"/>
          <w:szCs w:val="28"/>
        </w:rPr>
      </w:pPr>
      <w:r>
        <w:rPr>
          <w:rFonts w:hint="eastAsia" w:ascii="楷体" w:hAnsi="楷体" w:eastAsia="楷体" w:cs="楷体"/>
          <w:bCs/>
          <w:color w:val="auto"/>
          <w:sz w:val="28"/>
          <w:szCs w:val="28"/>
        </w:rPr>
        <w:fldChar w:fldCharType="begin"/>
      </w:r>
      <w:r>
        <w:rPr>
          <w:rFonts w:hint="eastAsia" w:ascii="楷体" w:hAnsi="楷体" w:eastAsia="楷体" w:cs="楷体"/>
          <w:bCs/>
          <w:color w:val="auto"/>
          <w:sz w:val="28"/>
          <w:szCs w:val="28"/>
        </w:rPr>
        <w:instrText xml:space="preserve"> HYPERLINK \l _Toc30302 </w:instrText>
      </w:r>
      <w:r>
        <w:rPr>
          <w:rFonts w:hint="eastAsia" w:ascii="楷体" w:hAnsi="楷体" w:eastAsia="楷体" w:cs="楷体"/>
          <w:bCs/>
          <w:color w:val="auto"/>
          <w:sz w:val="28"/>
          <w:szCs w:val="28"/>
        </w:rPr>
        <w:fldChar w:fldCharType="separate"/>
      </w:r>
      <w:r>
        <w:rPr>
          <w:rFonts w:hint="eastAsia" w:ascii="楷体" w:hAnsi="楷体" w:eastAsia="楷体" w:cs="楷体"/>
          <w:color w:val="auto"/>
          <w:kern w:val="21"/>
          <w:sz w:val="28"/>
          <w:szCs w:val="28"/>
          <w:lang w:bidi="ar"/>
        </w:rPr>
        <w:t>第六节  强化消防工作保障</w:t>
      </w:r>
      <w:r>
        <w:rPr>
          <w:rFonts w:hint="eastAsia" w:ascii="楷体" w:hAnsi="楷体" w:eastAsia="楷体" w:cs="楷体"/>
          <w:color w:val="auto"/>
          <w:sz w:val="28"/>
          <w:szCs w:val="28"/>
        </w:rPr>
        <w:tab/>
      </w:r>
      <w:r>
        <w:rPr>
          <w:rFonts w:hint="eastAsia"/>
          <w:bCs/>
          <w:color w:val="auto"/>
          <w:sz w:val="24"/>
          <w:lang w:val="en-US" w:eastAsia="zh-CN"/>
        </w:rPr>
        <w:fldChar w:fldCharType="begin"/>
      </w:r>
      <w:r>
        <w:rPr>
          <w:rFonts w:hint="eastAsia"/>
          <w:bCs/>
          <w:color w:val="auto"/>
          <w:sz w:val="24"/>
          <w:lang w:val="en-US" w:eastAsia="zh-CN"/>
        </w:rPr>
        <w:instrText xml:space="preserve"> PAGEREF _Toc30302 \h </w:instrText>
      </w:r>
      <w:r>
        <w:rPr>
          <w:rFonts w:hint="eastAsia"/>
          <w:bCs/>
          <w:color w:val="auto"/>
          <w:sz w:val="24"/>
          <w:lang w:val="en-US" w:eastAsia="zh-CN"/>
        </w:rPr>
        <w:fldChar w:fldCharType="separate"/>
      </w:r>
      <w:r>
        <w:rPr>
          <w:rFonts w:hint="eastAsia"/>
          <w:bCs/>
          <w:color w:val="auto"/>
          <w:sz w:val="24"/>
          <w:lang w:val="en-US" w:eastAsia="zh-CN"/>
        </w:rPr>
        <w:t>- 28 -</w:t>
      </w:r>
      <w:r>
        <w:rPr>
          <w:rFonts w:hint="eastAsia"/>
          <w:bCs/>
          <w:color w:val="auto"/>
          <w:sz w:val="24"/>
          <w:lang w:val="en-US" w:eastAsia="zh-CN"/>
        </w:rPr>
        <w:fldChar w:fldCharType="end"/>
      </w:r>
      <w:r>
        <w:rPr>
          <w:rFonts w:hint="eastAsia" w:ascii="楷体" w:hAnsi="楷体" w:eastAsia="楷体" w:cs="楷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ind w:left="0" w:leftChars="0"/>
        <w:textAlignment w:val="auto"/>
        <w:rPr>
          <w:color w:val="auto"/>
          <w:sz w:val="24"/>
        </w:rPr>
      </w:pPr>
      <w:r>
        <w:rPr>
          <w:bCs/>
          <w:color w:val="auto"/>
          <w:sz w:val="24"/>
        </w:rPr>
        <w:fldChar w:fldCharType="begin"/>
      </w:r>
      <w:r>
        <w:rPr>
          <w:bCs/>
          <w:color w:val="auto"/>
          <w:sz w:val="24"/>
        </w:rPr>
        <w:instrText xml:space="preserve"> HYPERLINK \l _Toc32467 </w:instrText>
      </w:r>
      <w:r>
        <w:rPr>
          <w:bCs/>
          <w:color w:val="auto"/>
          <w:sz w:val="24"/>
        </w:rPr>
        <w:fldChar w:fldCharType="separate"/>
      </w:r>
      <w:r>
        <w:rPr>
          <w:rFonts w:eastAsia="方正小标宋简体"/>
          <w:color w:val="auto"/>
          <w:sz w:val="24"/>
        </w:rPr>
        <w:t>附件1：防城港市“十四五”消防站建设规划表</w:t>
      </w:r>
      <w:r>
        <w:rPr>
          <w:color w:val="auto"/>
          <w:sz w:val="24"/>
        </w:rPr>
        <w:tab/>
      </w:r>
      <w:r>
        <w:rPr>
          <w:rFonts w:hint="eastAsia"/>
          <w:bCs/>
          <w:color w:val="auto"/>
          <w:sz w:val="24"/>
          <w:lang w:val="en-US" w:eastAsia="zh-CN"/>
        </w:rPr>
        <w:fldChar w:fldCharType="begin"/>
      </w:r>
      <w:r>
        <w:rPr>
          <w:rFonts w:hint="eastAsia"/>
          <w:bCs/>
          <w:color w:val="auto"/>
          <w:sz w:val="24"/>
          <w:lang w:val="en-US" w:eastAsia="zh-CN"/>
        </w:rPr>
        <w:instrText xml:space="preserve"> PAGEREF _Toc32467 \h </w:instrText>
      </w:r>
      <w:r>
        <w:rPr>
          <w:rFonts w:hint="eastAsia"/>
          <w:bCs/>
          <w:color w:val="auto"/>
          <w:sz w:val="24"/>
          <w:lang w:val="en-US" w:eastAsia="zh-CN"/>
        </w:rPr>
        <w:fldChar w:fldCharType="separate"/>
      </w:r>
      <w:r>
        <w:rPr>
          <w:rFonts w:hint="eastAsia"/>
          <w:bCs/>
          <w:color w:val="auto"/>
          <w:sz w:val="24"/>
          <w:lang w:val="en-US" w:eastAsia="zh-CN"/>
        </w:rPr>
        <w:t>- 33 -</w:t>
      </w:r>
      <w:r>
        <w:rPr>
          <w:rFonts w:hint="eastAsia"/>
          <w:bCs/>
          <w:color w:val="auto"/>
          <w:sz w:val="24"/>
          <w:lang w:val="en-US" w:eastAsia="zh-CN"/>
        </w:rPr>
        <w:fldChar w:fldCharType="end"/>
      </w:r>
      <w:r>
        <w:rPr>
          <w:bCs/>
          <w:color w:val="auto"/>
          <w:sz w:val="24"/>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ind w:left="0" w:leftChars="0"/>
        <w:textAlignment w:val="auto"/>
        <w:rPr>
          <w:rFonts w:hint="default" w:eastAsia="宋体"/>
          <w:color w:val="auto"/>
          <w:sz w:val="24"/>
          <w:lang w:val="en-US" w:eastAsia="zh-CN"/>
        </w:rPr>
      </w:pPr>
      <w:r>
        <w:rPr>
          <w:bCs/>
          <w:color w:val="auto"/>
          <w:sz w:val="24"/>
        </w:rPr>
        <w:fldChar w:fldCharType="begin"/>
      </w:r>
      <w:r>
        <w:rPr>
          <w:bCs/>
          <w:color w:val="auto"/>
          <w:sz w:val="24"/>
        </w:rPr>
        <w:instrText xml:space="preserve"> HYPERLINK \l _Toc25431 </w:instrText>
      </w:r>
      <w:r>
        <w:rPr>
          <w:bCs/>
          <w:color w:val="auto"/>
          <w:sz w:val="24"/>
        </w:rPr>
        <w:fldChar w:fldCharType="separate"/>
      </w:r>
      <w:r>
        <w:rPr>
          <w:rFonts w:eastAsia="方正小标宋简体"/>
          <w:color w:val="auto"/>
          <w:sz w:val="24"/>
        </w:rPr>
        <w:t>附件2：</w:t>
      </w:r>
      <w:r>
        <w:rPr>
          <w:rFonts w:eastAsia="方正小标宋简体"/>
          <w:color w:val="auto"/>
          <w:sz w:val="24"/>
          <w:lang w:val="zh-CN"/>
        </w:rPr>
        <w:t>防城港市“十四五”消防队伍执勤车辆、器材装备建设规划</w:t>
      </w:r>
      <w:r>
        <w:rPr>
          <w:color w:val="auto"/>
          <w:sz w:val="24"/>
        </w:rPr>
        <w:tab/>
      </w:r>
      <w:r>
        <w:rPr>
          <w:rFonts w:hint="eastAsia"/>
          <w:color w:val="auto"/>
          <w:sz w:val="24"/>
          <w:lang w:val="en-US" w:eastAsia="zh-CN"/>
        </w:rPr>
        <w:t>-3</w:t>
      </w:r>
      <w:r>
        <w:rPr>
          <w:bCs/>
          <w:color w:val="auto"/>
          <w:sz w:val="24"/>
        </w:rPr>
        <w:fldChar w:fldCharType="end"/>
      </w:r>
      <w:r>
        <w:rPr>
          <w:rFonts w:hint="eastAsia"/>
          <w:bCs/>
          <w:color w:val="auto"/>
          <w:sz w:val="24"/>
          <w:lang w:val="en-US" w:eastAsia="zh-CN"/>
        </w:rPr>
        <w:t>4-</w:t>
      </w:r>
    </w:p>
    <w:p>
      <w:pPr>
        <w:pStyle w:val="22"/>
        <w:keepNext w:val="0"/>
        <w:keepLines w:val="0"/>
        <w:pageBreakBefore w:val="0"/>
        <w:widowControl w:val="0"/>
        <w:tabs>
          <w:tab w:val="right" w:leader="dot" w:pos="8306"/>
        </w:tabs>
        <w:kinsoku/>
        <w:wordWrap/>
        <w:overflowPunct/>
        <w:topLinePunct w:val="0"/>
        <w:autoSpaceDE/>
        <w:autoSpaceDN/>
        <w:bidi w:val="0"/>
        <w:spacing w:line="520" w:lineRule="exact"/>
        <w:ind w:left="0" w:leftChars="0"/>
        <w:textAlignment w:val="auto"/>
        <w:rPr>
          <w:rFonts w:hint="default" w:eastAsia="宋体"/>
          <w:color w:val="auto"/>
          <w:sz w:val="24"/>
          <w:lang w:val="en-US" w:eastAsia="zh-CN"/>
        </w:rPr>
      </w:pPr>
      <w:r>
        <w:rPr>
          <w:bCs/>
          <w:color w:val="auto"/>
          <w:sz w:val="24"/>
        </w:rPr>
        <w:fldChar w:fldCharType="begin"/>
      </w:r>
      <w:r>
        <w:rPr>
          <w:bCs/>
          <w:color w:val="auto"/>
          <w:sz w:val="24"/>
        </w:rPr>
        <w:instrText xml:space="preserve"> HYPERLINK \l _Toc19475 </w:instrText>
      </w:r>
      <w:r>
        <w:rPr>
          <w:bCs/>
          <w:color w:val="auto"/>
          <w:sz w:val="24"/>
        </w:rPr>
        <w:fldChar w:fldCharType="separate"/>
      </w:r>
      <w:r>
        <w:rPr>
          <w:rFonts w:eastAsia="方正小标宋简体"/>
          <w:color w:val="auto"/>
          <w:sz w:val="24"/>
        </w:rPr>
        <w:t>附件3：防城港市“十四五”志愿消防队建设规划表</w:t>
      </w:r>
      <w:r>
        <w:rPr>
          <w:color w:val="auto"/>
          <w:sz w:val="24"/>
        </w:rPr>
        <w:tab/>
      </w:r>
      <w:r>
        <w:rPr>
          <w:rFonts w:hint="eastAsia"/>
          <w:color w:val="auto"/>
          <w:sz w:val="24"/>
          <w:lang w:val="en-US" w:eastAsia="zh-CN"/>
        </w:rPr>
        <w:t>-3</w:t>
      </w:r>
      <w:r>
        <w:rPr>
          <w:bCs/>
          <w:color w:val="auto"/>
          <w:sz w:val="24"/>
        </w:rPr>
        <w:fldChar w:fldCharType="end"/>
      </w:r>
      <w:r>
        <w:rPr>
          <w:rFonts w:hint="eastAsia"/>
          <w:bCs/>
          <w:color w:val="auto"/>
          <w:sz w:val="24"/>
          <w:lang w:val="en-US" w:eastAsia="zh-CN"/>
        </w:rPr>
        <w:t>6-</w:t>
      </w:r>
    </w:p>
    <w:p>
      <w:pPr>
        <w:pStyle w:val="22"/>
        <w:keepNext w:val="0"/>
        <w:keepLines w:val="0"/>
        <w:pageBreakBefore w:val="0"/>
        <w:widowControl w:val="0"/>
        <w:tabs>
          <w:tab w:val="right" w:leader="dot" w:pos="8306"/>
        </w:tabs>
        <w:kinsoku/>
        <w:wordWrap/>
        <w:overflowPunct/>
        <w:topLinePunct w:val="0"/>
        <w:autoSpaceDE/>
        <w:autoSpaceDN/>
        <w:bidi w:val="0"/>
        <w:spacing w:line="520" w:lineRule="exact"/>
        <w:ind w:left="0" w:leftChars="0"/>
        <w:textAlignment w:val="auto"/>
        <w:rPr>
          <w:rFonts w:hint="default" w:eastAsia="宋体"/>
          <w:color w:val="auto"/>
          <w:sz w:val="24"/>
          <w:lang w:val="en-US" w:eastAsia="zh-CN"/>
        </w:rPr>
      </w:pPr>
      <w:r>
        <w:rPr>
          <w:bCs/>
          <w:color w:val="auto"/>
          <w:sz w:val="24"/>
        </w:rPr>
        <w:fldChar w:fldCharType="begin"/>
      </w:r>
      <w:r>
        <w:rPr>
          <w:bCs/>
          <w:color w:val="auto"/>
          <w:sz w:val="24"/>
        </w:rPr>
        <w:instrText xml:space="preserve"> HYPERLINK \l _Toc24379 </w:instrText>
      </w:r>
      <w:r>
        <w:rPr>
          <w:bCs/>
          <w:color w:val="auto"/>
          <w:sz w:val="24"/>
        </w:rPr>
        <w:fldChar w:fldCharType="separate"/>
      </w:r>
      <w:r>
        <w:rPr>
          <w:rFonts w:eastAsia="方正小标宋简体"/>
          <w:color w:val="auto"/>
          <w:sz w:val="24"/>
        </w:rPr>
        <w:t>附件4：</w:t>
      </w:r>
      <w:r>
        <w:rPr>
          <w:rFonts w:hint="eastAsia" w:eastAsia="方正小标宋简体"/>
          <w:color w:val="auto"/>
          <w:sz w:val="24"/>
        </w:rPr>
        <w:t>防城港市乡镇专职消防站建设规划表</w:t>
      </w:r>
      <w:r>
        <w:rPr>
          <w:color w:val="auto"/>
          <w:sz w:val="24"/>
        </w:rPr>
        <w:tab/>
      </w:r>
      <w:r>
        <w:rPr>
          <w:bCs/>
          <w:color w:val="auto"/>
          <w:sz w:val="24"/>
        </w:rPr>
        <w:fldChar w:fldCharType="end"/>
      </w:r>
      <w:r>
        <w:rPr>
          <w:rFonts w:hint="eastAsia"/>
          <w:bCs/>
          <w:color w:val="auto"/>
          <w:sz w:val="24"/>
          <w:lang w:val="en-US" w:eastAsia="zh-CN"/>
        </w:rPr>
        <w:t>-37-</w:t>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eastAsia="方正小标宋简体"/>
          <w:sz w:val="28"/>
          <w:szCs w:val="28"/>
          <w:lang w:val="zh-CN"/>
        </w:rPr>
      </w:pPr>
      <w:r>
        <w:rPr>
          <w:bCs/>
          <w:color w:val="auto"/>
          <w:szCs w:val="32"/>
        </w:rPr>
        <w:fldChar w:fldCharType="end"/>
      </w:r>
      <w:r>
        <w:rPr>
          <w:rFonts w:eastAsia="方正小标宋简体"/>
          <w:sz w:val="28"/>
          <w:szCs w:val="28"/>
          <w:lang w:val="zh-CN"/>
        </w:rPr>
        <w:t xml:space="preserve"> </w:t>
      </w:r>
    </w:p>
    <w:p>
      <w:pPr>
        <w:pStyle w:val="27"/>
        <w:spacing w:line="360" w:lineRule="auto"/>
        <w:ind w:left="0" w:leftChars="0" w:firstLine="0"/>
        <w:jc w:val="center"/>
        <w:rPr>
          <w:rFonts w:hint="eastAsia" w:ascii="仿宋_GB2312" w:hAnsi="仿宋_GB2312" w:eastAsia="仿宋_GB2312" w:cs="仿宋_GB2312"/>
          <w:b/>
          <w:bCs/>
          <w:sz w:val="32"/>
          <w:szCs w:val="32"/>
          <w:lang w:val="en-US" w:eastAsia="zh-CN"/>
        </w:rPr>
      </w:pPr>
    </w:p>
    <w:p>
      <w:pPr>
        <w:pStyle w:val="27"/>
        <w:spacing w:line="360" w:lineRule="auto"/>
        <w:ind w:left="0" w:leftChars="0" w:firstLine="0"/>
        <w:jc w:val="center"/>
        <w:rPr>
          <w:rFonts w:hint="eastAsia" w:ascii="仿宋_GB2312" w:hAnsi="仿宋_GB2312" w:eastAsia="仿宋_GB2312" w:cs="仿宋_GB2312"/>
          <w:b/>
          <w:bCs/>
          <w:sz w:val="32"/>
          <w:szCs w:val="32"/>
          <w:lang w:val="en-US" w:eastAsia="zh-CN"/>
        </w:rPr>
      </w:pPr>
    </w:p>
    <w:p>
      <w:pPr>
        <w:pStyle w:val="27"/>
        <w:spacing w:line="360" w:lineRule="auto"/>
        <w:ind w:left="0" w:leftChars="0" w:firstLine="0"/>
        <w:jc w:val="center"/>
        <w:rPr>
          <w:rFonts w:hint="eastAsia" w:ascii="仿宋_GB2312" w:hAnsi="仿宋_GB2312" w:eastAsia="仿宋_GB2312" w:cs="仿宋_GB2312"/>
          <w:b/>
          <w:bCs/>
          <w:sz w:val="32"/>
          <w:szCs w:val="32"/>
          <w:lang w:val="en-US" w:eastAsia="zh-CN"/>
        </w:rPr>
      </w:pPr>
    </w:p>
    <w:p>
      <w:pPr>
        <w:pStyle w:val="27"/>
        <w:keepNext w:val="0"/>
        <w:keepLines w:val="0"/>
        <w:pageBreakBefore w:val="0"/>
        <w:kinsoku/>
        <w:wordWrap/>
        <w:overflowPunct/>
        <w:topLinePunct w:val="0"/>
        <w:autoSpaceDE/>
        <w:autoSpaceDN/>
        <w:bidi w:val="0"/>
        <w:spacing w:after="0" w:line="540" w:lineRule="exact"/>
        <w:ind w:left="0" w:leftChars="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为认真贯彻落实党中央、国务院和自治区党委、政府关于应急管理和消防工作重大决策部署，推进全市消防救援事业持续健康发展，有效防范和应对各类灾害事故，切实保障人民群众生命财产安全，根据《中华人民共和国消防法》《广西消防工作“十四五”规划》和《防城港市国民经济和社会发展第十四个五年规划和2035年远景目标纲要》，结合防城港工作实际，制定本规划。</w:t>
      </w:r>
      <w:bookmarkStart w:id="2" w:name="_Toc29991"/>
      <w:bookmarkStart w:id="3" w:name="_Toc12021"/>
    </w:p>
    <w:p>
      <w:pPr>
        <w:keepNext w:val="0"/>
        <w:keepLines w:val="0"/>
        <w:pageBreakBefore w:val="0"/>
        <w:kinsoku/>
        <w:wordWrap/>
        <w:overflowPunct/>
        <w:topLinePunct w:val="0"/>
        <w:autoSpaceDE/>
        <w:autoSpaceDN/>
        <w:bidi w:val="0"/>
        <w:adjustRightInd w:val="0"/>
        <w:snapToGrid w:val="0"/>
        <w:spacing w:line="540" w:lineRule="exact"/>
        <w:jc w:val="center"/>
        <w:textAlignment w:val="auto"/>
        <w:outlineLvl w:val="0"/>
        <w:rPr>
          <w:rFonts w:eastAsia="黑体"/>
          <w:kern w:val="21"/>
          <w:sz w:val="32"/>
          <w:szCs w:val="32"/>
          <w:lang w:bidi="ar"/>
        </w:rPr>
      </w:pPr>
      <w:bookmarkStart w:id="4" w:name="_Toc29938"/>
      <w:r>
        <w:rPr>
          <w:rFonts w:eastAsia="黑体"/>
          <w:kern w:val="21"/>
          <w:sz w:val="32"/>
          <w:szCs w:val="32"/>
          <w:lang w:bidi="ar"/>
        </w:rPr>
        <w:t>第一章  形势分析</w:t>
      </w:r>
      <w:bookmarkEnd w:id="4"/>
    </w:p>
    <w:p>
      <w:pPr>
        <w:keepNext w:val="0"/>
        <w:keepLines w:val="0"/>
        <w:pageBreakBefore w:val="0"/>
        <w:kinsoku/>
        <w:wordWrap/>
        <w:overflowPunct/>
        <w:topLinePunct w:val="0"/>
        <w:autoSpaceDE/>
        <w:autoSpaceDN/>
        <w:bidi w:val="0"/>
        <w:adjustRightInd w:val="0"/>
        <w:snapToGrid w:val="0"/>
        <w:spacing w:line="540" w:lineRule="exact"/>
        <w:jc w:val="center"/>
        <w:textAlignment w:val="auto"/>
        <w:outlineLvl w:val="1"/>
        <w:rPr>
          <w:rFonts w:eastAsia="楷体_GB2312"/>
          <w:kern w:val="21"/>
          <w:sz w:val="32"/>
          <w:szCs w:val="32"/>
          <w:lang w:bidi="ar"/>
        </w:rPr>
      </w:pPr>
      <w:bookmarkStart w:id="5" w:name="_Toc76031133"/>
      <w:bookmarkStart w:id="6" w:name="_Toc82852081"/>
      <w:bookmarkStart w:id="7" w:name="_Toc69201729"/>
      <w:bookmarkStart w:id="8" w:name="_Toc69149176"/>
      <w:bookmarkStart w:id="9" w:name="_Toc18837"/>
      <w:r>
        <w:rPr>
          <w:rFonts w:eastAsia="楷体_GB2312"/>
          <w:kern w:val="21"/>
          <w:sz w:val="32"/>
          <w:szCs w:val="32"/>
          <w:lang w:bidi="ar"/>
        </w:rPr>
        <w:t>第一节  发展</w:t>
      </w:r>
      <w:bookmarkEnd w:id="5"/>
      <w:bookmarkEnd w:id="6"/>
      <w:bookmarkEnd w:id="7"/>
      <w:bookmarkEnd w:id="8"/>
      <w:r>
        <w:rPr>
          <w:rFonts w:eastAsia="楷体_GB2312"/>
          <w:kern w:val="21"/>
          <w:sz w:val="32"/>
          <w:szCs w:val="32"/>
          <w:lang w:bidi="ar"/>
        </w:rPr>
        <w:t>基础</w:t>
      </w:r>
      <w:bookmarkEnd w:id="9"/>
    </w:p>
    <w:bookmarkEnd w:id="2"/>
    <w:bookmarkEnd w:id="3"/>
    <w:p>
      <w:pPr>
        <w:pStyle w:val="27"/>
        <w:keepNext w:val="0"/>
        <w:keepLines w:val="0"/>
        <w:pageBreakBefore w:val="0"/>
        <w:kinsoku/>
        <w:wordWrap/>
        <w:overflowPunct/>
        <w:topLinePunct w:val="0"/>
        <w:autoSpaceDE/>
        <w:autoSpaceDN/>
        <w:bidi w:val="0"/>
        <w:spacing w:after="0" w:line="540" w:lineRule="exact"/>
        <w:ind w:left="0" w:leftChars="0" w:firstLine="640" w:firstLineChars="200"/>
        <w:textAlignment w:val="auto"/>
        <w:rPr>
          <w:rFonts w:hint="eastAsia" w:ascii="仿宋_GB2312" w:hAnsi="仿宋_GB2312" w:eastAsia="仿宋_GB2312" w:cs="仿宋_GB2312"/>
          <w:sz w:val="32"/>
          <w:szCs w:val="32"/>
        </w:rPr>
      </w:pPr>
      <w:bookmarkStart w:id="10" w:name="_Toc17231"/>
      <w:r>
        <w:rPr>
          <w:rFonts w:hint="eastAsia" w:ascii="仿宋_GB2312" w:hAnsi="仿宋_GB2312" w:eastAsia="仿宋_GB2312" w:cs="仿宋_GB2312"/>
          <w:sz w:val="32"/>
          <w:szCs w:val="32"/>
        </w:rPr>
        <w:t>“十三五”期间是我国消防工作实施重大改革、推进重大转型的重要阶段。习近平总书记亲自缔造国家综合性消防救援队伍并授旗致训词，党中央、国务院对消防救援体制机制作出科学设计，开启消防救援事业发展新征程。防城港市委、市</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政府牢固树立安全发展理念，高度重视消防工作，推动全市消防安全责任制持续健全，公共消防设施建设不断加强，火灾防控体系不断完善，全民消防安全意识不断提高，综合应急救援能力显著提升，全市消防救援事业发展基础更加坚实，人民群众消防安全感和满意度不断上升。</w:t>
      </w:r>
    </w:p>
    <w:p>
      <w:pPr>
        <w:pStyle w:val="27"/>
        <w:keepNext w:val="0"/>
        <w:keepLines w:val="0"/>
        <w:pageBreakBefore w:val="0"/>
        <w:kinsoku/>
        <w:wordWrap/>
        <w:overflowPunct/>
        <w:topLinePunct w:val="0"/>
        <w:autoSpaceDE/>
        <w:autoSpaceDN/>
        <w:bidi w:val="0"/>
        <w:spacing w:after="0" w:line="540" w:lineRule="exact"/>
        <w:ind w:left="0" w:leftChars="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综合实战能力显著提升</w:t>
      </w:r>
      <w:r>
        <w:rPr>
          <w:rFonts w:hint="eastAsia" w:ascii="仿宋_GB2312" w:hAnsi="仿宋_GB2312" w:eastAsia="仿宋_GB2312" w:cs="仿宋_GB2312"/>
          <w:sz w:val="32"/>
          <w:szCs w:val="32"/>
        </w:rPr>
        <w:t>。“十三五”时期，全市共接警出动4445起，其中火灾扑救1105起，灾害事故救援1310起，社会救助1480起，其他出动545起，反恐排爆5起，抢救疏散被困人员1535人次，出色完成了国际医学创新合作论坛、中国-东盟国际马拉松赛等重大安保任务。实现从处置“单一灾种”向应对“全灾种”“大应急”转变，成功处置“4</w:t>
      </w:r>
      <w:r>
        <w:rPr>
          <w:rFonts w:hint="eastAsia" w:ascii="汉仪大黑简" w:hAnsi="汉仪大黑简" w:eastAsia="汉仪大黑简" w:cs="汉仪大黑简"/>
          <w:sz w:val="32"/>
          <w:szCs w:val="32"/>
        </w:rPr>
        <w:t>·</w:t>
      </w:r>
      <w:r>
        <w:rPr>
          <w:rFonts w:hint="eastAsia" w:ascii="仿宋_GB2312" w:hAnsi="仿宋_GB2312" w:eastAsia="仿宋_GB2312" w:cs="仿宋_GB2312"/>
          <w:sz w:val="32"/>
          <w:szCs w:val="32"/>
        </w:rPr>
        <w:t>16”广西渝桂化工有限公司火灾、“4</w:t>
      </w:r>
      <w:r>
        <w:rPr>
          <w:rFonts w:hint="eastAsia" w:ascii="汉仪大黑简" w:hAnsi="汉仪大黑简" w:eastAsia="汉仪大黑简" w:cs="汉仪大黑简"/>
          <w:sz w:val="32"/>
          <w:szCs w:val="32"/>
        </w:rPr>
        <w:t>·</w:t>
      </w:r>
      <w:r>
        <w:rPr>
          <w:rFonts w:hint="eastAsia" w:ascii="仿宋_GB2312" w:hAnsi="仿宋_GB2312" w:eastAsia="仿宋_GB2312" w:cs="仿宋_GB2312"/>
          <w:sz w:val="32"/>
          <w:szCs w:val="32"/>
        </w:rPr>
        <w:t>4”越南芒街天虹银龙科技有限公司火灾。</w:t>
      </w:r>
    </w:p>
    <w:p>
      <w:pPr>
        <w:pStyle w:val="27"/>
        <w:keepNext w:val="0"/>
        <w:keepLines w:val="0"/>
        <w:pageBreakBefore w:val="0"/>
        <w:kinsoku/>
        <w:wordWrap/>
        <w:overflowPunct/>
        <w:topLinePunct w:val="0"/>
        <w:autoSpaceDE/>
        <w:autoSpaceDN/>
        <w:bidi w:val="0"/>
        <w:spacing w:after="0" w:line="540" w:lineRule="exact"/>
        <w:ind w:left="0" w:leftChars="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火灾防控能力进一步增强。</w:t>
      </w:r>
      <w:r>
        <w:rPr>
          <w:rFonts w:hint="eastAsia" w:ascii="仿宋_GB2312" w:hAnsi="仿宋_GB2312" w:eastAsia="仿宋_GB2312" w:cs="仿宋_GB2312"/>
          <w:sz w:val="32"/>
          <w:szCs w:val="32"/>
        </w:rPr>
        <w:t>积极开展石油化工及易燃易爆场所消防安全专项整治、冬春火灾防控、夏季消防安全检查、大型商业综合体、电动车消防安全专项整治等专项行动50余次，整改火灾隐患12.68万余处，实施“三停”单位376家，消防安全违法行为得到有效遏制。</w:t>
      </w:r>
    </w:p>
    <w:p>
      <w:pPr>
        <w:keepNext w:val="0"/>
        <w:keepLines w:val="0"/>
        <w:pageBreakBefore w:val="0"/>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sz w:val="32"/>
          <w:szCs w:val="32"/>
        </w:rPr>
      </w:pPr>
      <w:bookmarkStart w:id="11" w:name="_Toc5482"/>
      <w:r>
        <w:rPr>
          <w:rFonts w:hint="eastAsia" w:ascii="仿宋_GB2312" w:hAnsi="仿宋_GB2312" w:eastAsia="仿宋_GB2312" w:cs="仿宋_GB2312"/>
          <w:b/>
          <w:sz w:val="32"/>
          <w:szCs w:val="32"/>
        </w:rPr>
        <w:t>消防体制机制改革扎实推进</w:t>
      </w:r>
      <w:r>
        <w:rPr>
          <w:rFonts w:hint="eastAsia" w:ascii="仿宋_GB2312" w:hAnsi="仿宋_GB2312" w:eastAsia="仿宋_GB2312" w:cs="仿宋_GB2312"/>
          <w:sz w:val="32"/>
          <w:szCs w:val="32"/>
        </w:rPr>
        <w:t>。</w:t>
      </w:r>
      <w:bookmarkEnd w:id="10"/>
      <w:bookmarkEnd w:id="11"/>
      <w:r>
        <w:rPr>
          <w:rFonts w:hint="eastAsia" w:ascii="仿宋_GB2312" w:hAnsi="仿宋_GB2312" w:eastAsia="仿宋_GB2312" w:cs="仿宋_GB2312"/>
          <w:bCs/>
          <w:sz w:val="32"/>
          <w:szCs w:val="32"/>
        </w:rPr>
        <w:t>全市先后</w:t>
      </w:r>
      <w:r>
        <w:rPr>
          <w:rFonts w:hint="eastAsia" w:ascii="仿宋_GB2312" w:hAnsi="仿宋_GB2312" w:eastAsia="仿宋_GB2312" w:cs="仿宋_GB2312"/>
          <w:sz w:val="32"/>
          <w:szCs w:val="32"/>
        </w:rPr>
        <w:t>印发《防城港市农家乐(民宿)消防管理规定》《防城港市消防安全责任制实施细则》《防城港市火灾事故调查处理规定》《防城港市人民政府关于做好国家综合性消防救援队伍职业优待保障工作的通知》等指导性文件，明确各级政府及行业部门职责，建立健全消防工作考核评价体系，消防工作联席会议、联合检查、挂牌督办、评估考核等工作机制规范运行，社会单位消防安全管理标准化建设稳步推进，落实消防救援人员优待政策衔接顺畅。</w:t>
      </w:r>
    </w:p>
    <w:p>
      <w:pPr>
        <w:keepNext w:val="0"/>
        <w:keepLines w:val="0"/>
        <w:pageBreakBefore w:val="0"/>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公共消防基础设施持续健全。</w:t>
      </w:r>
      <w:r>
        <w:rPr>
          <w:rFonts w:hint="eastAsia" w:ascii="仿宋_GB2312" w:hAnsi="仿宋_GB2312" w:eastAsia="仿宋_GB2312" w:cs="仿宋_GB2312"/>
          <w:sz w:val="32"/>
          <w:szCs w:val="32"/>
        </w:rPr>
        <w:t>全市消防站布局不断完善，新建消防站2个，升级改造消防站2个，消防站总数达到9个，初步形成“原有站为中心点、新建站为辐射点、小型站为网格点”的力量格局。新增市政消火栓473个，总数达1451个，比“十二五”期末增加了32.6%。新建训练基地1个，实现了消防训练基地从无到有的突破。消防设备现代化水平不断提高，全市共配备各类执勤消防车67辆，其中灭火类消防车26辆、举高类消防车14辆、专勤类消防车16辆、保障类消防车11辆；</w:t>
      </w:r>
      <w:r>
        <w:rPr>
          <w:rFonts w:hint="eastAsia" w:ascii="仿宋_GB2312" w:hAnsi="仿宋_GB2312" w:eastAsia="仿宋_GB2312" w:cs="仿宋_GB2312"/>
          <w:kern w:val="0"/>
          <w:sz w:val="32"/>
          <w:szCs w:val="32"/>
          <w:lang w:bidi="ar"/>
        </w:rPr>
        <w:t>共配备无人机10架，比“十二五”期间增加3倍。</w:t>
      </w:r>
    </w:p>
    <w:p>
      <w:pPr>
        <w:keepNext w:val="0"/>
        <w:keepLines w:val="0"/>
        <w:pageBreakBefore w:val="0"/>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sz w:val="32"/>
          <w:szCs w:val="32"/>
        </w:rPr>
        <w:t>消防宣传工作社会化进程明显加快</w:t>
      </w:r>
      <w:r>
        <w:rPr>
          <w:rFonts w:hint="eastAsia" w:ascii="仿宋_GB2312" w:hAnsi="仿宋_GB2312" w:eastAsia="仿宋_GB2312" w:cs="仿宋_GB2312"/>
          <w:bCs/>
          <w:sz w:val="32"/>
          <w:szCs w:val="32"/>
        </w:rPr>
        <w:t>。始终</w:t>
      </w:r>
      <w:r>
        <w:rPr>
          <w:rFonts w:hint="eastAsia" w:ascii="仿宋_GB2312" w:hAnsi="仿宋_GB2312" w:eastAsia="仿宋_GB2312" w:cs="仿宋_GB2312"/>
          <w:kern w:val="0"/>
          <w:sz w:val="32"/>
          <w:szCs w:val="32"/>
          <w:lang w:bidi="ar"/>
        </w:rPr>
        <w:t>坚持“以宣促防”，将消防宣传纳入精神文明建设、社会综合治理范畴，深入开展消防宣传“五进”活动，结合冬春火灾防控、高层建筑、出租房屋、电动车等专项整治行动，充分依托传统媒体、新媒体、消防站开放、消防科普教育馆、楼宇电视、户外广告牌等载体、介质大力宣传消防知识，开展“119”消防奖、社区消防宣传大使等评选活动。“十三五”期间，全市累计入户消防宣传2万余家，开展消防安全演练1300余场，对外开放消防站、科普教育馆800余次，组织培训2000余次，普及群众38万余人，人民群众消防安全素质明显提升，人为因素引起的火灾事故明显减少。</w:t>
      </w:r>
    </w:p>
    <w:p>
      <w:pPr>
        <w:keepNext w:val="0"/>
        <w:keepLines w:val="0"/>
        <w:pageBreakBefore w:val="0"/>
        <w:kinsoku/>
        <w:wordWrap/>
        <w:overflowPunct/>
        <w:topLinePunct w:val="0"/>
        <w:autoSpaceDE/>
        <w:autoSpaceDN/>
        <w:bidi w:val="0"/>
        <w:adjustRightInd w:val="0"/>
        <w:snapToGrid w:val="0"/>
        <w:spacing w:line="540" w:lineRule="exact"/>
        <w:jc w:val="center"/>
        <w:textAlignment w:val="auto"/>
        <w:outlineLvl w:val="1"/>
        <w:rPr>
          <w:rFonts w:hint="eastAsia" w:ascii="楷体_GB2312" w:hAnsi="楷体_GB2312" w:eastAsia="楷体_GB2312" w:cs="楷体_GB2312"/>
          <w:kern w:val="21"/>
          <w:sz w:val="32"/>
          <w:szCs w:val="32"/>
          <w:lang w:bidi="ar"/>
        </w:rPr>
      </w:pPr>
      <w:bookmarkStart w:id="12" w:name="_Toc28198"/>
      <w:r>
        <w:rPr>
          <w:rFonts w:hint="eastAsia" w:ascii="楷体_GB2312" w:hAnsi="楷体_GB2312" w:eastAsia="楷体_GB2312" w:cs="楷体_GB2312"/>
          <w:kern w:val="21"/>
          <w:sz w:val="32"/>
          <w:szCs w:val="32"/>
          <w:lang w:bidi="ar"/>
        </w:rPr>
        <w:t>第二节  “十四五”时期面临挑战和发展机遇</w:t>
      </w:r>
      <w:bookmarkEnd w:id="12"/>
    </w:p>
    <w:p>
      <w:pPr>
        <w:pStyle w:val="27"/>
        <w:keepNext w:val="0"/>
        <w:keepLines w:val="0"/>
        <w:pageBreakBefore w:val="0"/>
        <w:kinsoku/>
        <w:wordWrap/>
        <w:overflowPunct/>
        <w:topLinePunct w:val="0"/>
        <w:autoSpaceDE/>
        <w:autoSpaceDN/>
        <w:bidi w:val="0"/>
        <w:spacing w:after="0" w:line="540" w:lineRule="exact"/>
        <w:ind w:left="0" w:leftChars="0" w:firstLine="640" w:firstLineChars="200"/>
        <w:textAlignment w:val="auto"/>
        <w:outlineLvl w:val="2"/>
        <w:rPr>
          <w:rFonts w:eastAsia="黑体"/>
          <w:b/>
          <w:bCs/>
          <w:sz w:val="32"/>
          <w:szCs w:val="32"/>
        </w:rPr>
      </w:pPr>
      <w:bookmarkStart w:id="13" w:name="_Toc15906"/>
      <w:bookmarkStart w:id="14" w:name="_Toc1287"/>
      <w:r>
        <w:rPr>
          <w:rFonts w:eastAsia="黑体"/>
          <w:kern w:val="0"/>
          <w:sz w:val="32"/>
          <w:szCs w:val="32"/>
          <w:lang w:bidi="ar"/>
        </w:rPr>
        <w:t>一、面临挑战</w:t>
      </w:r>
      <w:bookmarkEnd w:id="13"/>
      <w:bookmarkEnd w:id="14"/>
    </w:p>
    <w:p>
      <w:pPr>
        <w:keepNext w:val="0"/>
        <w:keepLines w:val="0"/>
        <w:pageBreakBefore w:val="0"/>
        <w:kinsoku/>
        <w:wordWrap/>
        <w:overflowPunct/>
        <w:topLinePunct w:val="0"/>
        <w:autoSpaceDE/>
        <w:autoSpaceDN/>
        <w:bidi w:val="0"/>
        <w:spacing w:line="540" w:lineRule="exact"/>
        <w:ind w:firstLine="618" w:firstLineChars="200"/>
        <w:textAlignment w:val="auto"/>
        <w:rPr>
          <w:rFonts w:hint="eastAsia" w:ascii="仿宋_GB2312" w:hAnsi="仿宋_GB2312" w:eastAsia="仿宋_GB2312" w:cs="仿宋_GB2312"/>
          <w:bCs/>
          <w:spacing w:val="-6"/>
          <w:sz w:val="32"/>
          <w:szCs w:val="32"/>
        </w:rPr>
      </w:pPr>
      <w:bookmarkStart w:id="15" w:name="_Toc30347"/>
      <w:bookmarkStart w:id="16" w:name="_Toc1465"/>
      <w:r>
        <w:rPr>
          <w:rFonts w:hint="eastAsia" w:ascii="仿宋_GB2312" w:hAnsi="仿宋_GB2312" w:eastAsia="仿宋_GB2312" w:cs="仿宋_GB2312"/>
          <w:b/>
          <w:bCs/>
          <w:spacing w:val="-6"/>
          <w:sz w:val="32"/>
          <w:szCs w:val="32"/>
        </w:rPr>
        <w:t>经济高质量发展对消防安全保障提出新要求</w:t>
      </w:r>
      <w:r>
        <w:rPr>
          <w:rFonts w:hint="eastAsia" w:ascii="仿宋_GB2312" w:hAnsi="仿宋_GB2312" w:eastAsia="仿宋_GB2312" w:cs="仿宋_GB2312"/>
          <w:bCs/>
          <w:spacing w:val="-6"/>
          <w:sz w:val="32"/>
          <w:szCs w:val="32"/>
        </w:rPr>
        <w:t>。</w:t>
      </w:r>
      <w:bookmarkEnd w:id="15"/>
      <w:bookmarkStart w:id="17" w:name="_Toc638"/>
      <w:r>
        <w:rPr>
          <w:rFonts w:hint="eastAsia" w:ascii="仿宋_GB2312" w:hAnsi="仿宋_GB2312" w:eastAsia="仿宋_GB2312" w:cs="仿宋_GB2312"/>
          <w:bCs/>
          <w:spacing w:val="-6"/>
          <w:sz w:val="32"/>
          <w:szCs w:val="32"/>
        </w:rPr>
        <w:t>“十四五”时期，我市将在建设国际陆海双通道、重要国际门户枢纽、临港产业基地等方面展现新作为，加快建设“海边山”现代化经济体系，推进市域社会治理现代化，努力建成国际医学开放试验区、面向东盟的国际门户城市、沿边开放新高地、现代化临港工业城市、全海景生态海湾城市。新产业、新业态、新模式不断涌现，新材料、新能源、新技术普及推广，</w:t>
      </w:r>
      <w:r>
        <w:rPr>
          <w:rFonts w:hint="eastAsia" w:ascii="仿宋_GB2312" w:hAnsi="仿宋_GB2312" w:eastAsia="仿宋_GB2312" w:cs="仿宋_GB2312"/>
          <w:spacing w:val="-6"/>
          <w:sz w:val="32"/>
          <w:szCs w:val="32"/>
        </w:rPr>
        <w:t>对新时代消防工作提出新要求。</w:t>
      </w:r>
    </w:p>
    <w:p>
      <w:pPr>
        <w:keepNext w:val="0"/>
        <w:keepLines w:val="0"/>
        <w:pageBreakBefore w:val="0"/>
        <w:widowControl/>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城镇化水平提升对消防安全治理提出新任务</w:t>
      </w:r>
      <w:r>
        <w:rPr>
          <w:rFonts w:hint="eastAsia" w:ascii="仿宋_GB2312" w:hAnsi="仿宋_GB2312" w:eastAsia="仿宋_GB2312" w:cs="仿宋_GB2312"/>
          <w:sz w:val="32"/>
          <w:szCs w:val="32"/>
        </w:rPr>
        <w:t>。“十四五”时期，我市加快推进新型城镇化建设，强化城区扩容提质和旧城区更新改造升级，“多合一”建筑群、高层、地下、大跨度建筑数量增多，城市火灾防控难度持续加大。</w:t>
      </w:r>
      <w:r>
        <w:rPr>
          <w:rFonts w:hint="eastAsia" w:ascii="仿宋_GB2312" w:hAnsi="仿宋_GB2312" w:eastAsia="仿宋_GB2312" w:cs="仿宋_GB2312"/>
          <w:bCs/>
          <w:sz w:val="32"/>
          <w:szCs w:val="32"/>
        </w:rPr>
        <w:t>“自建房、棚户区、九小场所”等设计不规范、布局不合理场所较多，违规用火用电等致灾因素多，极易形成先天性火灾隐患，易发生“小火亡人”事故，消防安全治理难度加大。</w:t>
      </w:r>
    </w:p>
    <w:p>
      <w:pPr>
        <w:keepNext w:val="0"/>
        <w:keepLines w:val="0"/>
        <w:pageBreakBefore w:val="0"/>
        <w:widowControl/>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b/>
          <w:color w:val="000000"/>
          <w:kern w:val="0"/>
          <w:sz w:val="32"/>
          <w:szCs w:val="32"/>
          <w:lang w:bidi="ar"/>
        </w:rPr>
      </w:pPr>
      <w:r>
        <w:rPr>
          <w:rFonts w:hint="eastAsia" w:ascii="仿宋_GB2312" w:hAnsi="仿宋_GB2312" w:eastAsia="仿宋_GB2312" w:cs="仿宋_GB2312"/>
          <w:b/>
          <w:bCs/>
          <w:sz w:val="32"/>
          <w:szCs w:val="32"/>
        </w:rPr>
        <w:t>人民生活水平提高对消防安全环境提出新使命</w:t>
      </w:r>
      <w:r>
        <w:rPr>
          <w:rFonts w:hint="eastAsia" w:ascii="仿宋_GB2312" w:hAnsi="仿宋_GB2312" w:eastAsia="仿宋_GB2312" w:cs="仿宋_GB2312"/>
          <w:sz w:val="32"/>
          <w:szCs w:val="32"/>
        </w:rPr>
        <w:t>。“十四五”时期，我市将加快建设现代化临港工业城市和文化旅游强市，外来游客、务工人员及跨境劳务人员数量不断增多，人员密集场所数量大幅增加，人民群众生活模式、居住环境、出行方式等正在发生显著变化，新型致灾因素增加，亟需加快提升</w:t>
      </w:r>
      <w:r>
        <w:rPr>
          <w:rFonts w:hint="eastAsia" w:ascii="仿宋_GB2312" w:hAnsi="仿宋_GB2312" w:eastAsia="仿宋_GB2312" w:cs="仿宋_GB2312"/>
          <w:bCs/>
          <w:sz w:val="32"/>
          <w:szCs w:val="32"/>
        </w:rPr>
        <w:t>现代化、实战化综合应急救援能力。</w:t>
      </w:r>
    </w:p>
    <w:p>
      <w:pPr>
        <w:keepNext w:val="0"/>
        <w:keepLines w:val="0"/>
        <w:pageBreakBefore w:val="0"/>
        <w:widowControl/>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自然灾害增多对消防综合救援能力提出新挑战</w:t>
      </w:r>
      <w:r>
        <w:rPr>
          <w:rFonts w:hint="eastAsia" w:ascii="仿宋_GB2312" w:hAnsi="仿宋_GB2312" w:eastAsia="仿宋_GB2312" w:cs="仿宋_GB2312"/>
          <w:sz w:val="32"/>
          <w:szCs w:val="32"/>
        </w:rPr>
        <w:t>。我市</w:t>
      </w:r>
      <w:r>
        <w:rPr>
          <w:rFonts w:hint="eastAsia" w:ascii="仿宋_GB2312" w:hAnsi="仿宋_GB2312" w:eastAsia="仿宋_GB2312" w:cs="仿宋_GB2312"/>
          <w:bCs/>
          <w:sz w:val="32"/>
          <w:szCs w:val="32"/>
        </w:rPr>
        <w:t>既紧邻北部湾，又是十万大山腹地，台风、山洪、山体滑坡等自然灾害事故多发、频发、易发，</w:t>
      </w:r>
      <w:r>
        <w:rPr>
          <w:rFonts w:hint="eastAsia" w:ascii="仿宋_GB2312" w:hAnsi="仿宋_GB2312" w:eastAsia="仿宋_GB2312" w:cs="仿宋_GB2312"/>
          <w:sz w:val="32"/>
          <w:szCs w:val="32"/>
        </w:rPr>
        <w:t>应急救援和社会救助日趋常态化、多样化、复合化，全市消防救援队伍出警频次总体呈现上升趋势，消防站肩负灭火救援任务和社会抢险救灾双重职责，必须加快建立</w:t>
      </w:r>
      <w:r>
        <w:rPr>
          <w:rFonts w:hint="eastAsia" w:ascii="仿宋_GB2312" w:hAnsi="仿宋_GB2312" w:eastAsia="仿宋_GB2312" w:cs="仿宋_GB2312"/>
          <w:bCs/>
          <w:sz w:val="32"/>
          <w:szCs w:val="32"/>
        </w:rPr>
        <w:t>“全灾种、大应急”综合救援体系。</w:t>
      </w:r>
    </w:p>
    <w:bookmarkEnd w:id="16"/>
    <w:bookmarkEnd w:id="17"/>
    <w:p>
      <w:pPr>
        <w:pStyle w:val="27"/>
        <w:keepNext w:val="0"/>
        <w:keepLines w:val="0"/>
        <w:pageBreakBefore w:val="0"/>
        <w:kinsoku/>
        <w:wordWrap/>
        <w:overflowPunct/>
        <w:topLinePunct w:val="0"/>
        <w:autoSpaceDE/>
        <w:autoSpaceDN/>
        <w:bidi w:val="0"/>
        <w:spacing w:after="0" w:line="540" w:lineRule="exact"/>
        <w:ind w:left="0" w:leftChars="0" w:firstLine="640" w:firstLineChars="200"/>
        <w:textAlignment w:val="auto"/>
        <w:outlineLvl w:val="2"/>
        <w:rPr>
          <w:rFonts w:eastAsia="黑体"/>
          <w:kern w:val="0"/>
          <w:sz w:val="32"/>
          <w:szCs w:val="32"/>
          <w:lang w:bidi="ar"/>
        </w:rPr>
      </w:pPr>
      <w:bookmarkStart w:id="18" w:name="_Toc25303"/>
      <w:bookmarkStart w:id="19" w:name="_Toc605"/>
      <w:r>
        <w:rPr>
          <w:rFonts w:eastAsia="黑体"/>
          <w:kern w:val="0"/>
          <w:sz w:val="32"/>
          <w:szCs w:val="32"/>
          <w:lang w:bidi="ar"/>
        </w:rPr>
        <w:t>二、发展机遇</w:t>
      </w:r>
      <w:bookmarkEnd w:id="18"/>
    </w:p>
    <w:p>
      <w:pPr>
        <w:keepNext w:val="0"/>
        <w:keepLines w:val="0"/>
        <w:pageBreakBefore w:val="0"/>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sz w:val="32"/>
          <w:szCs w:val="32"/>
        </w:rPr>
      </w:pPr>
      <w:bookmarkStart w:id="20" w:name="_Toc1105"/>
      <w:r>
        <w:rPr>
          <w:rFonts w:hint="eastAsia" w:ascii="仿宋_GB2312" w:hAnsi="仿宋_GB2312" w:eastAsia="仿宋_GB2312" w:cs="仿宋_GB2312"/>
          <w:b/>
          <w:bCs/>
          <w:sz w:val="32"/>
          <w:szCs w:val="32"/>
        </w:rPr>
        <w:t>新发展理念为消防救援工作指明了新方向</w:t>
      </w:r>
      <w:r>
        <w:rPr>
          <w:rFonts w:hint="eastAsia" w:ascii="仿宋_GB2312" w:hAnsi="仿宋_GB2312" w:eastAsia="仿宋_GB2312" w:cs="仿宋_GB2312"/>
          <w:sz w:val="32"/>
          <w:szCs w:val="32"/>
        </w:rPr>
        <w:t>。</w:t>
      </w:r>
      <w:bookmarkEnd w:id="20"/>
      <w:bookmarkStart w:id="21" w:name="_Toc28466"/>
      <w:bookmarkStart w:id="22" w:name="_Toc28065"/>
      <w:r>
        <w:rPr>
          <w:rFonts w:hint="eastAsia" w:ascii="仿宋_GB2312" w:hAnsi="仿宋_GB2312" w:eastAsia="仿宋_GB2312" w:cs="仿宋_GB2312"/>
          <w:sz w:val="32"/>
          <w:szCs w:val="32"/>
        </w:rPr>
        <w:t>以习近平同志为核心的党中央对应急管理和消防工作高度重视，明确消防救援队伍必须承担防范化解重大安全风险、应对处置各类灾害事故的重要职责，对消防工作做出了一系列重要部署，为新时代消防事业改革发展指明了方向，有助于各级各部门把消防救援工作放在社会治理大局中统筹谋划，进一步提升全社会抵御火灾和应急救援能力，改善消防安全环境。</w:t>
      </w:r>
      <w:bookmarkEnd w:id="21"/>
      <w:bookmarkEnd w:id="22"/>
    </w:p>
    <w:p>
      <w:pPr>
        <w:keepNext w:val="0"/>
        <w:keepLines w:val="0"/>
        <w:pageBreakBefore w:val="0"/>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sz w:val="32"/>
          <w:szCs w:val="32"/>
        </w:rPr>
      </w:pPr>
      <w:bookmarkStart w:id="23" w:name="_Toc27234"/>
      <w:r>
        <w:rPr>
          <w:rFonts w:hint="eastAsia" w:ascii="仿宋_GB2312" w:hAnsi="仿宋_GB2312" w:eastAsia="仿宋_GB2312" w:cs="仿宋_GB2312"/>
          <w:b/>
          <w:bCs/>
          <w:sz w:val="32"/>
          <w:szCs w:val="32"/>
        </w:rPr>
        <w:t>全方位开放发展新格局为消防工作带来新机遇</w:t>
      </w:r>
      <w:r>
        <w:rPr>
          <w:rFonts w:hint="eastAsia" w:ascii="仿宋_GB2312" w:hAnsi="仿宋_GB2312" w:eastAsia="仿宋_GB2312" w:cs="仿宋_GB2312"/>
          <w:sz w:val="32"/>
          <w:szCs w:val="32"/>
        </w:rPr>
        <w:t>。</w:t>
      </w:r>
      <w:bookmarkEnd w:id="23"/>
      <w:r>
        <w:rPr>
          <w:rFonts w:hint="eastAsia" w:ascii="仿宋_GB2312" w:hAnsi="仿宋_GB2312" w:eastAsia="仿宋_GB2312" w:cs="仿宋_GB2312"/>
          <w:sz w:val="32"/>
          <w:szCs w:val="32"/>
        </w:rPr>
        <w:t>“十四五”时期，我市将坚决落实国家战略使命，充分发挥区位优势，高水平建设国家级开放发展平台，加快形成全方位开放新格局，有利于加强与周边省市建立应急救援协作机制，搭建交流合作平台，拓宽人才培养渠道，提升消防救援能力。</w:t>
      </w:r>
    </w:p>
    <w:p>
      <w:pPr>
        <w:keepNext w:val="0"/>
        <w:keepLines w:val="0"/>
        <w:pageBreakBefore w:val="0"/>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sz w:val="32"/>
          <w:szCs w:val="32"/>
        </w:rPr>
      </w:pPr>
      <w:bookmarkStart w:id="24" w:name="_Toc9277"/>
      <w:r>
        <w:rPr>
          <w:rFonts w:hint="eastAsia" w:ascii="仿宋_GB2312" w:hAnsi="仿宋_GB2312" w:eastAsia="仿宋_GB2312" w:cs="仿宋_GB2312"/>
          <w:b/>
          <w:bCs/>
          <w:sz w:val="32"/>
          <w:szCs w:val="32"/>
        </w:rPr>
        <w:t>经济高质量发展为消防救援工作提供了新支撑</w:t>
      </w:r>
      <w:r>
        <w:rPr>
          <w:rFonts w:hint="eastAsia" w:ascii="仿宋_GB2312" w:hAnsi="仿宋_GB2312" w:eastAsia="仿宋_GB2312" w:cs="仿宋_GB2312"/>
          <w:sz w:val="32"/>
          <w:szCs w:val="32"/>
        </w:rPr>
        <w:t>。</w:t>
      </w:r>
      <w:bookmarkEnd w:id="24"/>
      <w:r>
        <w:rPr>
          <w:rFonts w:hint="eastAsia" w:ascii="仿宋_GB2312" w:hAnsi="仿宋_GB2312" w:eastAsia="仿宋_GB2312" w:cs="仿宋_GB2312"/>
          <w:sz w:val="32"/>
          <w:szCs w:val="32"/>
        </w:rPr>
        <w:t>“十四五”时期，我市将开启全面建设社会主义现代化新征程，锚定“加快发展、转型升级、全面提质”的主要目标，推动经济社会持续健康发展，财政保障能力明显提高，人民消防意识不断提升，这为全市消防工作发展提供坚实经济基础。</w:t>
      </w:r>
    </w:p>
    <w:p>
      <w:pPr>
        <w:keepNext w:val="0"/>
        <w:keepLines w:val="0"/>
        <w:pageBreakBefore w:val="0"/>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sz w:val="32"/>
          <w:szCs w:val="32"/>
        </w:rPr>
      </w:pPr>
      <w:bookmarkStart w:id="25" w:name="_Toc6083"/>
      <w:r>
        <w:rPr>
          <w:rFonts w:hint="eastAsia" w:ascii="仿宋_GB2312" w:hAnsi="仿宋_GB2312" w:eastAsia="仿宋_GB2312" w:cs="仿宋_GB2312"/>
          <w:b/>
          <w:bCs/>
          <w:sz w:val="32"/>
          <w:szCs w:val="32"/>
        </w:rPr>
        <w:t>消防救援事业改革为消防工作注入了新活力</w:t>
      </w:r>
      <w:r>
        <w:rPr>
          <w:rFonts w:hint="eastAsia" w:ascii="仿宋_GB2312" w:hAnsi="仿宋_GB2312" w:eastAsia="仿宋_GB2312" w:cs="仿宋_GB2312"/>
          <w:sz w:val="32"/>
          <w:szCs w:val="32"/>
        </w:rPr>
        <w:t>。</w:t>
      </w:r>
      <w:bookmarkEnd w:id="25"/>
      <w:r>
        <w:rPr>
          <w:rFonts w:hint="eastAsia" w:ascii="仿宋_GB2312" w:hAnsi="仿宋_GB2312" w:eastAsia="仿宋_GB2312" w:cs="仿宋_GB2312"/>
          <w:sz w:val="32"/>
          <w:szCs w:val="32"/>
        </w:rPr>
        <w:t>国家综合性消防救援队伍在领导体制上实行统一领导、分级指挥，应急部和地方党委、人民政府双重领导体制。新的体制更加顺畅、更具优势，有利于我市建立上下贯通、运行高效的管理体系，有效优化整合全市应急救援力量和资源，提高消防救援队伍正规化、专业化、职业化水平，充分发挥应急救援主力军和国家队的作用。</w:t>
      </w:r>
    </w:p>
    <w:p>
      <w:pPr>
        <w:keepNext w:val="0"/>
        <w:keepLines w:val="0"/>
        <w:pageBreakBefore w:val="0"/>
        <w:kinsoku/>
        <w:wordWrap/>
        <w:overflowPunct/>
        <w:topLinePunct w:val="0"/>
        <w:autoSpaceDE/>
        <w:autoSpaceDN/>
        <w:bidi w:val="0"/>
        <w:adjustRightInd w:val="0"/>
        <w:snapToGrid w:val="0"/>
        <w:spacing w:line="540" w:lineRule="exact"/>
        <w:jc w:val="center"/>
        <w:textAlignment w:val="auto"/>
        <w:outlineLvl w:val="0"/>
        <w:rPr>
          <w:rFonts w:eastAsia="黑体"/>
          <w:kern w:val="21"/>
          <w:sz w:val="32"/>
          <w:szCs w:val="32"/>
          <w:lang w:bidi="ar"/>
        </w:rPr>
      </w:pPr>
      <w:bookmarkStart w:id="26" w:name="_Toc28343"/>
      <w:bookmarkStart w:id="27" w:name="_Toc8129"/>
      <w:r>
        <w:rPr>
          <w:rFonts w:eastAsia="黑体"/>
          <w:kern w:val="21"/>
          <w:sz w:val="32"/>
          <w:szCs w:val="32"/>
          <w:lang w:bidi="ar"/>
        </w:rPr>
        <w:t>第二章  总体要求与发展目标</w:t>
      </w:r>
      <w:bookmarkEnd w:id="26"/>
    </w:p>
    <w:bookmarkEnd w:id="19"/>
    <w:bookmarkEnd w:id="27"/>
    <w:p>
      <w:pPr>
        <w:keepNext w:val="0"/>
        <w:keepLines w:val="0"/>
        <w:pageBreakBefore w:val="0"/>
        <w:kinsoku/>
        <w:wordWrap/>
        <w:overflowPunct/>
        <w:topLinePunct w:val="0"/>
        <w:autoSpaceDE/>
        <w:autoSpaceDN/>
        <w:bidi w:val="0"/>
        <w:adjustRightInd w:val="0"/>
        <w:snapToGrid w:val="0"/>
        <w:spacing w:line="540" w:lineRule="exact"/>
        <w:jc w:val="center"/>
        <w:textAlignment w:val="auto"/>
        <w:outlineLvl w:val="1"/>
        <w:rPr>
          <w:rFonts w:eastAsia="楷体_GB2312"/>
          <w:kern w:val="21"/>
          <w:sz w:val="32"/>
          <w:szCs w:val="32"/>
          <w:lang w:bidi="ar"/>
        </w:rPr>
      </w:pPr>
      <w:bookmarkStart w:id="28" w:name="_Toc24873"/>
      <w:bookmarkStart w:id="29" w:name="_Toc12145"/>
      <w:r>
        <w:rPr>
          <w:rFonts w:eastAsia="楷体_GB2312"/>
          <w:kern w:val="21"/>
          <w:sz w:val="32"/>
          <w:szCs w:val="32"/>
          <w:lang w:bidi="ar"/>
        </w:rPr>
        <w:t>第一节  指导思想</w:t>
      </w:r>
      <w:bookmarkEnd w:id="28"/>
      <w:bookmarkEnd w:id="29"/>
    </w:p>
    <w:p>
      <w:pPr>
        <w:pStyle w:val="27"/>
        <w:keepNext w:val="0"/>
        <w:keepLines w:val="0"/>
        <w:pageBreakBefore w:val="0"/>
        <w:kinsoku/>
        <w:wordWrap/>
        <w:overflowPunct/>
        <w:topLinePunct w:val="0"/>
        <w:autoSpaceDE/>
        <w:autoSpaceDN/>
        <w:bidi w:val="0"/>
        <w:spacing w:after="0"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十九大和十九届二中、三中、四中、五中、六中全会精神，深入贯彻习近平总书记关于应急管理重要论述和对广西工作系列重要指示精神，紧紧围绕“建设新时代中国特色社会主义壮美广西”总目标和“四个新”总要求，坚持人民至上、生命至上，坚持以防为主、防抗救相结合，坚持常态减灾和非常态救灾相统一，着力强化消防安全基础建设，着力健全消防安全管理体制机制，着力完善综合性消防救援队伍建设，着力推进消防治理体系和治理能力现代化，加快构建消防安全共建共治共享新格局，为防城港建设北部湾国际门户港、国际医学开放试验区、边境旅游试验区保驾护航。</w:t>
      </w:r>
    </w:p>
    <w:p>
      <w:pPr>
        <w:keepNext w:val="0"/>
        <w:keepLines w:val="0"/>
        <w:pageBreakBefore w:val="0"/>
        <w:kinsoku/>
        <w:wordWrap/>
        <w:overflowPunct/>
        <w:topLinePunct w:val="0"/>
        <w:autoSpaceDE/>
        <w:autoSpaceDN/>
        <w:bidi w:val="0"/>
        <w:adjustRightInd w:val="0"/>
        <w:snapToGrid w:val="0"/>
        <w:spacing w:line="540" w:lineRule="exact"/>
        <w:jc w:val="center"/>
        <w:textAlignment w:val="auto"/>
        <w:outlineLvl w:val="1"/>
        <w:rPr>
          <w:rFonts w:eastAsia="楷体_GB2312"/>
          <w:kern w:val="21"/>
          <w:sz w:val="32"/>
          <w:szCs w:val="32"/>
          <w:lang w:bidi="ar"/>
        </w:rPr>
      </w:pPr>
      <w:bookmarkStart w:id="30" w:name="_Toc12432"/>
      <w:bookmarkStart w:id="31" w:name="_Toc27252"/>
      <w:bookmarkStart w:id="32" w:name="_Toc2679"/>
      <w:r>
        <w:rPr>
          <w:rFonts w:eastAsia="楷体_GB2312"/>
          <w:kern w:val="21"/>
          <w:sz w:val="32"/>
          <w:szCs w:val="32"/>
          <w:lang w:bidi="ar"/>
        </w:rPr>
        <w:t>第二节  工作原则</w:t>
      </w:r>
      <w:bookmarkEnd w:id="30"/>
      <w:bookmarkEnd w:id="31"/>
      <w:bookmarkEnd w:id="32"/>
    </w:p>
    <w:p>
      <w:pPr>
        <w:pStyle w:val="27"/>
        <w:keepNext w:val="0"/>
        <w:keepLines w:val="0"/>
        <w:pageBreakBefore w:val="0"/>
        <w:kinsoku/>
        <w:wordWrap/>
        <w:overflowPunct/>
        <w:topLinePunct w:val="0"/>
        <w:autoSpaceDE/>
        <w:autoSpaceDN/>
        <w:bidi w:val="0"/>
        <w:spacing w:after="0" w:line="540" w:lineRule="exact"/>
        <w:ind w:left="0" w:leftChars="0" w:firstLine="64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坚持党的领导、忠诚于党</w:t>
      </w:r>
      <w:r>
        <w:rPr>
          <w:rFonts w:hint="eastAsia" w:ascii="仿宋_GB2312" w:hAnsi="仿宋_GB2312" w:eastAsia="仿宋_GB2312" w:cs="仿宋_GB2312"/>
          <w:bCs/>
          <w:sz w:val="32"/>
          <w:szCs w:val="32"/>
        </w:rPr>
        <w:t>。坚持党对消防工作和消防救援队伍的绝对领导，忠诚践行习近平总书记在国家综合性消防救援队伍授旗仪式上的重要训词精神，把党的政治优势、组织优势和制度优势转化为发展优势。强化政治自觉和责任担当，发挥领导干部带头作用、基层党组织战斗堡垒作用、党员先锋模范作用，建设一支忠诚干净担当、经得起各种风险考验的高素质队伍。</w:t>
      </w:r>
    </w:p>
    <w:p>
      <w:pPr>
        <w:pStyle w:val="27"/>
        <w:keepNext w:val="0"/>
        <w:keepLines w:val="0"/>
        <w:pageBreakBefore w:val="0"/>
        <w:kinsoku/>
        <w:wordWrap/>
        <w:overflowPunct/>
        <w:topLinePunct w:val="0"/>
        <w:autoSpaceDE/>
        <w:autoSpaceDN/>
        <w:bidi w:val="0"/>
        <w:spacing w:after="0" w:line="540" w:lineRule="exact"/>
        <w:ind w:left="0" w:leftChars="0" w:firstLine="64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坚持人民至上、生命至上</w:t>
      </w:r>
      <w:r>
        <w:rPr>
          <w:rFonts w:hint="eastAsia" w:ascii="仿宋_GB2312" w:hAnsi="仿宋_GB2312" w:eastAsia="仿宋_GB2312" w:cs="仿宋_GB2312"/>
          <w:bCs/>
          <w:sz w:val="32"/>
          <w:szCs w:val="32"/>
        </w:rPr>
        <w:t>。牢固树立以人民为中心的发展思想，统筹发展和安全，积极顺应人民群众对公共消防安全的新期待、新要求，有效防范和化解重大消防安全风险，持续提升综合应急救援能力，</w:t>
      </w:r>
      <w:r>
        <w:rPr>
          <w:rFonts w:hint="eastAsia" w:ascii="仿宋_GB2312" w:hAnsi="仿宋_GB2312" w:eastAsia="仿宋_GB2312" w:cs="仿宋_GB2312"/>
          <w:sz w:val="32"/>
          <w:szCs w:val="32"/>
        </w:rPr>
        <w:t>最大限度减少人员伤亡和财产损失，</w:t>
      </w:r>
      <w:r>
        <w:rPr>
          <w:rFonts w:hint="eastAsia" w:ascii="仿宋_GB2312" w:hAnsi="仿宋_GB2312" w:eastAsia="仿宋_GB2312" w:cs="仿宋_GB2312"/>
          <w:bCs/>
          <w:sz w:val="32"/>
          <w:szCs w:val="32"/>
        </w:rPr>
        <w:t>筑牢安全防线，切实维护人民群众生命财产安全。</w:t>
      </w:r>
    </w:p>
    <w:p>
      <w:pPr>
        <w:pStyle w:val="27"/>
        <w:keepNext w:val="0"/>
        <w:keepLines w:val="0"/>
        <w:pageBreakBefore w:val="0"/>
        <w:kinsoku/>
        <w:wordWrap/>
        <w:overflowPunct/>
        <w:topLinePunct w:val="0"/>
        <w:autoSpaceDE/>
        <w:autoSpaceDN/>
        <w:bidi w:val="0"/>
        <w:spacing w:after="0" w:line="540" w:lineRule="exact"/>
        <w:ind w:left="0" w:leftChars="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坚持深化改革、协同发展</w:t>
      </w:r>
      <w:r>
        <w:rPr>
          <w:rFonts w:hint="eastAsia" w:ascii="仿宋_GB2312" w:hAnsi="仿宋_GB2312" w:eastAsia="仿宋_GB2312" w:cs="仿宋_GB2312"/>
          <w:bCs/>
          <w:sz w:val="32"/>
          <w:szCs w:val="32"/>
        </w:rPr>
        <w:t>。准确把握经济社会发展新变化和消防工作新趋势，积极服务和融入新发展格局，构建紧密高效的部门联动机制，强化区域消防安全协同合作，</w:t>
      </w:r>
      <w:r>
        <w:rPr>
          <w:rFonts w:hint="eastAsia" w:ascii="仿宋_GB2312" w:hAnsi="仿宋_GB2312" w:eastAsia="仿宋_GB2312" w:cs="仿宋_GB2312"/>
          <w:sz w:val="32"/>
          <w:szCs w:val="32"/>
        </w:rPr>
        <w:t>着力破除影响消防事业发展的体制性、机制性问</w:t>
      </w:r>
      <w:r>
        <w:rPr>
          <w:rFonts w:hint="eastAsia" w:ascii="仿宋_GB2312" w:hAnsi="仿宋_GB2312" w:eastAsia="仿宋_GB2312" w:cs="仿宋_GB2312"/>
          <w:bCs/>
          <w:sz w:val="32"/>
          <w:szCs w:val="32"/>
        </w:rPr>
        <w:t>题。</w:t>
      </w:r>
    </w:p>
    <w:p>
      <w:pPr>
        <w:pStyle w:val="27"/>
        <w:keepNext w:val="0"/>
        <w:keepLines w:val="0"/>
        <w:pageBreakBefore w:val="0"/>
        <w:kinsoku/>
        <w:wordWrap/>
        <w:overflowPunct/>
        <w:topLinePunct w:val="0"/>
        <w:autoSpaceDE/>
        <w:autoSpaceDN/>
        <w:bidi w:val="0"/>
        <w:spacing w:after="0" w:line="540" w:lineRule="exact"/>
        <w:ind w:left="0" w:leftChars="0" w:firstLine="64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坚持社会共治、精准治理</w:t>
      </w:r>
      <w:r>
        <w:rPr>
          <w:rFonts w:hint="eastAsia" w:ascii="仿宋_GB2312" w:hAnsi="仿宋_GB2312" w:eastAsia="仿宋_GB2312" w:cs="仿宋_GB2312"/>
          <w:bCs/>
          <w:sz w:val="32"/>
          <w:szCs w:val="32"/>
        </w:rPr>
        <w:t>。坚持“预防为主”思想，全力推进消防安全责任制落实，建立完善隐患排查治理体系和安全预防控制体系，着力从根本上消除事故隐患，</w:t>
      </w:r>
      <w:r>
        <w:rPr>
          <w:rFonts w:hint="eastAsia" w:ascii="仿宋_GB2312" w:hAnsi="仿宋_GB2312" w:eastAsia="仿宋_GB2312" w:cs="仿宋_GB2312"/>
          <w:sz w:val="32"/>
          <w:szCs w:val="32"/>
        </w:rPr>
        <w:t>提高群众消防安全意识，规范消防监督执法服务，</w:t>
      </w:r>
      <w:r>
        <w:rPr>
          <w:rFonts w:hint="eastAsia" w:ascii="仿宋_GB2312" w:hAnsi="仿宋_GB2312" w:eastAsia="仿宋_GB2312" w:cs="仿宋_GB2312"/>
          <w:bCs/>
          <w:sz w:val="32"/>
          <w:szCs w:val="32"/>
        </w:rPr>
        <w:t>构建社会多元共治新格局。推动城市消防安全管理向治理转型，创新消防工作多方参与、多元共治的现代化治理体系，提升消防工作社会化水平。</w:t>
      </w:r>
    </w:p>
    <w:p>
      <w:pPr>
        <w:pStyle w:val="27"/>
        <w:keepNext w:val="0"/>
        <w:keepLines w:val="0"/>
        <w:pageBreakBefore w:val="0"/>
        <w:kinsoku/>
        <w:wordWrap/>
        <w:overflowPunct/>
        <w:topLinePunct w:val="0"/>
        <w:autoSpaceDE/>
        <w:autoSpaceDN/>
        <w:bidi w:val="0"/>
        <w:spacing w:after="0" w:line="540" w:lineRule="exact"/>
        <w:ind w:left="0" w:leftChars="0" w:firstLine="64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坚持实战引领、创新驱动</w:t>
      </w:r>
      <w:r>
        <w:rPr>
          <w:rFonts w:hint="eastAsia" w:ascii="仿宋_GB2312" w:hAnsi="仿宋_GB2312" w:eastAsia="仿宋_GB2312" w:cs="仿宋_GB2312"/>
          <w:bCs/>
          <w:sz w:val="32"/>
          <w:szCs w:val="32"/>
        </w:rPr>
        <w:t>。强化实兵、实装、实战、实训，开展全过程、全要素、全流程综合演练，提升应对巨灾大难的能力水平。推进前沿科技在消防领域深度应用，</w:t>
      </w:r>
      <w:r>
        <w:rPr>
          <w:rFonts w:hint="eastAsia" w:ascii="仿宋_GB2312" w:hAnsi="仿宋_GB2312" w:eastAsia="仿宋_GB2312" w:cs="仿宋_GB2312"/>
          <w:sz w:val="32"/>
          <w:szCs w:val="32"/>
        </w:rPr>
        <w:t>突出数字化引领消防工作变革、业务流程再造、助推转型发展，推动消防救援科技创新，全面提升精密智控能力</w:t>
      </w:r>
      <w:r>
        <w:rPr>
          <w:rFonts w:hint="eastAsia" w:ascii="仿宋_GB2312" w:hAnsi="仿宋_GB2312" w:eastAsia="仿宋_GB2312" w:cs="仿宋_GB2312"/>
          <w:bCs/>
          <w:sz w:val="32"/>
          <w:szCs w:val="32"/>
        </w:rPr>
        <w:t>，增强现代化、实战化综合应急救援能力。</w:t>
      </w:r>
    </w:p>
    <w:p>
      <w:pPr>
        <w:keepNext w:val="0"/>
        <w:keepLines w:val="0"/>
        <w:pageBreakBefore w:val="0"/>
        <w:kinsoku/>
        <w:wordWrap/>
        <w:overflowPunct/>
        <w:topLinePunct w:val="0"/>
        <w:autoSpaceDE/>
        <w:autoSpaceDN/>
        <w:bidi w:val="0"/>
        <w:adjustRightInd w:val="0"/>
        <w:snapToGrid w:val="0"/>
        <w:spacing w:line="540" w:lineRule="exact"/>
        <w:jc w:val="center"/>
        <w:textAlignment w:val="auto"/>
        <w:outlineLvl w:val="1"/>
        <w:rPr>
          <w:rFonts w:eastAsia="楷体_GB2312"/>
          <w:kern w:val="21"/>
          <w:sz w:val="32"/>
          <w:szCs w:val="32"/>
          <w:lang w:bidi="ar"/>
        </w:rPr>
      </w:pPr>
      <w:bookmarkStart w:id="33" w:name="_Toc11735"/>
      <w:bookmarkStart w:id="34" w:name="_Toc3725"/>
      <w:bookmarkStart w:id="35" w:name="_Toc1179"/>
      <w:r>
        <w:rPr>
          <w:rFonts w:eastAsia="楷体_GB2312"/>
          <w:kern w:val="21"/>
          <w:sz w:val="32"/>
          <w:szCs w:val="32"/>
          <w:lang w:bidi="ar"/>
        </w:rPr>
        <w:t>第三节  主要目标</w:t>
      </w:r>
      <w:bookmarkEnd w:id="33"/>
      <w:bookmarkEnd w:id="34"/>
      <w:bookmarkEnd w:id="35"/>
    </w:p>
    <w:p>
      <w:pPr>
        <w:pStyle w:val="27"/>
        <w:keepNext w:val="0"/>
        <w:keepLines w:val="0"/>
        <w:pageBreakBefore w:val="0"/>
        <w:kinsoku/>
        <w:wordWrap/>
        <w:overflowPunct/>
        <w:topLinePunct w:val="0"/>
        <w:autoSpaceDE/>
        <w:autoSpaceDN/>
        <w:bidi w:val="0"/>
        <w:spacing w:after="0" w:line="54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十四五”期末，基本建立与防城港市经济社会发展相适应的消防安全风险防控体系和消防救援力量体系，防范化解重大安全风险、应对处置各类灾害事故能力明显提升，综合性应急救援队伍不断壮大，消防救援力量全面增强，应急救援保障能力不断提升，公共消防设施建设不断夯实，火灾隐患大幅度减少，亡人火灾事故得到有效遏制，消防安全文明深入人心，消防安全环境明显改善，消防治理体系和治理能力现代化水平显著提高。</w:t>
      </w:r>
      <w:bookmarkStart w:id="36" w:name="_Toc3907"/>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0"/>
        <w:rPr>
          <w:rFonts w:eastAsia="黑体"/>
          <w:kern w:val="21"/>
          <w:sz w:val="32"/>
          <w:szCs w:val="32"/>
          <w:lang w:bidi="ar"/>
        </w:rPr>
      </w:pPr>
      <w:bookmarkStart w:id="37" w:name="_Toc24171"/>
      <w:bookmarkStart w:id="38" w:name="_Toc28242"/>
      <w:r>
        <w:rPr>
          <w:rFonts w:eastAsia="黑体"/>
          <w:kern w:val="21"/>
          <w:sz w:val="32"/>
          <w:szCs w:val="32"/>
          <w:lang w:bidi="ar"/>
        </w:rPr>
        <w:t>第三章  主要任务</w:t>
      </w:r>
      <w:bookmarkEnd w:id="37"/>
    </w:p>
    <w:bookmarkEnd w:id="36"/>
    <w:bookmarkEnd w:id="38"/>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1"/>
        <w:rPr>
          <w:rFonts w:eastAsia="楷体_GB2312"/>
          <w:kern w:val="21"/>
          <w:sz w:val="32"/>
          <w:szCs w:val="32"/>
          <w:lang w:bidi="ar"/>
        </w:rPr>
      </w:pPr>
      <w:bookmarkStart w:id="39" w:name="_Toc7704"/>
      <w:bookmarkStart w:id="40" w:name="_Toc14612"/>
      <w:bookmarkStart w:id="41" w:name="_Toc6606"/>
      <w:r>
        <w:rPr>
          <w:rFonts w:eastAsia="楷体_GB2312"/>
          <w:kern w:val="21"/>
          <w:sz w:val="32"/>
          <w:szCs w:val="32"/>
          <w:lang w:bidi="ar"/>
        </w:rPr>
        <w:t>第一节  夯实公共消防安全基础</w:t>
      </w:r>
      <w:bookmarkEnd w:id="39"/>
      <w:bookmarkEnd w:id="40"/>
    </w:p>
    <w:p>
      <w:pPr>
        <w:pStyle w:val="27"/>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outlineLvl w:val="2"/>
        <w:rPr>
          <w:rFonts w:eastAsia="黑体"/>
          <w:kern w:val="0"/>
          <w:sz w:val="32"/>
          <w:szCs w:val="32"/>
          <w:lang w:bidi="ar"/>
        </w:rPr>
      </w:pPr>
      <w:bookmarkStart w:id="42" w:name="_Toc12634"/>
      <w:r>
        <w:rPr>
          <w:rFonts w:eastAsia="黑体"/>
          <w:kern w:val="0"/>
          <w:sz w:val="32"/>
          <w:szCs w:val="32"/>
          <w:lang w:bidi="ar"/>
        </w:rPr>
        <w:t>一、优化消防设施空间布局</w:t>
      </w:r>
      <w:bookmarkEnd w:id="42"/>
    </w:p>
    <w:p>
      <w:pPr>
        <w:pStyle w:val="27"/>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消防安全布局纳入防城港市国土空间规划“一带一屏双网、一轴双心多节点”功能布局，将公共消防设施和消防训练、消防科普教育基地等纳入控制性详细规划和国土空间规划“一张图”，优化东兴边境经济合作区(代管江平工业园区)、防城港经济技术开发区、防城港高新技术开发区、防城区工业园区和上思县工业集中区等重点园区消防安全布局。大力改善农村消防安全条件，积极推进农村消防水源、消防通道、消防装备等基础设施建设和消防安全改造，推动全市乡村消防安全条件明显改善。</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outlineLvl w:val="2"/>
        <w:rPr>
          <w:rFonts w:eastAsia="黑体"/>
          <w:kern w:val="0"/>
          <w:sz w:val="32"/>
          <w:szCs w:val="32"/>
          <w:lang w:bidi="ar"/>
        </w:rPr>
      </w:pPr>
      <w:bookmarkStart w:id="43" w:name="_Toc1828"/>
      <w:r>
        <w:rPr>
          <w:rFonts w:eastAsia="黑体"/>
          <w:kern w:val="0"/>
          <w:sz w:val="32"/>
          <w:szCs w:val="32"/>
          <w:lang w:bidi="ar"/>
        </w:rPr>
        <w:t>二、合理布局消防队站</w:t>
      </w:r>
      <w:bookmarkEnd w:id="43"/>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我市经济发展趋势和建成区拓展方向，以缩短灭火救援响应时间为目标，规划建设一批消防站，推进消防站布点更加合理，缩短救援时间。建设企业专职消防站，按照特勤消防站的标准完成北部湾防城港港口专职消防站升级，广西钢铁集团有限公司、广西盛隆冶金有限公司各建设1个一级消防站。探索建设高速公路服务区小型消防站，应对高速公路临近乡镇火灾扑救和高速公路交通事故、危化品运输车辆事故、隧道救援及应对地震、洪涝、山体滑坡等突发自然灾害的快速增援任务。采取“新建、改建、配建、合建、租赁”等方式及模块化、移动式、装配式等模式建设规模适当的小型消防站，提高消防救援站覆盖密度。针对乡村、社区各类灾害事故风险点，依托乡镇政府专职消防队和社区微型消防站建设，建成街道微型消防站、社区微型消防站、住宅小区微型消防站、消防安全重点单位微型消防站等。</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27"/>
              <w:spacing w:after="0" w:line="420" w:lineRule="exact"/>
              <w:ind w:left="0" w:leftChars="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b/>
                <w:bCs w:val="0"/>
                <w:sz w:val="24"/>
                <w:szCs w:val="24"/>
              </w:rPr>
              <w:t>专栏1  防城港市“十四五”新建消防站布局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27"/>
              <w:spacing w:after="0" w:line="44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新建消防站8个,</w:t>
            </w:r>
          </w:p>
          <w:p>
            <w:pPr>
              <w:pStyle w:val="27"/>
              <w:spacing w:after="0" w:line="44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水陆站1个，</w:t>
            </w:r>
          </w:p>
          <w:p>
            <w:pPr>
              <w:pStyle w:val="27"/>
              <w:spacing w:after="0" w:line="44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一级站2个（江山站、上思城东站），</w:t>
            </w:r>
          </w:p>
          <w:p>
            <w:pPr>
              <w:pStyle w:val="27"/>
              <w:spacing w:after="0" w:line="44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小型站5个（港口中心行政区小型站、防城区河西小型站、防城区人民路小型站、经开区勒山小型站、东兴市罗浮小型站）。</w:t>
            </w:r>
          </w:p>
        </w:tc>
      </w:tr>
    </w:tbl>
    <w:p>
      <w:pPr>
        <w:pStyle w:val="27"/>
        <w:spacing w:after="0" w:line="200" w:lineRule="exact"/>
        <w:ind w:left="0" w:leftChars="0" w:firstLine="360" w:firstLineChars="200"/>
        <w:rPr>
          <w:rFonts w:eastAsia="仿宋"/>
          <w:color w:val="FF0000"/>
          <w:sz w:val="18"/>
          <w:szCs w:val="18"/>
        </w:rPr>
      </w:pPr>
      <w:r>
        <w:rPr>
          <w:rFonts w:eastAsia="仿宋"/>
          <w:sz w:val="18"/>
          <w:szCs w:val="18"/>
        </w:rPr>
        <w:t>小型消防站的配备标准：小型消防站的建筑面积应为650-1000平方米（消防车位数2个，应配消防车2台），建设用地容积率可取0.8～0.9，如绿化用地难以保证时，容积率宜控制在1.0～1.1，按标准估算小型消防站建设用地面积约为590-1250平方米，小型消防站辖区面积不宜大于2平方公里。</w:t>
      </w:r>
    </w:p>
    <w:p>
      <w:pPr>
        <w:pStyle w:val="27"/>
        <w:ind w:left="0" w:leftChars="0" w:firstLine="0"/>
        <w:jc w:val="center"/>
        <w:rPr>
          <w:rFonts w:eastAsia="仿宋_GB2312"/>
          <w:sz w:val="32"/>
          <w:szCs w:val="32"/>
        </w:rPr>
      </w:pPr>
      <w:r>
        <w:rPr>
          <w:rFonts w:hint="eastAsia" w:ascii="仿宋_GB2312" w:hAnsi="仿宋_GB2312" w:eastAsia="仿宋_GB2312" w:cs="仿宋_GB2312"/>
          <w:sz w:val="32"/>
          <w:szCs w:val="32"/>
        </w:rPr>
        <w:drawing>
          <wp:inline distT="0" distB="0" distL="114300" distR="114300">
            <wp:extent cx="5269230" cy="3725545"/>
            <wp:effectExtent l="0" t="0" r="7620" b="8255"/>
            <wp:docPr id="1" name="图片 3" descr="f12e7ec908405030175293e88f715a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3" descr="f12e7ec908405030175293e88f715a9"/>
                    <pic:cNvPicPr>
                      <a:picLocks noChangeAspect="true"/>
                    </pic:cNvPicPr>
                  </pic:nvPicPr>
                  <pic:blipFill>
                    <a:blip r:embed="rId6"/>
                    <a:stretch>
                      <a:fillRect/>
                    </a:stretch>
                  </pic:blipFill>
                  <pic:spPr>
                    <a:xfrm>
                      <a:off x="0" y="0"/>
                      <a:ext cx="5269230" cy="372554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bCs/>
          <w:kern w:val="0"/>
          <w:sz w:val="28"/>
          <w:szCs w:val="28"/>
        </w:rPr>
      </w:pPr>
      <w:r>
        <w:rPr>
          <w:b/>
          <w:bCs/>
          <w:kern w:val="0"/>
          <w:sz w:val="28"/>
          <w:szCs w:val="28"/>
        </w:rPr>
        <w:t>图1 防城港消防队站建设示意图</w:t>
      </w:r>
    </w:p>
    <w:p>
      <w:pPr>
        <w:pStyle w:val="27"/>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outlineLvl w:val="2"/>
        <w:rPr>
          <w:rFonts w:eastAsia="黑体"/>
          <w:kern w:val="0"/>
          <w:sz w:val="32"/>
          <w:szCs w:val="32"/>
          <w:lang w:bidi="ar"/>
        </w:rPr>
      </w:pPr>
      <w:bookmarkStart w:id="44" w:name="_Toc1278"/>
      <w:r>
        <w:rPr>
          <w:rFonts w:eastAsia="黑体"/>
          <w:kern w:val="0"/>
          <w:sz w:val="32"/>
          <w:szCs w:val="32"/>
          <w:lang w:bidi="ar"/>
        </w:rPr>
        <w:t>三、加强公共消防水源建设</w:t>
      </w:r>
      <w:bookmarkEnd w:id="44"/>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按照</w:t>
      </w:r>
      <w:r>
        <w:rPr>
          <w:rFonts w:eastAsia="仿宋_GB2312"/>
          <w:color w:val="000000"/>
          <w:sz w:val="32"/>
          <w:szCs w:val="32"/>
        </w:rPr>
        <w:t>城市道路建设规划和城市供水管网布局，推动市政消火栓与道路、给水管道等同步规划建设，建立健全市政消火栓维护保养和监督管理长效机制</w:t>
      </w:r>
      <w:r>
        <w:rPr>
          <w:rFonts w:hint="eastAsia" w:eastAsia="仿宋_GB2312"/>
          <w:color w:val="000000"/>
          <w:sz w:val="32"/>
          <w:szCs w:val="32"/>
        </w:rPr>
        <w:t>，</w:t>
      </w:r>
      <w:r>
        <w:rPr>
          <w:rFonts w:eastAsia="仿宋_GB2312"/>
          <w:color w:val="000000"/>
          <w:sz w:val="32"/>
          <w:szCs w:val="32"/>
        </w:rPr>
        <w:t>推行智能化管理，实现市政消火栓定位、管网水压监测和实时报警等功能。在城市建设用地内，新（改）建道路应同步建设市政消火栓，适当加大新建消防管网管径。充分利用东湾、西湾、防城江、北仑河、茅岭江、江平江和明江等河流天然水源，加强消防专用取水码头等消防取水设施建设维护；对缺乏市政消防给水设施和天然水源的区域，加快消防水池、水渠等人工水源的建设。</w:t>
      </w:r>
    </w:p>
    <w:p>
      <w:pPr>
        <w:pStyle w:val="27"/>
        <w:spacing w:after="0" w:line="560" w:lineRule="exact"/>
        <w:ind w:left="0" w:leftChars="0" w:firstLine="0"/>
        <w:jc w:val="center"/>
        <w:rPr>
          <w:rFonts w:eastAsia="黑体"/>
          <w:sz w:val="24"/>
        </w:rPr>
      </w:pPr>
      <w:r>
        <w:rPr>
          <w:rFonts w:eastAsia="黑体"/>
          <w:sz w:val="24"/>
        </w:rPr>
        <w:t>表1 市政消火栓建设管理维护工程项目</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4434"/>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kern w:val="0"/>
                <w:sz w:val="24"/>
                <w:szCs w:val="24"/>
              </w:rPr>
              <w:t>单 位</w:t>
            </w:r>
          </w:p>
        </w:tc>
        <w:tc>
          <w:tcPr>
            <w:tcW w:w="4434"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kern w:val="0"/>
                <w:sz w:val="24"/>
                <w:szCs w:val="24"/>
              </w:rPr>
              <w:t>规划应建数（个）</w:t>
            </w:r>
          </w:p>
        </w:tc>
        <w:tc>
          <w:tcPr>
            <w:tcW w:w="2211"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kern w:val="0"/>
                <w:sz w:val="24"/>
                <w:szCs w:val="24"/>
              </w:rPr>
              <w:t>截至2020年实有总数（个）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noWrap w:val="0"/>
            <w:vAlign w:val="center"/>
          </w:tcPr>
          <w:p>
            <w:pPr>
              <w:widowControl/>
              <w:adjustRightInd w:val="0"/>
              <w:snapToGrid w:val="0"/>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港口区</w:t>
            </w:r>
          </w:p>
        </w:tc>
        <w:tc>
          <w:tcPr>
            <w:tcW w:w="4434"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379（规划按港口区城市建设路长计算）</w:t>
            </w:r>
          </w:p>
        </w:tc>
        <w:tc>
          <w:tcPr>
            <w:tcW w:w="2211"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防城区</w:t>
            </w:r>
          </w:p>
        </w:tc>
        <w:tc>
          <w:tcPr>
            <w:tcW w:w="4434"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392（规划按防城区城市建设路长计算）</w:t>
            </w:r>
          </w:p>
        </w:tc>
        <w:tc>
          <w:tcPr>
            <w:tcW w:w="2211"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7"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东兴市</w:t>
            </w:r>
          </w:p>
        </w:tc>
        <w:tc>
          <w:tcPr>
            <w:tcW w:w="4434"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594（规划按东兴市城市建设路长计算）</w:t>
            </w:r>
          </w:p>
        </w:tc>
        <w:tc>
          <w:tcPr>
            <w:tcW w:w="2211"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上思县</w:t>
            </w:r>
          </w:p>
        </w:tc>
        <w:tc>
          <w:tcPr>
            <w:tcW w:w="4434"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294（规划按上思县城市建设路长计算）</w:t>
            </w:r>
          </w:p>
        </w:tc>
        <w:tc>
          <w:tcPr>
            <w:tcW w:w="2211"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市本级</w:t>
            </w:r>
          </w:p>
        </w:tc>
        <w:tc>
          <w:tcPr>
            <w:tcW w:w="4434"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348（规划按城市建设路长计算）</w:t>
            </w:r>
          </w:p>
        </w:tc>
        <w:tc>
          <w:tcPr>
            <w:tcW w:w="2211"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合计</w:t>
            </w:r>
          </w:p>
        </w:tc>
        <w:tc>
          <w:tcPr>
            <w:tcW w:w="4434" w:type="dxa"/>
            <w:noWrap w:val="0"/>
            <w:vAlign w:val="center"/>
          </w:tcPr>
          <w:p>
            <w:pPr>
              <w:widowControl/>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2007</w:t>
            </w:r>
          </w:p>
        </w:tc>
        <w:tc>
          <w:tcPr>
            <w:tcW w:w="2211" w:type="dxa"/>
            <w:noWrap w:val="0"/>
            <w:vAlign w:val="center"/>
          </w:tcPr>
          <w:p>
            <w:pPr>
              <w:widowControl/>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1545</w:t>
            </w:r>
          </w:p>
        </w:tc>
      </w:tr>
    </w:tbl>
    <w:p>
      <w:pPr>
        <w:pStyle w:val="27"/>
        <w:keepNext w:val="0"/>
        <w:keepLines w:val="0"/>
        <w:pageBreakBefore w:val="0"/>
        <w:kinsoku/>
        <w:wordWrap/>
        <w:overflowPunct/>
        <w:topLinePunct w:val="0"/>
        <w:autoSpaceDE/>
        <w:autoSpaceDN/>
        <w:bidi w:val="0"/>
        <w:spacing w:after="0" w:line="560" w:lineRule="exact"/>
        <w:ind w:left="0" w:leftChars="0" w:firstLine="640" w:firstLineChars="200"/>
        <w:textAlignment w:val="auto"/>
        <w:outlineLvl w:val="2"/>
        <w:rPr>
          <w:rFonts w:eastAsia="黑体"/>
          <w:kern w:val="0"/>
          <w:sz w:val="32"/>
          <w:szCs w:val="32"/>
          <w:lang w:bidi="ar"/>
        </w:rPr>
      </w:pPr>
      <w:bookmarkStart w:id="45" w:name="_Toc31455"/>
      <w:r>
        <w:rPr>
          <w:rFonts w:eastAsia="黑体"/>
          <w:kern w:val="0"/>
          <w:sz w:val="32"/>
          <w:szCs w:val="32"/>
          <w:lang w:bidi="ar"/>
        </w:rPr>
        <w:t>四、完善消防安全通道建设</w:t>
      </w:r>
      <w:bookmarkEnd w:id="45"/>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开展消防车通道整治，实施打通消防“生命通道”综合治理惠民工程，因地制宜实施“一城一策、一区一策”，明确打通“生命通道”城市治理各方责任，强化消防车通道标识化管理。结合新型城镇化建设、乡村振兴战略，加强消防车通道建设的监督和管理，确保新建、改建的市政道路满足消防车通行要求。通过新建停车场、增加停车位、推行弹性停车等措施，缓解停车难的问题，避免堵塞消防车通道。加强消防通道综合执法联动管理，强化法治和机制保障。</w:t>
      </w: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1"/>
        <w:rPr>
          <w:rFonts w:eastAsia="楷体_GB2312"/>
          <w:kern w:val="21"/>
          <w:sz w:val="32"/>
          <w:szCs w:val="32"/>
          <w:lang w:bidi="ar"/>
        </w:rPr>
      </w:pPr>
      <w:bookmarkStart w:id="46" w:name="_Toc29434"/>
      <w:r>
        <w:rPr>
          <w:rFonts w:eastAsia="楷体_GB2312"/>
          <w:kern w:val="21"/>
          <w:sz w:val="32"/>
          <w:szCs w:val="32"/>
          <w:lang w:bidi="ar"/>
        </w:rPr>
        <w:t>第二节  强化科技与信息化支撑</w:t>
      </w:r>
      <w:bookmarkEnd w:id="46"/>
    </w:p>
    <w:p>
      <w:pPr>
        <w:pStyle w:val="27"/>
        <w:keepNext w:val="0"/>
        <w:keepLines w:val="0"/>
        <w:pageBreakBefore w:val="0"/>
        <w:kinsoku/>
        <w:wordWrap/>
        <w:overflowPunct/>
        <w:topLinePunct w:val="0"/>
        <w:autoSpaceDE/>
        <w:autoSpaceDN/>
        <w:bidi w:val="0"/>
        <w:spacing w:after="0" w:line="560" w:lineRule="exact"/>
        <w:ind w:left="0" w:leftChars="0" w:firstLine="640" w:firstLineChars="200"/>
        <w:textAlignment w:val="auto"/>
        <w:outlineLvl w:val="2"/>
        <w:rPr>
          <w:rFonts w:eastAsia="黑体"/>
          <w:kern w:val="0"/>
          <w:sz w:val="32"/>
          <w:szCs w:val="32"/>
          <w:lang w:bidi="ar"/>
        </w:rPr>
      </w:pPr>
      <w:r>
        <w:rPr>
          <w:rFonts w:eastAsia="黑体"/>
          <w:kern w:val="0"/>
          <w:sz w:val="32"/>
          <w:szCs w:val="32"/>
          <w:lang w:bidi="ar"/>
        </w:rPr>
        <w:t>一、强化信息化建设与应用</w:t>
      </w:r>
    </w:p>
    <w:p>
      <w:pPr>
        <w:pStyle w:val="27"/>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eastAsia="仿宋_GB2312"/>
          <w:sz w:val="32"/>
          <w:szCs w:val="32"/>
        </w:rPr>
      </w:pPr>
      <w:r>
        <w:rPr>
          <w:rFonts w:hint="eastAsia" w:ascii="仿宋_GB2312" w:hAnsi="仿宋_GB2312" w:eastAsia="仿宋_GB2312" w:cs="仿宋_GB2312"/>
          <w:sz w:val="32"/>
          <w:szCs w:val="32"/>
        </w:rPr>
        <w:t>升级改造指挥中心，逐步建立完善市级城市消防大数据库，建成火灾监测预警预报平台，实现对火灾高风险场所、高风险区域的动态监测、风险评估、智能分析和精准治理。</w:t>
      </w:r>
      <w:r>
        <w:rPr>
          <w:rFonts w:hint="eastAsia" w:ascii="仿宋_GB2312" w:hAnsi="仿宋_GB2312" w:eastAsia="仿宋_GB2312" w:cs="仿宋_GB2312"/>
          <w:sz w:val="32"/>
          <w:szCs w:val="32"/>
          <w:lang w:eastAsia="zh-Hans"/>
        </w:rPr>
        <w:t>积极引入云计算、大数据、人工智能、区块链等新一代信息技术，搭建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可拔插、松耦合、易迭代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新型信息化架构，支撑火灾防控、应急救援、队伍管理、政务服务、应急通信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五大应用域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，打造全市消防移动应用平台，全面实现信息化业务应用向移动端延伸。</w:t>
      </w:r>
      <w:r>
        <w:rPr>
          <w:rFonts w:hint="eastAsia" w:ascii="仿宋_GB2312" w:hAnsi="仿宋_GB2312" w:eastAsia="仿宋_GB2312" w:cs="仿宋_GB2312"/>
          <w:sz w:val="32"/>
          <w:szCs w:val="32"/>
        </w:rPr>
        <w:t>推动消防科技创新应用，探索使用消防无人机、消防机器人、灭火机器人等新型无人化设备。依托电子政务、智慧城市建设以及城市信息化大数据系统和消防监督管理、历史火灾等内部信息，逐步实现共享汇聚融合相关行业数据资源，</w:t>
      </w:r>
      <w:r>
        <w:rPr>
          <w:rFonts w:hint="eastAsia" w:ascii="仿宋_GB2312" w:hAnsi="仿宋_GB2312" w:eastAsia="仿宋_GB2312" w:cs="仿宋_GB2312"/>
          <w:sz w:val="32"/>
          <w:szCs w:val="32"/>
          <w:lang w:eastAsia="zh-Hans"/>
        </w:rPr>
        <w:t>推广建设智能接处警及智能指挥系统，实现监测预警</w:t>
      </w:r>
      <w:r>
        <w:rPr>
          <w:rFonts w:eastAsia="仿宋_GB2312"/>
          <w:sz w:val="32"/>
          <w:szCs w:val="32"/>
          <w:lang w:eastAsia="zh-Hans"/>
        </w:rPr>
        <w:t>、协同联动、辅助办案、隐患治理、综合决策等五大能力</w:t>
      </w:r>
      <w:r>
        <w:rPr>
          <w:rFonts w:eastAsia="仿宋_GB2312"/>
          <w:sz w:val="32"/>
          <w:szCs w:val="32"/>
        </w:rPr>
        <w:t>。</w:t>
      </w:r>
    </w:p>
    <w:p>
      <w:pPr>
        <w:pStyle w:val="27"/>
        <w:keepNext w:val="0"/>
        <w:keepLines w:val="0"/>
        <w:pageBreakBefore w:val="0"/>
        <w:kinsoku/>
        <w:wordWrap/>
        <w:overflowPunct/>
        <w:topLinePunct w:val="0"/>
        <w:autoSpaceDE/>
        <w:autoSpaceDN/>
        <w:bidi w:val="0"/>
        <w:spacing w:after="0" w:line="560" w:lineRule="exact"/>
        <w:ind w:left="0" w:leftChars="0" w:firstLine="640" w:firstLineChars="200"/>
        <w:textAlignment w:val="auto"/>
        <w:outlineLvl w:val="2"/>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二、推进“智慧消防”建设</w:t>
      </w:r>
    </w:p>
    <w:p>
      <w:pPr>
        <w:pStyle w:val="27"/>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大“智慧消防”建设经费投入力度，推广消防物联网监控系统，应用物联传感、温度传感、火灾烟雾监测、水压监测、电气火灾监控、视频监控等感知设备，加强消防安全智能化、信息化预警监测，实现消防数据物联感知、智能感知。加快消防部门与本级政府、相关部门的数据共享和互联互通，实现监测预警、协同联动、辅助办案、隐患治理、综合决策等五大能力。合理利用“平安防城港”等基层综合治理信息化管理平台，研究开展消防安全管理模块功能，将消防工作有机融入基层社会治理体系，整合基层部门管理服务资源，构建网格化、社会化、信息化的基层消防管理体系。</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6" w:type="dxa"/>
            <w:noWrap w:val="0"/>
            <w:vAlign w:val="top"/>
          </w:tcPr>
          <w:p>
            <w:pPr>
              <w:pStyle w:val="27"/>
              <w:spacing w:after="0" w:line="420" w:lineRule="exact"/>
              <w:ind w:left="0" w:leftChars="0" w:firstLine="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专栏2  强化科技与信息化支撑重点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6" w:type="dxa"/>
            <w:noWrap w:val="0"/>
            <w:vAlign w:val="top"/>
          </w:tcPr>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消防信息化建设：</w:t>
            </w:r>
            <w:r>
              <w:rPr>
                <w:rFonts w:hint="eastAsia" w:ascii="仿宋_GB2312" w:hAnsi="仿宋_GB2312" w:eastAsia="仿宋_GB2312" w:cs="仿宋_GB2312"/>
                <w:sz w:val="24"/>
                <w:szCs w:val="24"/>
              </w:rPr>
              <w:t>2022年底前完成指挥中心升级改造，打造“接处警-分析研判-指挥调度-现场作战”全业务流程信息化系统，实现地理信息展示及音视频通信控制一体化、可视化指挥调度的“一张图”应用需求，建设应急数据库及信息系统。</w:t>
            </w:r>
          </w:p>
          <w:p>
            <w:pPr>
              <w:pStyle w:val="27"/>
              <w:spacing w:line="440" w:lineRule="exact"/>
              <w:ind w:left="0" w:leftChars="0" w:firstLine="481" w:firstLineChars="200"/>
              <w:rPr>
                <w:rFonts w:hint="eastAsia" w:ascii="仿宋_GB2312" w:hAnsi="仿宋_GB2312" w:eastAsia="仿宋_GB2312" w:cs="仿宋_GB2312"/>
                <w:color w:val="FF0000"/>
                <w:sz w:val="24"/>
                <w:szCs w:val="24"/>
              </w:rPr>
            </w:pPr>
            <w:r>
              <w:rPr>
                <w:rFonts w:hint="eastAsia" w:ascii="仿宋_GB2312" w:hAnsi="仿宋_GB2312" w:eastAsia="仿宋_GB2312" w:cs="仿宋_GB2312"/>
                <w:b/>
                <w:bCs/>
                <w:sz w:val="24"/>
                <w:szCs w:val="24"/>
              </w:rPr>
              <w:t>“智慧消防”：</w:t>
            </w:r>
            <w:r>
              <w:rPr>
                <w:rFonts w:hint="eastAsia" w:ascii="仿宋_GB2312" w:hAnsi="仿宋_GB2312" w:eastAsia="仿宋_GB2312" w:cs="仿宋_GB2312"/>
                <w:sz w:val="24"/>
                <w:szCs w:val="24"/>
              </w:rPr>
              <w:t>结合智慧消防发展基础和业务需求，构建实战化平台、“智慧营房”监控系统。结合“智慧城市”建设，在防城港务集团“智慧消防”试点的基础上延伸至全市范围，推动消防重点单位完成城市消防远程监控系统的联网建设并汇入“智慧消防”平台，依托平台分析消防安全形势、利用数据把握火灾规律特点，及时预警发布火灾防控信息，找准防控重点和薄弱环节，实行分级预警。</w:t>
            </w:r>
          </w:p>
        </w:tc>
      </w:tr>
    </w:tbl>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1"/>
        <w:rPr>
          <w:rFonts w:eastAsia="楷体_GB2312"/>
          <w:kern w:val="21"/>
          <w:sz w:val="32"/>
          <w:szCs w:val="32"/>
          <w:lang w:bidi="ar"/>
        </w:rPr>
      </w:pPr>
      <w:bookmarkStart w:id="47" w:name="_Toc8472"/>
      <w:bookmarkStart w:id="48" w:name="_Toc7317"/>
      <w:r>
        <w:rPr>
          <w:rFonts w:eastAsia="楷体_GB2312"/>
          <w:kern w:val="21"/>
          <w:sz w:val="32"/>
          <w:szCs w:val="32"/>
          <w:lang w:bidi="ar"/>
        </w:rPr>
        <w:t>第三节  提升风险防范化解能力</w:t>
      </w:r>
      <w:bookmarkEnd w:id="47"/>
      <w:bookmarkEnd w:id="48"/>
    </w:p>
    <w:p>
      <w:pPr>
        <w:pStyle w:val="27"/>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outlineLvl w:val="2"/>
        <w:rPr>
          <w:rFonts w:eastAsia="黑体"/>
          <w:kern w:val="0"/>
          <w:sz w:val="32"/>
          <w:szCs w:val="32"/>
          <w:lang w:bidi="ar"/>
        </w:rPr>
      </w:pPr>
      <w:bookmarkStart w:id="49" w:name="_Toc22337"/>
      <w:r>
        <w:rPr>
          <w:rFonts w:eastAsia="黑体"/>
          <w:kern w:val="0"/>
          <w:sz w:val="32"/>
          <w:szCs w:val="32"/>
          <w:lang w:bidi="ar"/>
        </w:rPr>
        <w:t>一、强化重点领域安全防控</w:t>
      </w:r>
    </w:p>
    <w:p>
      <w:pPr>
        <w:pStyle w:val="27"/>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火灾安全防控。推进高层、地下建筑、大型商业综合体、农家乐（民宿）、化工、冶金、粮油、红木加工等领域综合治理，推广独立感烟火灾探测报警器和简易喷淋的安装应用。紧盯人员密集场所、易燃易爆、仓储物流、“三合一”“多合一”场所、群租房、居民自建房、电动自行车停放充电点等火灾高风险场所的集中整治和常态监管，从源头上加大电气火灾和电动自行车的治理管控力度。加强</w:t>
      </w:r>
      <w:r>
        <w:rPr>
          <w:rFonts w:hint="eastAsia" w:ascii="仿宋_GB2312" w:hAnsi="仿宋_GB2312" w:eastAsia="仿宋_GB2312" w:cs="仿宋_GB2312"/>
          <w:sz w:val="32"/>
          <w:szCs w:val="32"/>
          <w:lang w:val="en-US" w:eastAsia="zh-CN"/>
        </w:rPr>
        <w:t>全市</w:t>
      </w:r>
      <w:r>
        <w:rPr>
          <w:rFonts w:hint="eastAsia" w:ascii="仿宋_GB2312" w:hAnsi="仿宋_GB2312" w:eastAsia="仿宋_GB2312" w:cs="仿宋_GB2312"/>
          <w:sz w:val="32"/>
          <w:szCs w:val="32"/>
        </w:rPr>
        <w:t>森林火灾防控，完善政府领导、部门联勤、多力量联动的森林火灾综合应急救援体系。完善火灾风险评估预警机制，监测研判消防安全态势，形成常态化重大活动火灾风险评估预警通报机制。建立较大以上火灾事故调查处理信息通报和整改措施落实情况评估制度，多渠道向社会公开评估结果，强化警示教育。</w:t>
      </w:r>
    </w:p>
    <w:p>
      <w:pPr>
        <w:pStyle w:val="27"/>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台风、洪涝安全防控。针对防城港7-9月洪涝台风多发期，加强台风、洪涝灾害风险分级分类评估，建立自然灾害综合风险和综合减灾能力数据库。针对台风易发区域，加强专业通信装备配备，确保发生灾害事故时通信指挥迅速畅通。全力做好台风救灾的各项救援工作，落实组织指挥和应急力量编成，遇有突发险情，及时出动抢险。</w:t>
      </w:r>
    </w:p>
    <w:p>
      <w:pPr>
        <w:pStyle w:val="27"/>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核电、化工安全防控。筑牢港口灭火救援“防火墙”，完善防城港磷化工、核电站等重大灾害预案，强化化工事故灭火救援力量编成，组织开展防护警戒、侦察检测、控火抑爆、设施应用、工艺处置、应急排险、堵漏洗消、泡沫输转释放等专项训练。</w:t>
      </w:r>
    </w:p>
    <w:p>
      <w:pPr>
        <w:pStyle w:val="27"/>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强化边境安全防控。加强联合演练和业务交流，强化顶层设计和内外联动,加强中越边境地区(东兴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芒街)消防部门之间的跨国合作,建立和完善沟通协调机制,搭建消防救援人员快捷方便的通关响应模式，构建应急救援合作交流平台，定期组织开展跨境联合实战演练以及联合消防安全宣传。结合边境地区特点，优化消防装备，建立中越双语志愿消防队，并加强人员培训。</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27"/>
              <w:spacing w:after="0" w:line="420" w:lineRule="exact"/>
              <w:ind w:left="0" w:leftChars="0" w:firstLine="0"/>
              <w:jc w:val="center"/>
              <w:rPr>
                <w:rFonts w:hint="eastAsia" w:ascii="仿宋_GB2312" w:hAnsi="仿宋_GB2312" w:eastAsia="仿宋_GB2312" w:cs="仿宋_GB2312"/>
                <w:b/>
                <w:bCs/>
                <w:sz w:val="24"/>
                <w:szCs w:val="24"/>
                <w:highlight w:val="yellow"/>
              </w:rPr>
            </w:pPr>
            <w:r>
              <w:rPr>
                <w:rFonts w:hint="eastAsia" w:ascii="仿宋_GB2312" w:hAnsi="仿宋_GB2312" w:eastAsia="仿宋_GB2312" w:cs="仿宋_GB2312"/>
                <w:b/>
                <w:bCs/>
                <w:sz w:val="24"/>
                <w:szCs w:val="24"/>
              </w:rPr>
              <w:t>专栏3  强化重点领域安全防控重点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高层建筑：</w:t>
            </w:r>
            <w:r>
              <w:rPr>
                <w:rFonts w:hint="eastAsia" w:ascii="仿宋_GB2312" w:hAnsi="仿宋_GB2312" w:eastAsia="仿宋_GB2312" w:cs="仿宋_GB2312"/>
                <w:sz w:val="24"/>
                <w:szCs w:val="24"/>
              </w:rPr>
              <w:t>督促管理使用单位落实消防安全管理责任，落实高层建筑消防安全责任人、管理人履职承诺制度，定期开展建筑消防设施维护保养。对在日常消防安全管理中发现的问题，要及时整治。积极推广应用消防新技术、新设备。</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大型商业综合体：</w:t>
            </w:r>
            <w:r>
              <w:rPr>
                <w:rFonts w:hint="eastAsia" w:ascii="仿宋_GB2312" w:hAnsi="仿宋_GB2312" w:eastAsia="仿宋_GB2312" w:cs="仿宋_GB2312"/>
                <w:sz w:val="24"/>
                <w:szCs w:val="24"/>
              </w:rPr>
              <w:t>督促大型商业综合体开展消防安全标准化管理，落实消防安全风险包保、隐患整治和全员消防培训等制度。</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居民自建房：</w:t>
            </w:r>
            <w:r>
              <w:rPr>
                <w:rFonts w:hint="eastAsia" w:ascii="仿宋_GB2312" w:hAnsi="仿宋_GB2312" w:eastAsia="仿宋_GB2312" w:cs="仿宋_GB2312"/>
                <w:sz w:val="24"/>
                <w:szCs w:val="24"/>
              </w:rPr>
              <w:t>组织居民自建房火灾风险排查，重点对用作经营性场所的自建房开展安全整治，按照“高、中、低”划分风险等级，督促落实管控措施。</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石化危化、钢铁冶金企业：</w:t>
            </w:r>
            <w:r>
              <w:rPr>
                <w:rFonts w:hint="eastAsia" w:ascii="仿宋_GB2312" w:hAnsi="仿宋_GB2312" w:eastAsia="仿宋_GB2312" w:cs="仿宋_GB2312"/>
                <w:sz w:val="24"/>
                <w:szCs w:val="24"/>
              </w:rPr>
              <w:t>督促相关行业部门协商研判、定期通报、联合执法，细化管理标准，形成有效监管。督促企业增设必要的自动预警、自动灭火消防设施，配备相应品种和数量的灭火药剂及泄漏应急处理设备，做好各项消防职责制度落实及防火监督巡查工作，强化应急响应和专业联勤联动。</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粮油加工企业：</w:t>
            </w:r>
            <w:r>
              <w:rPr>
                <w:rFonts w:hint="eastAsia" w:ascii="仿宋_GB2312" w:hAnsi="仿宋_GB2312" w:eastAsia="仿宋_GB2312" w:cs="仿宋_GB2312"/>
                <w:sz w:val="24"/>
                <w:szCs w:val="24"/>
              </w:rPr>
              <w:t>加强安全监管，对萃取剂严格管理，严防泄漏。强化从业人员消防安全培训，督促企业做好防火巡查，严格落实消防安全职责。</w:t>
            </w:r>
          </w:p>
          <w:p>
            <w:pPr>
              <w:pStyle w:val="27"/>
              <w:spacing w:after="0" w:line="440" w:lineRule="exact"/>
              <w:ind w:left="0" w:leftChars="0" w:firstLine="481" w:firstLineChars="200"/>
              <w:rPr>
                <w:rFonts w:hint="eastAsia" w:ascii="仿宋_GB2312" w:hAnsi="仿宋_GB2312" w:eastAsia="仿宋_GB2312" w:cs="仿宋_GB2312"/>
                <w:sz w:val="24"/>
                <w:szCs w:val="24"/>
                <w:highlight w:val="yellow"/>
              </w:rPr>
            </w:pPr>
            <w:r>
              <w:rPr>
                <w:rFonts w:hint="eastAsia" w:ascii="仿宋_GB2312" w:hAnsi="仿宋_GB2312" w:eastAsia="仿宋_GB2312" w:cs="仿宋_GB2312"/>
                <w:b/>
                <w:bCs/>
                <w:sz w:val="24"/>
                <w:szCs w:val="24"/>
              </w:rPr>
              <w:t>农家乐（民宿）：</w:t>
            </w:r>
            <w:r>
              <w:rPr>
                <w:rFonts w:hint="eastAsia" w:ascii="仿宋_GB2312" w:hAnsi="仿宋_GB2312" w:eastAsia="仿宋_GB2312" w:cs="仿宋_GB2312"/>
                <w:sz w:val="24"/>
                <w:szCs w:val="24"/>
              </w:rPr>
              <w:t>督促落实每日防火巡查、每月消防安全检查制度，配齐并维护保养消防设施、器材，确保疏散通道、安全出口、消防车通道畅通，普及安全用火常识，熟悉岗位消防职责，做到“一懂三会”。</w:t>
            </w:r>
          </w:p>
        </w:tc>
      </w:tr>
    </w:tbl>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outlineLvl w:val="2"/>
        <w:rPr>
          <w:rFonts w:eastAsia="黑体"/>
          <w:kern w:val="0"/>
          <w:sz w:val="32"/>
          <w:szCs w:val="32"/>
          <w:lang w:bidi="ar"/>
        </w:rPr>
      </w:pPr>
      <w:r>
        <w:rPr>
          <w:rFonts w:eastAsia="黑体"/>
          <w:kern w:val="0"/>
          <w:sz w:val="32"/>
          <w:szCs w:val="32"/>
          <w:lang w:bidi="ar"/>
        </w:rPr>
        <w:t>二、建立健全风险防范化解机制</w:t>
      </w:r>
      <w:bookmarkEnd w:id="49"/>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风险预判报告制度。强化消防安全形势研判，制定消防安全风险评估办法，适时集中开展城市或区域性消防安全状况风险评估，有效防范化解全局性、系统性风险。运用物联网和大数据技术，建立火灾防控大数据库，加强重点行业领域和重大风险场所安全监控，建立风险评估模型，定期开展数据分析评估，提升风险早期识别能力。</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消防安全风险预警。依托应急管理部门应急感知网络、应急通信网络互通，构建立体化应急指挥平台，共享汇聚融合相关行业数据资源，提升多灾种和灾害链综合监测能力，实现提前预警、联动预警。完善预警信息发布、报送功能，实现火灾信息对相关区域人员、相关行业单位责任人、管理人定向推送。健全特种灾害应急响应、现场指挥、协调联动、信息发布、社会动员和统筹协作等工作机制，提升消防救援队伍参与各类灾害事故处置融入度，实现“早介入、早防备、早处置”目标。</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outlineLvl w:val="2"/>
        <w:rPr>
          <w:rFonts w:eastAsia="黑体"/>
          <w:kern w:val="0"/>
          <w:sz w:val="32"/>
          <w:szCs w:val="32"/>
          <w:lang w:bidi="ar"/>
        </w:rPr>
      </w:pPr>
      <w:bookmarkStart w:id="50" w:name="_Toc15297"/>
      <w:r>
        <w:rPr>
          <w:rFonts w:eastAsia="黑体"/>
          <w:kern w:val="0"/>
          <w:sz w:val="32"/>
          <w:szCs w:val="32"/>
          <w:lang w:bidi="ar"/>
        </w:rPr>
        <w:t>三、创新升级消防监管模式</w:t>
      </w:r>
      <w:bookmarkEnd w:id="50"/>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消防安全精准监管。构建以“双随机、一公开”监管为基本手段、重点监管为补充、信用监管为基础、“互联网+监管”为支撑、火灾事故责任调查处理为保障、服务指导为手段的消防监督管理体系。抓好重点领域消防专项治理，完善重大活动消防安保工作机制，全力做好重大活动消防安保监管任务。运用物联网、大数据等技术，加强对消防安全风险的跟踪预警，探索推行以远程监管、移动监管、预警防控为特征的非现场监管，实现精准防控、靶向治理。</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信用责任体系。制定消防安全信用信息共享备忘录，做好消防领域失信行为联合惩戒，针对情节严重、社会危害较大的消防安全违法行为和屡教不改重大火灾隐患的市场主体，纳入失信“黑名单”。加强隐患单位履责情况追溯，推动消防安全从管事向管人、从查隐患向查责任转变。</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协同监管格局。强化建设工程消防安全源头管控，建立跨部门信息共享、资源互通工作机制。加强防城港边境地区的消防监管，建立涉外问题沟通联络机制，定期召开多方消防安全分析会，制定联合检查、隐患整改、违法惩戒、火灾调查、责任追究等系列执法机制。</w:t>
      </w:r>
      <w:bookmarkStart w:id="51" w:name="_Toc7667"/>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社会力量参与公共消防安全治理的机制。通过政府购买服务，引入科研院所、中介机构等社会力量参与消防安全日常管理服务，实现“专业查、查专业”。鼓励社会单位通过市场化手段与社会消防技术服务机构建立长期稳定的服务关系，提升建筑消防设施维护保养水平。发挥保险机构作用，推动其参与火灾风险评估管控和事故预防工作。</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outlineLvl w:val="2"/>
        <w:rPr>
          <w:rFonts w:eastAsia="黑体"/>
          <w:kern w:val="0"/>
          <w:sz w:val="32"/>
          <w:szCs w:val="32"/>
          <w:lang w:bidi="ar"/>
        </w:rPr>
      </w:pPr>
      <w:r>
        <w:rPr>
          <w:rFonts w:eastAsia="黑体"/>
          <w:kern w:val="0"/>
          <w:sz w:val="32"/>
          <w:szCs w:val="32"/>
          <w:lang w:bidi="ar"/>
        </w:rPr>
        <w:t>四、提升群众自我防范能力</w:t>
      </w:r>
      <w:bookmarkEnd w:id="51"/>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深化消防培训教育。强化普法宣传助力全民守法，利用各级普法宣传平台，开展消防法规宣传教育，普及消防法律和安全常识。推动全市中小学校消防安全教育“五落实”</w:t>
      </w:r>
      <w:r>
        <w:rPr>
          <w:rStyle w:val="34"/>
          <w:rFonts w:hint="eastAsia" w:ascii="仿宋_GB2312" w:hAnsi="仿宋_GB2312" w:eastAsia="仿宋_GB2312" w:cs="仿宋_GB2312"/>
          <w:sz w:val="32"/>
          <w:szCs w:val="32"/>
        </w:rPr>
        <w:footnoteReference w:id="0"/>
      </w:r>
      <w:r>
        <w:rPr>
          <w:rFonts w:hint="eastAsia" w:ascii="仿宋_GB2312" w:hAnsi="仿宋_GB2312" w:eastAsia="仿宋_GB2312" w:cs="仿宋_GB2312"/>
          <w:sz w:val="32"/>
          <w:szCs w:val="32"/>
        </w:rPr>
        <w:t>，分级分批培训行业部门和企事业单位消防安全重点人群，加强对小企业主、农民工等群体的靶向性培训，开展消防知识“三下乡”活动，努力形成行业齐动、城乡同步、全民参与、声势强大的浓厚宣传氛围。开展线上消防安全教育，推广使用全民消防学习云平台。</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消防阵地建设。加强与各级主流媒体、网络新媒体平台合作，多渠道、多层次开展宣传报道，推动消防宣传在内容、渠道、平台、经营、管理等方面的深度融合，提升消防宣传的传播力、影响力和公信力。依托中越边境双语志愿消防宣传队、京族女子消防宣传志愿队，发挥“海边山”“中越互通”“民族资源”特色优势，以“志愿服务、边海安全”为理念，深入边境互市贸易区、商场、市场等场所，开展边境特色消防宣传。利用全国重点文化旅游示范村消防宣传阵地、中越双语消防宣传三条街、防城港特色消防文化主题公园及全市旅游消防宣传阵地，开展实地消防宣传教育活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27"/>
              <w:spacing w:after="0" w:line="420" w:lineRule="exact"/>
              <w:ind w:left="0" w:leftChars="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专栏4  健全消防安全管理体系重点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消防监管：</w:t>
            </w:r>
            <w:r>
              <w:rPr>
                <w:rFonts w:hint="eastAsia" w:ascii="仿宋_GB2312" w:hAnsi="仿宋_GB2312" w:eastAsia="仿宋_GB2312" w:cs="仿宋_GB2312"/>
                <w:sz w:val="24"/>
                <w:szCs w:val="24"/>
              </w:rPr>
              <w:t>全市各职能部门要按照“谁审批、谁监管，谁主管、谁监管”原则以及“管行业必须管安全、管业务必须管安全、管生产经营必须管安全”要求，落实系统、行业标准化消防安全管理。港口管理部门要加强对港口设施的消防安全监管，严格消防安全审批。消防救援机构要加强对消防安全重点单位的日常监督管理，落实行业系统火灾隐患及火灾事故通报制度。公安派出所要依法开展日常消防监督检查和消防宣传教育工作。</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消防安全教育：</w:t>
            </w:r>
            <w:r>
              <w:rPr>
                <w:rFonts w:hint="eastAsia" w:ascii="仿宋_GB2312" w:hAnsi="仿宋_GB2312" w:eastAsia="仿宋_GB2312" w:cs="仿宋_GB2312"/>
                <w:sz w:val="24"/>
                <w:szCs w:val="24"/>
              </w:rPr>
              <w:t>建设防城港边境及京族特色消防公益宣传街，建成1个市级应急消防科普教育基地、消防主题公园、VR消防体验馆。各县（市、区）建成1个县级应急消防科普教育馆，定期举办“119消防日”宣传活动和边境消防安全宣传活动。</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消防安全演练：</w:t>
            </w:r>
            <w:r>
              <w:rPr>
                <w:rFonts w:hint="eastAsia" w:ascii="仿宋_GB2312" w:hAnsi="仿宋_GB2312" w:eastAsia="仿宋_GB2312" w:cs="仿宋_GB2312"/>
                <w:sz w:val="24"/>
                <w:szCs w:val="24"/>
              </w:rPr>
              <w:t>依托微型消防站建设，配备消防专兼职网格员，定期开展以灾害事故初期处置为主的救援演练，各县（市、区）消防救援机构要加强指导，提升火灾逃生自救能力。</w:t>
            </w:r>
          </w:p>
        </w:tc>
      </w:tr>
    </w:tbl>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1"/>
        <w:rPr>
          <w:rFonts w:eastAsia="楷体_GB2312"/>
          <w:kern w:val="21"/>
          <w:sz w:val="32"/>
          <w:szCs w:val="32"/>
          <w:lang w:bidi="ar"/>
        </w:rPr>
      </w:pPr>
      <w:bookmarkStart w:id="52" w:name="_Toc5884"/>
      <w:r>
        <w:rPr>
          <w:rFonts w:eastAsia="楷体_GB2312"/>
          <w:kern w:val="21"/>
          <w:sz w:val="32"/>
          <w:szCs w:val="32"/>
          <w:lang w:bidi="ar"/>
        </w:rPr>
        <w:t>第四节 构建现代化消防救援力量体系</w:t>
      </w:r>
      <w:bookmarkEnd w:id="52"/>
    </w:p>
    <w:p>
      <w:pPr>
        <w:pStyle w:val="27"/>
        <w:keepNext w:val="0"/>
        <w:keepLines w:val="0"/>
        <w:pageBreakBefore w:val="0"/>
        <w:kinsoku/>
        <w:wordWrap/>
        <w:overflowPunct/>
        <w:topLinePunct w:val="0"/>
        <w:autoSpaceDE/>
        <w:autoSpaceDN/>
        <w:bidi w:val="0"/>
        <w:spacing w:after="0" w:line="560" w:lineRule="exact"/>
        <w:ind w:left="0" w:leftChars="0" w:firstLine="640" w:firstLineChars="200"/>
        <w:jc w:val="left"/>
        <w:textAlignment w:val="auto"/>
        <w:outlineLvl w:val="2"/>
        <w:rPr>
          <w:rFonts w:hint="eastAsia" w:ascii="黑体" w:hAnsi="黑体" w:eastAsia="黑体" w:cs="黑体"/>
          <w:kern w:val="0"/>
          <w:sz w:val="32"/>
          <w:szCs w:val="32"/>
          <w:lang w:bidi="ar"/>
        </w:rPr>
      </w:pPr>
      <w:bookmarkStart w:id="53" w:name="_Toc24519"/>
      <w:r>
        <w:rPr>
          <w:rFonts w:hint="eastAsia" w:ascii="黑体" w:hAnsi="黑体" w:eastAsia="黑体" w:cs="黑体"/>
          <w:kern w:val="0"/>
          <w:sz w:val="32"/>
          <w:szCs w:val="32"/>
          <w:lang w:bidi="ar"/>
        </w:rPr>
        <w:t>一、构建“全灾种大应急”综合应急救援体系</w:t>
      </w:r>
      <w:bookmarkEnd w:id="53"/>
    </w:p>
    <w:p>
      <w:pPr>
        <w:pStyle w:val="27"/>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按照城市消防站建设标准，不断完善消防救援队伍人员编配标准体系，结合防城港化工、核电、冶金、森林、水域救援等难点，组建专业消防救援队伍。</w:t>
      </w:r>
      <w:bookmarkStart w:id="54" w:name="_Toc32000"/>
      <w:r>
        <w:rPr>
          <w:rFonts w:hint="eastAsia" w:ascii="仿宋_GB2312" w:hAnsi="仿宋_GB2312" w:eastAsia="仿宋_GB2312" w:cs="仿宋_GB2312"/>
          <w:sz w:val="32"/>
          <w:szCs w:val="32"/>
        </w:rPr>
        <w:t>保持正规的战备、训练、工作和生活秩序，坚持24小时驻勤备战，提升队伍综合救援能力。加强灭火救援能力建设，做好理论和实践、人员与装备、训练与实战的有机结合，加强对石化、危化、粮油、物流运输、自建房火灾、森林火灾等灾害类型研究，强化梯次掩护、内攻灭火、强攻救人、破拆排烟、作战安全等技战术训练。推动救援装备转型升级，用先进装备武装队伍救援力量。完善调度指挥机制，分类细化战斗编成，健全指挥部人员构成和首战、增援力量组织指挥体系。强化社会单位联勤联动，建立健全与公安、交通、医疗、机械、灭火药剂厂家、装备供应商等单位的联勤联动保障机制、快速投放机制，规范联席会议、联络员、专家组、值班值守、联合演练等工作制度。</w:t>
      </w:r>
    </w:p>
    <w:p>
      <w:pPr>
        <w:pStyle w:val="27"/>
        <w:keepNext w:val="0"/>
        <w:keepLines w:val="0"/>
        <w:pageBreakBefore w:val="0"/>
        <w:kinsoku/>
        <w:wordWrap/>
        <w:overflowPunct/>
        <w:topLinePunct w:val="0"/>
        <w:autoSpaceDE/>
        <w:autoSpaceDN/>
        <w:bidi w:val="0"/>
        <w:spacing w:after="0" w:line="560" w:lineRule="exact"/>
        <w:ind w:left="0" w:leftChars="0" w:firstLine="640" w:firstLineChars="200"/>
        <w:textAlignment w:val="auto"/>
        <w:outlineLvl w:val="2"/>
        <w:rPr>
          <w:rFonts w:eastAsia="黑体"/>
          <w:kern w:val="0"/>
          <w:sz w:val="32"/>
          <w:szCs w:val="32"/>
          <w:lang w:bidi="ar"/>
        </w:rPr>
      </w:pPr>
      <w:r>
        <w:rPr>
          <w:rFonts w:eastAsia="黑体"/>
          <w:kern w:val="0"/>
          <w:sz w:val="32"/>
          <w:szCs w:val="32"/>
          <w:lang w:bidi="ar"/>
        </w:rPr>
        <w:t>二、加强综合性消防救援队伍建设</w:t>
      </w:r>
      <w:bookmarkEnd w:id="54"/>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FF0000"/>
          <w:kern w:val="0"/>
          <w:sz w:val="32"/>
          <w:szCs w:val="32"/>
          <w:lang w:bidi="ar"/>
        </w:rPr>
      </w:pPr>
      <w:bookmarkStart w:id="55" w:name="_Toc17577"/>
      <w:r>
        <w:rPr>
          <w:rFonts w:hint="eastAsia" w:ascii="仿宋_GB2312" w:hAnsi="仿宋_GB2312" w:eastAsia="仿宋_GB2312" w:cs="仿宋_GB2312"/>
          <w:bCs/>
          <w:kern w:val="0"/>
          <w:sz w:val="32"/>
          <w:szCs w:val="32"/>
          <w:lang w:bidi="ar"/>
        </w:rPr>
        <w:t>强化消防救援主体力量建设。</w:t>
      </w:r>
      <w:r>
        <w:rPr>
          <w:rFonts w:hint="eastAsia" w:ascii="仿宋_GB2312" w:hAnsi="仿宋_GB2312" w:eastAsia="仿宋_GB2312" w:cs="仿宋_GB2312"/>
          <w:sz w:val="32"/>
          <w:szCs w:val="32"/>
        </w:rPr>
        <w:t>整合全市政府专职消防队、企业专职消防队、志愿消防队、微型消防站等多种形式消防力量，系统构建以国家综合性消防救援队伍为主体，政府专职消防队、企业专职消防队和志愿消防队为补充的消防力量体系。按照国家建设标准，不断加强城市消防站执勤力量配备，消防员队伍老、中、轻结构进一步优化。到2025年，城市消防站执勤力量配备率、消防救援指战员持职业资格证上岗率均达到100%。</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强化专业救援队伍建设。推进国家重点镇和自治区级重点镇、中心镇及历史文化名镇，自治区级以上经济技术开发区、高新技术开发区及其他工业园区，国家级旅游度假区、风景名胜区，海关特殊监管区、一类口岸等区域建成政府专职消防队。市、县两级建设石化、高层建筑、地下建筑、人员密集场所、建筑倒塌、危险化学品、水域、核生化等应急救援专业队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FF0000"/>
          <w:kern w:val="0"/>
          <w:sz w:val="32"/>
          <w:szCs w:val="32"/>
          <w:lang w:bidi="ar"/>
        </w:rPr>
      </w:pPr>
      <w:r>
        <w:rPr>
          <w:rFonts w:hint="eastAsia" w:ascii="仿宋_GB2312" w:hAnsi="仿宋_GB2312" w:eastAsia="仿宋_GB2312" w:cs="仿宋_GB2312"/>
          <w:bCs/>
          <w:kern w:val="0"/>
          <w:sz w:val="32"/>
          <w:szCs w:val="32"/>
          <w:lang w:bidi="ar"/>
        </w:rPr>
        <w:t>加快推进乡镇消防队建设。</w:t>
      </w:r>
      <w:r>
        <w:rPr>
          <w:rFonts w:hint="eastAsia" w:ascii="仿宋_GB2312" w:hAnsi="仿宋_GB2312" w:eastAsia="仿宋_GB2312" w:cs="仿宋_GB2312"/>
          <w:sz w:val="32"/>
          <w:szCs w:val="32"/>
        </w:rPr>
        <w:t>在全国重点镇、全区重点镇和建成区面积或者建成区内常住人口达到标准的其他乡镇，按标准建立健全乡镇专职消防站，加大乡镇专职消防员招收力度，按计划逐年补齐人员缺口。</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000000"/>
          <w:kern w:val="0"/>
          <w:sz w:val="32"/>
          <w:szCs w:val="32"/>
          <w:lang w:bidi="ar"/>
        </w:rPr>
      </w:pPr>
      <w:r>
        <w:rPr>
          <w:rFonts w:hint="eastAsia" w:ascii="仿宋_GB2312" w:hAnsi="仿宋_GB2312" w:eastAsia="仿宋_GB2312" w:cs="仿宋_GB2312"/>
          <w:bCs/>
          <w:color w:val="000000"/>
          <w:kern w:val="0"/>
          <w:sz w:val="32"/>
          <w:szCs w:val="32"/>
          <w:lang w:bidi="ar"/>
        </w:rPr>
        <w:t>依法建设企业专职消防队伍。</w:t>
      </w:r>
      <w:r>
        <w:rPr>
          <w:rFonts w:hint="eastAsia" w:ascii="仿宋_GB2312" w:hAnsi="仿宋_GB2312" w:eastAsia="仿宋_GB2312" w:cs="仿宋_GB2312"/>
          <w:sz w:val="32"/>
          <w:szCs w:val="32"/>
        </w:rPr>
        <w:t>鼓励符合条件的企业依法建立专职消防队，配齐配强人员装备。推进大型核设施单位、大型发电厂、大型金属冶炼企业、主要港口、大型油、气库及生产、储存易燃易爆危险品的大型企业，储备可燃重要物资的大型仓库、基地，火灾危险性较大、距离国家综合性消防救援队较远的其他大型企业等建成单位专职消防队。</w:t>
      </w:r>
    </w:p>
    <w:p>
      <w:pPr>
        <w:pStyle w:val="27"/>
        <w:keepNext w:val="0"/>
        <w:keepLines w:val="0"/>
        <w:pageBreakBefore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lang w:bidi="ar"/>
        </w:rPr>
        <w:t>鼓励支持志愿消防队伍建设。</w:t>
      </w:r>
      <w:r>
        <w:rPr>
          <w:rFonts w:hint="eastAsia" w:ascii="仿宋_GB2312" w:hAnsi="仿宋_GB2312" w:eastAsia="仿宋_GB2312" w:cs="仿宋_GB2312"/>
          <w:sz w:val="32"/>
          <w:szCs w:val="32"/>
        </w:rPr>
        <w:t>支持民间组织建立自筹资金、自我管理、自我发展的消防志愿者队伍。在未建立专职消防队的乡镇和常住人口超过1000人的行政村、自然村按标准建设志愿消防队。培育社会专业消防力量，规范注册消防工程师执业管理，引导单位聘用注册消防工程师参与消防安全管理，加强消防行业特有工种职业技能鉴定。</w:t>
      </w:r>
    </w:p>
    <w:p>
      <w:pPr>
        <w:pStyle w:val="27"/>
        <w:spacing w:after="0"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表2  防城港市“十四五”市、县政府专职消防队员消防文员配备标准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44"/>
        <w:gridCol w:w="2059"/>
        <w:gridCol w:w="948"/>
        <w:gridCol w:w="948"/>
        <w:gridCol w:w="948"/>
        <w:gridCol w:w="948"/>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080" w:type="dxa"/>
            <w:noWrap/>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年度</w:t>
            </w:r>
          </w:p>
        </w:tc>
        <w:tc>
          <w:tcPr>
            <w:tcW w:w="1344" w:type="dxa"/>
            <w:noWrap/>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类别</w:t>
            </w:r>
          </w:p>
        </w:tc>
        <w:tc>
          <w:tcPr>
            <w:tcW w:w="2059" w:type="dxa"/>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市本级</w:t>
            </w:r>
          </w:p>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(含战勤保障、江山消防站、深港消防站、消防职业技能鉴定站)</w:t>
            </w:r>
          </w:p>
        </w:tc>
        <w:tc>
          <w:tcPr>
            <w:tcW w:w="948" w:type="dxa"/>
            <w:noWrap w:val="0"/>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上思县</w:t>
            </w:r>
          </w:p>
        </w:tc>
        <w:tc>
          <w:tcPr>
            <w:tcW w:w="948" w:type="dxa"/>
            <w:noWrap w:val="0"/>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东兴市</w:t>
            </w:r>
          </w:p>
        </w:tc>
        <w:tc>
          <w:tcPr>
            <w:tcW w:w="948" w:type="dxa"/>
            <w:noWrap w:val="0"/>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港口区</w:t>
            </w:r>
          </w:p>
        </w:tc>
        <w:tc>
          <w:tcPr>
            <w:tcW w:w="948" w:type="dxa"/>
            <w:noWrap w:val="0"/>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防城区</w:t>
            </w:r>
          </w:p>
        </w:tc>
        <w:tc>
          <w:tcPr>
            <w:tcW w:w="965" w:type="dxa"/>
            <w:noWrap w:val="0"/>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080" w:type="dxa"/>
            <w:vMerge w:val="restart"/>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344"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（市、县）专职队员</w:t>
            </w:r>
          </w:p>
        </w:tc>
        <w:tc>
          <w:tcPr>
            <w:tcW w:w="2059"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160</w:t>
            </w:r>
          </w:p>
        </w:tc>
        <w:tc>
          <w:tcPr>
            <w:tcW w:w="948"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65</w:t>
            </w:r>
          </w:p>
        </w:tc>
        <w:tc>
          <w:tcPr>
            <w:tcW w:w="948"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65</w:t>
            </w:r>
          </w:p>
        </w:tc>
        <w:tc>
          <w:tcPr>
            <w:tcW w:w="948"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65</w:t>
            </w:r>
          </w:p>
        </w:tc>
        <w:tc>
          <w:tcPr>
            <w:tcW w:w="948"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95</w:t>
            </w:r>
          </w:p>
        </w:tc>
        <w:tc>
          <w:tcPr>
            <w:tcW w:w="965"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080" w:type="dxa"/>
            <w:vMerge w:val="continue"/>
            <w:noWrap w:val="0"/>
            <w:vAlign w:val="center"/>
          </w:tcPr>
          <w:p>
            <w:pPr>
              <w:spacing w:line="400" w:lineRule="exact"/>
              <w:rPr>
                <w:rFonts w:hint="eastAsia" w:ascii="仿宋_GB2312" w:hAnsi="仿宋_GB2312" w:eastAsia="仿宋_GB2312" w:cs="仿宋_GB2312"/>
                <w:sz w:val="24"/>
                <w:szCs w:val="24"/>
              </w:rPr>
            </w:pPr>
          </w:p>
        </w:tc>
        <w:tc>
          <w:tcPr>
            <w:tcW w:w="1344" w:type="dxa"/>
            <w:noWrap/>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消防文员</w:t>
            </w:r>
          </w:p>
        </w:tc>
        <w:tc>
          <w:tcPr>
            <w:tcW w:w="2059"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948"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948"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948"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948"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965"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9240" w:type="dxa"/>
            <w:gridSpan w:val="8"/>
            <w:noWrap w:val="0"/>
            <w:vAlign w:val="center"/>
          </w:tcPr>
          <w:p>
            <w:pPr>
              <w:widowControl/>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注：不包含乡镇专职消防队</w:t>
            </w:r>
          </w:p>
        </w:tc>
      </w:tr>
    </w:tbl>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outlineLvl w:val="2"/>
        <w:rPr>
          <w:rFonts w:eastAsia="黑体"/>
          <w:kern w:val="0"/>
          <w:sz w:val="32"/>
          <w:szCs w:val="32"/>
          <w:lang w:bidi="ar"/>
        </w:rPr>
      </w:pPr>
      <w:r>
        <w:rPr>
          <w:rFonts w:eastAsia="黑体"/>
          <w:kern w:val="0"/>
          <w:sz w:val="32"/>
          <w:szCs w:val="32"/>
          <w:lang w:bidi="ar"/>
        </w:rPr>
        <w:t>三、建立统一高效的应急联动机制</w:t>
      </w:r>
      <w:bookmarkEnd w:id="55"/>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应急力量联动协作运转。完善应急救援体系内各部门、层级间的会商研判机制，开展以抢救人员生命为主的综合应急救援专项研究，制定完善灾害事故处置预案和跨专业协同作战预案，明确消防救援队伍的职责任务、响应联动、组织指挥、通信联络、战斗编成、处置程序、行动要求和应急保障等应急联动内容。构建立体化应急指挥平台，实现消防指挥中心与各级人民政府应急平台以及部门应急平台的互联互通，推动指挥中心和通信室提档升级。整合“离散化”的应急救援资源和力量，实现“集中化”联合分配机制，提高应急救援效率。建立消防员人身意外伤害保险机制和心理干预机制，建立警地联储、紧急调用、机动运输等应急保障机制，提升综合应急救援保障能力。</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智能高效的实战指挥体系。建设跨地域、跨领域、全天候的应急救援联动平台，推进智能接处警和智能指挥系统建设，将专职、志愿消防队伍、微型消防站和社会救援力量全面纳入统一调度体系，整合资源协调其他管理机构集体行动处置危机，实现救援力量科学精准调度。遵循“分级响应”的原则，面对大范围、高强度、极复杂的突发事件，按照防城港市应急管理局、消防救援支队、县（市、区）人民政府或消防救援大队、消防站的优先指挥顺序，确保在应急救援中快速反应、有效联动、协同紧密。建立消防综合应急救援专家库，涵盖化学、地震、地质、供电、医疗卫生等行业，实行专家例会和重大灾害现场会商制度，为综合应急救援提供决策咨询和技术支撑。</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加强预案编制和应用。</w:t>
      </w:r>
      <w:bookmarkStart w:id="56" w:name="_Toc13152"/>
      <w:r>
        <w:rPr>
          <w:rFonts w:hint="eastAsia" w:ascii="仿宋_GB2312" w:hAnsi="仿宋_GB2312" w:eastAsia="仿宋_GB2312" w:cs="仿宋_GB2312"/>
          <w:sz w:val="32"/>
          <w:szCs w:val="32"/>
        </w:rPr>
        <w:t>根据防城港市各类灾害事故规律特点和跨专业增援需要，建立健全安全风险警示和重大安全风险预警机制。针对自然灾害类、事故灾害类、社会安全类、公共卫生类突发事件，开展以抢救人员生命为主的综合应急救援专项研究，制定完善灾害事故处置预案和跨专业协同作战预案，明确消防救援队伍的职责任务、响应联动、组织指挥、通信联络、战斗编成、处置程序、行动要求和应急保障等应急联动内容。</w:t>
      </w:r>
      <w:bookmarkEnd w:id="56"/>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bCs/>
          <w:sz w:val="32"/>
          <w:szCs w:val="32"/>
        </w:rPr>
      </w:pPr>
      <w:bookmarkStart w:id="57" w:name="_Toc27416"/>
      <w:r>
        <w:rPr>
          <w:rFonts w:hint="eastAsia" w:ascii="仿宋_GB2312" w:hAnsi="仿宋_GB2312" w:eastAsia="仿宋_GB2312" w:cs="仿宋_GB2312"/>
          <w:sz w:val="32"/>
          <w:szCs w:val="32"/>
        </w:rPr>
        <w:t>提升应急救援实战能力。依托防城港市级消防训练基地，立足应急救援实战需要，完成消防灾害事故模拟设施的提档升级，拓展烟热训练、燃烧训练、火幕墙训练、大型变压器火灾训练、船舶火灾模拟训练、汽车火灾事故处理、危险化学品槽车火灾泄露等训练内容。广泛开展力量集结、战斗编成、通信联络、组织指挥、现场处置、安全防护等应急救援业务训练和培训，突出复杂环境下适应性训练、实战性演练和跨区域多力量联合演习。</w:t>
      </w:r>
      <w:bookmarkEnd w:id="57"/>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重点区域联勤协作。健全防城港应急救援三级响应救援调度指挥机制，建立完善与城市公共设施事故、建筑工程事故、人防工程事故、反恐与刑事案件等市属专项应急指挥部以及市县突发事件应急委员会的联勤联动机制。建立北钦防一体化、边境合作区、边海联动经济带、北部湾国际滨海度假胜地、中越边关风情旅游带等城市间火灾防控重大事项重大项目共商共建机制，完善跨区域指挥调度和协同救援机制。引导相邻市县消防救援队伍联动发展，推动跨地域互联互通、资源共享，定期组织社会联勤联动力量开展实战化战勤保障拉动演练畅通灭火救援网络。</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27"/>
              <w:spacing w:after="0" w:line="420" w:lineRule="exact"/>
              <w:ind w:left="0" w:leftChars="0" w:firstLine="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专栏5  健全消防救援综合体系重点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8522" w:type="dxa"/>
            <w:noWrap w:val="0"/>
            <w:vAlign w:val="top"/>
          </w:tcPr>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建立智能高效的实战指挥体系：</w:t>
            </w:r>
            <w:r>
              <w:rPr>
                <w:rFonts w:hint="eastAsia" w:ascii="仿宋_GB2312" w:hAnsi="仿宋_GB2312" w:eastAsia="仿宋_GB2312" w:cs="仿宋_GB2312"/>
                <w:sz w:val="24"/>
                <w:szCs w:val="24"/>
              </w:rPr>
              <w:t>构建立体化应急指挥平台，2021年完成实战指挥平台的设计开发，实现监测监控、信息报告、调度指挥、异地会商、辅助决策、现场图像采集等主要功能，既满足日常应急工作需要，又可实时接报特别重大、重大和较大突发事件信息和图像，以及特别重大、重大突发事件预测预警信息。优化消防指挥网络架构，扩展网络地址空间，升级网络传输带宽，并将网络延伸至政府专职队，实现各级灭火救援业务数据、视频等信息可靠传输。</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加强重点区域联勤协作：</w:t>
            </w:r>
            <w:r>
              <w:rPr>
                <w:rFonts w:hint="eastAsia" w:ascii="仿宋_GB2312" w:hAnsi="仿宋_GB2312" w:eastAsia="仿宋_GB2312" w:cs="仿宋_GB2312"/>
                <w:sz w:val="24"/>
                <w:szCs w:val="24"/>
              </w:rPr>
              <w:t>加强与北钦一体化城市联勤协作，重点加强一体化现代临港产业体系的信息技术、先进装备制造、新能源、生物医药及医疗器械、节能环保等新兴产业、高端金属新材料、电子信息、绿色化工等千亿级产业集群消防风险管理，提升应急救援能力。加强与边海联动经济带联勤协作，重点管控进出口加工基地、国际产能合作基地、商贸服务基地、民族文化旅游示范区、滇桂粤边海国家旅游风景道、边境经济合作区、跨境经济合作区、加工业、农林产品、矿产品、电子产品、装配配套组装等特色产业所带来的风险，完善政府部门间应急联动响应机制。</w:t>
            </w:r>
          </w:p>
        </w:tc>
      </w:tr>
    </w:tbl>
    <w:p>
      <w:pPr>
        <w:pStyle w:val="27"/>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outlineLvl w:val="2"/>
        <w:rPr>
          <w:rFonts w:eastAsia="黑体"/>
          <w:kern w:val="0"/>
          <w:sz w:val="32"/>
          <w:szCs w:val="32"/>
          <w:lang w:bidi="ar"/>
        </w:rPr>
      </w:pPr>
      <w:bookmarkStart w:id="58" w:name="_Toc21455"/>
      <w:r>
        <w:rPr>
          <w:rFonts w:eastAsia="黑体"/>
          <w:kern w:val="0"/>
          <w:sz w:val="32"/>
          <w:szCs w:val="32"/>
          <w:lang w:bidi="ar"/>
        </w:rPr>
        <w:t>四、打造高素质人才队伍</w:t>
      </w:r>
      <w:bookmarkEnd w:id="58"/>
    </w:p>
    <w:p>
      <w:pPr>
        <w:pStyle w:val="27"/>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rPr>
          <w:rFonts w:eastAsia="仿宋_GB2312"/>
          <w:sz w:val="32"/>
          <w:szCs w:val="32"/>
        </w:rPr>
      </w:pPr>
      <w:r>
        <w:rPr>
          <w:rFonts w:eastAsia="仿宋_GB2312"/>
          <w:sz w:val="32"/>
          <w:szCs w:val="32"/>
        </w:rPr>
        <w:t>拓宽消防人才招收引进途径，政府专职消防员、消防文员招录向专业技术人才倾斜，建成与新时代消防救援事业相适应，结构合理、素质精良、充满活力的新型高素质消防救援专业人才队伍。构建多元化的人才培养体系，突出作战训练、防火监督、火灾调查、消防装备、医疗卫生、石</w:t>
      </w:r>
      <w:r>
        <w:rPr>
          <w:rFonts w:hint="eastAsia" w:eastAsia="仿宋_GB2312"/>
          <w:sz w:val="32"/>
          <w:szCs w:val="32"/>
        </w:rPr>
        <w:t>化</w:t>
      </w:r>
      <w:r>
        <w:rPr>
          <w:rFonts w:eastAsia="仿宋_GB2312"/>
          <w:sz w:val="32"/>
          <w:szCs w:val="32"/>
        </w:rPr>
        <w:t>危化、消防科技等重点领域专业人才培养，分岗位建立人才库，鼓励广大指战员及政府专职消防员、消防文员报考国家各类大学提高个人学历，定期选送人才骨干到高等院校、科研院所等进行学习深造。</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1"/>
        <w:rPr>
          <w:rFonts w:eastAsia="楷体_GB2312"/>
          <w:kern w:val="21"/>
          <w:sz w:val="32"/>
          <w:szCs w:val="32"/>
          <w:lang w:bidi="ar"/>
        </w:rPr>
      </w:pPr>
      <w:bookmarkStart w:id="59" w:name="_Toc14731"/>
      <w:bookmarkStart w:id="60" w:name="_Toc31108"/>
      <w:r>
        <w:rPr>
          <w:rFonts w:eastAsia="楷体_GB2312"/>
          <w:kern w:val="21"/>
          <w:sz w:val="32"/>
          <w:szCs w:val="32"/>
          <w:lang w:bidi="ar"/>
        </w:rPr>
        <w:t>第五节  强化装备配备和战勤保障能力建设</w:t>
      </w:r>
      <w:bookmarkEnd w:id="59"/>
      <w:bookmarkEnd w:id="60"/>
    </w:p>
    <w:p>
      <w:pPr>
        <w:pStyle w:val="27"/>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outlineLvl w:val="2"/>
        <w:rPr>
          <w:rFonts w:eastAsia="黑体"/>
          <w:kern w:val="0"/>
          <w:sz w:val="32"/>
          <w:szCs w:val="32"/>
          <w:lang w:bidi="ar"/>
        </w:rPr>
      </w:pPr>
      <w:bookmarkStart w:id="61" w:name="_Toc6695"/>
      <w:bookmarkStart w:id="62" w:name="_Toc10740"/>
      <w:r>
        <w:rPr>
          <w:rFonts w:eastAsia="黑体"/>
          <w:kern w:val="0"/>
          <w:sz w:val="32"/>
          <w:szCs w:val="32"/>
          <w:lang w:bidi="ar"/>
        </w:rPr>
        <w:t>一、优化装备配备结构</w:t>
      </w:r>
      <w:bookmarkEnd w:id="61"/>
      <w:bookmarkEnd w:id="62"/>
    </w:p>
    <w:p>
      <w:pPr>
        <w:pStyle w:val="27"/>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齐基础性装备。按照“实战为主、科学配置、全面优化”建设思路，加快形成能满足实际需要的装备配备体系，实现装备性能与灾害事故发生特点相匹配、装备数量与灾害事故发生频率相匹配、装备结构与灾害事故发生类型相匹配。开展装备建设评估论证工作，推动各级消防救援队伍装备物资达标、升级换代和统型建设，提升通用化、系列化、专业化、数字化水平。按照“结构合理、功能多样、防护优先、实用高效”的原则，加强个人防护、防化救援、破拆排烟、生命搜救和反恐处突等应急救援装备配备。</w:t>
      </w:r>
    </w:p>
    <w:p>
      <w:pPr>
        <w:pStyle w:val="27"/>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配好关键性装备。结合防城港旅游城市及核电产业定位，分析火灾隐患和灾害事故类型特点，配齐配强高层、地下、水域、石化、危险化学品、森林等特殊火灾扑救和地震、台风等自然灾害的特种攻坚装备，满足特殊区域、极端环境、复杂条件、长久处置需求。提高具备专业功能的专勤消防车、战勤保障消防车和适应复杂地形区域的消防车辆配备比例，按需配备消防车、机器人、舟艇、特种救援车辆等。到2025年，全市消防车辆、消防员个人防护装备、抢险救援器材的配备率达100%。</w:t>
      </w:r>
    </w:p>
    <w:p>
      <w:pPr>
        <w:pStyle w:val="27"/>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outlineLvl w:val="2"/>
        <w:rPr>
          <w:rFonts w:eastAsia="黑体"/>
          <w:kern w:val="0"/>
          <w:sz w:val="32"/>
          <w:szCs w:val="32"/>
          <w:lang w:bidi="ar"/>
        </w:rPr>
      </w:pPr>
      <w:bookmarkStart w:id="63" w:name="_Toc20539"/>
      <w:bookmarkStart w:id="64" w:name="_Toc5410"/>
      <w:r>
        <w:rPr>
          <w:rFonts w:eastAsia="黑体"/>
          <w:kern w:val="0"/>
          <w:sz w:val="32"/>
          <w:szCs w:val="32"/>
          <w:lang w:bidi="ar"/>
        </w:rPr>
        <w:t>二、强化战勤保障建设</w:t>
      </w:r>
      <w:bookmarkEnd w:id="63"/>
      <w:bookmarkEnd w:id="64"/>
    </w:p>
    <w:p>
      <w:pPr>
        <w:pStyle w:val="27"/>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战勤保障能力。全力提升“全任务、全地域、全系统”保障能力，针对不同灾种、不同任务，研究个性化的保障预案、保障装备和保障编成。科学制定应急物资储备标准，制定《防城港综合应急救援战勤保障工作规定》，从“储、调、运、管、维”等方面加快建立储运一体、战储结合的装备物资保障体系，形成战勤保障器材及物资储备规范。</w:t>
      </w:r>
    </w:p>
    <w:p>
      <w:pPr>
        <w:pStyle w:val="27"/>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社会联勤保障水平。推进支队战勤保障基地和装备物资储备库智能化建设，统筹实物储备、协议储备和生产力储备，采取内部保障和地方保障相结合方式，完善社会单位外包服务体系，保障物资供给齐全、分配有序。配齐战勤保障人员与装备，提升大批量、成建制、长时间应急救援保障能力。提升保障物资的管理数字化水平，实现功能化配置、模块化储运、标准化调配。整合防城港高铁、公路、港航、仓储等应急物流资源，联合大型物流企业，建立适应现代应急救灾需求的应急调运与配送机制，实现从多灾种向全灾种、从跟进保障向主动保障转变的目标。</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27"/>
              <w:spacing w:after="0" w:line="420" w:lineRule="exact"/>
              <w:ind w:left="0" w:leftChars="0" w:firstLine="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专栏6  强化装备配备和战勤保障能力建设重点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消防车辆：</w:t>
            </w:r>
            <w:r>
              <w:rPr>
                <w:rFonts w:hint="eastAsia" w:ascii="仿宋_GB2312" w:hAnsi="仿宋_GB2312" w:eastAsia="仿宋_GB2312" w:cs="仿宋_GB2312"/>
                <w:sz w:val="24"/>
                <w:szCs w:val="24"/>
              </w:rPr>
              <w:t>重点加强高、精、尖消防车辆的配备，全面提高消防车辆配备质量，确保消防车辆配备率达100%。</w:t>
            </w:r>
          </w:p>
          <w:p>
            <w:pPr>
              <w:pStyle w:val="27"/>
              <w:spacing w:after="0" w:line="44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针对高层建筑单体及密集区域，加强具有灭火和救援功能的举高消防车及配套器材与附件的配备等；针对北部湾石油化工企业和大空间、大跨度建筑密集区域，加强远程供水系统，大流量、远射程泡沫消防车，多剂联用举高喷射消防车，大流量消防拖车炮，核生化侦检消防车，超大流量工业消防车等配备；针对老城区、农村地区等耐火等级低、消防通道不完善、消防水源不足、消防设备缺乏区域，应配置大容量水罐车、照明消防车以及具有灭火救援功能的短轴距云梯消防车，辅助配置消防摩托车、消防三轮车等小型消防车辆等；针对核电站等特殊区域，配置核生化侦检消防车、大型压缩空气泡沫消防车、干粉消防车或泡沫干粉联用消防车等。</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抢险救援器材装备</w:t>
            </w:r>
            <w:r>
              <w:rPr>
                <w:rFonts w:hint="eastAsia" w:ascii="仿宋_GB2312" w:hAnsi="仿宋_GB2312" w:eastAsia="仿宋_GB2312" w:cs="仿宋_GB2312"/>
                <w:sz w:val="24"/>
                <w:szCs w:val="24"/>
              </w:rPr>
              <w:t>：按照特殊场所和区域灭火救援任务专业化处置要求，辖区消防站应配备相应装备器材，配备率、备份率应达到100%。</w:t>
            </w:r>
          </w:p>
          <w:p>
            <w:pPr>
              <w:pStyle w:val="27"/>
              <w:spacing w:after="0" w:line="44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针对内攻需求，配备轻便高效的单兵定位与图像传输器材等装备；针对高空远程侦查、水域救援、山岳救援任务，配备耐候性强、适应性广的先进无人飞行器、全轮驱动消防车等专业装备；针对乡镇、村庄等偏僻区域，应配置小型快速的灭火消防车或消防摩托车、手抬机动泵等，消防水源缺少的应配置供水设施；微型消防站应按规定配备干粉灭火器、水枪、水带、对讲机、消防头盔、灭火防护服等装备。</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个人防护装备</w:t>
            </w:r>
            <w:r>
              <w:rPr>
                <w:rFonts w:hint="eastAsia" w:ascii="仿宋_GB2312" w:hAnsi="仿宋_GB2312" w:eastAsia="仿宋_GB2312" w:cs="仿宋_GB2312"/>
                <w:sz w:val="24"/>
                <w:szCs w:val="24"/>
              </w:rPr>
              <w:t>：加强消防员灭火防护头套、防坠落辅助部件、隔热防护服、化学防护服装等装备配备，推广配备消防员单兵定位装置，通信型呼救器等装备。核电站消防个人防护装备应配置核污染防护服、防静电服等特殊装备。消防员基本防护装备、特种防护装备配备率、备份率不应低于100%。</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通信装备</w:t>
            </w:r>
            <w:r>
              <w:rPr>
                <w:rFonts w:hint="eastAsia" w:ascii="仿宋_GB2312" w:hAnsi="仿宋_GB2312" w:eastAsia="仿宋_GB2312" w:cs="仿宋_GB2312"/>
                <w:sz w:val="24"/>
                <w:szCs w:val="24"/>
              </w:rPr>
              <w:t>：针对特殊灾害事故，依托登高平台和云梯消防车等作战车辆，配备具有图像传输、信号覆盖等功能的通信装备，解决操作视野及现场通信盲区、盲点问题；针对石油化工企业、高层和地下建筑、大型综合体建筑群、大跨度空间厂房等发生的特殊灾害事故，开展现场指挥部通信模块化装备建设等。</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消防站训练器材</w:t>
            </w:r>
            <w:r>
              <w:rPr>
                <w:rFonts w:hint="eastAsia" w:ascii="仿宋_GB2312" w:hAnsi="仿宋_GB2312" w:eastAsia="仿宋_GB2312" w:cs="仿宋_GB2312"/>
                <w:sz w:val="24"/>
                <w:szCs w:val="24"/>
              </w:rPr>
              <w:t>：消防站技能、体能训练器材，应设置单双杠、独木桥、板障、软梯及室内综合训练等日常训练器材。</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新型消防装备</w:t>
            </w:r>
            <w:r>
              <w:rPr>
                <w:rFonts w:hint="eastAsia" w:ascii="仿宋_GB2312" w:hAnsi="仿宋_GB2312" w:eastAsia="仿宋_GB2312" w:cs="仿宋_GB2312"/>
                <w:sz w:val="24"/>
                <w:szCs w:val="24"/>
              </w:rPr>
              <w:t>：全市各县（市、区）根据自身经济发展情况与消防需求配置适合自身的新型消防装备，如远程供水系统、超大流量工业消防车、传感技术消防装备、消防机器人等，高效完成各项灭火救援任务。</w:t>
            </w:r>
          </w:p>
        </w:tc>
      </w:tr>
    </w:tbl>
    <w:p>
      <w:pPr>
        <w:keepNext w:val="0"/>
        <w:keepLines w:val="0"/>
        <w:pageBreakBefore w:val="0"/>
        <w:widowControl w:val="0"/>
        <w:kinsoku/>
        <w:wordWrap/>
        <w:overflowPunct/>
        <w:topLinePunct w:val="0"/>
        <w:bidi w:val="0"/>
        <w:adjustRightInd w:val="0"/>
        <w:snapToGrid w:val="0"/>
        <w:spacing w:line="560" w:lineRule="exact"/>
        <w:jc w:val="center"/>
        <w:textAlignment w:val="auto"/>
        <w:outlineLvl w:val="1"/>
        <w:rPr>
          <w:rFonts w:eastAsia="楷体_GB2312"/>
          <w:kern w:val="21"/>
          <w:sz w:val="32"/>
          <w:szCs w:val="32"/>
          <w:lang w:bidi="ar"/>
        </w:rPr>
      </w:pPr>
      <w:bookmarkStart w:id="65" w:name="_Toc30302"/>
      <w:r>
        <w:rPr>
          <w:rFonts w:eastAsia="楷体_GB2312"/>
          <w:kern w:val="21"/>
          <w:sz w:val="32"/>
          <w:szCs w:val="32"/>
          <w:lang w:bidi="ar"/>
        </w:rPr>
        <w:t>第六节  强化消防工作保障</w:t>
      </w:r>
      <w:bookmarkEnd w:id="65"/>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outlineLvl w:val="2"/>
        <w:rPr>
          <w:rFonts w:eastAsia="黑体"/>
          <w:kern w:val="0"/>
          <w:sz w:val="32"/>
          <w:szCs w:val="32"/>
          <w:lang w:bidi="ar"/>
        </w:rPr>
      </w:pPr>
      <w:r>
        <w:rPr>
          <w:rFonts w:eastAsia="黑体"/>
          <w:kern w:val="0"/>
          <w:sz w:val="32"/>
          <w:szCs w:val="32"/>
          <w:lang w:bidi="ar"/>
        </w:rPr>
        <w:t>一、全面落实消防安全责任</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eastAsia="仿宋_GB2312"/>
          <w:sz w:val="32"/>
          <w:szCs w:val="32"/>
        </w:rPr>
      </w:pPr>
      <w:r>
        <w:rPr>
          <w:rFonts w:eastAsia="仿宋_GB2312"/>
          <w:sz w:val="32"/>
          <w:szCs w:val="32"/>
        </w:rPr>
        <w:t>强化党委、人民政府领导责任。充分发挥各级党委、政府领导作用，研究推动消防安全工作，切实解决消防安全突出问题。强化消防安全工作责任考评和结果运用，将公共消防设施和装备建设、社会消防力量发展、重大火灾隐患整改等纳入综合治理、消防工作考核等内容。</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eastAsia="仿宋_GB2312"/>
          <w:sz w:val="32"/>
          <w:szCs w:val="32"/>
        </w:rPr>
      </w:pPr>
      <w:r>
        <w:rPr>
          <w:rFonts w:eastAsia="仿宋_GB2312"/>
          <w:sz w:val="32"/>
          <w:szCs w:val="32"/>
        </w:rPr>
        <w:t>强化部门管理责任。依法落实各级各部门消防安全责任，实施系统、行业消防安全标准化</w:t>
      </w:r>
      <w:r>
        <w:rPr>
          <w:rFonts w:hint="eastAsia" w:eastAsia="仿宋_GB2312"/>
          <w:sz w:val="32"/>
          <w:szCs w:val="32"/>
        </w:rPr>
        <w:t>、规范化</w:t>
      </w:r>
      <w:r>
        <w:rPr>
          <w:rFonts w:eastAsia="仿宋_GB2312"/>
          <w:sz w:val="32"/>
          <w:szCs w:val="32"/>
        </w:rPr>
        <w:t>管理，明确管理机构和人员，加强检查督办。依法开展消防监督检查</w:t>
      </w:r>
      <w:r>
        <w:rPr>
          <w:rFonts w:hint="eastAsia" w:eastAsia="仿宋_GB2312"/>
          <w:sz w:val="32"/>
          <w:szCs w:val="32"/>
        </w:rPr>
        <w:t>，</w:t>
      </w:r>
      <w:r>
        <w:rPr>
          <w:rFonts w:eastAsia="仿宋_GB2312"/>
          <w:sz w:val="32"/>
          <w:szCs w:val="32"/>
        </w:rPr>
        <w:t>实施消防行政处罚</w:t>
      </w:r>
      <w:r>
        <w:rPr>
          <w:rFonts w:hint="eastAsia" w:eastAsia="仿宋_GB2312"/>
          <w:sz w:val="32"/>
          <w:szCs w:val="32"/>
        </w:rPr>
        <w:t>，</w:t>
      </w:r>
      <w:r>
        <w:rPr>
          <w:rFonts w:eastAsia="仿宋_GB2312"/>
          <w:sz w:val="32"/>
          <w:szCs w:val="32"/>
        </w:rPr>
        <w:t>组织针对性消防安全专项治理</w:t>
      </w:r>
      <w:r>
        <w:rPr>
          <w:rFonts w:hint="eastAsia" w:eastAsia="仿宋_GB2312"/>
          <w:sz w:val="32"/>
          <w:szCs w:val="32"/>
        </w:rPr>
        <w:t>，</w:t>
      </w:r>
      <w:r>
        <w:rPr>
          <w:rFonts w:eastAsia="仿宋_GB2312"/>
          <w:sz w:val="32"/>
          <w:szCs w:val="32"/>
        </w:rPr>
        <w:t>组织或参与火灾事故调查处理，督促协调指导有关部门共同做好消防安全工作。</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eastAsia="仿宋_GB2312"/>
          <w:sz w:val="32"/>
          <w:szCs w:val="32"/>
        </w:rPr>
      </w:pPr>
      <w:r>
        <w:rPr>
          <w:rFonts w:eastAsia="仿宋_GB2312"/>
          <w:sz w:val="32"/>
          <w:szCs w:val="32"/>
        </w:rPr>
        <w:t>明确基层综合治理责任。建立健全乡镇（街道）消防安全领导机制，明确专（兼）职人员负责协调联系消防工作，依法履行消防管理职责。健全边民互市点、少数民族村寨、旅游度假区等火灾隐患较大地区的消防安全管理网络，依托乡镇（街道）综治中心规范化建设，统筹协调社区工作者、村干部、网格员等基层力量开展消防工作，实现基层消防监管与平安综治工作有机融合。</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社会单位主体责任。健全消防安全管理制度，加大消防安全投入，确保消防设施完好有效，严格落实消防控制室规范管理和值班人员持证上岗制度，加强对本单位员工尤其是自动消防系统操作人员，电焊、气焊等具有火灾危险作业人员，以及易燃易爆危险物品操作人员、水电油气设施维保人员、流动务工人员的消防安全教育和培训。提升检查消除火灾隐患、组织扑救初起火灾、组织人员疏散逃生和消防宣传教育等“四个能力”。火灾高危单位严格落实人防、物防、技防措施，每年委托具有相关资质的消防技术服务机构对消防安全进行一次评估。</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outlineLvl w:val="2"/>
        <w:rPr>
          <w:rFonts w:eastAsia="黑体"/>
          <w:kern w:val="0"/>
          <w:sz w:val="32"/>
          <w:szCs w:val="32"/>
          <w:lang w:bidi="ar"/>
        </w:rPr>
      </w:pPr>
      <w:r>
        <w:rPr>
          <w:rFonts w:eastAsia="黑体"/>
          <w:kern w:val="0"/>
          <w:sz w:val="32"/>
          <w:szCs w:val="32"/>
          <w:lang w:bidi="ar"/>
        </w:rPr>
        <w:t>二、持续推进法治消防领域建设</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地方法规修订工作。针对防城港消防安全特点和消防安全管理、灭火救援、消防信息化建设各领域的新情况新问题，及时提请同级人大及其常委会制定、修订地方性法规，组织制定、修订地方政府规章、规范性文件。制定出台防城港市消防水源建设管理，专职消防队建设管理，高层建筑、行业（系统）、个体经营场所消防安全管理等政府规章。</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消防法规标准服务体系。依托法治防城港建设，推进消防领域法治建设，大力推进地方消防标准建设，实施标准化战略，发挥标准的引领作用助力经济社会创新发展。编制完善防城港市石油化工企业、高层地下建筑、地下综合管廊和出租房、“三合一”群租房火灾防控地方性消防安全标准。鼓励支持企业、社会团体聚焦消防安全新技术新业态新模式，制定一批严于国家标准、地方标准的企业标准、团体标准。到2025年前力争出台一批地方性法规、规章。</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消防工作考核体系。制定消防安全责任制、消防规划管理及重点领域消防安全管理规范性文件。各级政府定期对部门、乡镇、街道和基层网格开展消防救援工作督查、考核、约谈，整改突出问题，考核结果作为政府主要负责人和领导班子综合考核评价的重要依据，完善履职评定、奖励惩处挂钩制度。单位应当依法建立消防安全工作考评机制，明确各工作岗位的消防安全工作职责和相关责任人，将消防安全责任制落实情况纳入单位年度考核内容。</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outlineLvl w:val="2"/>
        <w:rPr>
          <w:rFonts w:eastAsia="黑体"/>
          <w:kern w:val="0"/>
          <w:sz w:val="32"/>
          <w:szCs w:val="32"/>
          <w:lang w:bidi="ar"/>
        </w:rPr>
      </w:pPr>
      <w:bookmarkStart w:id="66" w:name="_Toc23087"/>
      <w:r>
        <w:rPr>
          <w:rFonts w:eastAsia="黑体"/>
          <w:kern w:val="0"/>
          <w:sz w:val="32"/>
          <w:szCs w:val="32"/>
          <w:lang w:bidi="ar"/>
        </w:rPr>
        <w:t>三、加强荣誉体系和职业保障建设</w:t>
      </w:r>
      <w:bookmarkEnd w:id="66"/>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eastAsia="仿宋_GB2312"/>
          <w:sz w:val="32"/>
          <w:szCs w:val="32"/>
        </w:rPr>
      </w:pPr>
      <w:r>
        <w:rPr>
          <w:rFonts w:eastAsia="仿宋_GB2312"/>
          <w:sz w:val="32"/>
          <w:szCs w:val="32"/>
        </w:rPr>
        <w:t>建立与消防救援高负荷、高压力、高风险职业特点相适应的防城港市消防救援队伍职业荣誉体系，将消防救援队伍纳入地方表彰奖励体系，提升职业荣誉感和吸引力。积极培育和树立消防先进典型，营造尊崇消防救援职业的社会氛围。加大社会优待政策支持，保障消防救援人员在家属随调和落户、子女入学、交通出行、看病就医、参观游览等方面的优先优待权益。</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eastAsia="仿宋_GB2312"/>
          <w:color w:val="FF0000"/>
          <w:sz w:val="32"/>
          <w:szCs w:val="32"/>
        </w:rPr>
      </w:pPr>
      <w:r>
        <w:rPr>
          <w:rFonts w:eastAsia="仿宋_GB2312"/>
          <w:sz w:val="32"/>
          <w:szCs w:val="32"/>
        </w:rPr>
        <w:t>各级各部门要制定实施本规划的年度计划并稳步推进落实。发展改革部门负责指导消防基建项目开展立项、可行性研究报告审批、初步设计审批等前期工作；财政部门负责按规定</w:t>
      </w:r>
      <w:r>
        <w:rPr>
          <w:rFonts w:hint="eastAsia" w:eastAsia="仿宋_GB2312"/>
          <w:sz w:val="32"/>
          <w:szCs w:val="32"/>
          <w:lang w:eastAsia="zh-CN"/>
        </w:rPr>
        <w:t>做好本级消防部门的财政预算安排并据实拨付</w:t>
      </w:r>
      <w:r>
        <w:rPr>
          <w:rFonts w:eastAsia="仿宋_GB2312"/>
          <w:sz w:val="32"/>
          <w:szCs w:val="32"/>
        </w:rPr>
        <w:t>；自然资源部门负责指导消防基建项目的选址，开展用地预审、规划许可等工作；住房城乡建设部门负责加强对消防基建项目工程招标、施工许可、质量监督、竣工验收备案等环节的指导；</w:t>
      </w:r>
      <w:r>
        <w:rPr>
          <w:rFonts w:hint="eastAsia" w:eastAsia="仿宋_GB2312"/>
          <w:sz w:val="32"/>
          <w:szCs w:val="32"/>
        </w:rPr>
        <w:t>大数据审批部门负责将“智慧消防”纳入“智慧城市”同步建设</w:t>
      </w:r>
      <w:r>
        <w:rPr>
          <w:rFonts w:hint="eastAsia" w:ascii="Times New Roman" w:hAnsi="Times New Roman" w:eastAsia="仿宋_GB2312" w:cs="Times New Roman"/>
          <w:sz w:val="32"/>
          <w:szCs w:val="32"/>
        </w:rPr>
        <w:t>；人力资源社会保障部门负责做好消防救援队伍人员社会保障工作；农业、水利、交通运输等部门将消防水源、消防通道等公共消防设施纳入相关基础设施建设工程；退役军人事务部门负责将退役士兵就业发展与加强国家综合性消防救援队伍建设相结合。</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eastAsia="仿宋_GB2312"/>
          <w:sz w:val="32"/>
          <w:szCs w:val="32"/>
        </w:rPr>
      </w:pPr>
      <w:r>
        <w:rPr>
          <w:rFonts w:eastAsia="仿宋_GB2312"/>
          <w:sz w:val="32"/>
          <w:szCs w:val="32"/>
        </w:rPr>
        <w:t>其他各有关部门按照职责分工抓好相关工作的落实。充分发挥各级消防安全委员会办公室作用，及时通报规划实施情况，研究解决实施过程中的困难和问题，确保规划各项目标任务按期完成</w:t>
      </w:r>
      <w:r>
        <w:rPr>
          <w:rFonts w:hint="eastAsia" w:eastAsia="仿宋_GB2312"/>
          <w:sz w:val="32"/>
          <w:szCs w:val="32"/>
        </w:rPr>
        <w:t>，</w:t>
      </w:r>
      <w:r>
        <w:rPr>
          <w:rFonts w:eastAsia="仿宋_GB2312"/>
          <w:sz w:val="32"/>
          <w:szCs w:val="32"/>
        </w:rPr>
        <w:t>重要情况及时报告本级人民政府。</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eastAsia="仿宋_GB2312"/>
          <w:sz w:val="32"/>
          <w:szCs w:val="32"/>
        </w:rPr>
      </w:pPr>
      <w:r>
        <w:rPr>
          <w:rFonts w:eastAsia="仿宋_GB2312"/>
          <w:sz w:val="32"/>
          <w:szCs w:val="32"/>
        </w:rPr>
        <w:t>市层面将适时对本规划执行情况进行中期评估和终期考核，并将评估考核结果作为各级人民政府和部门绩效及综合考核评价的重要参考。对不认真履行消防工作职责，导致重特大火灾事故发生，或造成较大人员伤亡和经济损失的地区和单位，将依法追究有关负责人责任。</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sz w:val="32"/>
          <w:szCs w:val="32"/>
        </w:rPr>
      </w:pPr>
    </w:p>
    <w:bookmarkEnd w:id="41"/>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附件：1.防城港市“十四五”消防站建设规划表</w:t>
      </w:r>
    </w:p>
    <w:p>
      <w:pPr>
        <w:pStyle w:val="27"/>
        <w:keepNext w:val="0"/>
        <w:keepLines w:val="0"/>
        <w:pageBreakBefore w:val="0"/>
        <w:widowControl w:val="0"/>
        <w:kinsoku/>
        <w:wordWrap/>
        <w:overflowPunct/>
        <w:topLinePunct w:val="0"/>
        <w:bidi w:val="0"/>
        <w:spacing w:after="0" w:line="560" w:lineRule="exact"/>
        <w:ind w:left="1916" w:leftChars="760" w:hanging="320" w:hanging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2.防城港市“十四五”消防队伍执勤车辆、器材装备建设规划</w:t>
      </w:r>
    </w:p>
    <w:p>
      <w:pPr>
        <w:pStyle w:val="27"/>
        <w:keepNext w:val="0"/>
        <w:keepLines w:val="0"/>
        <w:pageBreakBefore w:val="0"/>
        <w:widowControl w:val="0"/>
        <w:kinsoku/>
        <w:wordWrap/>
        <w:overflowPunct/>
        <w:topLinePunct w:val="0"/>
        <w:bidi w:val="0"/>
        <w:spacing w:after="0" w:line="560" w:lineRule="exact"/>
        <w:ind w:left="1916" w:leftChars="760" w:hanging="320" w:hanging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3.防城港市“十四五”志愿消防队建设规划表</w:t>
      </w:r>
    </w:p>
    <w:p>
      <w:pPr>
        <w:pStyle w:val="54"/>
        <w:keepNext w:val="0"/>
        <w:keepLines w:val="0"/>
        <w:pageBreakBefore w:val="0"/>
        <w:widowControl w:val="0"/>
        <w:kinsoku/>
        <w:wordWrap/>
        <w:overflowPunct/>
        <w:topLinePunct w:val="0"/>
        <w:bidi w:val="0"/>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4.防城港市乡镇专职消防站建设规划表</w:t>
      </w:r>
    </w:p>
    <w:p>
      <w:pPr>
        <w:rPr>
          <w:rFonts w:hint="eastAsia" w:ascii="仿宋_GB2312" w:hAnsi="仿宋_GB2312" w:eastAsia="仿宋_GB2312" w:cs="仿宋_GB2312"/>
          <w:sz w:val="32"/>
          <w:szCs w:val="32"/>
        </w:rPr>
      </w:pPr>
    </w:p>
    <w:p>
      <w:pPr>
        <w:pStyle w:val="54"/>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54"/>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54"/>
        <w:rPr>
          <w:rFonts w:hint="eastAsia"/>
          <w:lang w:val="en-US" w:eastAsia="zh-CN"/>
        </w:rPr>
        <w:sectPr>
          <w:footerReference r:id="rId4" w:type="default"/>
          <w:pgSz w:w="11906" w:h="16838"/>
          <w:pgMar w:top="2098" w:right="1497" w:bottom="1984" w:left="1587" w:header="851" w:footer="992" w:gutter="0"/>
          <w:paperSrc/>
          <w:pgBorders>
            <w:top w:val="none" w:sz="0" w:space="0"/>
            <w:left w:val="none" w:sz="0" w:space="0"/>
            <w:bottom w:val="none" w:sz="0" w:space="0"/>
            <w:right w:val="none" w:sz="0" w:space="0"/>
          </w:pgBorders>
          <w:pgNumType w:fmt="numberInDash"/>
          <w:cols w:space="720" w:num="1"/>
          <w:rtlGutter w:val="0"/>
          <w:docGrid w:type="lines" w:linePitch="315" w:charSpace="0"/>
        </w:sect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both"/>
        <w:textAlignment w:val="auto"/>
        <w:outlineLvl w:val="1"/>
        <w:rPr>
          <w:rFonts w:hint="eastAsia" w:ascii="黑体" w:hAnsi="黑体" w:eastAsia="黑体" w:cs="黑体"/>
          <w:sz w:val="32"/>
          <w:szCs w:val="32"/>
        </w:rPr>
      </w:pPr>
      <w:bookmarkStart w:id="67" w:name="_Toc12860"/>
      <w:bookmarkStart w:id="68" w:name="_Toc32467"/>
      <w:r>
        <w:rPr>
          <w:rFonts w:hint="eastAsia" w:ascii="黑体" w:hAnsi="黑体" w:eastAsia="黑体" w:cs="黑体"/>
          <w:sz w:val="32"/>
          <w:szCs w:val="32"/>
        </w:rPr>
        <w:t>附件1</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outlineLvl w:val="1"/>
        <w:rPr>
          <w:rFonts w:hint="eastAsia" w:ascii="方正小标宋简体" w:hAnsi="方正小标宋简体" w:eastAsia="方正小标宋简体" w:cs="方正小标宋简体"/>
          <w:color w:val="FF0000"/>
          <w:sz w:val="44"/>
          <w:szCs w:val="44"/>
        </w:rPr>
      </w:pPr>
      <w:r>
        <w:rPr>
          <w:rFonts w:hint="eastAsia" w:ascii="方正小标宋简体" w:hAnsi="方正小标宋简体" w:eastAsia="方正小标宋简体" w:cs="方正小标宋简体"/>
          <w:sz w:val="44"/>
          <w:szCs w:val="44"/>
        </w:rPr>
        <w:t>防城港市“十四五”消防站建设规划表</w:t>
      </w:r>
      <w:bookmarkEnd w:id="67"/>
      <w:bookmarkEnd w:id="68"/>
    </w:p>
    <w:tbl>
      <w:tblPr>
        <w:tblStyle w:val="28"/>
        <w:tblW w:w="15154" w:type="dxa"/>
        <w:jc w:val="center"/>
        <w:tblLayout w:type="fixed"/>
        <w:tblCellMar>
          <w:top w:w="0" w:type="dxa"/>
          <w:left w:w="0" w:type="dxa"/>
          <w:bottom w:w="0" w:type="dxa"/>
          <w:right w:w="0" w:type="dxa"/>
        </w:tblCellMar>
      </w:tblPr>
      <w:tblGrid>
        <w:gridCol w:w="549"/>
        <w:gridCol w:w="558"/>
        <w:gridCol w:w="2704"/>
        <w:gridCol w:w="1783"/>
        <w:gridCol w:w="1173"/>
        <w:gridCol w:w="807"/>
        <w:gridCol w:w="791"/>
        <w:gridCol w:w="778"/>
        <w:gridCol w:w="2155"/>
        <w:gridCol w:w="1009"/>
        <w:gridCol w:w="1013"/>
        <w:gridCol w:w="1834"/>
      </w:tblGrid>
      <w:tr>
        <w:tblPrEx>
          <w:tblCellMar>
            <w:top w:w="0" w:type="dxa"/>
            <w:left w:w="0" w:type="dxa"/>
            <w:bottom w:w="0" w:type="dxa"/>
            <w:right w:w="0" w:type="dxa"/>
          </w:tblCellMar>
        </w:tblPrEx>
        <w:trPr>
          <w:trHeight w:val="989" w:hRule="atLeast"/>
          <w:jc w:val="center"/>
        </w:trPr>
        <w:tc>
          <w:tcPr>
            <w:tcW w:w="549"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所属单位</w:t>
            </w:r>
          </w:p>
        </w:tc>
        <w:tc>
          <w:tcPr>
            <w:tcW w:w="558"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序号</w:t>
            </w:r>
          </w:p>
        </w:tc>
        <w:tc>
          <w:tcPr>
            <w:tcW w:w="2704"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项目名称</w:t>
            </w:r>
          </w:p>
        </w:tc>
        <w:tc>
          <w:tcPr>
            <w:tcW w:w="1783"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建设地点</w:t>
            </w:r>
          </w:p>
        </w:tc>
        <w:tc>
          <w:tcPr>
            <w:tcW w:w="1173"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项目类型</w:t>
            </w:r>
          </w:p>
        </w:tc>
        <w:tc>
          <w:tcPr>
            <w:tcW w:w="807"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kern w:val="0"/>
                <w:sz w:val="24"/>
                <w:szCs w:val="24"/>
                <w:lang w:bidi="ar"/>
              </w:rPr>
            </w:pPr>
            <w:r>
              <w:rPr>
                <w:rFonts w:hint="eastAsia" w:ascii="仿宋_GB2312" w:hAnsi="仿宋_GB2312" w:eastAsia="仿宋_GB2312" w:cs="仿宋_GB2312"/>
                <w:b/>
                <w:color w:val="000000"/>
                <w:kern w:val="0"/>
                <w:sz w:val="24"/>
                <w:szCs w:val="24"/>
                <w:lang w:bidi="ar"/>
              </w:rPr>
              <w:t>建设</w:t>
            </w:r>
          </w:p>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性质</w:t>
            </w:r>
          </w:p>
        </w:tc>
        <w:tc>
          <w:tcPr>
            <w:tcW w:w="791"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kern w:val="0"/>
                <w:sz w:val="24"/>
                <w:szCs w:val="24"/>
                <w:lang w:bidi="ar"/>
              </w:rPr>
            </w:pPr>
            <w:r>
              <w:rPr>
                <w:rFonts w:hint="eastAsia" w:ascii="仿宋_GB2312" w:hAnsi="仿宋_GB2312" w:eastAsia="仿宋_GB2312" w:cs="仿宋_GB2312"/>
                <w:b/>
                <w:color w:val="000000"/>
                <w:kern w:val="0"/>
                <w:sz w:val="24"/>
                <w:szCs w:val="24"/>
                <w:lang w:bidi="ar"/>
              </w:rPr>
              <w:t>用地</w:t>
            </w:r>
          </w:p>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面积</w:t>
            </w:r>
          </w:p>
        </w:tc>
        <w:tc>
          <w:tcPr>
            <w:tcW w:w="77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kern w:val="0"/>
                <w:sz w:val="24"/>
                <w:szCs w:val="24"/>
                <w:lang w:bidi="ar"/>
              </w:rPr>
            </w:pPr>
            <w:r>
              <w:rPr>
                <w:rFonts w:hint="eastAsia" w:ascii="仿宋_GB2312" w:hAnsi="仿宋_GB2312" w:eastAsia="仿宋_GB2312" w:cs="仿宋_GB2312"/>
                <w:b/>
                <w:color w:val="000000"/>
                <w:kern w:val="0"/>
                <w:sz w:val="24"/>
                <w:szCs w:val="24"/>
                <w:lang w:bidi="ar"/>
              </w:rPr>
              <w:t>建筑</w:t>
            </w:r>
          </w:p>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面积</w:t>
            </w:r>
          </w:p>
        </w:tc>
        <w:tc>
          <w:tcPr>
            <w:tcW w:w="2155"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计划总投资（不含车辆、装备、人员，仅保留整数）</w:t>
            </w:r>
          </w:p>
        </w:tc>
        <w:tc>
          <w:tcPr>
            <w:tcW w:w="1009"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开工时间</w:t>
            </w:r>
          </w:p>
        </w:tc>
        <w:tc>
          <w:tcPr>
            <w:tcW w:w="1013"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竣工时间</w:t>
            </w:r>
          </w:p>
        </w:tc>
        <w:tc>
          <w:tcPr>
            <w:tcW w:w="183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目前进展情况</w:t>
            </w:r>
          </w:p>
        </w:tc>
      </w:tr>
      <w:tr>
        <w:tblPrEx>
          <w:tblCellMar>
            <w:top w:w="0" w:type="dxa"/>
            <w:left w:w="0" w:type="dxa"/>
            <w:bottom w:w="0" w:type="dxa"/>
            <w:right w:w="0" w:type="dxa"/>
          </w:tblCellMar>
        </w:tblPrEx>
        <w:trPr>
          <w:trHeight w:val="666"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防城港支队</w:t>
            </w:r>
          </w:p>
        </w:tc>
        <w:tc>
          <w:tcPr>
            <w:tcW w:w="55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70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水陆消防救援站</w:t>
            </w:r>
          </w:p>
        </w:tc>
        <w:tc>
          <w:tcPr>
            <w:tcW w:w="178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建设地点待定</w:t>
            </w:r>
          </w:p>
        </w:tc>
        <w:tc>
          <w:tcPr>
            <w:tcW w:w="117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水陆站</w:t>
            </w:r>
          </w:p>
        </w:tc>
        <w:tc>
          <w:tcPr>
            <w:tcW w:w="807"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新建</w:t>
            </w:r>
          </w:p>
        </w:tc>
        <w:tc>
          <w:tcPr>
            <w:tcW w:w="791"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9900</w:t>
            </w:r>
          </w:p>
        </w:tc>
        <w:tc>
          <w:tcPr>
            <w:tcW w:w="77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5600</w:t>
            </w:r>
          </w:p>
        </w:tc>
        <w:tc>
          <w:tcPr>
            <w:tcW w:w="2155"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5500</w:t>
            </w:r>
          </w:p>
        </w:tc>
        <w:tc>
          <w:tcPr>
            <w:tcW w:w="1009"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2024.02</w:t>
            </w:r>
          </w:p>
        </w:tc>
        <w:tc>
          <w:tcPr>
            <w:tcW w:w="101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2025.12</w:t>
            </w:r>
          </w:p>
        </w:tc>
        <w:tc>
          <w:tcPr>
            <w:tcW w:w="183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正在开展前期工作</w:t>
            </w:r>
          </w:p>
        </w:tc>
      </w:tr>
      <w:tr>
        <w:tblPrEx>
          <w:tblCellMar>
            <w:top w:w="0" w:type="dxa"/>
            <w:left w:w="0" w:type="dxa"/>
            <w:bottom w:w="0" w:type="dxa"/>
            <w:right w:w="0" w:type="dxa"/>
          </w:tblCellMar>
        </w:tblPrEx>
        <w:trPr>
          <w:trHeight w:val="666"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jc w:val="center"/>
              <w:rPr>
                <w:rFonts w:hint="eastAsia" w:ascii="仿宋_GB2312" w:hAnsi="仿宋_GB2312" w:eastAsia="仿宋_GB2312" w:cs="仿宋_GB2312"/>
                <w:color w:val="000000"/>
                <w:sz w:val="24"/>
                <w:szCs w:val="24"/>
              </w:rPr>
            </w:pPr>
          </w:p>
        </w:tc>
        <w:tc>
          <w:tcPr>
            <w:tcW w:w="55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270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江山消防救援站</w:t>
            </w:r>
          </w:p>
        </w:tc>
        <w:tc>
          <w:tcPr>
            <w:tcW w:w="178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防城港市防城区环岛东路</w:t>
            </w:r>
          </w:p>
        </w:tc>
        <w:tc>
          <w:tcPr>
            <w:tcW w:w="117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一级站</w:t>
            </w:r>
          </w:p>
        </w:tc>
        <w:tc>
          <w:tcPr>
            <w:tcW w:w="807"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新建</w:t>
            </w:r>
          </w:p>
        </w:tc>
        <w:tc>
          <w:tcPr>
            <w:tcW w:w="791"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6973</w:t>
            </w:r>
          </w:p>
        </w:tc>
        <w:tc>
          <w:tcPr>
            <w:tcW w:w="77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4000</w:t>
            </w:r>
          </w:p>
        </w:tc>
        <w:tc>
          <w:tcPr>
            <w:tcW w:w="2155"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1650</w:t>
            </w:r>
          </w:p>
        </w:tc>
        <w:tc>
          <w:tcPr>
            <w:tcW w:w="1009"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2022.03</w:t>
            </w:r>
          </w:p>
        </w:tc>
        <w:tc>
          <w:tcPr>
            <w:tcW w:w="101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2023.09</w:t>
            </w:r>
          </w:p>
        </w:tc>
        <w:tc>
          <w:tcPr>
            <w:tcW w:w="183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正在进行征地和设计工作</w:t>
            </w:r>
          </w:p>
        </w:tc>
      </w:tr>
      <w:tr>
        <w:tblPrEx>
          <w:tblCellMar>
            <w:top w:w="0" w:type="dxa"/>
            <w:left w:w="0" w:type="dxa"/>
            <w:bottom w:w="0" w:type="dxa"/>
            <w:right w:w="0" w:type="dxa"/>
          </w:tblCellMar>
        </w:tblPrEx>
        <w:trPr>
          <w:trHeight w:val="666"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jc w:val="center"/>
              <w:rPr>
                <w:rFonts w:hint="eastAsia" w:ascii="仿宋_GB2312" w:hAnsi="仿宋_GB2312" w:eastAsia="仿宋_GB2312" w:cs="仿宋_GB2312"/>
                <w:color w:val="000000"/>
                <w:sz w:val="24"/>
                <w:szCs w:val="24"/>
              </w:rPr>
            </w:pPr>
          </w:p>
        </w:tc>
        <w:tc>
          <w:tcPr>
            <w:tcW w:w="55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270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城东消防救援站</w:t>
            </w:r>
          </w:p>
        </w:tc>
        <w:tc>
          <w:tcPr>
            <w:tcW w:w="178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防城市上思县县委党校附近</w:t>
            </w:r>
          </w:p>
        </w:tc>
        <w:tc>
          <w:tcPr>
            <w:tcW w:w="117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一级站</w:t>
            </w:r>
          </w:p>
        </w:tc>
        <w:tc>
          <w:tcPr>
            <w:tcW w:w="807"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新建</w:t>
            </w:r>
          </w:p>
        </w:tc>
        <w:tc>
          <w:tcPr>
            <w:tcW w:w="791"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20000</w:t>
            </w:r>
          </w:p>
        </w:tc>
        <w:tc>
          <w:tcPr>
            <w:tcW w:w="77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10055</w:t>
            </w:r>
          </w:p>
        </w:tc>
        <w:tc>
          <w:tcPr>
            <w:tcW w:w="2155"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3900</w:t>
            </w:r>
          </w:p>
        </w:tc>
        <w:tc>
          <w:tcPr>
            <w:tcW w:w="1009"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2022.06</w:t>
            </w:r>
          </w:p>
        </w:tc>
        <w:tc>
          <w:tcPr>
            <w:tcW w:w="101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2024.12</w:t>
            </w:r>
          </w:p>
        </w:tc>
        <w:tc>
          <w:tcPr>
            <w:tcW w:w="183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正在开展前期工作</w:t>
            </w:r>
          </w:p>
        </w:tc>
      </w:tr>
      <w:tr>
        <w:tblPrEx>
          <w:tblCellMar>
            <w:top w:w="0" w:type="dxa"/>
            <w:left w:w="0" w:type="dxa"/>
            <w:bottom w:w="0" w:type="dxa"/>
            <w:right w:w="0" w:type="dxa"/>
          </w:tblCellMar>
        </w:tblPrEx>
        <w:trPr>
          <w:trHeight w:val="666"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jc w:val="center"/>
              <w:rPr>
                <w:rFonts w:hint="eastAsia" w:ascii="仿宋_GB2312" w:hAnsi="仿宋_GB2312" w:eastAsia="仿宋_GB2312" w:cs="仿宋_GB2312"/>
                <w:color w:val="000000"/>
                <w:sz w:val="24"/>
                <w:szCs w:val="24"/>
              </w:rPr>
            </w:pPr>
          </w:p>
        </w:tc>
        <w:tc>
          <w:tcPr>
            <w:tcW w:w="55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270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中心行政区小型消防站</w:t>
            </w:r>
          </w:p>
        </w:tc>
        <w:tc>
          <w:tcPr>
            <w:tcW w:w="178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防城港市园博园</w:t>
            </w:r>
          </w:p>
        </w:tc>
        <w:tc>
          <w:tcPr>
            <w:tcW w:w="117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小型站</w:t>
            </w:r>
          </w:p>
        </w:tc>
        <w:tc>
          <w:tcPr>
            <w:tcW w:w="807"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新建</w:t>
            </w:r>
          </w:p>
        </w:tc>
        <w:tc>
          <w:tcPr>
            <w:tcW w:w="791"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590</w:t>
            </w:r>
          </w:p>
        </w:tc>
        <w:tc>
          <w:tcPr>
            <w:tcW w:w="77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650</w:t>
            </w:r>
          </w:p>
        </w:tc>
        <w:tc>
          <w:tcPr>
            <w:tcW w:w="2155"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380</w:t>
            </w:r>
          </w:p>
        </w:tc>
        <w:tc>
          <w:tcPr>
            <w:tcW w:w="1009"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2021.12</w:t>
            </w:r>
          </w:p>
        </w:tc>
        <w:tc>
          <w:tcPr>
            <w:tcW w:w="101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2022.03</w:t>
            </w:r>
          </w:p>
        </w:tc>
        <w:tc>
          <w:tcPr>
            <w:tcW w:w="183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正在开展前期工作</w:t>
            </w:r>
          </w:p>
        </w:tc>
      </w:tr>
      <w:tr>
        <w:tblPrEx>
          <w:tblCellMar>
            <w:top w:w="0" w:type="dxa"/>
            <w:left w:w="0" w:type="dxa"/>
            <w:bottom w:w="0" w:type="dxa"/>
            <w:right w:w="0" w:type="dxa"/>
          </w:tblCellMar>
        </w:tblPrEx>
        <w:trPr>
          <w:trHeight w:val="666"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jc w:val="center"/>
              <w:rPr>
                <w:rFonts w:hint="eastAsia" w:ascii="仿宋_GB2312" w:hAnsi="仿宋_GB2312" w:eastAsia="仿宋_GB2312" w:cs="仿宋_GB2312"/>
                <w:color w:val="000000"/>
                <w:sz w:val="24"/>
                <w:szCs w:val="24"/>
              </w:rPr>
            </w:pPr>
          </w:p>
        </w:tc>
        <w:tc>
          <w:tcPr>
            <w:tcW w:w="55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w:t>
            </w:r>
          </w:p>
        </w:tc>
        <w:tc>
          <w:tcPr>
            <w:tcW w:w="270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防城区河西小型消防站</w:t>
            </w:r>
          </w:p>
        </w:tc>
        <w:tc>
          <w:tcPr>
            <w:tcW w:w="178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防城港市防城区河西新城</w:t>
            </w:r>
          </w:p>
        </w:tc>
        <w:tc>
          <w:tcPr>
            <w:tcW w:w="117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小型站</w:t>
            </w:r>
          </w:p>
        </w:tc>
        <w:tc>
          <w:tcPr>
            <w:tcW w:w="807"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新建</w:t>
            </w:r>
          </w:p>
        </w:tc>
        <w:tc>
          <w:tcPr>
            <w:tcW w:w="791"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1000</w:t>
            </w:r>
          </w:p>
        </w:tc>
        <w:tc>
          <w:tcPr>
            <w:tcW w:w="77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800</w:t>
            </w:r>
          </w:p>
        </w:tc>
        <w:tc>
          <w:tcPr>
            <w:tcW w:w="2155"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500</w:t>
            </w:r>
          </w:p>
        </w:tc>
        <w:tc>
          <w:tcPr>
            <w:tcW w:w="1009"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2022.06</w:t>
            </w:r>
          </w:p>
        </w:tc>
        <w:tc>
          <w:tcPr>
            <w:tcW w:w="101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2023.06</w:t>
            </w:r>
          </w:p>
        </w:tc>
        <w:tc>
          <w:tcPr>
            <w:tcW w:w="183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正在开展前期工作</w:t>
            </w:r>
          </w:p>
        </w:tc>
      </w:tr>
      <w:tr>
        <w:tblPrEx>
          <w:tblCellMar>
            <w:top w:w="0" w:type="dxa"/>
            <w:left w:w="0" w:type="dxa"/>
            <w:bottom w:w="0" w:type="dxa"/>
            <w:right w:w="0" w:type="dxa"/>
          </w:tblCellMar>
        </w:tblPrEx>
        <w:trPr>
          <w:trHeight w:val="989"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jc w:val="center"/>
              <w:rPr>
                <w:rFonts w:hint="eastAsia" w:ascii="仿宋_GB2312" w:hAnsi="仿宋_GB2312" w:eastAsia="仿宋_GB2312" w:cs="仿宋_GB2312"/>
                <w:color w:val="000000"/>
                <w:sz w:val="24"/>
                <w:szCs w:val="24"/>
              </w:rPr>
            </w:pPr>
          </w:p>
        </w:tc>
        <w:tc>
          <w:tcPr>
            <w:tcW w:w="55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w:t>
            </w:r>
          </w:p>
        </w:tc>
        <w:tc>
          <w:tcPr>
            <w:tcW w:w="270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防城区人民路小型消防站</w:t>
            </w:r>
          </w:p>
        </w:tc>
        <w:tc>
          <w:tcPr>
            <w:tcW w:w="178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暂定：防城港市防城区人民路与防北路交汇处</w:t>
            </w:r>
          </w:p>
        </w:tc>
        <w:tc>
          <w:tcPr>
            <w:tcW w:w="117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小型站</w:t>
            </w:r>
          </w:p>
        </w:tc>
        <w:tc>
          <w:tcPr>
            <w:tcW w:w="807"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新建</w:t>
            </w:r>
          </w:p>
        </w:tc>
        <w:tc>
          <w:tcPr>
            <w:tcW w:w="791"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400</w:t>
            </w:r>
          </w:p>
        </w:tc>
        <w:tc>
          <w:tcPr>
            <w:tcW w:w="77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800</w:t>
            </w:r>
          </w:p>
        </w:tc>
        <w:tc>
          <w:tcPr>
            <w:tcW w:w="2155"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400</w:t>
            </w:r>
          </w:p>
        </w:tc>
        <w:tc>
          <w:tcPr>
            <w:tcW w:w="1009"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2024.03</w:t>
            </w:r>
          </w:p>
        </w:tc>
        <w:tc>
          <w:tcPr>
            <w:tcW w:w="101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2025.06</w:t>
            </w:r>
          </w:p>
        </w:tc>
        <w:tc>
          <w:tcPr>
            <w:tcW w:w="183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正在开展前期工作</w:t>
            </w:r>
          </w:p>
        </w:tc>
      </w:tr>
      <w:tr>
        <w:tblPrEx>
          <w:tblCellMar>
            <w:top w:w="0" w:type="dxa"/>
            <w:left w:w="0" w:type="dxa"/>
            <w:bottom w:w="0" w:type="dxa"/>
            <w:right w:w="0" w:type="dxa"/>
          </w:tblCellMar>
        </w:tblPrEx>
        <w:trPr>
          <w:trHeight w:val="989"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jc w:val="center"/>
              <w:rPr>
                <w:rFonts w:hint="eastAsia" w:ascii="仿宋_GB2312" w:hAnsi="仿宋_GB2312" w:eastAsia="仿宋_GB2312" w:cs="仿宋_GB2312"/>
                <w:color w:val="000000"/>
                <w:sz w:val="24"/>
                <w:szCs w:val="24"/>
              </w:rPr>
            </w:pPr>
          </w:p>
        </w:tc>
        <w:tc>
          <w:tcPr>
            <w:tcW w:w="55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w:t>
            </w:r>
          </w:p>
        </w:tc>
        <w:tc>
          <w:tcPr>
            <w:tcW w:w="270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防城港市勒山小型消防站</w:t>
            </w:r>
          </w:p>
        </w:tc>
        <w:tc>
          <w:tcPr>
            <w:tcW w:w="1783"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防城港市港口区企沙镇勒山古渔村片区</w:t>
            </w:r>
          </w:p>
        </w:tc>
        <w:tc>
          <w:tcPr>
            <w:tcW w:w="1173"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小型站</w:t>
            </w:r>
          </w:p>
        </w:tc>
        <w:tc>
          <w:tcPr>
            <w:tcW w:w="807"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新建</w:t>
            </w:r>
          </w:p>
        </w:tc>
        <w:tc>
          <w:tcPr>
            <w:tcW w:w="791"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590</w:t>
            </w:r>
          </w:p>
        </w:tc>
        <w:tc>
          <w:tcPr>
            <w:tcW w:w="778"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650</w:t>
            </w:r>
          </w:p>
        </w:tc>
        <w:tc>
          <w:tcPr>
            <w:tcW w:w="2155"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380</w:t>
            </w:r>
          </w:p>
        </w:tc>
        <w:tc>
          <w:tcPr>
            <w:tcW w:w="1009"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2022.06</w:t>
            </w:r>
          </w:p>
        </w:tc>
        <w:tc>
          <w:tcPr>
            <w:tcW w:w="1013"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2023.06</w:t>
            </w:r>
          </w:p>
        </w:tc>
        <w:tc>
          <w:tcPr>
            <w:tcW w:w="1834"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正在开展前期工作</w:t>
            </w:r>
          </w:p>
        </w:tc>
      </w:tr>
      <w:tr>
        <w:tblPrEx>
          <w:tblCellMar>
            <w:top w:w="0" w:type="dxa"/>
            <w:left w:w="0" w:type="dxa"/>
            <w:bottom w:w="0" w:type="dxa"/>
            <w:right w:w="0" w:type="dxa"/>
          </w:tblCellMar>
        </w:tblPrEx>
        <w:trPr>
          <w:trHeight w:val="676"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jc w:val="center"/>
              <w:rPr>
                <w:rFonts w:hint="eastAsia" w:ascii="仿宋_GB2312" w:hAnsi="仿宋_GB2312" w:eastAsia="仿宋_GB2312" w:cs="仿宋_GB2312"/>
                <w:color w:val="000000"/>
                <w:sz w:val="24"/>
                <w:szCs w:val="24"/>
              </w:rPr>
            </w:pPr>
          </w:p>
        </w:tc>
        <w:tc>
          <w:tcPr>
            <w:tcW w:w="55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w:t>
            </w:r>
          </w:p>
        </w:tc>
        <w:tc>
          <w:tcPr>
            <w:tcW w:w="2704"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东兴市罗浮小型消防站</w:t>
            </w:r>
          </w:p>
        </w:tc>
        <w:tc>
          <w:tcPr>
            <w:tcW w:w="178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防城港市东兴市冲榄工业园</w:t>
            </w:r>
          </w:p>
        </w:tc>
        <w:tc>
          <w:tcPr>
            <w:tcW w:w="117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小型站</w:t>
            </w:r>
          </w:p>
        </w:tc>
        <w:tc>
          <w:tcPr>
            <w:tcW w:w="807"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新建</w:t>
            </w:r>
          </w:p>
        </w:tc>
        <w:tc>
          <w:tcPr>
            <w:tcW w:w="791"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950</w:t>
            </w:r>
          </w:p>
        </w:tc>
        <w:tc>
          <w:tcPr>
            <w:tcW w:w="77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650</w:t>
            </w:r>
          </w:p>
        </w:tc>
        <w:tc>
          <w:tcPr>
            <w:tcW w:w="2155"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380</w:t>
            </w:r>
          </w:p>
        </w:tc>
        <w:tc>
          <w:tcPr>
            <w:tcW w:w="1009"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2023.04</w:t>
            </w:r>
          </w:p>
        </w:tc>
        <w:tc>
          <w:tcPr>
            <w:tcW w:w="101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2024.08</w:t>
            </w:r>
          </w:p>
        </w:tc>
        <w:tc>
          <w:tcPr>
            <w:tcW w:w="183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正在开展前期工作</w:t>
            </w:r>
          </w:p>
        </w:tc>
      </w:tr>
    </w:tbl>
    <w:p>
      <w:pPr>
        <w:pStyle w:val="20"/>
        <w:spacing w:line="560" w:lineRule="exact"/>
        <w:ind w:firstLine="0" w:firstLineChars="0"/>
        <w:rPr>
          <w:rFonts w:hint="eastAsia" w:ascii="黑体" w:hAnsi="黑体" w:eastAsia="黑体" w:cs="黑体"/>
          <w:b w:val="0"/>
          <w:bCs w:val="0"/>
          <w:kern w:val="2"/>
          <w:sz w:val="32"/>
          <w:szCs w:val="32"/>
        </w:rPr>
      </w:pPr>
      <w:bookmarkStart w:id="69" w:name="_Toc25431"/>
      <w:bookmarkStart w:id="70" w:name="_Toc31388"/>
      <w:r>
        <w:rPr>
          <w:rFonts w:hint="eastAsia" w:ascii="黑体" w:hAnsi="黑体" w:eastAsia="黑体" w:cs="黑体"/>
          <w:b w:val="0"/>
          <w:bCs w:val="0"/>
          <w:kern w:val="2"/>
          <w:sz w:val="32"/>
          <w:szCs w:val="32"/>
        </w:rPr>
        <w:t>附件2</w:t>
      </w:r>
    </w:p>
    <w:p>
      <w:pPr>
        <w:pStyle w:val="20"/>
        <w:spacing w:line="560" w:lineRule="exact"/>
        <w:ind w:firstLine="0" w:firstLineChars="0"/>
        <w:jc w:val="center"/>
        <w:rPr>
          <w:rFonts w:hint="eastAsia" w:ascii="方正小标宋简体" w:hAnsi="方正小标宋简体" w:eastAsia="方正小标宋简体" w:cs="方正小标宋简体"/>
          <w:b w:val="0"/>
          <w:bCs w:val="0"/>
          <w:kern w:val="2"/>
          <w:sz w:val="44"/>
          <w:szCs w:val="44"/>
          <w:lang w:val="zh-CN"/>
        </w:rPr>
      </w:pPr>
      <w:r>
        <w:rPr>
          <w:rFonts w:hint="eastAsia" w:ascii="方正小标宋简体" w:hAnsi="方正小标宋简体" w:eastAsia="方正小标宋简体" w:cs="方正小标宋简体"/>
          <w:b w:val="0"/>
          <w:bCs w:val="0"/>
          <w:kern w:val="2"/>
          <w:sz w:val="44"/>
          <w:szCs w:val="44"/>
          <w:lang w:val="zh-CN"/>
        </w:rPr>
        <w:t>防城港市“十四五”消防队伍执勤车辆、器材装备建设规划</w:t>
      </w:r>
    </w:p>
    <w:tbl>
      <w:tblPr>
        <w:tblStyle w:val="28"/>
        <w:tblW w:w="14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736"/>
        <w:gridCol w:w="754"/>
        <w:gridCol w:w="790"/>
        <w:gridCol w:w="745"/>
        <w:gridCol w:w="708"/>
        <w:gridCol w:w="780"/>
        <w:gridCol w:w="722"/>
        <w:gridCol w:w="765"/>
        <w:gridCol w:w="867"/>
        <w:gridCol w:w="814"/>
        <w:gridCol w:w="574"/>
        <w:gridCol w:w="753"/>
        <w:gridCol w:w="816"/>
        <w:gridCol w:w="598"/>
        <w:gridCol w:w="743"/>
        <w:gridCol w:w="762"/>
        <w:gridCol w:w="502"/>
        <w:gridCol w:w="502"/>
        <w:gridCol w:w="502"/>
        <w:gridCol w:w="502"/>
        <w:gridCol w:w="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 w:type="dxa"/>
            <w:vMerge w:val="restart"/>
            <w:noWrap w:val="0"/>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单位</w:t>
            </w:r>
          </w:p>
        </w:tc>
        <w:tc>
          <w:tcPr>
            <w:tcW w:w="736" w:type="dxa"/>
            <w:vMerge w:val="restart"/>
            <w:noWrap/>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完成时限</w:t>
            </w:r>
          </w:p>
        </w:tc>
        <w:tc>
          <w:tcPr>
            <w:tcW w:w="2289" w:type="dxa"/>
            <w:gridSpan w:val="3"/>
            <w:noWrap/>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灭火类消防车</w:t>
            </w:r>
          </w:p>
        </w:tc>
        <w:tc>
          <w:tcPr>
            <w:tcW w:w="2210" w:type="dxa"/>
            <w:gridSpan w:val="3"/>
            <w:noWrap/>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举高类消防车</w:t>
            </w:r>
          </w:p>
        </w:tc>
        <w:tc>
          <w:tcPr>
            <w:tcW w:w="2446" w:type="dxa"/>
            <w:gridSpan w:val="3"/>
            <w:noWrap/>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专勤类消防车</w:t>
            </w:r>
          </w:p>
        </w:tc>
        <w:tc>
          <w:tcPr>
            <w:tcW w:w="2143" w:type="dxa"/>
            <w:gridSpan w:val="3"/>
            <w:noWrap/>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战勤保障类消防车</w:t>
            </w:r>
          </w:p>
        </w:tc>
        <w:tc>
          <w:tcPr>
            <w:tcW w:w="2103" w:type="dxa"/>
            <w:gridSpan w:val="3"/>
            <w:noWrap/>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卫星通信消防车</w:t>
            </w:r>
          </w:p>
        </w:tc>
        <w:tc>
          <w:tcPr>
            <w:tcW w:w="502" w:type="dxa"/>
            <w:vMerge w:val="restart"/>
            <w:noWrap w:val="0"/>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其他类消防车</w:t>
            </w:r>
          </w:p>
        </w:tc>
        <w:tc>
          <w:tcPr>
            <w:tcW w:w="502" w:type="dxa"/>
            <w:vMerge w:val="restart"/>
            <w:noWrap w:val="0"/>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消防摩托车</w:t>
            </w:r>
          </w:p>
        </w:tc>
        <w:tc>
          <w:tcPr>
            <w:tcW w:w="502" w:type="dxa"/>
            <w:vMerge w:val="restart"/>
            <w:noWrap w:val="0"/>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消防船艇</w:t>
            </w:r>
          </w:p>
        </w:tc>
        <w:tc>
          <w:tcPr>
            <w:tcW w:w="502" w:type="dxa"/>
            <w:vMerge w:val="restart"/>
            <w:noWrap w:val="0"/>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车辆小计</w:t>
            </w:r>
          </w:p>
        </w:tc>
        <w:tc>
          <w:tcPr>
            <w:tcW w:w="502" w:type="dxa"/>
            <w:vMerge w:val="restart"/>
            <w:noWrap w:val="0"/>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车辆合计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500" w:type="dxa"/>
            <w:vMerge w:val="continue"/>
            <w:noWrap w:val="0"/>
            <w:vAlign w:val="center"/>
          </w:tcPr>
          <w:p>
            <w:pPr>
              <w:widowControl/>
              <w:spacing w:line="360" w:lineRule="exact"/>
              <w:jc w:val="center"/>
              <w:rPr>
                <w:rFonts w:hint="eastAsia" w:ascii="仿宋_GB2312" w:hAnsi="仿宋_GB2312" w:eastAsia="仿宋_GB2312" w:cs="仿宋_GB2312"/>
                <w:b/>
                <w:bCs/>
                <w:color w:val="000000"/>
                <w:sz w:val="24"/>
                <w:szCs w:val="24"/>
              </w:rPr>
            </w:pPr>
          </w:p>
        </w:tc>
        <w:tc>
          <w:tcPr>
            <w:tcW w:w="736" w:type="dxa"/>
            <w:vMerge w:val="continue"/>
            <w:noWrap/>
            <w:vAlign w:val="center"/>
          </w:tcPr>
          <w:p>
            <w:pPr>
              <w:widowControl/>
              <w:spacing w:line="360" w:lineRule="exact"/>
              <w:jc w:val="center"/>
              <w:rPr>
                <w:rFonts w:hint="eastAsia" w:ascii="仿宋_GB2312" w:hAnsi="仿宋_GB2312" w:eastAsia="仿宋_GB2312" w:cs="仿宋_GB2312"/>
                <w:b/>
                <w:bCs/>
                <w:color w:val="000000"/>
                <w:sz w:val="24"/>
                <w:szCs w:val="24"/>
              </w:rPr>
            </w:pPr>
          </w:p>
        </w:tc>
        <w:tc>
          <w:tcPr>
            <w:tcW w:w="754" w:type="dxa"/>
            <w:noWrap w:val="0"/>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数量</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配备</w:t>
            </w:r>
          </w:p>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单位</w:t>
            </w:r>
          </w:p>
        </w:tc>
        <w:tc>
          <w:tcPr>
            <w:tcW w:w="745" w:type="dxa"/>
            <w:noWrap w:val="0"/>
            <w:vAlign w:val="center"/>
          </w:tcPr>
          <w:p>
            <w:pPr>
              <w:widowControl/>
              <w:spacing w:line="36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车辆</w:t>
            </w:r>
          </w:p>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种类</w:t>
            </w:r>
          </w:p>
        </w:tc>
        <w:tc>
          <w:tcPr>
            <w:tcW w:w="708" w:type="dxa"/>
            <w:noWrap w:val="0"/>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数量</w:t>
            </w:r>
          </w:p>
        </w:tc>
        <w:tc>
          <w:tcPr>
            <w:tcW w:w="780" w:type="dxa"/>
            <w:noWrap w:val="0"/>
            <w:vAlign w:val="center"/>
          </w:tcPr>
          <w:p>
            <w:pPr>
              <w:widowControl/>
              <w:spacing w:line="36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配备</w:t>
            </w:r>
          </w:p>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单位</w:t>
            </w:r>
          </w:p>
        </w:tc>
        <w:tc>
          <w:tcPr>
            <w:tcW w:w="722" w:type="dxa"/>
            <w:noWrap w:val="0"/>
            <w:vAlign w:val="center"/>
          </w:tcPr>
          <w:p>
            <w:pPr>
              <w:widowControl/>
              <w:spacing w:line="36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车辆</w:t>
            </w:r>
          </w:p>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种类</w:t>
            </w:r>
          </w:p>
        </w:tc>
        <w:tc>
          <w:tcPr>
            <w:tcW w:w="765" w:type="dxa"/>
            <w:noWrap w:val="0"/>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数量</w:t>
            </w:r>
          </w:p>
        </w:tc>
        <w:tc>
          <w:tcPr>
            <w:tcW w:w="867" w:type="dxa"/>
            <w:noWrap w:val="0"/>
            <w:vAlign w:val="center"/>
          </w:tcPr>
          <w:p>
            <w:pPr>
              <w:widowControl/>
              <w:spacing w:line="36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配备</w:t>
            </w:r>
          </w:p>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单位</w:t>
            </w:r>
          </w:p>
        </w:tc>
        <w:tc>
          <w:tcPr>
            <w:tcW w:w="814" w:type="dxa"/>
            <w:noWrap w:val="0"/>
            <w:vAlign w:val="center"/>
          </w:tcPr>
          <w:p>
            <w:pPr>
              <w:widowControl/>
              <w:spacing w:line="36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车辆</w:t>
            </w:r>
          </w:p>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种类</w:t>
            </w:r>
          </w:p>
        </w:tc>
        <w:tc>
          <w:tcPr>
            <w:tcW w:w="574" w:type="dxa"/>
            <w:noWrap w:val="0"/>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数量</w:t>
            </w:r>
          </w:p>
        </w:tc>
        <w:tc>
          <w:tcPr>
            <w:tcW w:w="753" w:type="dxa"/>
            <w:noWrap w:val="0"/>
            <w:vAlign w:val="center"/>
          </w:tcPr>
          <w:p>
            <w:pPr>
              <w:widowControl/>
              <w:spacing w:line="36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配备</w:t>
            </w:r>
          </w:p>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单位</w:t>
            </w:r>
          </w:p>
        </w:tc>
        <w:tc>
          <w:tcPr>
            <w:tcW w:w="816" w:type="dxa"/>
            <w:noWrap w:val="0"/>
            <w:vAlign w:val="center"/>
          </w:tcPr>
          <w:p>
            <w:pPr>
              <w:widowControl/>
              <w:spacing w:line="36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车辆</w:t>
            </w:r>
          </w:p>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种类</w:t>
            </w:r>
          </w:p>
        </w:tc>
        <w:tc>
          <w:tcPr>
            <w:tcW w:w="598" w:type="dxa"/>
            <w:noWrap w:val="0"/>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数量</w:t>
            </w:r>
          </w:p>
        </w:tc>
        <w:tc>
          <w:tcPr>
            <w:tcW w:w="743" w:type="dxa"/>
            <w:noWrap w:val="0"/>
            <w:vAlign w:val="center"/>
          </w:tcPr>
          <w:p>
            <w:pPr>
              <w:widowControl/>
              <w:spacing w:line="36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配备</w:t>
            </w:r>
          </w:p>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单位</w:t>
            </w:r>
          </w:p>
        </w:tc>
        <w:tc>
          <w:tcPr>
            <w:tcW w:w="762" w:type="dxa"/>
            <w:noWrap w:val="0"/>
            <w:vAlign w:val="center"/>
          </w:tcPr>
          <w:p>
            <w:pPr>
              <w:widowControl/>
              <w:spacing w:line="36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车辆</w:t>
            </w:r>
          </w:p>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种类</w:t>
            </w:r>
          </w:p>
        </w:tc>
        <w:tc>
          <w:tcPr>
            <w:tcW w:w="502" w:type="dxa"/>
            <w:vMerge w:val="continue"/>
            <w:noWrap w:val="0"/>
            <w:vAlign w:val="center"/>
          </w:tcPr>
          <w:p>
            <w:pPr>
              <w:widowControl/>
              <w:spacing w:line="360" w:lineRule="exact"/>
              <w:jc w:val="center"/>
              <w:rPr>
                <w:rFonts w:hint="eastAsia" w:ascii="仿宋_GB2312" w:hAnsi="仿宋_GB2312" w:eastAsia="仿宋_GB2312" w:cs="仿宋_GB2312"/>
                <w:b/>
                <w:bCs/>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b/>
                <w:bCs/>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b/>
                <w:bCs/>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b/>
                <w:bCs/>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500"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防城港市</w:t>
            </w:r>
          </w:p>
        </w:tc>
        <w:tc>
          <w:tcPr>
            <w:tcW w:w="736"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2021 年</w:t>
            </w:r>
          </w:p>
        </w:tc>
        <w:tc>
          <w:tcPr>
            <w:tcW w:w="754"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特勤站</w:t>
            </w:r>
          </w:p>
        </w:tc>
        <w:tc>
          <w:tcPr>
            <w:tcW w:w="745"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干粉车</w:t>
            </w:r>
          </w:p>
        </w:tc>
        <w:tc>
          <w:tcPr>
            <w:tcW w:w="708"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80"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22"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5"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67"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4"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74"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53"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支队本级</w:t>
            </w:r>
          </w:p>
        </w:tc>
        <w:tc>
          <w:tcPr>
            <w:tcW w:w="816"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运兵车</w:t>
            </w:r>
          </w:p>
        </w:tc>
        <w:tc>
          <w:tcPr>
            <w:tcW w:w="598"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43"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支队本级</w:t>
            </w:r>
          </w:p>
        </w:tc>
        <w:tc>
          <w:tcPr>
            <w:tcW w:w="762"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大型通信指挥车</w:t>
            </w:r>
          </w:p>
        </w:tc>
        <w:tc>
          <w:tcPr>
            <w:tcW w:w="502"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502"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50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36"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2022 年</w:t>
            </w:r>
          </w:p>
        </w:tc>
        <w:tc>
          <w:tcPr>
            <w:tcW w:w="754"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防城大队</w:t>
            </w:r>
          </w:p>
        </w:tc>
        <w:tc>
          <w:tcPr>
            <w:tcW w:w="745"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城市主战车</w:t>
            </w:r>
          </w:p>
        </w:tc>
        <w:tc>
          <w:tcPr>
            <w:tcW w:w="708"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80"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支队本级</w:t>
            </w:r>
          </w:p>
        </w:tc>
        <w:tc>
          <w:tcPr>
            <w:tcW w:w="722"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云梯车</w:t>
            </w:r>
          </w:p>
        </w:tc>
        <w:tc>
          <w:tcPr>
            <w:tcW w:w="765"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867"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港口大队</w:t>
            </w:r>
          </w:p>
        </w:tc>
        <w:tc>
          <w:tcPr>
            <w:tcW w:w="814"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抢险救援车</w:t>
            </w:r>
          </w:p>
        </w:tc>
        <w:tc>
          <w:tcPr>
            <w:tcW w:w="574"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53"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支队本级</w:t>
            </w:r>
          </w:p>
        </w:tc>
        <w:tc>
          <w:tcPr>
            <w:tcW w:w="816"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淋雨宿营车</w:t>
            </w:r>
          </w:p>
        </w:tc>
        <w:tc>
          <w:tcPr>
            <w:tcW w:w="598"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43"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2"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4</w:t>
            </w: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0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36"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2023 年</w:t>
            </w:r>
          </w:p>
        </w:tc>
        <w:tc>
          <w:tcPr>
            <w:tcW w:w="754"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港口大队</w:t>
            </w:r>
          </w:p>
        </w:tc>
        <w:tc>
          <w:tcPr>
            <w:tcW w:w="745"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城市主战车</w:t>
            </w:r>
          </w:p>
        </w:tc>
        <w:tc>
          <w:tcPr>
            <w:tcW w:w="708"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p>
        </w:tc>
        <w:tc>
          <w:tcPr>
            <w:tcW w:w="780"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p>
        </w:tc>
        <w:tc>
          <w:tcPr>
            <w:tcW w:w="722"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p>
        </w:tc>
        <w:tc>
          <w:tcPr>
            <w:tcW w:w="765"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67"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4"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74"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53"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支队本级</w:t>
            </w:r>
          </w:p>
        </w:tc>
        <w:tc>
          <w:tcPr>
            <w:tcW w:w="816"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发电照明车</w:t>
            </w:r>
          </w:p>
        </w:tc>
        <w:tc>
          <w:tcPr>
            <w:tcW w:w="598"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43"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支队本级</w:t>
            </w:r>
          </w:p>
        </w:tc>
        <w:tc>
          <w:tcPr>
            <w:tcW w:w="762"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小型通信指挥车</w:t>
            </w:r>
          </w:p>
        </w:tc>
        <w:tc>
          <w:tcPr>
            <w:tcW w:w="502"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5</w:t>
            </w: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0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36"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754" w:type="dxa"/>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上思大队</w:t>
            </w:r>
          </w:p>
        </w:tc>
        <w:tc>
          <w:tcPr>
            <w:tcW w:w="745"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708"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p>
        </w:tc>
        <w:tc>
          <w:tcPr>
            <w:tcW w:w="780"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p>
        </w:tc>
        <w:tc>
          <w:tcPr>
            <w:tcW w:w="722"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p>
        </w:tc>
        <w:tc>
          <w:tcPr>
            <w:tcW w:w="765"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67"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4"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74"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753"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816"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598"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743"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762"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0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36"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754" w:type="dxa"/>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防城大队</w:t>
            </w:r>
          </w:p>
        </w:tc>
        <w:tc>
          <w:tcPr>
            <w:tcW w:w="745" w:type="dxa"/>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水罐车</w:t>
            </w:r>
          </w:p>
        </w:tc>
        <w:tc>
          <w:tcPr>
            <w:tcW w:w="708"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p>
        </w:tc>
        <w:tc>
          <w:tcPr>
            <w:tcW w:w="780"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p>
        </w:tc>
        <w:tc>
          <w:tcPr>
            <w:tcW w:w="722"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p>
        </w:tc>
        <w:tc>
          <w:tcPr>
            <w:tcW w:w="765"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67"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4"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74"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753"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816"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598"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743"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762"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50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36"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2024 年</w:t>
            </w:r>
          </w:p>
        </w:tc>
        <w:tc>
          <w:tcPr>
            <w:tcW w:w="754"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支队本级</w:t>
            </w:r>
          </w:p>
        </w:tc>
        <w:tc>
          <w:tcPr>
            <w:tcW w:w="745"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城市主战车</w:t>
            </w:r>
          </w:p>
        </w:tc>
        <w:tc>
          <w:tcPr>
            <w:tcW w:w="708"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80"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港口大队</w:t>
            </w:r>
          </w:p>
        </w:tc>
        <w:tc>
          <w:tcPr>
            <w:tcW w:w="722"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云梯车</w:t>
            </w:r>
          </w:p>
        </w:tc>
        <w:tc>
          <w:tcPr>
            <w:tcW w:w="765"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867"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东兴大队</w:t>
            </w:r>
          </w:p>
        </w:tc>
        <w:tc>
          <w:tcPr>
            <w:tcW w:w="814"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抢险救援车</w:t>
            </w:r>
          </w:p>
        </w:tc>
        <w:tc>
          <w:tcPr>
            <w:tcW w:w="574"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53"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6"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98"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43"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2"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w:t>
            </w: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50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36"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54"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防城大队</w:t>
            </w:r>
          </w:p>
        </w:tc>
        <w:tc>
          <w:tcPr>
            <w:tcW w:w="745"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08"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8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2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5"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67"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4"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74"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53"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6"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98"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43"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0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36"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54"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上思大队</w:t>
            </w:r>
          </w:p>
        </w:tc>
        <w:tc>
          <w:tcPr>
            <w:tcW w:w="745"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08"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8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2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5"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67"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4"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74"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53"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6"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98"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43"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0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36"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2025 年</w:t>
            </w:r>
          </w:p>
        </w:tc>
        <w:tc>
          <w:tcPr>
            <w:tcW w:w="754"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防城大队</w:t>
            </w:r>
          </w:p>
        </w:tc>
        <w:tc>
          <w:tcPr>
            <w:tcW w:w="745"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水罐车</w:t>
            </w:r>
          </w:p>
        </w:tc>
        <w:tc>
          <w:tcPr>
            <w:tcW w:w="708" w:type="dxa"/>
            <w:vMerge w:val="restart"/>
            <w:noWrap/>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80"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港口大队</w:t>
            </w:r>
          </w:p>
        </w:tc>
        <w:tc>
          <w:tcPr>
            <w:tcW w:w="722"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云梯车</w:t>
            </w:r>
          </w:p>
        </w:tc>
        <w:tc>
          <w:tcPr>
            <w:tcW w:w="765" w:type="dxa"/>
            <w:vMerge w:val="restart"/>
            <w:noWrap/>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867"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上思大队</w:t>
            </w:r>
          </w:p>
        </w:tc>
        <w:tc>
          <w:tcPr>
            <w:tcW w:w="814"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抢险救援车</w:t>
            </w:r>
          </w:p>
        </w:tc>
        <w:tc>
          <w:tcPr>
            <w:tcW w:w="574"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53"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6"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98"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43"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2"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502"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w:t>
            </w: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0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36"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54" w:type="dxa"/>
            <w:noWrap/>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东兴大队</w:t>
            </w:r>
          </w:p>
        </w:tc>
        <w:tc>
          <w:tcPr>
            <w:tcW w:w="745"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水罐车</w:t>
            </w:r>
          </w:p>
        </w:tc>
        <w:tc>
          <w:tcPr>
            <w:tcW w:w="708" w:type="dxa"/>
            <w:vMerge w:val="continue"/>
            <w:noWrap/>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8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2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5" w:type="dxa"/>
            <w:vMerge w:val="continue"/>
            <w:noWrap/>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67"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4"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74"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53"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6"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98"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43"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50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36"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54" w:type="dxa"/>
            <w:noWrap/>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上思大队</w:t>
            </w:r>
          </w:p>
        </w:tc>
        <w:tc>
          <w:tcPr>
            <w:tcW w:w="745"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城市主战车</w:t>
            </w:r>
          </w:p>
        </w:tc>
        <w:tc>
          <w:tcPr>
            <w:tcW w:w="708" w:type="dxa"/>
            <w:vMerge w:val="continue"/>
            <w:noWrap/>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8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2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5" w:type="dxa"/>
            <w:vMerge w:val="continue"/>
            <w:noWrap/>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67"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4"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74"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53"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6"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98"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43"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r>
      <w:bookmarkEnd w:id="69"/>
      <w:bookmarkEnd w:id="70"/>
    </w:tbl>
    <w:p>
      <w:pPr>
        <w:rPr>
          <w:rFonts w:hint="eastAsia"/>
          <w:lang w:val="en-US" w:eastAsia="zh-CN"/>
        </w:rPr>
      </w:pPr>
    </w:p>
    <w:p>
      <w:pPr>
        <w:pStyle w:val="54"/>
        <w:rPr>
          <w:rFonts w:hint="eastAsia"/>
          <w:lang w:val="en-US" w:eastAsia="zh-CN"/>
        </w:rPr>
      </w:pPr>
    </w:p>
    <w:p>
      <w:pPr>
        <w:rPr>
          <w:rFonts w:hint="eastAsia"/>
          <w:lang w:val="en-US" w:eastAsia="zh-CN"/>
        </w:rPr>
      </w:pPr>
    </w:p>
    <w:p>
      <w:pPr>
        <w:pStyle w:val="54"/>
        <w:rPr>
          <w:rFonts w:hint="eastAsia"/>
          <w:lang w:val="en-US" w:eastAsia="zh-CN"/>
        </w:rPr>
      </w:pPr>
    </w:p>
    <w:p>
      <w:pPr>
        <w:rPr>
          <w:rFonts w:hint="eastAsia"/>
          <w:lang w:val="en-US" w:eastAsia="zh-CN"/>
        </w:rPr>
      </w:pPr>
    </w:p>
    <w:p>
      <w:pPr>
        <w:pStyle w:val="20"/>
        <w:spacing w:line="560" w:lineRule="exact"/>
        <w:ind w:firstLine="0" w:firstLineChars="0"/>
        <w:rPr>
          <w:rFonts w:hint="eastAsia" w:ascii="黑体" w:hAnsi="黑体" w:eastAsia="黑体" w:cs="黑体"/>
          <w:b w:val="0"/>
          <w:bCs w:val="0"/>
          <w:kern w:val="2"/>
          <w:sz w:val="32"/>
          <w:szCs w:val="32"/>
        </w:rPr>
      </w:pPr>
      <w:bookmarkStart w:id="71" w:name="_Toc24379"/>
      <w:bookmarkStart w:id="72" w:name="_Toc29545"/>
      <w:r>
        <w:rPr>
          <w:rFonts w:hint="eastAsia" w:ascii="黑体" w:hAnsi="黑体" w:eastAsia="黑体" w:cs="黑体"/>
          <w:b w:val="0"/>
          <w:bCs w:val="0"/>
          <w:kern w:val="2"/>
          <w:sz w:val="32"/>
          <w:szCs w:val="32"/>
        </w:rPr>
        <w:t>附件</w:t>
      </w:r>
      <w:bookmarkStart w:id="73" w:name="_Toc487449742"/>
      <w:r>
        <w:rPr>
          <w:rFonts w:hint="eastAsia" w:ascii="黑体" w:hAnsi="黑体" w:eastAsia="黑体" w:cs="黑体"/>
          <w:b w:val="0"/>
          <w:bCs w:val="0"/>
          <w:kern w:val="2"/>
          <w:sz w:val="32"/>
          <w:szCs w:val="32"/>
        </w:rPr>
        <w:t>3</w:t>
      </w:r>
    </w:p>
    <w:p>
      <w:pPr>
        <w:pStyle w:val="20"/>
        <w:spacing w:line="560" w:lineRule="exact"/>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kern w:val="2"/>
          <w:sz w:val="44"/>
          <w:szCs w:val="44"/>
          <w:lang w:val="zh-CN"/>
        </w:rPr>
        <w:t>防城港市“十四五”</w:t>
      </w:r>
      <w:bookmarkStart w:id="74" w:name="_Toc461633717"/>
      <w:bookmarkStart w:id="75" w:name="_Toc461029185"/>
      <w:r>
        <w:rPr>
          <w:rFonts w:hint="eastAsia" w:ascii="方正小标宋简体" w:hAnsi="方正小标宋简体" w:eastAsia="方正小标宋简体" w:cs="方正小标宋简体"/>
          <w:b w:val="0"/>
          <w:bCs w:val="0"/>
          <w:kern w:val="2"/>
          <w:sz w:val="44"/>
          <w:szCs w:val="44"/>
          <w:lang w:val="zh-CN"/>
        </w:rPr>
        <w:t>志愿消防队建设规划表</w:t>
      </w:r>
      <w:bookmarkEnd w:id="71"/>
      <w:bookmarkEnd w:id="72"/>
      <w:bookmarkEnd w:id="73"/>
      <w:bookmarkEnd w:id="74"/>
      <w:bookmarkEnd w:id="75"/>
    </w:p>
    <w:tbl>
      <w:tblPr>
        <w:tblStyle w:val="28"/>
        <w:tblW w:w="0" w:type="auto"/>
        <w:jc w:val="center"/>
        <w:tblLayout w:type="fixed"/>
        <w:tblCellMar>
          <w:top w:w="0" w:type="dxa"/>
          <w:left w:w="108" w:type="dxa"/>
          <w:bottom w:w="0" w:type="dxa"/>
          <w:right w:w="108" w:type="dxa"/>
        </w:tblCellMar>
      </w:tblPr>
      <w:tblGrid>
        <w:gridCol w:w="955"/>
        <w:gridCol w:w="955"/>
        <w:gridCol w:w="955"/>
        <w:gridCol w:w="955"/>
        <w:gridCol w:w="954"/>
        <w:gridCol w:w="954"/>
        <w:gridCol w:w="954"/>
        <w:gridCol w:w="954"/>
        <w:gridCol w:w="954"/>
        <w:gridCol w:w="954"/>
        <w:gridCol w:w="954"/>
        <w:gridCol w:w="954"/>
        <w:gridCol w:w="954"/>
        <w:gridCol w:w="954"/>
        <w:gridCol w:w="954"/>
        <w:gridCol w:w="954"/>
      </w:tblGrid>
      <w:tr>
        <w:tblPrEx>
          <w:tblCellMar>
            <w:top w:w="0" w:type="dxa"/>
            <w:left w:w="108" w:type="dxa"/>
            <w:bottom w:w="0" w:type="dxa"/>
            <w:right w:w="108" w:type="dxa"/>
          </w:tblCellMar>
        </w:tblPrEx>
        <w:trPr>
          <w:cantSplit/>
          <w:trHeight w:val="505" w:hRule="exact"/>
          <w:jc w:val="center"/>
        </w:trPr>
        <w:tc>
          <w:tcPr>
            <w:tcW w:w="955" w:type="dxa"/>
            <w:vMerge w:val="restart"/>
            <w:tcBorders>
              <w:top w:val="single" w:color="auto" w:sz="8" w:space="0"/>
              <w:left w:val="single" w:color="auto" w:sz="8" w:space="0"/>
              <w:bottom w:val="single" w:color="000000" w:sz="8" w:space="0"/>
              <w:right w:val="single" w:color="auto" w:sz="8" w:space="0"/>
            </w:tcBorders>
            <w:noWrap/>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单位</w:t>
            </w:r>
          </w:p>
        </w:tc>
        <w:tc>
          <w:tcPr>
            <w:tcW w:w="2865" w:type="dxa"/>
            <w:gridSpan w:val="3"/>
            <w:tcBorders>
              <w:top w:val="single" w:color="auto" w:sz="8" w:space="0"/>
              <w:left w:val="nil"/>
              <w:bottom w:val="single" w:color="auto" w:sz="8" w:space="0"/>
              <w:right w:val="single" w:color="000000" w:sz="8" w:space="0"/>
            </w:tcBorders>
            <w:noWrap/>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2021年计划总量</w:t>
            </w:r>
          </w:p>
        </w:tc>
        <w:tc>
          <w:tcPr>
            <w:tcW w:w="2862" w:type="dxa"/>
            <w:gridSpan w:val="3"/>
            <w:tcBorders>
              <w:top w:val="single" w:color="auto" w:sz="8" w:space="0"/>
              <w:left w:val="nil"/>
              <w:bottom w:val="single" w:color="auto" w:sz="8" w:space="0"/>
              <w:right w:val="single" w:color="000000" w:sz="8" w:space="0"/>
            </w:tcBorders>
            <w:noWrap/>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2022年计划总量</w:t>
            </w:r>
          </w:p>
        </w:tc>
        <w:tc>
          <w:tcPr>
            <w:tcW w:w="2862" w:type="dxa"/>
            <w:gridSpan w:val="3"/>
            <w:tcBorders>
              <w:top w:val="single" w:color="auto" w:sz="8" w:space="0"/>
              <w:left w:val="nil"/>
              <w:bottom w:val="single" w:color="auto" w:sz="8" w:space="0"/>
              <w:right w:val="single" w:color="000000" w:sz="8" w:space="0"/>
            </w:tcBorders>
            <w:noWrap/>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2023年计划总量</w:t>
            </w:r>
          </w:p>
        </w:tc>
        <w:tc>
          <w:tcPr>
            <w:tcW w:w="2862" w:type="dxa"/>
            <w:gridSpan w:val="3"/>
            <w:tcBorders>
              <w:top w:val="single" w:color="auto" w:sz="8" w:space="0"/>
              <w:left w:val="nil"/>
              <w:bottom w:val="single" w:color="auto" w:sz="8" w:space="0"/>
              <w:right w:val="single" w:color="000000" w:sz="8" w:space="0"/>
            </w:tcBorders>
            <w:noWrap/>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2024年计划总量</w:t>
            </w:r>
          </w:p>
        </w:tc>
        <w:tc>
          <w:tcPr>
            <w:tcW w:w="2862" w:type="dxa"/>
            <w:gridSpan w:val="3"/>
            <w:tcBorders>
              <w:top w:val="single" w:color="auto" w:sz="8" w:space="0"/>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2025年计划总量</w:t>
            </w:r>
          </w:p>
        </w:tc>
      </w:tr>
      <w:tr>
        <w:tblPrEx>
          <w:tblCellMar>
            <w:top w:w="0" w:type="dxa"/>
            <w:left w:w="108" w:type="dxa"/>
            <w:bottom w:w="0" w:type="dxa"/>
            <w:right w:w="108" w:type="dxa"/>
          </w:tblCellMar>
        </w:tblPrEx>
        <w:trPr>
          <w:trHeight w:val="397" w:hRule="exact"/>
          <w:jc w:val="center"/>
        </w:trPr>
        <w:tc>
          <w:tcPr>
            <w:tcW w:w="955" w:type="dxa"/>
            <w:vMerge w:val="continue"/>
            <w:tcBorders>
              <w:top w:val="single" w:color="auto" w:sz="8" w:space="0"/>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b/>
                <w:bCs/>
                <w:sz w:val="24"/>
                <w:szCs w:val="24"/>
              </w:rPr>
            </w:pPr>
          </w:p>
        </w:tc>
        <w:tc>
          <w:tcPr>
            <w:tcW w:w="955"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乡镇志愿队</w:t>
            </w:r>
          </w:p>
        </w:tc>
        <w:tc>
          <w:tcPr>
            <w:tcW w:w="955"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千人以上村级志愿队</w:t>
            </w:r>
          </w:p>
        </w:tc>
        <w:tc>
          <w:tcPr>
            <w:tcW w:w="955"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其他村级志愿队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乡镇志愿队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千人以上村级志愿队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其他村级志愿队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乡镇志愿队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千人以上村级志愿队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其他村级志愿队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乡镇志愿队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千人以上村级志愿队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其他村级志愿队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乡镇志愿队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千人以上村级志愿队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其他村级志愿队</w:t>
            </w:r>
          </w:p>
        </w:tc>
      </w:tr>
      <w:tr>
        <w:tblPrEx>
          <w:tblCellMar>
            <w:top w:w="0" w:type="dxa"/>
            <w:left w:w="108" w:type="dxa"/>
            <w:bottom w:w="0" w:type="dxa"/>
            <w:right w:w="108" w:type="dxa"/>
          </w:tblCellMar>
        </w:tblPrEx>
        <w:trPr>
          <w:trHeight w:val="842" w:hRule="exact"/>
          <w:jc w:val="center"/>
        </w:trPr>
        <w:tc>
          <w:tcPr>
            <w:tcW w:w="955" w:type="dxa"/>
            <w:vMerge w:val="continue"/>
            <w:tcBorders>
              <w:top w:val="single" w:color="auto" w:sz="8" w:space="0"/>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5"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5"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5"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69" w:hRule="atLeast"/>
          <w:jc w:val="center"/>
        </w:trPr>
        <w:tc>
          <w:tcPr>
            <w:tcW w:w="955" w:type="dxa"/>
            <w:tcBorders>
              <w:top w:val="nil"/>
              <w:left w:val="single" w:color="auto" w:sz="8" w:space="0"/>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上思县</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31</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43</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r>
      <w:tr>
        <w:tblPrEx>
          <w:tblCellMar>
            <w:top w:w="0" w:type="dxa"/>
            <w:left w:w="108" w:type="dxa"/>
            <w:bottom w:w="0" w:type="dxa"/>
            <w:right w:w="108" w:type="dxa"/>
          </w:tblCellMar>
        </w:tblPrEx>
        <w:trPr>
          <w:trHeight w:val="569" w:hRule="atLeast"/>
          <w:jc w:val="center"/>
        </w:trPr>
        <w:tc>
          <w:tcPr>
            <w:tcW w:w="955" w:type="dxa"/>
            <w:tcBorders>
              <w:top w:val="nil"/>
              <w:left w:val="single" w:color="auto" w:sz="8" w:space="0"/>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东兴市</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r>
      <w:tr>
        <w:tblPrEx>
          <w:tblCellMar>
            <w:top w:w="0" w:type="dxa"/>
            <w:left w:w="108" w:type="dxa"/>
            <w:bottom w:w="0" w:type="dxa"/>
            <w:right w:w="108" w:type="dxa"/>
          </w:tblCellMar>
        </w:tblPrEx>
        <w:trPr>
          <w:trHeight w:val="569" w:hRule="atLeast"/>
          <w:jc w:val="center"/>
        </w:trPr>
        <w:tc>
          <w:tcPr>
            <w:tcW w:w="955" w:type="dxa"/>
            <w:tcBorders>
              <w:top w:val="nil"/>
              <w:left w:val="single" w:color="auto" w:sz="8" w:space="0"/>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港口区</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68</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r>
      <w:tr>
        <w:tblPrEx>
          <w:tblCellMar>
            <w:top w:w="0" w:type="dxa"/>
            <w:left w:w="108" w:type="dxa"/>
            <w:bottom w:w="0" w:type="dxa"/>
            <w:right w:w="108" w:type="dxa"/>
          </w:tblCellMar>
        </w:tblPrEx>
        <w:trPr>
          <w:trHeight w:val="569" w:hRule="atLeast"/>
          <w:jc w:val="center"/>
        </w:trPr>
        <w:tc>
          <w:tcPr>
            <w:tcW w:w="955" w:type="dxa"/>
            <w:tcBorders>
              <w:top w:val="nil"/>
              <w:left w:val="single" w:color="auto" w:sz="8" w:space="0"/>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防城区</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43</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42</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77</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54</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85</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r>
      <w:tr>
        <w:tblPrEx>
          <w:tblCellMar>
            <w:top w:w="0" w:type="dxa"/>
            <w:left w:w="108" w:type="dxa"/>
            <w:bottom w:w="0" w:type="dxa"/>
            <w:right w:w="108" w:type="dxa"/>
          </w:tblCellMar>
        </w:tblPrEx>
        <w:trPr>
          <w:trHeight w:val="569" w:hRule="atLeast"/>
          <w:jc w:val="center"/>
        </w:trPr>
        <w:tc>
          <w:tcPr>
            <w:tcW w:w="955" w:type="dxa"/>
            <w:tcBorders>
              <w:top w:val="nil"/>
              <w:left w:val="single" w:color="auto" w:sz="8" w:space="0"/>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99</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33</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139</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46</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58</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195</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64</w:t>
            </w:r>
          </w:p>
        </w:tc>
      </w:tr>
      <w:tr>
        <w:tblPrEx>
          <w:tblCellMar>
            <w:top w:w="0" w:type="dxa"/>
            <w:left w:w="108" w:type="dxa"/>
            <w:bottom w:w="0" w:type="dxa"/>
            <w:right w:w="108" w:type="dxa"/>
          </w:tblCellMar>
        </w:tblPrEx>
        <w:trPr>
          <w:trHeight w:val="2466" w:hRule="exact"/>
          <w:jc w:val="center"/>
        </w:trPr>
        <w:tc>
          <w:tcPr>
            <w:tcW w:w="15268" w:type="dxa"/>
            <w:gridSpan w:val="16"/>
            <w:tcBorders>
              <w:top w:val="nil"/>
              <w:left w:val="single" w:color="auto" w:sz="8" w:space="0"/>
              <w:bottom w:val="single" w:color="auto" w:sz="8" w:space="0"/>
              <w:right w:val="single" w:color="auto" w:sz="8" w:space="0"/>
            </w:tcBorders>
            <w:noWrap/>
            <w:vAlign w:val="center"/>
          </w:tcPr>
          <w:p>
            <w:pPr>
              <w:widowControl/>
              <w:adjustRightInd w:val="0"/>
              <w:snapToGrid w:val="0"/>
              <w:ind w:firstLine="480" w:firstLineChars="20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1.2021年，80%的乡镇按照标准建成有人员、有装备、有站舍、有经费的志愿（兼职）消防队，80%的常住人口超过1000人的行政村、自然村建立有志愿人员和</w:t>
            </w:r>
          </w:p>
          <w:p>
            <w:pPr>
              <w:widowControl/>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基本消防装备器材的志愿消防队，依托农村社区综合服务设施拓展公共消防服务功能；2022年，上述指标达到100%。</w:t>
            </w:r>
          </w:p>
          <w:p>
            <w:pPr>
              <w:widowControl/>
              <w:adjustRightInd w:val="0"/>
              <w:snapToGrid w:val="0"/>
              <w:ind w:firstLine="480" w:firstLineChars="20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2.2021年，30%的其他行政村、自然村建立志愿消防队；2022年，50%的其他行政村、自然村建立志愿消防队；2023年，70%的其他行政村、自然村建立志愿消</w:t>
            </w:r>
          </w:p>
          <w:p>
            <w:pPr>
              <w:widowControl/>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防队；2024年，90%的其他行政村、自然村建立志愿消防队；2025年，100%的其他行政村、自然村建立志愿消防队。</w:t>
            </w:r>
          </w:p>
        </w:tc>
      </w:tr>
    </w:tbl>
    <w:p>
      <w:pPr>
        <w:pStyle w:val="54"/>
        <w:rPr>
          <w:rFonts w:hint="eastAsia"/>
          <w:lang w:val="en-US" w:eastAsia="zh-CN"/>
        </w:rPr>
        <w:sectPr>
          <w:pgSz w:w="16838" w:h="11906" w:orient="landscape"/>
          <w:pgMar w:top="1587" w:right="2098" w:bottom="1497" w:left="1984" w:header="851" w:footer="992" w:gutter="0"/>
          <w:paperSrc/>
          <w:pgBorders>
            <w:top w:val="none" w:sz="0" w:space="0"/>
            <w:left w:val="none" w:sz="0" w:space="0"/>
            <w:bottom w:val="none" w:sz="0" w:space="0"/>
            <w:right w:val="none" w:sz="0" w:space="0"/>
          </w:pgBorders>
          <w:pgNumType w:fmt="numberInDash"/>
          <w:cols w:space="720" w:num="1"/>
          <w:rtlGutter w:val="0"/>
          <w:docGrid w:type="lines" w:linePitch="315" w:charSpace="0"/>
        </w:sectPr>
      </w:pPr>
    </w:p>
    <w:p>
      <w:pPr>
        <w:pStyle w:val="20"/>
        <w:spacing w:line="560" w:lineRule="exact"/>
        <w:ind w:firstLine="0" w:firstLineChars="0"/>
        <w:rPr>
          <w:rFonts w:hint="eastAsia" w:ascii="黑体" w:hAnsi="黑体" w:eastAsia="黑体" w:cs="黑体"/>
          <w:b w:val="0"/>
          <w:bCs w:val="0"/>
          <w:kern w:val="2"/>
          <w:sz w:val="32"/>
          <w:szCs w:val="32"/>
        </w:rPr>
      </w:pPr>
      <w:bookmarkStart w:id="76" w:name="_Toc19738"/>
      <w:r>
        <w:rPr>
          <w:rFonts w:hint="eastAsia" w:ascii="黑体" w:hAnsi="黑体" w:eastAsia="黑体" w:cs="黑体"/>
          <w:b w:val="0"/>
          <w:bCs w:val="0"/>
          <w:kern w:val="2"/>
          <w:sz w:val="32"/>
          <w:szCs w:val="32"/>
        </w:rPr>
        <w:t>附件4</w:t>
      </w:r>
    </w:p>
    <w:p>
      <w:pPr>
        <w:pStyle w:val="20"/>
        <w:spacing w:line="560" w:lineRule="exact"/>
        <w:ind w:firstLine="0" w:firstLineChars="0"/>
        <w:jc w:val="center"/>
        <w:rPr>
          <w:rFonts w:hint="eastAsia" w:eastAsia="方正小标宋简体"/>
          <w:b w:val="0"/>
          <w:bCs w:val="0"/>
          <w:kern w:val="2"/>
          <w:sz w:val="44"/>
          <w:szCs w:val="44"/>
        </w:rPr>
      </w:pPr>
      <w:r>
        <w:rPr>
          <w:rFonts w:hint="eastAsia" w:eastAsia="方正小标宋简体"/>
          <w:b w:val="0"/>
          <w:bCs w:val="0"/>
          <w:kern w:val="2"/>
          <w:sz w:val="44"/>
          <w:szCs w:val="44"/>
        </w:rPr>
        <w:t>防城港市乡镇专职消防站建设规划表</w:t>
      </w:r>
    </w:p>
    <w:tbl>
      <w:tblPr>
        <w:tblStyle w:val="28"/>
        <w:tblW w:w="10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62"/>
        <w:gridCol w:w="2558"/>
        <w:gridCol w:w="850"/>
        <w:gridCol w:w="1197"/>
        <w:gridCol w:w="1213"/>
        <w:gridCol w:w="709"/>
        <w:gridCol w:w="686"/>
        <w:gridCol w:w="686"/>
        <w:gridCol w:w="686"/>
        <w:gridCol w:w="686"/>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347" w:type="dxa"/>
            <w:gridSpan w:val="3"/>
            <w:vMerge w:val="restart"/>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单 位 名 称</w:t>
            </w:r>
          </w:p>
        </w:tc>
        <w:tc>
          <w:tcPr>
            <w:tcW w:w="3969" w:type="dxa"/>
            <w:gridSpan w:val="4"/>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乡镇专职消防队人员配置</w:t>
            </w:r>
          </w:p>
        </w:tc>
        <w:tc>
          <w:tcPr>
            <w:tcW w:w="3430" w:type="dxa"/>
            <w:gridSpan w:val="5"/>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“十四五”期间建设规划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347" w:type="dxa"/>
            <w:gridSpan w:val="3"/>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管理骨干人员</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政府购买服务专职消防队员</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志愿专职队员（可兼职）</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小计</w:t>
            </w:r>
          </w:p>
        </w:tc>
        <w:tc>
          <w:tcPr>
            <w:tcW w:w="686" w:type="dxa"/>
            <w:noWrap w:val="0"/>
            <w:vAlign w:val="center"/>
          </w:tcPr>
          <w:p>
            <w:pPr>
              <w:adjustRightInd w:val="0"/>
              <w:snapToGrid w:val="0"/>
              <w:spacing w:line="300" w:lineRule="exact"/>
              <w:ind w:left="-105" w:leftChars="-50" w:right="-105" w:rightChars="-5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2021年</w:t>
            </w:r>
          </w:p>
        </w:tc>
        <w:tc>
          <w:tcPr>
            <w:tcW w:w="686" w:type="dxa"/>
            <w:noWrap w:val="0"/>
            <w:vAlign w:val="center"/>
          </w:tcPr>
          <w:p>
            <w:pPr>
              <w:adjustRightInd w:val="0"/>
              <w:snapToGrid w:val="0"/>
              <w:spacing w:line="300" w:lineRule="exact"/>
              <w:ind w:left="-105" w:leftChars="-50" w:right="-105" w:rightChars="-5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2022年</w:t>
            </w:r>
          </w:p>
        </w:tc>
        <w:tc>
          <w:tcPr>
            <w:tcW w:w="686" w:type="dxa"/>
            <w:noWrap w:val="0"/>
            <w:vAlign w:val="center"/>
          </w:tcPr>
          <w:p>
            <w:pPr>
              <w:adjustRightInd w:val="0"/>
              <w:snapToGrid w:val="0"/>
              <w:spacing w:line="300" w:lineRule="exact"/>
              <w:ind w:left="-105" w:leftChars="-50" w:right="-105" w:rightChars="-5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2023年</w:t>
            </w:r>
          </w:p>
        </w:tc>
        <w:tc>
          <w:tcPr>
            <w:tcW w:w="686" w:type="dxa"/>
            <w:noWrap w:val="0"/>
            <w:vAlign w:val="center"/>
          </w:tcPr>
          <w:p>
            <w:pPr>
              <w:adjustRightInd w:val="0"/>
              <w:snapToGrid w:val="0"/>
              <w:spacing w:line="300" w:lineRule="exact"/>
              <w:ind w:left="-105" w:leftChars="-50" w:right="-105" w:rightChars="-5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2024年</w:t>
            </w:r>
          </w:p>
        </w:tc>
        <w:tc>
          <w:tcPr>
            <w:tcW w:w="686" w:type="dxa"/>
            <w:noWrap w:val="0"/>
            <w:vAlign w:val="center"/>
          </w:tcPr>
          <w:p>
            <w:pPr>
              <w:adjustRightInd w:val="0"/>
              <w:snapToGrid w:val="0"/>
              <w:spacing w:line="300" w:lineRule="exact"/>
              <w:ind w:left="-105" w:leftChars="-50" w:right="-105" w:rightChars="-5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7" w:type="dxa"/>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港口区</w:t>
            </w: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kern w:val="0"/>
                <w:sz w:val="24"/>
                <w:szCs w:val="24"/>
                <w:lang w:val="zh-TW"/>
              </w:rPr>
              <w:t>光坡镇乡镇专职消防</w:t>
            </w:r>
            <w:r>
              <w:rPr>
                <w:rFonts w:hint="eastAsia" w:ascii="仿宋_GB2312" w:hAnsi="仿宋_GB2312" w:eastAsia="仿宋_GB2312" w:cs="仿宋_GB2312"/>
                <w:kern w:val="0"/>
                <w:sz w:val="24"/>
                <w:szCs w:val="24"/>
              </w:rPr>
              <w:t>站（二级站）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7" w:type="dxa"/>
            <w:vMerge w:val="restart"/>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防城区</w:t>
            </w: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那良镇乡镇专职消防站（二级站）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华石镇乡镇志愿消防站 </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zh-TW"/>
              </w:rPr>
              <w:t>那梭镇</w:t>
            </w:r>
            <w:r>
              <w:rPr>
                <w:rFonts w:hint="eastAsia" w:ascii="仿宋_GB2312" w:hAnsi="仿宋_GB2312" w:eastAsia="仿宋_GB2312" w:cs="仿宋_GB2312"/>
                <w:kern w:val="0"/>
                <w:sz w:val="24"/>
                <w:szCs w:val="24"/>
              </w:rPr>
              <w:t>乡镇专职消防站（二级站）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峒中镇乡镇专职消防站（二级站）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茅岭镇乡镇志愿消防站 </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大菉镇乡镇专职消防站（二级站）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zh-TW"/>
              </w:rPr>
              <w:t>十万山瑶族乡</w:t>
            </w:r>
            <w:r>
              <w:rPr>
                <w:rFonts w:hint="eastAsia" w:ascii="仿宋_GB2312" w:hAnsi="仿宋_GB2312" w:eastAsia="仿宋_GB2312" w:cs="仿宋_GB2312"/>
                <w:kern w:val="0"/>
                <w:sz w:val="24"/>
                <w:szCs w:val="24"/>
              </w:rPr>
              <w:t>乡镇志愿消防站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rPr>
              <w:t>滩营乡乡（镇）志愿消防站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扶隆镇乡镇志愿消防站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东兴市</w:t>
            </w: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马路镇乡镇专职消防站（二级站）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7" w:type="dxa"/>
            <w:vMerge w:val="restart"/>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上思县</w:t>
            </w: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在妙镇乡镇专职消防站（二级站）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zh-TW"/>
              </w:rPr>
              <w:t>华兰镇</w:t>
            </w:r>
            <w:r>
              <w:rPr>
                <w:rFonts w:hint="eastAsia" w:ascii="仿宋_GB2312" w:hAnsi="仿宋_GB2312" w:eastAsia="仿宋_GB2312" w:cs="仿宋_GB2312"/>
                <w:kern w:val="0"/>
                <w:sz w:val="24"/>
                <w:szCs w:val="24"/>
              </w:rPr>
              <w:t>乡镇专职消防站（二级站）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3</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10</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zh-TW"/>
              </w:rPr>
              <w:t>平福乡</w:t>
            </w:r>
            <w:r>
              <w:rPr>
                <w:rFonts w:hint="eastAsia" w:ascii="仿宋_GB2312" w:hAnsi="仿宋_GB2312" w:eastAsia="仿宋_GB2312" w:cs="仿宋_GB2312"/>
                <w:kern w:val="0"/>
                <w:sz w:val="24"/>
                <w:szCs w:val="24"/>
              </w:rPr>
              <w:t>乡镇志愿消防站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zh-TW"/>
              </w:rPr>
              <w:t>南屏瑶族乡</w:t>
            </w:r>
            <w:r>
              <w:rPr>
                <w:rFonts w:hint="eastAsia" w:ascii="仿宋_GB2312" w:hAnsi="仿宋_GB2312" w:eastAsia="仿宋_GB2312" w:cs="仿宋_GB2312"/>
                <w:kern w:val="0"/>
                <w:sz w:val="24"/>
                <w:szCs w:val="24"/>
              </w:rPr>
              <w:t>乡镇志愿消防站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zh-TW"/>
              </w:rPr>
              <w:t>那琴乡</w:t>
            </w:r>
            <w:r>
              <w:rPr>
                <w:rFonts w:hint="eastAsia" w:ascii="仿宋_GB2312" w:hAnsi="仿宋_GB2312" w:eastAsia="仿宋_GB2312" w:cs="仿宋_GB2312"/>
                <w:kern w:val="0"/>
                <w:sz w:val="24"/>
                <w:szCs w:val="24"/>
              </w:rPr>
              <w:t>乡镇专职消防站（二级站）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zh-TW"/>
              </w:rPr>
              <w:t>公正乡</w:t>
            </w:r>
            <w:r>
              <w:rPr>
                <w:rFonts w:hint="eastAsia" w:ascii="仿宋_GB2312" w:hAnsi="仿宋_GB2312" w:eastAsia="仿宋_GB2312" w:cs="仿宋_GB2312"/>
                <w:kern w:val="0"/>
                <w:sz w:val="24"/>
                <w:szCs w:val="24"/>
              </w:rPr>
              <w:t>乡镇专职消防站（二级站）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347" w:type="dxa"/>
            <w:gridSpan w:val="3"/>
            <w:noWrap w:val="0"/>
            <w:vAlign w:val="center"/>
          </w:tcPr>
          <w:p>
            <w:pPr>
              <w:adjustRightInd w:val="0"/>
              <w:snapToGrid w:val="0"/>
              <w:spacing w:line="30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合计</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44</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34</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78</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156</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2</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4</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2</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3</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89" w:type="dxa"/>
            <w:gridSpan w:val="2"/>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c>
          <w:tcPr>
            <w:tcW w:w="9957" w:type="dxa"/>
            <w:gridSpan w:val="10"/>
            <w:noWrap w:val="0"/>
            <w:vAlign w:val="center"/>
          </w:tcPr>
          <w:p>
            <w:pPr>
              <w:adjustRightInd w:val="0"/>
              <w:snapToGrid w:val="0"/>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年65%的全国重点镇和50%的其他符合建队标准的建制镇完成达标建设；2022年100%全国重点镇和75%的其他符合建队标准的建制镇完成达标建设；2023年85%的其他符合建队标准的建制镇完成达标建设；2024年95%的其他符合建队标准的建制镇完成达标建设；2025年100%的其他符合建队标准的建制镇完成达标建设。共需建立乡镇消防站17个，乡镇专职消防员156人（管理人员44人，采取政府购买服务进行补充的专职消防队员34人，志愿专职队员78人，志愿专职队员可由其他工作人员兼职）。</w:t>
            </w:r>
            <w:r>
              <w:rPr>
                <w:rFonts w:hint="eastAsia" w:ascii="仿宋_GB2312" w:hAnsi="仿宋_GB2312" w:eastAsia="仿宋_GB2312" w:cs="仿宋_GB2312"/>
                <w:b/>
                <w:bCs/>
                <w:sz w:val="24"/>
                <w:szCs w:val="24"/>
              </w:rPr>
              <w:t>其中17个乡镇专职消防站建设任务根据各地实际按规划逐年推进完成建设，同时车辆配备可优先配置1辆水罐消防车和1辆消防摩托车，其余车辆根据实际情况增配。</w:t>
            </w:r>
          </w:p>
        </w:tc>
      </w:tr>
      <w:bookmarkEnd w:id="76"/>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bookmarkStart w:id="77" w:name="_GoBack"/>
      <w:bookmarkEnd w:id="77"/>
    </w:p>
    <w:sectPr>
      <w:pgSz w:w="11906" w:h="16838"/>
      <w:pgMar w:top="2098" w:right="1497" w:bottom="1984" w:left="1587" w:header="851" w:footer="992" w:gutter="0"/>
      <w:paperSrc/>
      <w:pgBorders>
        <w:top w:val="none" w:sz="0" w:space="0"/>
        <w:left w:val="none" w:sz="0" w:space="0"/>
        <w:bottom w:val="none" w:sz="0" w:space="0"/>
        <w:right w:val="none" w:sz="0" w:space="0"/>
      </w:pgBorders>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E00002FF" w:usb1="400004FF" w:usb2="00000000" w:usb3="00000000" w:csb0="0000019F" w:csb1="00000000"/>
  </w:font>
  <w:font w:name="Arial">
    <w:altName w:val="DejaVu Sans"/>
    <w:panose1 w:val="020B0604020202020204"/>
    <w:charset w:val="00"/>
    <w:family w:val="swiss"/>
    <w:pitch w:val="default"/>
    <w:sig w:usb0="E0002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方正楷体_GBK">
    <w:panose1 w:val="02000000000000000000"/>
    <w:charset w:val="86"/>
    <w:family w:val="script"/>
    <w:pitch w:val="default"/>
    <w:sig w:usb0="00000001" w:usb1="08000000" w:usb2="00000000" w:usb3="00000000" w:csb0="00040000" w:csb1="00000000"/>
  </w:font>
  <w:font w:name="Verdana">
    <w:altName w:val="DejaVu Sans"/>
    <w:panose1 w:val="020B0604030504040204"/>
    <w:charset w:val="00"/>
    <w:family w:val="swiss"/>
    <w:pitch w:val="default"/>
    <w:sig w:usb0="A10006FF" w:usb1="4000205B" w:usb2="00000010" w:usb3="00000000" w:csb0="0000019F" w:csb1="00000000"/>
  </w:font>
  <w:font w:name="Tahoma">
    <w:altName w:val="DejaVu Sans"/>
    <w:panose1 w:val="020B0604030504040204"/>
    <w:charset w:val="00"/>
    <w:family w:val="swiss"/>
    <w:pitch w:val="default"/>
    <w:sig w:usb0="E1002EFF" w:usb1="C000605B" w:usb2="00000029" w:usb3="00000000" w:csb0="0001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FZFSK--GBK1-0">
    <w:altName w:val="汉仪仿宋S"/>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汉仪大黑简">
    <w:panose1 w:val="02010600000101010101"/>
    <w:charset w:val="86"/>
    <w:family w:val="auto"/>
    <w:pitch w:val="default"/>
    <w:sig w:usb0="00000001" w:usb1="080E0800" w:usb2="00000002" w:usb3="00000000" w:csb0="00040000"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宋体" w:hAnsi="宋体"/>
        <w:sz w:val="28"/>
        <w:szCs w:val="28"/>
      </w:rPr>
    </w:pPr>
    <w:r>
      <w:rPr>
        <w:rFonts w:ascii="宋体" w:hAnsi="宋体"/>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7"/>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rPr>
                            <w:t>- 3 -</w:t>
                          </w:r>
                          <w:r>
                            <w:rPr>
                              <w:rFonts w:ascii="宋体" w:hAnsi="宋体"/>
                              <w:sz w:val="28"/>
                              <w:szCs w:val="28"/>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VHHtn7EBAABRAwAADgAAAAAAAAABACAAAAA0AQAAZHJzL2Uyb0RvYy54&#10;bWxQSwUGAAAAAAYABgBZAQAAVwUAAAAA&#10;">
              <v:fill on="f" focussize="0,0"/>
              <v:stroke on="f"/>
              <v:imagedata o:title=""/>
              <o:lock v:ext="edit" aspectratio="f"/>
              <v:textbox inset="0mm,0mm,0mm,0mm" style="mso-fit-shape-to-text:t;">
                <w:txbxContent>
                  <w:p>
                    <w:pPr>
                      <w:pStyle w:val="17"/>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rPr>
                      <w:t>- 3 -</w:t>
                    </w:r>
                    <w:r>
                      <w:rPr>
                        <w:rFonts w:ascii="宋体" w:hAnsi="宋体"/>
                        <w:sz w:val="28"/>
                        <w:szCs w:val="28"/>
                      </w:rPr>
                      <w:fldChar w:fldCharType="end"/>
                    </w:r>
                  </w:p>
                </w:txbxContent>
              </v:textbox>
            </v:shape>
          </w:pict>
        </mc:Fallback>
      </mc:AlternateConten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1"/>
        <w:rPr>
          <w:rFonts w:hint="eastAsia"/>
        </w:rPr>
      </w:pPr>
      <w:r>
        <w:rPr>
          <w:rStyle w:val="34"/>
        </w:rPr>
        <w:footnoteRef/>
      </w:r>
      <w:r>
        <w:t xml:space="preserve"> </w:t>
      </w:r>
      <w:r>
        <w:rPr>
          <w:rFonts w:hint="eastAsia"/>
        </w:rPr>
        <w:t>“五落实”：指消防安全宣传教育制度、读本、课时、师资、场地。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8B"/>
    <w:rsid w:val="000001AB"/>
    <w:rsid w:val="00001253"/>
    <w:rsid w:val="000013AF"/>
    <w:rsid w:val="00004A54"/>
    <w:rsid w:val="00004D03"/>
    <w:rsid w:val="00005DEF"/>
    <w:rsid w:val="00007AEE"/>
    <w:rsid w:val="000106AF"/>
    <w:rsid w:val="0001084F"/>
    <w:rsid w:val="00010AB6"/>
    <w:rsid w:val="0001113D"/>
    <w:rsid w:val="0001172F"/>
    <w:rsid w:val="00011763"/>
    <w:rsid w:val="000129A2"/>
    <w:rsid w:val="000134F7"/>
    <w:rsid w:val="000143DE"/>
    <w:rsid w:val="00014512"/>
    <w:rsid w:val="00014A88"/>
    <w:rsid w:val="00014ECF"/>
    <w:rsid w:val="000150C5"/>
    <w:rsid w:val="00015BB5"/>
    <w:rsid w:val="00015E37"/>
    <w:rsid w:val="000200D5"/>
    <w:rsid w:val="000219DD"/>
    <w:rsid w:val="00024374"/>
    <w:rsid w:val="00024DA8"/>
    <w:rsid w:val="00025F07"/>
    <w:rsid w:val="00025FE3"/>
    <w:rsid w:val="00026CC7"/>
    <w:rsid w:val="00026E6A"/>
    <w:rsid w:val="00027573"/>
    <w:rsid w:val="000305D0"/>
    <w:rsid w:val="000312B9"/>
    <w:rsid w:val="00031B31"/>
    <w:rsid w:val="0003241B"/>
    <w:rsid w:val="00034A00"/>
    <w:rsid w:val="000359A3"/>
    <w:rsid w:val="00035BE7"/>
    <w:rsid w:val="00036A41"/>
    <w:rsid w:val="00036D5B"/>
    <w:rsid w:val="00040339"/>
    <w:rsid w:val="000408B2"/>
    <w:rsid w:val="000421F2"/>
    <w:rsid w:val="00042DF7"/>
    <w:rsid w:val="0004305F"/>
    <w:rsid w:val="00044038"/>
    <w:rsid w:val="000444D4"/>
    <w:rsid w:val="00045C7B"/>
    <w:rsid w:val="00045D33"/>
    <w:rsid w:val="00046507"/>
    <w:rsid w:val="000475A2"/>
    <w:rsid w:val="00047D50"/>
    <w:rsid w:val="00050C45"/>
    <w:rsid w:val="00052B72"/>
    <w:rsid w:val="000548CA"/>
    <w:rsid w:val="00054B2D"/>
    <w:rsid w:val="00055021"/>
    <w:rsid w:val="00055253"/>
    <w:rsid w:val="000559A4"/>
    <w:rsid w:val="00056B36"/>
    <w:rsid w:val="00057A3A"/>
    <w:rsid w:val="00057B4D"/>
    <w:rsid w:val="00057F82"/>
    <w:rsid w:val="00060BA2"/>
    <w:rsid w:val="00061137"/>
    <w:rsid w:val="00063203"/>
    <w:rsid w:val="0006507F"/>
    <w:rsid w:val="00065739"/>
    <w:rsid w:val="00065C43"/>
    <w:rsid w:val="00067D7D"/>
    <w:rsid w:val="00067E46"/>
    <w:rsid w:val="0007014C"/>
    <w:rsid w:val="00070404"/>
    <w:rsid w:val="000716A5"/>
    <w:rsid w:val="0007229A"/>
    <w:rsid w:val="00076847"/>
    <w:rsid w:val="00077D20"/>
    <w:rsid w:val="00080889"/>
    <w:rsid w:val="00083BF3"/>
    <w:rsid w:val="00083DA2"/>
    <w:rsid w:val="00083F2E"/>
    <w:rsid w:val="0008454D"/>
    <w:rsid w:val="00084DE5"/>
    <w:rsid w:val="000851E4"/>
    <w:rsid w:val="0008777A"/>
    <w:rsid w:val="00090BC5"/>
    <w:rsid w:val="00093CB9"/>
    <w:rsid w:val="00094939"/>
    <w:rsid w:val="00094A46"/>
    <w:rsid w:val="00094F92"/>
    <w:rsid w:val="0009560F"/>
    <w:rsid w:val="000968A0"/>
    <w:rsid w:val="000968E6"/>
    <w:rsid w:val="00096C0F"/>
    <w:rsid w:val="000A0142"/>
    <w:rsid w:val="000A0C9B"/>
    <w:rsid w:val="000A1521"/>
    <w:rsid w:val="000A1864"/>
    <w:rsid w:val="000A323A"/>
    <w:rsid w:val="000A32A2"/>
    <w:rsid w:val="000A7991"/>
    <w:rsid w:val="000B0B9C"/>
    <w:rsid w:val="000B0E42"/>
    <w:rsid w:val="000B3120"/>
    <w:rsid w:val="000B387F"/>
    <w:rsid w:val="000B3DF2"/>
    <w:rsid w:val="000B3E32"/>
    <w:rsid w:val="000B510E"/>
    <w:rsid w:val="000B5E79"/>
    <w:rsid w:val="000B7971"/>
    <w:rsid w:val="000C0F3F"/>
    <w:rsid w:val="000C4ACF"/>
    <w:rsid w:val="000C7C1F"/>
    <w:rsid w:val="000D049B"/>
    <w:rsid w:val="000D2930"/>
    <w:rsid w:val="000D33BA"/>
    <w:rsid w:val="000D4184"/>
    <w:rsid w:val="000D4985"/>
    <w:rsid w:val="000D4C1F"/>
    <w:rsid w:val="000D580E"/>
    <w:rsid w:val="000D73DB"/>
    <w:rsid w:val="000E0744"/>
    <w:rsid w:val="000E07F2"/>
    <w:rsid w:val="000E108F"/>
    <w:rsid w:val="000E23D7"/>
    <w:rsid w:val="000E36B3"/>
    <w:rsid w:val="000E4D94"/>
    <w:rsid w:val="000E515D"/>
    <w:rsid w:val="000E540B"/>
    <w:rsid w:val="000E5BC3"/>
    <w:rsid w:val="000E5D4C"/>
    <w:rsid w:val="000E6C26"/>
    <w:rsid w:val="000E7620"/>
    <w:rsid w:val="000F078C"/>
    <w:rsid w:val="000F24C8"/>
    <w:rsid w:val="000F2701"/>
    <w:rsid w:val="000F276B"/>
    <w:rsid w:val="000F3A7E"/>
    <w:rsid w:val="000F47CC"/>
    <w:rsid w:val="000F4B2E"/>
    <w:rsid w:val="000F4B89"/>
    <w:rsid w:val="000F4CF1"/>
    <w:rsid w:val="000F540A"/>
    <w:rsid w:val="00101B4F"/>
    <w:rsid w:val="00101D26"/>
    <w:rsid w:val="00103E84"/>
    <w:rsid w:val="00104343"/>
    <w:rsid w:val="00104FA5"/>
    <w:rsid w:val="0011039F"/>
    <w:rsid w:val="00111D26"/>
    <w:rsid w:val="001123DA"/>
    <w:rsid w:val="0011325C"/>
    <w:rsid w:val="001135CF"/>
    <w:rsid w:val="00113CE3"/>
    <w:rsid w:val="001144DF"/>
    <w:rsid w:val="001147DD"/>
    <w:rsid w:val="00115204"/>
    <w:rsid w:val="00115F2D"/>
    <w:rsid w:val="00116F3A"/>
    <w:rsid w:val="00117948"/>
    <w:rsid w:val="00117981"/>
    <w:rsid w:val="00117A67"/>
    <w:rsid w:val="00120C51"/>
    <w:rsid w:val="0012144C"/>
    <w:rsid w:val="00122B31"/>
    <w:rsid w:val="001241FD"/>
    <w:rsid w:val="0012433E"/>
    <w:rsid w:val="001249D1"/>
    <w:rsid w:val="00124EFE"/>
    <w:rsid w:val="00126A93"/>
    <w:rsid w:val="00126BE4"/>
    <w:rsid w:val="00126D05"/>
    <w:rsid w:val="00127214"/>
    <w:rsid w:val="00130A9C"/>
    <w:rsid w:val="001314F6"/>
    <w:rsid w:val="0013208A"/>
    <w:rsid w:val="00135131"/>
    <w:rsid w:val="001357BB"/>
    <w:rsid w:val="00136D01"/>
    <w:rsid w:val="001374E6"/>
    <w:rsid w:val="001417A2"/>
    <w:rsid w:val="00141840"/>
    <w:rsid w:val="001418FC"/>
    <w:rsid w:val="00143E4E"/>
    <w:rsid w:val="00143E5A"/>
    <w:rsid w:val="00144591"/>
    <w:rsid w:val="00146BD0"/>
    <w:rsid w:val="00147ECF"/>
    <w:rsid w:val="00147EE0"/>
    <w:rsid w:val="0015059F"/>
    <w:rsid w:val="001514DB"/>
    <w:rsid w:val="001521E2"/>
    <w:rsid w:val="0015281D"/>
    <w:rsid w:val="00154028"/>
    <w:rsid w:val="00154230"/>
    <w:rsid w:val="001544CB"/>
    <w:rsid w:val="00155928"/>
    <w:rsid w:val="00156E95"/>
    <w:rsid w:val="00157B1F"/>
    <w:rsid w:val="0016127E"/>
    <w:rsid w:val="001616BD"/>
    <w:rsid w:val="001618AD"/>
    <w:rsid w:val="00163B37"/>
    <w:rsid w:val="00163FA7"/>
    <w:rsid w:val="0016434F"/>
    <w:rsid w:val="001646E7"/>
    <w:rsid w:val="00167112"/>
    <w:rsid w:val="00170CBC"/>
    <w:rsid w:val="00171691"/>
    <w:rsid w:val="00171B4D"/>
    <w:rsid w:val="00171F2C"/>
    <w:rsid w:val="00173ACA"/>
    <w:rsid w:val="00175051"/>
    <w:rsid w:val="00175392"/>
    <w:rsid w:val="001759B4"/>
    <w:rsid w:val="0017607C"/>
    <w:rsid w:val="001818D6"/>
    <w:rsid w:val="00181EB5"/>
    <w:rsid w:val="00182193"/>
    <w:rsid w:val="0018223F"/>
    <w:rsid w:val="00182BEC"/>
    <w:rsid w:val="00183D87"/>
    <w:rsid w:val="001844BB"/>
    <w:rsid w:val="00184876"/>
    <w:rsid w:val="00186627"/>
    <w:rsid w:val="00186649"/>
    <w:rsid w:val="00186F4C"/>
    <w:rsid w:val="00190BE8"/>
    <w:rsid w:val="0019211E"/>
    <w:rsid w:val="00192B6E"/>
    <w:rsid w:val="00193EBE"/>
    <w:rsid w:val="00194231"/>
    <w:rsid w:val="00194360"/>
    <w:rsid w:val="0019466A"/>
    <w:rsid w:val="0019509C"/>
    <w:rsid w:val="00195CF7"/>
    <w:rsid w:val="00196D00"/>
    <w:rsid w:val="00196EEE"/>
    <w:rsid w:val="001A045D"/>
    <w:rsid w:val="001A1616"/>
    <w:rsid w:val="001A29A5"/>
    <w:rsid w:val="001A29B6"/>
    <w:rsid w:val="001A3624"/>
    <w:rsid w:val="001A3DD3"/>
    <w:rsid w:val="001A71A3"/>
    <w:rsid w:val="001A7CA4"/>
    <w:rsid w:val="001B076D"/>
    <w:rsid w:val="001B177E"/>
    <w:rsid w:val="001B3EAB"/>
    <w:rsid w:val="001B5654"/>
    <w:rsid w:val="001B6EDC"/>
    <w:rsid w:val="001C0151"/>
    <w:rsid w:val="001C143D"/>
    <w:rsid w:val="001C243D"/>
    <w:rsid w:val="001C31CF"/>
    <w:rsid w:val="001C3561"/>
    <w:rsid w:val="001C3734"/>
    <w:rsid w:val="001C3974"/>
    <w:rsid w:val="001C3EBE"/>
    <w:rsid w:val="001C469E"/>
    <w:rsid w:val="001C6BF1"/>
    <w:rsid w:val="001D0169"/>
    <w:rsid w:val="001D05D8"/>
    <w:rsid w:val="001D116F"/>
    <w:rsid w:val="001D204B"/>
    <w:rsid w:val="001D3265"/>
    <w:rsid w:val="001D3759"/>
    <w:rsid w:val="001D4D64"/>
    <w:rsid w:val="001D5B05"/>
    <w:rsid w:val="001D6681"/>
    <w:rsid w:val="001D7795"/>
    <w:rsid w:val="001E2C88"/>
    <w:rsid w:val="001E2FD2"/>
    <w:rsid w:val="001E3757"/>
    <w:rsid w:val="001E491F"/>
    <w:rsid w:val="001E584C"/>
    <w:rsid w:val="001E5F83"/>
    <w:rsid w:val="001E6207"/>
    <w:rsid w:val="001E62A5"/>
    <w:rsid w:val="001E743D"/>
    <w:rsid w:val="001F08D4"/>
    <w:rsid w:val="001F14EE"/>
    <w:rsid w:val="001F1D51"/>
    <w:rsid w:val="001F21CC"/>
    <w:rsid w:val="001F3D92"/>
    <w:rsid w:val="001F4729"/>
    <w:rsid w:val="001F4C7B"/>
    <w:rsid w:val="001F4E01"/>
    <w:rsid w:val="001F57C7"/>
    <w:rsid w:val="001F5AF1"/>
    <w:rsid w:val="001F5B75"/>
    <w:rsid w:val="001F6A71"/>
    <w:rsid w:val="001F70CF"/>
    <w:rsid w:val="00200421"/>
    <w:rsid w:val="0020152A"/>
    <w:rsid w:val="0020177C"/>
    <w:rsid w:val="00201843"/>
    <w:rsid w:val="00202618"/>
    <w:rsid w:val="002033E9"/>
    <w:rsid w:val="002034FD"/>
    <w:rsid w:val="0020388D"/>
    <w:rsid w:val="00203AEC"/>
    <w:rsid w:val="00204541"/>
    <w:rsid w:val="00204CA7"/>
    <w:rsid w:val="0020517C"/>
    <w:rsid w:val="00205D10"/>
    <w:rsid w:val="00205DCD"/>
    <w:rsid w:val="002066B5"/>
    <w:rsid w:val="00206B5A"/>
    <w:rsid w:val="002109B8"/>
    <w:rsid w:val="00210DC6"/>
    <w:rsid w:val="002112C7"/>
    <w:rsid w:val="00211740"/>
    <w:rsid w:val="00213233"/>
    <w:rsid w:val="00213DCD"/>
    <w:rsid w:val="00213E62"/>
    <w:rsid w:val="00213E9C"/>
    <w:rsid w:val="00216E40"/>
    <w:rsid w:val="00221082"/>
    <w:rsid w:val="002228EF"/>
    <w:rsid w:val="00223028"/>
    <w:rsid w:val="00223680"/>
    <w:rsid w:val="00224DD3"/>
    <w:rsid w:val="00225A25"/>
    <w:rsid w:val="00226219"/>
    <w:rsid w:val="0022651D"/>
    <w:rsid w:val="0022675E"/>
    <w:rsid w:val="00232968"/>
    <w:rsid w:val="00234A95"/>
    <w:rsid w:val="00236F6A"/>
    <w:rsid w:val="00240D1D"/>
    <w:rsid w:val="002412C7"/>
    <w:rsid w:val="00241B67"/>
    <w:rsid w:val="00241FA2"/>
    <w:rsid w:val="00243175"/>
    <w:rsid w:val="002435B8"/>
    <w:rsid w:val="002444C7"/>
    <w:rsid w:val="0024646D"/>
    <w:rsid w:val="00247F3C"/>
    <w:rsid w:val="002516FC"/>
    <w:rsid w:val="002524A0"/>
    <w:rsid w:val="00252518"/>
    <w:rsid w:val="00252DD1"/>
    <w:rsid w:val="00253280"/>
    <w:rsid w:val="0025452F"/>
    <w:rsid w:val="00254F7A"/>
    <w:rsid w:val="00255FB3"/>
    <w:rsid w:val="002562F4"/>
    <w:rsid w:val="00257430"/>
    <w:rsid w:val="00260BF2"/>
    <w:rsid w:val="00261360"/>
    <w:rsid w:val="00262911"/>
    <w:rsid w:val="002636E2"/>
    <w:rsid w:val="00264F9D"/>
    <w:rsid w:val="00265469"/>
    <w:rsid w:val="002667AF"/>
    <w:rsid w:val="002676B3"/>
    <w:rsid w:val="002678F1"/>
    <w:rsid w:val="0027062E"/>
    <w:rsid w:val="00271955"/>
    <w:rsid w:val="00271B21"/>
    <w:rsid w:val="00271E20"/>
    <w:rsid w:val="0027286D"/>
    <w:rsid w:val="00273B69"/>
    <w:rsid w:val="00273FD2"/>
    <w:rsid w:val="00274163"/>
    <w:rsid w:val="002760E6"/>
    <w:rsid w:val="00276286"/>
    <w:rsid w:val="00276859"/>
    <w:rsid w:val="002768A0"/>
    <w:rsid w:val="0027711B"/>
    <w:rsid w:val="0028129F"/>
    <w:rsid w:val="00281304"/>
    <w:rsid w:val="0028372E"/>
    <w:rsid w:val="002844BD"/>
    <w:rsid w:val="0028523E"/>
    <w:rsid w:val="0028549B"/>
    <w:rsid w:val="00285FF0"/>
    <w:rsid w:val="00286A3E"/>
    <w:rsid w:val="00286A5E"/>
    <w:rsid w:val="00286CC0"/>
    <w:rsid w:val="00290D5C"/>
    <w:rsid w:val="00290D6F"/>
    <w:rsid w:val="00290E9B"/>
    <w:rsid w:val="00291C8D"/>
    <w:rsid w:val="00292B5E"/>
    <w:rsid w:val="00293667"/>
    <w:rsid w:val="00294FD0"/>
    <w:rsid w:val="00296613"/>
    <w:rsid w:val="00297BE8"/>
    <w:rsid w:val="002A17FD"/>
    <w:rsid w:val="002A18F7"/>
    <w:rsid w:val="002A1DCA"/>
    <w:rsid w:val="002A2136"/>
    <w:rsid w:val="002A34C4"/>
    <w:rsid w:val="002A40DC"/>
    <w:rsid w:val="002A4D8B"/>
    <w:rsid w:val="002A53E4"/>
    <w:rsid w:val="002A585B"/>
    <w:rsid w:val="002A7ADA"/>
    <w:rsid w:val="002B018B"/>
    <w:rsid w:val="002B0766"/>
    <w:rsid w:val="002B10F8"/>
    <w:rsid w:val="002B37F1"/>
    <w:rsid w:val="002B4E09"/>
    <w:rsid w:val="002B6B36"/>
    <w:rsid w:val="002B6D31"/>
    <w:rsid w:val="002B71A4"/>
    <w:rsid w:val="002C3DA0"/>
    <w:rsid w:val="002C5CBC"/>
    <w:rsid w:val="002D12F3"/>
    <w:rsid w:val="002D3517"/>
    <w:rsid w:val="002D40D3"/>
    <w:rsid w:val="002D57BC"/>
    <w:rsid w:val="002E0444"/>
    <w:rsid w:val="002E0562"/>
    <w:rsid w:val="002E1395"/>
    <w:rsid w:val="002E1558"/>
    <w:rsid w:val="002E1C93"/>
    <w:rsid w:val="002E3EFC"/>
    <w:rsid w:val="002E5273"/>
    <w:rsid w:val="002E5960"/>
    <w:rsid w:val="002E5998"/>
    <w:rsid w:val="002E6A7B"/>
    <w:rsid w:val="002F0500"/>
    <w:rsid w:val="002F0576"/>
    <w:rsid w:val="002F09A2"/>
    <w:rsid w:val="002F1490"/>
    <w:rsid w:val="002F3BC1"/>
    <w:rsid w:val="002F3BEC"/>
    <w:rsid w:val="002F3CBA"/>
    <w:rsid w:val="002F4238"/>
    <w:rsid w:val="002F4C84"/>
    <w:rsid w:val="002F64E0"/>
    <w:rsid w:val="002F697B"/>
    <w:rsid w:val="002F69C9"/>
    <w:rsid w:val="003018FF"/>
    <w:rsid w:val="0030224B"/>
    <w:rsid w:val="00302DA7"/>
    <w:rsid w:val="00310E05"/>
    <w:rsid w:val="0031237E"/>
    <w:rsid w:val="00312C9B"/>
    <w:rsid w:val="0031388A"/>
    <w:rsid w:val="0031443E"/>
    <w:rsid w:val="00314E41"/>
    <w:rsid w:val="00316E09"/>
    <w:rsid w:val="00317C92"/>
    <w:rsid w:val="00317D54"/>
    <w:rsid w:val="00320BC4"/>
    <w:rsid w:val="00321B80"/>
    <w:rsid w:val="00322145"/>
    <w:rsid w:val="003226B4"/>
    <w:rsid w:val="00322A10"/>
    <w:rsid w:val="00322E5F"/>
    <w:rsid w:val="00324AA3"/>
    <w:rsid w:val="00325A02"/>
    <w:rsid w:val="00326B49"/>
    <w:rsid w:val="00327161"/>
    <w:rsid w:val="00327B8A"/>
    <w:rsid w:val="00330267"/>
    <w:rsid w:val="003312E2"/>
    <w:rsid w:val="00331897"/>
    <w:rsid w:val="00331FDB"/>
    <w:rsid w:val="00332007"/>
    <w:rsid w:val="00332370"/>
    <w:rsid w:val="00332541"/>
    <w:rsid w:val="003325B2"/>
    <w:rsid w:val="00333D87"/>
    <w:rsid w:val="003341FD"/>
    <w:rsid w:val="003346B2"/>
    <w:rsid w:val="00335149"/>
    <w:rsid w:val="00335387"/>
    <w:rsid w:val="00337741"/>
    <w:rsid w:val="00340E06"/>
    <w:rsid w:val="0034212C"/>
    <w:rsid w:val="00342355"/>
    <w:rsid w:val="00342BB2"/>
    <w:rsid w:val="00343D50"/>
    <w:rsid w:val="00345E0C"/>
    <w:rsid w:val="00346A02"/>
    <w:rsid w:val="0034702C"/>
    <w:rsid w:val="003473BB"/>
    <w:rsid w:val="003478AF"/>
    <w:rsid w:val="00347F1A"/>
    <w:rsid w:val="00351225"/>
    <w:rsid w:val="00351980"/>
    <w:rsid w:val="00351A6E"/>
    <w:rsid w:val="00352A6A"/>
    <w:rsid w:val="00353520"/>
    <w:rsid w:val="00355B42"/>
    <w:rsid w:val="00357631"/>
    <w:rsid w:val="003578F6"/>
    <w:rsid w:val="003605D6"/>
    <w:rsid w:val="00363115"/>
    <w:rsid w:val="0036397D"/>
    <w:rsid w:val="003673FA"/>
    <w:rsid w:val="00370E65"/>
    <w:rsid w:val="00371FD0"/>
    <w:rsid w:val="0037206C"/>
    <w:rsid w:val="003721D4"/>
    <w:rsid w:val="00372267"/>
    <w:rsid w:val="00372607"/>
    <w:rsid w:val="00372A87"/>
    <w:rsid w:val="00373695"/>
    <w:rsid w:val="00373FE3"/>
    <w:rsid w:val="00374241"/>
    <w:rsid w:val="00374651"/>
    <w:rsid w:val="00374EBA"/>
    <w:rsid w:val="00375678"/>
    <w:rsid w:val="0037643D"/>
    <w:rsid w:val="00376547"/>
    <w:rsid w:val="00376E7E"/>
    <w:rsid w:val="00377317"/>
    <w:rsid w:val="00377F79"/>
    <w:rsid w:val="0038061E"/>
    <w:rsid w:val="00380E1E"/>
    <w:rsid w:val="003819B7"/>
    <w:rsid w:val="003826CA"/>
    <w:rsid w:val="00384B77"/>
    <w:rsid w:val="00385439"/>
    <w:rsid w:val="00385E94"/>
    <w:rsid w:val="00386ABE"/>
    <w:rsid w:val="00386FB1"/>
    <w:rsid w:val="00390FE7"/>
    <w:rsid w:val="00391131"/>
    <w:rsid w:val="00392A0D"/>
    <w:rsid w:val="00393031"/>
    <w:rsid w:val="00396E11"/>
    <w:rsid w:val="003A159C"/>
    <w:rsid w:val="003A1646"/>
    <w:rsid w:val="003A407E"/>
    <w:rsid w:val="003A4909"/>
    <w:rsid w:val="003A4C03"/>
    <w:rsid w:val="003A4E06"/>
    <w:rsid w:val="003A555C"/>
    <w:rsid w:val="003A5E9F"/>
    <w:rsid w:val="003A622E"/>
    <w:rsid w:val="003A7DF1"/>
    <w:rsid w:val="003B11AD"/>
    <w:rsid w:val="003B15DE"/>
    <w:rsid w:val="003B162F"/>
    <w:rsid w:val="003B3945"/>
    <w:rsid w:val="003B5128"/>
    <w:rsid w:val="003B523E"/>
    <w:rsid w:val="003B5636"/>
    <w:rsid w:val="003B67B4"/>
    <w:rsid w:val="003B7B4D"/>
    <w:rsid w:val="003C026B"/>
    <w:rsid w:val="003C059F"/>
    <w:rsid w:val="003C06F4"/>
    <w:rsid w:val="003C0BE1"/>
    <w:rsid w:val="003C2570"/>
    <w:rsid w:val="003C2A02"/>
    <w:rsid w:val="003C7A86"/>
    <w:rsid w:val="003D0FB4"/>
    <w:rsid w:val="003D16E7"/>
    <w:rsid w:val="003D18CD"/>
    <w:rsid w:val="003D1C9C"/>
    <w:rsid w:val="003D737D"/>
    <w:rsid w:val="003E177D"/>
    <w:rsid w:val="003E2D9E"/>
    <w:rsid w:val="003E48DB"/>
    <w:rsid w:val="003E55B0"/>
    <w:rsid w:val="003E5C92"/>
    <w:rsid w:val="003E72D1"/>
    <w:rsid w:val="003F001F"/>
    <w:rsid w:val="003F1917"/>
    <w:rsid w:val="003F227C"/>
    <w:rsid w:val="003F33AC"/>
    <w:rsid w:val="003F3548"/>
    <w:rsid w:val="003F3A1B"/>
    <w:rsid w:val="003F3D8D"/>
    <w:rsid w:val="003F61D6"/>
    <w:rsid w:val="003F6313"/>
    <w:rsid w:val="003F7BA3"/>
    <w:rsid w:val="003F7D6B"/>
    <w:rsid w:val="004032EA"/>
    <w:rsid w:val="00405723"/>
    <w:rsid w:val="00405AB3"/>
    <w:rsid w:val="00406770"/>
    <w:rsid w:val="00406DBD"/>
    <w:rsid w:val="0040722C"/>
    <w:rsid w:val="00407981"/>
    <w:rsid w:val="00411686"/>
    <w:rsid w:val="00411E86"/>
    <w:rsid w:val="004128E2"/>
    <w:rsid w:val="004146B1"/>
    <w:rsid w:val="004163A4"/>
    <w:rsid w:val="00417128"/>
    <w:rsid w:val="004175A1"/>
    <w:rsid w:val="004178D3"/>
    <w:rsid w:val="00420128"/>
    <w:rsid w:val="00420980"/>
    <w:rsid w:val="00420B61"/>
    <w:rsid w:val="00421474"/>
    <w:rsid w:val="00422E01"/>
    <w:rsid w:val="0042357E"/>
    <w:rsid w:val="00426132"/>
    <w:rsid w:val="004274AF"/>
    <w:rsid w:val="00430D32"/>
    <w:rsid w:val="004312C9"/>
    <w:rsid w:val="00431A6D"/>
    <w:rsid w:val="00432ABE"/>
    <w:rsid w:val="00433174"/>
    <w:rsid w:val="00433F35"/>
    <w:rsid w:val="00434098"/>
    <w:rsid w:val="004355E0"/>
    <w:rsid w:val="00437A28"/>
    <w:rsid w:val="0044096F"/>
    <w:rsid w:val="00440B65"/>
    <w:rsid w:val="00442123"/>
    <w:rsid w:val="00444CB5"/>
    <w:rsid w:val="004451F5"/>
    <w:rsid w:val="0044592E"/>
    <w:rsid w:val="00446455"/>
    <w:rsid w:val="004471E4"/>
    <w:rsid w:val="0044730E"/>
    <w:rsid w:val="00452414"/>
    <w:rsid w:val="004539BB"/>
    <w:rsid w:val="00455D11"/>
    <w:rsid w:val="00456DFD"/>
    <w:rsid w:val="004575A4"/>
    <w:rsid w:val="00457930"/>
    <w:rsid w:val="00460D43"/>
    <w:rsid w:val="00461C14"/>
    <w:rsid w:val="00463114"/>
    <w:rsid w:val="00463637"/>
    <w:rsid w:val="00465F99"/>
    <w:rsid w:val="00467237"/>
    <w:rsid w:val="00467926"/>
    <w:rsid w:val="00467BDD"/>
    <w:rsid w:val="004700CE"/>
    <w:rsid w:val="00471692"/>
    <w:rsid w:val="00472FAC"/>
    <w:rsid w:val="004743D2"/>
    <w:rsid w:val="00474FFA"/>
    <w:rsid w:val="00480476"/>
    <w:rsid w:val="0048095C"/>
    <w:rsid w:val="004827F9"/>
    <w:rsid w:val="00482861"/>
    <w:rsid w:val="00482D82"/>
    <w:rsid w:val="00483135"/>
    <w:rsid w:val="00483270"/>
    <w:rsid w:val="004842C6"/>
    <w:rsid w:val="004844C4"/>
    <w:rsid w:val="004849A2"/>
    <w:rsid w:val="00484D4E"/>
    <w:rsid w:val="00485696"/>
    <w:rsid w:val="00485FC6"/>
    <w:rsid w:val="00486DA5"/>
    <w:rsid w:val="0049255F"/>
    <w:rsid w:val="00494A16"/>
    <w:rsid w:val="00495E0C"/>
    <w:rsid w:val="00496267"/>
    <w:rsid w:val="004963D2"/>
    <w:rsid w:val="00497337"/>
    <w:rsid w:val="004A0831"/>
    <w:rsid w:val="004A23C5"/>
    <w:rsid w:val="004A2CE9"/>
    <w:rsid w:val="004A4773"/>
    <w:rsid w:val="004A477B"/>
    <w:rsid w:val="004A6EE6"/>
    <w:rsid w:val="004A7BEF"/>
    <w:rsid w:val="004A7C21"/>
    <w:rsid w:val="004B0B37"/>
    <w:rsid w:val="004B0CA0"/>
    <w:rsid w:val="004B0EFC"/>
    <w:rsid w:val="004B11D5"/>
    <w:rsid w:val="004B1662"/>
    <w:rsid w:val="004B1AD5"/>
    <w:rsid w:val="004B217A"/>
    <w:rsid w:val="004B2D53"/>
    <w:rsid w:val="004B3A9B"/>
    <w:rsid w:val="004B48DB"/>
    <w:rsid w:val="004B5376"/>
    <w:rsid w:val="004B6FB0"/>
    <w:rsid w:val="004C13DE"/>
    <w:rsid w:val="004C39C1"/>
    <w:rsid w:val="004C3F78"/>
    <w:rsid w:val="004C45EA"/>
    <w:rsid w:val="004C45FD"/>
    <w:rsid w:val="004C5BC2"/>
    <w:rsid w:val="004C6E85"/>
    <w:rsid w:val="004C7504"/>
    <w:rsid w:val="004C76B3"/>
    <w:rsid w:val="004D1120"/>
    <w:rsid w:val="004D114E"/>
    <w:rsid w:val="004D2A43"/>
    <w:rsid w:val="004D320D"/>
    <w:rsid w:val="004D3D4B"/>
    <w:rsid w:val="004D3DCF"/>
    <w:rsid w:val="004D4386"/>
    <w:rsid w:val="004D5468"/>
    <w:rsid w:val="004D57A5"/>
    <w:rsid w:val="004D63EB"/>
    <w:rsid w:val="004D7C81"/>
    <w:rsid w:val="004E2F23"/>
    <w:rsid w:val="004E40E7"/>
    <w:rsid w:val="004E6872"/>
    <w:rsid w:val="004F03EE"/>
    <w:rsid w:val="004F059D"/>
    <w:rsid w:val="004F073E"/>
    <w:rsid w:val="004F07A8"/>
    <w:rsid w:val="004F1455"/>
    <w:rsid w:val="004F1CE9"/>
    <w:rsid w:val="004F2999"/>
    <w:rsid w:val="004F4B83"/>
    <w:rsid w:val="004F532B"/>
    <w:rsid w:val="004F7CAE"/>
    <w:rsid w:val="004F7F0F"/>
    <w:rsid w:val="00500E5B"/>
    <w:rsid w:val="00503F61"/>
    <w:rsid w:val="005056E9"/>
    <w:rsid w:val="00507BDF"/>
    <w:rsid w:val="00510F78"/>
    <w:rsid w:val="0051236F"/>
    <w:rsid w:val="005123C9"/>
    <w:rsid w:val="00512A0A"/>
    <w:rsid w:val="00512A0B"/>
    <w:rsid w:val="00512C99"/>
    <w:rsid w:val="00512FF7"/>
    <w:rsid w:val="0051580C"/>
    <w:rsid w:val="00515C94"/>
    <w:rsid w:val="00515FBD"/>
    <w:rsid w:val="00516A3E"/>
    <w:rsid w:val="00516C67"/>
    <w:rsid w:val="00517270"/>
    <w:rsid w:val="005203C3"/>
    <w:rsid w:val="00520857"/>
    <w:rsid w:val="00521C53"/>
    <w:rsid w:val="00523391"/>
    <w:rsid w:val="005243F0"/>
    <w:rsid w:val="00524B57"/>
    <w:rsid w:val="00525DF5"/>
    <w:rsid w:val="00526D82"/>
    <w:rsid w:val="00530235"/>
    <w:rsid w:val="00530C5A"/>
    <w:rsid w:val="005322B3"/>
    <w:rsid w:val="00534090"/>
    <w:rsid w:val="00536954"/>
    <w:rsid w:val="00540EE5"/>
    <w:rsid w:val="00541E75"/>
    <w:rsid w:val="00544403"/>
    <w:rsid w:val="00544A0D"/>
    <w:rsid w:val="00544F0B"/>
    <w:rsid w:val="00545305"/>
    <w:rsid w:val="00547211"/>
    <w:rsid w:val="00547B73"/>
    <w:rsid w:val="00551289"/>
    <w:rsid w:val="0055232D"/>
    <w:rsid w:val="00552B1A"/>
    <w:rsid w:val="00553F07"/>
    <w:rsid w:val="00554555"/>
    <w:rsid w:val="005548E3"/>
    <w:rsid w:val="00555680"/>
    <w:rsid w:val="00555C23"/>
    <w:rsid w:val="00556BF7"/>
    <w:rsid w:val="005571CF"/>
    <w:rsid w:val="00557463"/>
    <w:rsid w:val="00563140"/>
    <w:rsid w:val="00563E77"/>
    <w:rsid w:val="005660A2"/>
    <w:rsid w:val="005663DF"/>
    <w:rsid w:val="005666E6"/>
    <w:rsid w:val="005668E6"/>
    <w:rsid w:val="0056787C"/>
    <w:rsid w:val="005701F7"/>
    <w:rsid w:val="00570C53"/>
    <w:rsid w:val="00570D47"/>
    <w:rsid w:val="00570E4D"/>
    <w:rsid w:val="0057179C"/>
    <w:rsid w:val="00573014"/>
    <w:rsid w:val="00573F7A"/>
    <w:rsid w:val="00574C55"/>
    <w:rsid w:val="00574DBA"/>
    <w:rsid w:val="0057515D"/>
    <w:rsid w:val="005754CC"/>
    <w:rsid w:val="00576039"/>
    <w:rsid w:val="005777F9"/>
    <w:rsid w:val="00580EC7"/>
    <w:rsid w:val="00586591"/>
    <w:rsid w:val="00586ACC"/>
    <w:rsid w:val="00590CBB"/>
    <w:rsid w:val="00590ED6"/>
    <w:rsid w:val="00594B87"/>
    <w:rsid w:val="0059640A"/>
    <w:rsid w:val="005966C7"/>
    <w:rsid w:val="005A1601"/>
    <w:rsid w:val="005A187C"/>
    <w:rsid w:val="005A224E"/>
    <w:rsid w:val="005A2424"/>
    <w:rsid w:val="005A3A5A"/>
    <w:rsid w:val="005A49D7"/>
    <w:rsid w:val="005A4F10"/>
    <w:rsid w:val="005A6D00"/>
    <w:rsid w:val="005B232A"/>
    <w:rsid w:val="005B2A78"/>
    <w:rsid w:val="005B2D51"/>
    <w:rsid w:val="005B473D"/>
    <w:rsid w:val="005B503B"/>
    <w:rsid w:val="005B553F"/>
    <w:rsid w:val="005B6EED"/>
    <w:rsid w:val="005B6F3C"/>
    <w:rsid w:val="005B711E"/>
    <w:rsid w:val="005C0173"/>
    <w:rsid w:val="005C2031"/>
    <w:rsid w:val="005C2E33"/>
    <w:rsid w:val="005C6206"/>
    <w:rsid w:val="005C650C"/>
    <w:rsid w:val="005C6C72"/>
    <w:rsid w:val="005C75CD"/>
    <w:rsid w:val="005D15BC"/>
    <w:rsid w:val="005D2DCE"/>
    <w:rsid w:val="005D5E19"/>
    <w:rsid w:val="005D74ED"/>
    <w:rsid w:val="005D765B"/>
    <w:rsid w:val="005E0F0E"/>
    <w:rsid w:val="005E5D21"/>
    <w:rsid w:val="005E634F"/>
    <w:rsid w:val="005E7E0D"/>
    <w:rsid w:val="005F03D2"/>
    <w:rsid w:val="005F0AFE"/>
    <w:rsid w:val="005F14F9"/>
    <w:rsid w:val="005F17D6"/>
    <w:rsid w:val="005F1933"/>
    <w:rsid w:val="005F3F25"/>
    <w:rsid w:val="005F54FD"/>
    <w:rsid w:val="005F5B8B"/>
    <w:rsid w:val="005F793A"/>
    <w:rsid w:val="00601D6B"/>
    <w:rsid w:val="00601EF0"/>
    <w:rsid w:val="006028BC"/>
    <w:rsid w:val="00602BCF"/>
    <w:rsid w:val="00603510"/>
    <w:rsid w:val="006040AD"/>
    <w:rsid w:val="00604D48"/>
    <w:rsid w:val="00604F1D"/>
    <w:rsid w:val="0060514B"/>
    <w:rsid w:val="00606E23"/>
    <w:rsid w:val="00611D2C"/>
    <w:rsid w:val="00611D3F"/>
    <w:rsid w:val="00612469"/>
    <w:rsid w:val="006127FD"/>
    <w:rsid w:val="00613313"/>
    <w:rsid w:val="00614273"/>
    <w:rsid w:val="00614E50"/>
    <w:rsid w:val="0061602D"/>
    <w:rsid w:val="00617FA3"/>
    <w:rsid w:val="006203A4"/>
    <w:rsid w:val="00621293"/>
    <w:rsid w:val="00621DAF"/>
    <w:rsid w:val="00625A30"/>
    <w:rsid w:val="006261F8"/>
    <w:rsid w:val="0062682C"/>
    <w:rsid w:val="00627274"/>
    <w:rsid w:val="00630F6D"/>
    <w:rsid w:val="0063128D"/>
    <w:rsid w:val="006325F6"/>
    <w:rsid w:val="006332D4"/>
    <w:rsid w:val="00634109"/>
    <w:rsid w:val="00634158"/>
    <w:rsid w:val="00634727"/>
    <w:rsid w:val="00635B23"/>
    <w:rsid w:val="00636C8A"/>
    <w:rsid w:val="00637B85"/>
    <w:rsid w:val="0064077F"/>
    <w:rsid w:val="00641903"/>
    <w:rsid w:val="00642EB5"/>
    <w:rsid w:val="00642F7D"/>
    <w:rsid w:val="00644062"/>
    <w:rsid w:val="006443AE"/>
    <w:rsid w:val="0064471F"/>
    <w:rsid w:val="00644EA6"/>
    <w:rsid w:val="00646469"/>
    <w:rsid w:val="006467C1"/>
    <w:rsid w:val="006504A8"/>
    <w:rsid w:val="00650FF1"/>
    <w:rsid w:val="00652896"/>
    <w:rsid w:val="0065526E"/>
    <w:rsid w:val="00655653"/>
    <w:rsid w:val="00656408"/>
    <w:rsid w:val="00657DBD"/>
    <w:rsid w:val="0066029B"/>
    <w:rsid w:val="00660EE3"/>
    <w:rsid w:val="006615FF"/>
    <w:rsid w:val="00662892"/>
    <w:rsid w:val="0066425D"/>
    <w:rsid w:val="006648F7"/>
    <w:rsid w:val="006649E0"/>
    <w:rsid w:val="00666286"/>
    <w:rsid w:val="00667316"/>
    <w:rsid w:val="00670146"/>
    <w:rsid w:val="0067092E"/>
    <w:rsid w:val="00670D15"/>
    <w:rsid w:val="006712DE"/>
    <w:rsid w:val="00671DA4"/>
    <w:rsid w:val="006728CD"/>
    <w:rsid w:val="00672C32"/>
    <w:rsid w:val="0067354C"/>
    <w:rsid w:val="00673C35"/>
    <w:rsid w:val="00675579"/>
    <w:rsid w:val="006758CC"/>
    <w:rsid w:val="00675981"/>
    <w:rsid w:val="00675D57"/>
    <w:rsid w:val="00677851"/>
    <w:rsid w:val="006847E5"/>
    <w:rsid w:val="006850CF"/>
    <w:rsid w:val="00685A38"/>
    <w:rsid w:val="00685F93"/>
    <w:rsid w:val="00687350"/>
    <w:rsid w:val="0068738F"/>
    <w:rsid w:val="006876EA"/>
    <w:rsid w:val="00687F11"/>
    <w:rsid w:val="00691809"/>
    <w:rsid w:val="00692A6B"/>
    <w:rsid w:val="006933A9"/>
    <w:rsid w:val="0069374A"/>
    <w:rsid w:val="0069426C"/>
    <w:rsid w:val="00696452"/>
    <w:rsid w:val="00697435"/>
    <w:rsid w:val="006A063E"/>
    <w:rsid w:val="006A0B5A"/>
    <w:rsid w:val="006A1B8D"/>
    <w:rsid w:val="006A50F2"/>
    <w:rsid w:val="006A5226"/>
    <w:rsid w:val="006A5324"/>
    <w:rsid w:val="006A5D87"/>
    <w:rsid w:val="006A7009"/>
    <w:rsid w:val="006B034A"/>
    <w:rsid w:val="006B0CFF"/>
    <w:rsid w:val="006B1066"/>
    <w:rsid w:val="006B179A"/>
    <w:rsid w:val="006B23BB"/>
    <w:rsid w:val="006B269D"/>
    <w:rsid w:val="006B2794"/>
    <w:rsid w:val="006B283D"/>
    <w:rsid w:val="006B28A7"/>
    <w:rsid w:val="006B406A"/>
    <w:rsid w:val="006B4AD3"/>
    <w:rsid w:val="006B4E8D"/>
    <w:rsid w:val="006B59EC"/>
    <w:rsid w:val="006B5DE4"/>
    <w:rsid w:val="006B708B"/>
    <w:rsid w:val="006B7D2E"/>
    <w:rsid w:val="006B7EF6"/>
    <w:rsid w:val="006C0338"/>
    <w:rsid w:val="006C17AD"/>
    <w:rsid w:val="006C35A1"/>
    <w:rsid w:val="006C42F3"/>
    <w:rsid w:val="006C4476"/>
    <w:rsid w:val="006C4E69"/>
    <w:rsid w:val="006C53F2"/>
    <w:rsid w:val="006C6228"/>
    <w:rsid w:val="006C67DB"/>
    <w:rsid w:val="006C7C1D"/>
    <w:rsid w:val="006C7FB7"/>
    <w:rsid w:val="006D051C"/>
    <w:rsid w:val="006D326B"/>
    <w:rsid w:val="006D3F66"/>
    <w:rsid w:val="006D46F2"/>
    <w:rsid w:val="006D7831"/>
    <w:rsid w:val="006E3666"/>
    <w:rsid w:val="006E4F5B"/>
    <w:rsid w:val="006E51D1"/>
    <w:rsid w:val="006E5D18"/>
    <w:rsid w:val="006E6CA7"/>
    <w:rsid w:val="006E778E"/>
    <w:rsid w:val="006E78DF"/>
    <w:rsid w:val="006E78E5"/>
    <w:rsid w:val="006F0918"/>
    <w:rsid w:val="006F0A66"/>
    <w:rsid w:val="006F0CEE"/>
    <w:rsid w:val="006F2575"/>
    <w:rsid w:val="006F2829"/>
    <w:rsid w:val="006F2933"/>
    <w:rsid w:val="006F408E"/>
    <w:rsid w:val="006F437F"/>
    <w:rsid w:val="006F67CE"/>
    <w:rsid w:val="006F6D93"/>
    <w:rsid w:val="006F6E57"/>
    <w:rsid w:val="006F73A5"/>
    <w:rsid w:val="006F7A2D"/>
    <w:rsid w:val="006F7D7B"/>
    <w:rsid w:val="00704F21"/>
    <w:rsid w:val="00706179"/>
    <w:rsid w:val="0070786B"/>
    <w:rsid w:val="0070787A"/>
    <w:rsid w:val="00707FAB"/>
    <w:rsid w:val="0071008E"/>
    <w:rsid w:val="00710DA2"/>
    <w:rsid w:val="00712010"/>
    <w:rsid w:val="0071306D"/>
    <w:rsid w:val="00713B8F"/>
    <w:rsid w:val="00714590"/>
    <w:rsid w:val="0071564B"/>
    <w:rsid w:val="007160B8"/>
    <w:rsid w:val="007175C5"/>
    <w:rsid w:val="007177D3"/>
    <w:rsid w:val="00717AC5"/>
    <w:rsid w:val="00721603"/>
    <w:rsid w:val="007228B9"/>
    <w:rsid w:val="00722DC3"/>
    <w:rsid w:val="00723447"/>
    <w:rsid w:val="0072418C"/>
    <w:rsid w:val="007241CE"/>
    <w:rsid w:val="007244B2"/>
    <w:rsid w:val="0072719E"/>
    <w:rsid w:val="00730D1D"/>
    <w:rsid w:val="007326F8"/>
    <w:rsid w:val="00733286"/>
    <w:rsid w:val="0073359D"/>
    <w:rsid w:val="00734FC8"/>
    <w:rsid w:val="00735419"/>
    <w:rsid w:val="00736953"/>
    <w:rsid w:val="007372EB"/>
    <w:rsid w:val="00737E04"/>
    <w:rsid w:val="00740808"/>
    <w:rsid w:val="007427AF"/>
    <w:rsid w:val="007430E9"/>
    <w:rsid w:val="00743908"/>
    <w:rsid w:val="00743B83"/>
    <w:rsid w:val="007443EF"/>
    <w:rsid w:val="00744732"/>
    <w:rsid w:val="00744F20"/>
    <w:rsid w:val="00745388"/>
    <w:rsid w:val="007455E6"/>
    <w:rsid w:val="007456F8"/>
    <w:rsid w:val="00745AFD"/>
    <w:rsid w:val="0074707D"/>
    <w:rsid w:val="00747976"/>
    <w:rsid w:val="007501A1"/>
    <w:rsid w:val="00751041"/>
    <w:rsid w:val="00754264"/>
    <w:rsid w:val="007559D0"/>
    <w:rsid w:val="00756E12"/>
    <w:rsid w:val="0075712B"/>
    <w:rsid w:val="00760BBE"/>
    <w:rsid w:val="00760D9A"/>
    <w:rsid w:val="007623F2"/>
    <w:rsid w:val="00762451"/>
    <w:rsid w:val="007639B6"/>
    <w:rsid w:val="00765895"/>
    <w:rsid w:val="00767688"/>
    <w:rsid w:val="0077153A"/>
    <w:rsid w:val="00771DAC"/>
    <w:rsid w:val="0077258C"/>
    <w:rsid w:val="00773291"/>
    <w:rsid w:val="0077409C"/>
    <w:rsid w:val="00774B3B"/>
    <w:rsid w:val="00775F49"/>
    <w:rsid w:val="00776281"/>
    <w:rsid w:val="00777070"/>
    <w:rsid w:val="007772AC"/>
    <w:rsid w:val="00777544"/>
    <w:rsid w:val="00777897"/>
    <w:rsid w:val="00780E88"/>
    <w:rsid w:val="00781447"/>
    <w:rsid w:val="00781E88"/>
    <w:rsid w:val="00783BEA"/>
    <w:rsid w:val="00784D4D"/>
    <w:rsid w:val="00787D62"/>
    <w:rsid w:val="007918A3"/>
    <w:rsid w:val="007919C0"/>
    <w:rsid w:val="00791FE3"/>
    <w:rsid w:val="00792125"/>
    <w:rsid w:val="0079272B"/>
    <w:rsid w:val="007937B0"/>
    <w:rsid w:val="0079625A"/>
    <w:rsid w:val="00796C93"/>
    <w:rsid w:val="00796F5A"/>
    <w:rsid w:val="00797F91"/>
    <w:rsid w:val="007A0878"/>
    <w:rsid w:val="007A1C14"/>
    <w:rsid w:val="007A38C1"/>
    <w:rsid w:val="007A5462"/>
    <w:rsid w:val="007A748B"/>
    <w:rsid w:val="007B09C8"/>
    <w:rsid w:val="007B1873"/>
    <w:rsid w:val="007B1F96"/>
    <w:rsid w:val="007B1FD9"/>
    <w:rsid w:val="007B2ACA"/>
    <w:rsid w:val="007B3B15"/>
    <w:rsid w:val="007B3E9E"/>
    <w:rsid w:val="007B5A00"/>
    <w:rsid w:val="007B63B8"/>
    <w:rsid w:val="007B6F82"/>
    <w:rsid w:val="007B7897"/>
    <w:rsid w:val="007B7AC7"/>
    <w:rsid w:val="007C16E5"/>
    <w:rsid w:val="007C1B8B"/>
    <w:rsid w:val="007C48B2"/>
    <w:rsid w:val="007C719E"/>
    <w:rsid w:val="007C7385"/>
    <w:rsid w:val="007C7CF8"/>
    <w:rsid w:val="007D0617"/>
    <w:rsid w:val="007D1639"/>
    <w:rsid w:val="007D2BA2"/>
    <w:rsid w:val="007D42E7"/>
    <w:rsid w:val="007D5091"/>
    <w:rsid w:val="007D50D5"/>
    <w:rsid w:val="007D55AF"/>
    <w:rsid w:val="007D5E18"/>
    <w:rsid w:val="007D6B68"/>
    <w:rsid w:val="007D6E0D"/>
    <w:rsid w:val="007D779F"/>
    <w:rsid w:val="007E0915"/>
    <w:rsid w:val="007E0A7B"/>
    <w:rsid w:val="007E12C9"/>
    <w:rsid w:val="007E2088"/>
    <w:rsid w:val="007E4A5E"/>
    <w:rsid w:val="007E4B75"/>
    <w:rsid w:val="007E4C23"/>
    <w:rsid w:val="007E51BF"/>
    <w:rsid w:val="007E59B2"/>
    <w:rsid w:val="007E6DB3"/>
    <w:rsid w:val="007E7149"/>
    <w:rsid w:val="007E75F5"/>
    <w:rsid w:val="007F062D"/>
    <w:rsid w:val="007F0AEC"/>
    <w:rsid w:val="007F139E"/>
    <w:rsid w:val="007F18B0"/>
    <w:rsid w:val="007F1A0C"/>
    <w:rsid w:val="007F21EE"/>
    <w:rsid w:val="007F3541"/>
    <w:rsid w:val="007F59BE"/>
    <w:rsid w:val="007F692F"/>
    <w:rsid w:val="00800F7E"/>
    <w:rsid w:val="008014D3"/>
    <w:rsid w:val="0080191A"/>
    <w:rsid w:val="00804EE4"/>
    <w:rsid w:val="00805025"/>
    <w:rsid w:val="0080533E"/>
    <w:rsid w:val="008067BF"/>
    <w:rsid w:val="0080714A"/>
    <w:rsid w:val="00810516"/>
    <w:rsid w:val="00810751"/>
    <w:rsid w:val="00811487"/>
    <w:rsid w:val="00812A1C"/>
    <w:rsid w:val="0081734F"/>
    <w:rsid w:val="008174E0"/>
    <w:rsid w:val="0082004A"/>
    <w:rsid w:val="00820B67"/>
    <w:rsid w:val="00823511"/>
    <w:rsid w:val="00823882"/>
    <w:rsid w:val="00824C60"/>
    <w:rsid w:val="00825525"/>
    <w:rsid w:val="008258F0"/>
    <w:rsid w:val="00825991"/>
    <w:rsid w:val="00825B5C"/>
    <w:rsid w:val="00825B9D"/>
    <w:rsid w:val="008262C0"/>
    <w:rsid w:val="0082662B"/>
    <w:rsid w:val="0083047E"/>
    <w:rsid w:val="008320AD"/>
    <w:rsid w:val="0083294B"/>
    <w:rsid w:val="00832DFC"/>
    <w:rsid w:val="0083460B"/>
    <w:rsid w:val="008346AA"/>
    <w:rsid w:val="00836D6A"/>
    <w:rsid w:val="008371FC"/>
    <w:rsid w:val="00837F8D"/>
    <w:rsid w:val="00840CD9"/>
    <w:rsid w:val="008414A2"/>
    <w:rsid w:val="008415F0"/>
    <w:rsid w:val="00842428"/>
    <w:rsid w:val="00842A7E"/>
    <w:rsid w:val="00843AF6"/>
    <w:rsid w:val="00844A2D"/>
    <w:rsid w:val="0084546E"/>
    <w:rsid w:val="0084680E"/>
    <w:rsid w:val="00847871"/>
    <w:rsid w:val="00850BDB"/>
    <w:rsid w:val="00850CEC"/>
    <w:rsid w:val="008526CB"/>
    <w:rsid w:val="0086033D"/>
    <w:rsid w:val="008610CA"/>
    <w:rsid w:val="008611A2"/>
    <w:rsid w:val="008616BF"/>
    <w:rsid w:val="00861CC2"/>
    <w:rsid w:val="00862620"/>
    <w:rsid w:val="008627DC"/>
    <w:rsid w:val="00863832"/>
    <w:rsid w:val="00866874"/>
    <w:rsid w:val="0086724F"/>
    <w:rsid w:val="00867BE6"/>
    <w:rsid w:val="00867C1D"/>
    <w:rsid w:val="008709FA"/>
    <w:rsid w:val="00870A6C"/>
    <w:rsid w:val="00870EA7"/>
    <w:rsid w:val="008723A7"/>
    <w:rsid w:val="00873890"/>
    <w:rsid w:val="00876BAC"/>
    <w:rsid w:val="0088042E"/>
    <w:rsid w:val="00882ECF"/>
    <w:rsid w:val="008831D5"/>
    <w:rsid w:val="008839A7"/>
    <w:rsid w:val="008840B5"/>
    <w:rsid w:val="00885228"/>
    <w:rsid w:val="008853CB"/>
    <w:rsid w:val="00886896"/>
    <w:rsid w:val="00886DC2"/>
    <w:rsid w:val="00886F63"/>
    <w:rsid w:val="00887B2B"/>
    <w:rsid w:val="00890AB2"/>
    <w:rsid w:val="00892B6C"/>
    <w:rsid w:val="00892FF3"/>
    <w:rsid w:val="00893596"/>
    <w:rsid w:val="008943C0"/>
    <w:rsid w:val="0089601F"/>
    <w:rsid w:val="008A0C5E"/>
    <w:rsid w:val="008A4679"/>
    <w:rsid w:val="008A4BE7"/>
    <w:rsid w:val="008A4D29"/>
    <w:rsid w:val="008A5F53"/>
    <w:rsid w:val="008A783F"/>
    <w:rsid w:val="008A7A61"/>
    <w:rsid w:val="008B0A5D"/>
    <w:rsid w:val="008B119F"/>
    <w:rsid w:val="008B1504"/>
    <w:rsid w:val="008B1C16"/>
    <w:rsid w:val="008B393A"/>
    <w:rsid w:val="008B50A8"/>
    <w:rsid w:val="008B6E3F"/>
    <w:rsid w:val="008B7442"/>
    <w:rsid w:val="008B7520"/>
    <w:rsid w:val="008C0E4F"/>
    <w:rsid w:val="008C166E"/>
    <w:rsid w:val="008C31D2"/>
    <w:rsid w:val="008C336E"/>
    <w:rsid w:val="008C3FF7"/>
    <w:rsid w:val="008C4C71"/>
    <w:rsid w:val="008C590D"/>
    <w:rsid w:val="008C7BDC"/>
    <w:rsid w:val="008D0EBD"/>
    <w:rsid w:val="008D1260"/>
    <w:rsid w:val="008D1493"/>
    <w:rsid w:val="008D296E"/>
    <w:rsid w:val="008D3625"/>
    <w:rsid w:val="008D5BCF"/>
    <w:rsid w:val="008D6FE3"/>
    <w:rsid w:val="008D77E9"/>
    <w:rsid w:val="008E0A76"/>
    <w:rsid w:val="008E46D0"/>
    <w:rsid w:val="008E55DB"/>
    <w:rsid w:val="008F1443"/>
    <w:rsid w:val="008F25AC"/>
    <w:rsid w:val="008F2CB4"/>
    <w:rsid w:val="008F40D3"/>
    <w:rsid w:val="008F4DA5"/>
    <w:rsid w:val="008F6175"/>
    <w:rsid w:val="008F61AB"/>
    <w:rsid w:val="008F7319"/>
    <w:rsid w:val="00900F78"/>
    <w:rsid w:val="009013FF"/>
    <w:rsid w:val="0090355E"/>
    <w:rsid w:val="00904905"/>
    <w:rsid w:val="009053DB"/>
    <w:rsid w:val="009054CF"/>
    <w:rsid w:val="00905F42"/>
    <w:rsid w:val="00906341"/>
    <w:rsid w:val="009069DF"/>
    <w:rsid w:val="00906D73"/>
    <w:rsid w:val="00906E6C"/>
    <w:rsid w:val="00907B62"/>
    <w:rsid w:val="009122E3"/>
    <w:rsid w:val="00913C3C"/>
    <w:rsid w:val="00913CB7"/>
    <w:rsid w:val="009142AE"/>
    <w:rsid w:val="009144A2"/>
    <w:rsid w:val="0091610F"/>
    <w:rsid w:val="00916DFE"/>
    <w:rsid w:val="009175BF"/>
    <w:rsid w:val="00921566"/>
    <w:rsid w:val="00922E3D"/>
    <w:rsid w:val="00923DE8"/>
    <w:rsid w:val="00926A9D"/>
    <w:rsid w:val="00927B15"/>
    <w:rsid w:val="0093034C"/>
    <w:rsid w:val="009308AD"/>
    <w:rsid w:val="009310D4"/>
    <w:rsid w:val="00931B8A"/>
    <w:rsid w:val="0093211C"/>
    <w:rsid w:val="009323C3"/>
    <w:rsid w:val="009324E4"/>
    <w:rsid w:val="00932DB4"/>
    <w:rsid w:val="00932EE0"/>
    <w:rsid w:val="00935321"/>
    <w:rsid w:val="0093541E"/>
    <w:rsid w:val="009364FA"/>
    <w:rsid w:val="009368AB"/>
    <w:rsid w:val="009369E4"/>
    <w:rsid w:val="00940CCE"/>
    <w:rsid w:val="00941FF0"/>
    <w:rsid w:val="009428F2"/>
    <w:rsid w:val="00944C48"/>
    <w:rsid w:val="0094691E"/>
    <w:rsid w:val="00946BBA"/>
    <w:rsid w:val="0094721C"/>
    <w:rsid w:val="00950110"/>
    <w:rsid w:val="009521A2"/>
    <w:rsid w:val="00953AF8"/>
    <w:rsid w:val="00953BD8"/>
    <w:rsid w:val="00953D66"/>
    <w:rsid w:val="009546CE"/>
    <w:rsid w:val="009548A1"/>
    <w:rsid w:val="00955AE5"/>
    <w:rsid w:val="00956187"/>
    <w:rsid w:val="009577EA"/>
    <w:rsid w:val="009578D9"/>
    <w:rsid w:val="009615C5"/>
    <w:rsid w:val="00961BA8"/>
    <w:rsid w:val="0096286D"/>
    <w:rsid w:val="009639A0"/>
    <w:rsid w:val="00964E71"/>
    <w:rsid w:val="00965D57"/>
    <w:rsid w:val="009709AE"/>
    <w:rsid w:val="00971918"/>
    <w:rsid w:val="00971B2B"/>
    <w:rsid w:val="009735A7"/>
    <w:rsid w:val="00974B9D"/>
    <w:rsid w:val="00975BC2"/>
    <w:rsid w:val="00976709"/>
    <w:rsid w:val="0097673E"/>
    <w:rsid w:val="00976B7B"/>
    <w:rsid w:val="0097715C"/>
    <w:rsid w:val="009809A8"/>
    <w:rsid w:val="00980F7F"/>
    <w:rsid w:val="009811F7"/>
    <w:rsid w:val="00981995"/>
    <w:rsid w:val="00981E2E"/>
    <w:rsid w:val="00982022"/>
    <w:rsid w:val="009827A0"/>
    <w:rsid w:val="00983728"/>
    <w:rsid w:val="00983FA5"/>
    <w:rsid w:val="009842A2"/>
    <w:rsid w:val="00986AEB"/>
    <w:rsid w:val="009919DA"/>
    <w:rsid w:val="00991E86"/>
    <w:rsid w:val="00991F0C"/>
    <w:rsid w:val="00992110"/>
    <w:rsid w:val="00992414"/>
    <w:rsid w:val="00993E15"/>
    <w:rsid w:val="00994B28"/>
    <w:rsid w:val="00994D64"/>
    <w:rsid w:val="00995538"/>
    <w:rsid w:val="00996C4F"/>
    <w:rsid w:val="00996E86"/>
    <w:rsid w:val="00997125"/>
    <w:rsid w:val="009A03BF"/>
    <w:rsid w:val="009A03EB"/>
    <w:rsid w:val="009A151F"/>
    <w:rsid w:val="009A1E34"/>
    <w:rsid w:val="009A2432"/>
    <w:rsid w:val="009A3857"/>
    <w:rsid w:val="009A421C"/>
    <w:rsid w:val="009A4E88"/>
    <w:rsid w:val="009A5688"/>
    <w:rsid w:val="009A60E3"/>
    <w:rsid w:val="009A63FD"/>
    <w:rsid w:val="009A67EB"/>
    <w:rsid w:val="009A6ED9"/>
    <w:rsid w:val="009B0F57"/>
    <w:rsid w:val="009B19EB"/>
    <w:rsid w:val="009B2654"/>
    <w:rsid w:val="009B3718"/>
    <w:rsid w:val="009B4A3B"/>
    <w:rsid w:val="009B60C3"/>
    <w:rsid w:val="009B6490"/>
    <w:rsid w:val="009B6B49"/>
    <w:rsid w:val="009B7620"/>
    <w:rsid w:val="009C01AF"/>
    <w:rsid w:val="009C02FD"/>
    <w:rsid w:val="009C1A6B"/>
    <w:rsid w:val="009C250A"/>
    <w:rsid w:val="009C274E"/>
    <w:rsid w:val="009C39C9"/>
    <w:rsid w:val="009C4F20"/>
    <w:rsid w:val="009C5AD4"/>
    <w:rsid w:val="009C7483"/>
    <w:rsid w:val="009C7685"/>
    <w:rsid w:val="009D0555"/>
    <w:rsid w:val="009D08A2"/>
    <w:rsid w:val="009D105C"/>
    <w:rsid w:val="009D1260"/>
    <w:rsid w:val="009D1B87"/>
    <w:rsid w:val="009D2A4F"/>
    <w:rsid w:val="009D4B47"/>
    <w:rsid w:val="009D5A58"/>
    <w:rsid w:val="009D71FB"/>
    <w:rsid w:val="009D74A2"/>
    <w:rsid w:val="009E05D3"/>
    <w:rsid w:val="009E1207"/>
    <w:rsid w:val="009E2D74"/>
    <w:rsid w:val="009E3213"/>
    <w:rsid w:val="009E38C2"/>
    <w:rsid w:val="009E4A41"/>
    <w:rsid w:val="009E4A82"/>
    <w:rsid w:val="009E5937"/>
    <w:rsid w:val="009E6DF5"/>
    <w:rsid w:val="009E78E7"/>
    <w:rsid w:val="009F04E0"/>
    <w:rsid w:val="009F1ABB"/>
    <w:rsid w:val="009F225F"/>
    <w:rsid w:val="009F27D5"/>
    <w:rsid w:val="009F29B8"/>
    <w:rsid w:val="009F361D"/>
    <w:rsid w:val="009F3F47"/>
    <w:rsid w:val="009F5555"/>
    <w:rsid w:val="009F7046"/>
    <w:rsid w:val="009F774C"/>
    <w:rsid w:val="009F794D"/>
    <w:rsid w:val="009F7E80"/>
    <w:rsid w:val="00A01B4D"/>
    <w:rsid w:val="00A0202D"/>
    <w:rsid w:val="00A02D4C"/>
    <w:rsid w:val="00A055F8"/>
    <w:rsid w:val="00A05E85"/>
    <w:rsid w:val="00A05EC5"/>
    <w:rsid w:val="00A06234"/>
    <w:rsid w:val="00A12158"/>
    <w:rsid w:val="00A1319F"/>
    <w:rsid w:val="00A1380D"/>
    <w:rsid w:val="00A14C4E"/>
    <w:rsid w:val="00A15187"/>
    <w:rsid w:val="00A20F78"/>
    <w:rsid w:val="00A21B89"/>
    <w:rsid w:val="00A220D1"/>
    <w:rsid w:val="00A230EB"/>
    <w:rsid w:val="00A2326A"/>
    <w:rsid w:val="00A24246"/>
    <w:rsid w:val="00A24D62"/>
    <w:rsid w:val="00A270E5"/>
    <w:rsid w:val="00A274BF"/>
    <w:rsid w:val="00A278FF"/>
    <w:rsid w:val="00A30E52"/>
    <w:rsid w:val="00A31571"/>
    <w:rsid w:val="00A3274B"/>
    <w:rsid w:val="00A331B9"/>
    <w:rsid w:val="00A33986"/>
    <w:rsid w:val="00A356A0"/>
    <w:rsid w:val="00A36FB5"/>
    <w:rsid w:val="00A373FB"/>
    <w:rsid w:val="00A42C4F"/>
    <w:rsid w:val="00A42D82"/>
    <w:rsid w:val="00A43D6B"/>
    <w:rsid w:val="00A43FAC"/>
    <w:rsid w:val="00A446A4"/>
    <w:rsid w:val="00A4704E"/>
    <w:rsid w:val="00A50BF3"/>
    <w:rsid w:val="00A527ED"/>
    <w:rsid w:val="00A53D21"/>
    <w:rsid w:val="00A5472D"/>
    <w:rsid w:val="00A54B35"/>
    <w:rsid w:val="00A55324"/>
    <w:rsid w:val="00A555E3"/>
    <w:rsid w:val="00A568A7"/>
    <w:rsid w:val="00A57086"/>
    <w:rsid w:val="00A573B3"/>
    <w:rsid w:val="00A60A6D"/>
    <w:rsid w:val="00A61409"/>
    <w:rsid w:val="00A614D1"/>
    <w:rsid w:val="00A620EF"/>
    <w:rsid w:val="00A62D20"/>
    <w:rsid w:val="00A63A89"/>
    <w:rsid w:val="00A665C9"/>
    <w:rsid w:val="00A665F3"/>
    <w:rsid w:val="00A66C34"/>
    <w:rsid w:val="00A676DF"/>
    <w:rsid w:val="00A700F8"/>
    <w:rsid w:val="00A70456"/>
    <w:rsid w:val="00A7069A"/>
    <w:rsid w:val="00A70D2D"/>
    <w:rsid w:val="00A71AB1"/>
    <w:rsid w:val="00A71BCB"/>
    <w:rsid w:val="00A7283A"/>
    <w:rsid w:val="00A7338F"/>
    <w:rsid w:val="00A746A5"/>
    <w:rsid w:val="00A74F30"/>
    <w:rsid w:val="00A7693A"/>
    <w:rsid w:val="00A7701C"/>
    <w:rsid w:val="00A770C2"/>
    <w:rsid w:val="00A77969"/>
    <w:rsid w:val="00A77A45"/>
    <w:rsid w:val="00A803E2"/>
    <w:rsid w:val="00A8119B"/>
    <w:rsid w:val="00A816C0"/>
    <w:rsid w:val="00A8269B"/>
    <w:rsid w:val="00A82C61"/>
    <w:rsid w:val="00A83913"/>
    <w:rsid w:val="00A850EE"/>
    <w:rsid w:val="00A857AB"/>
    <w:rsid w:val="00A85AD7"/>
    <w:rsid w:val="00A85B79"/>
    <w:rsid w:val="00A86DBB"/>
    <w:rsid w:val="00A87881"/>
    <w:rsid w:val="00A87F73"/>
    <w:rsid w:val="00A90473"/>
    <w:rsid w:val="00A90ED6"/>
    <w:rsid w:val="00A92569"/>
    <w:rsid w:val="00A92940"/>
    <w:rsid w:val="00A92CC5"/>
    <w:rsid w:val="00A92D38"/>
    <w:rsid w:val="00A93929"/>
    <w:rsid w:val="00A957FF"/>
    <w:rsid w:val="00A97B0A"/>
    <w:rsid w:val="00AA046D"/>
    <w:rsid w:val="00AA098B"/>
    <w:rsid w:val="00AA1601"/>
    <w:rsid w:val="00AA3243"/>
    <w:rsid w:val="00AA3A6C"/>
    <w:rsid w:val="00AA3AD6"/>
    <w:rsid w:val="00AA425B"/>
    <w:rsid w:val="00AA468E"/>
    <w:rsid w:val="00AA4B87"/>
    <w:rsid w:val="00AA53F8"/>
    <w:rsid w:val="00AA630D"/>
    <w:rsid w:val="00AA673B"/>
    <w:rsid w:val="00AA67E7"/>
    <w:rsid w:val="00AA7903"/>
    <w:rsid w:val="00AB2F5C"/>
    <w:rsid w:val="00AB36F0"/>
    <w:rsid w:val="00AB3F06"/>
    <w:rsid w:val="00AB4709"/>
    <w:rsid w:val="00AB7EA7"/>
    <w:rsid w:val="00AC00B7"/>
    <w:rsid w:val="00AC0363"/>
    <w:rsid w:val="00AC0463"/>
    <w:rsid w:val="00AC0803"/>
    <w:rsid w:val="00AC2DC6"/>
    <w:rsid w:val="00AC3F8B"/>
    <w:rsid w:val="00AC4765"/>
    <w:rsid w:val="00AC5280"/>
    <w:rsid w:val="00AD02CF"/>
    <w:rsid w:val="00AD0361"/>
    <w:rsid w:val="00AD069C"/>
    <w:rsid w:val="00AD088A"/>
    <w:rsid w:val="00AD0F3B"/>
    <w:rsid w:val="00AD1297"/>
    <w:rsid w:val="00AD4135"/>
    <w:rsid w:val="00AD6010"/>
    <w:rsid w:val="00AD6223"/>
    <w:rsid w:val="00AD6892"/>
    <w:rsid w:val="00AD767A"/>
    <w:rsid w:val="00AD7CEB"/>
    <w:rsid w:val="00AE1588"/>
    <w:rsid w:val="00AE2200"/>
    <w:rsid w:val="00AE2497"/>
    <w:rsid w:val="00AE2BD0"/>
    <w:rsid w:val="00AE3C3B"/>
    <w:rsid w:val="00AE550B"/>
    <w:rsid w:val="00AE61C9"/>
    <w:rsid w:val="00AE679E"/>
    <w:rsid w:val="00AE6C2B"/>
    <w:rsid w:val="00AF0EDB"/>
    <w:rsid w:val="00AF1D30"/>
    <w:rsid w:val="00AF4211"/>
    <w:rsid w:val="00AF4722"/>
    <w:rsid w:val="00AF4D96"/>
    <w:rsid w:val="00AF4EF3"/>
    <w:rsid w:val="00AF7CBB"/>
    <w:rsid w:val="00AF7F68"/>
    <w:rsid w:val="00B017FA"/>
    <w:rsid w:val="00B02311"/>
    <w:rsid w:val="00B023E6"/>
    <w:rsid w:val="00B03A94"/>
    <w:rsid w:val="00B03D49"/>
    <w:rsid w:val="00B05235"/>
    <w:rsid w:val="00B0603E"/>
    <w:rsid w:val="00B0613F"/>
    <w:rsid w:val="00B06870"/>
    <w:rsid w:val="00B06B4F"/>
    <w:rsid w:val="00B07262"/>
    <w:rsid w:val="00B077AB"/>
    <w:rsid w:val="00B077B6"/>
    <w:rsid w:val="00B07856"/>
    <w:rsid w:val="00B078F9"/>
    <w:rsid w:val="00B1006C"/>
    <w:rsid w:val="00B10918"/>
    <w:rsid w:val="00B116A4"/>
    <w:rsid w:val="00B11BEE"/>
    <w:rsid w:val="00B12397"/>
    <w:rsid w:val="00B148F4"/>
    <w:rsid w:val="00B15DD1"/>
    <w:rsid w:val="00B16062"/>
    <w:rsid w:val="00B16FD7"/>
    <w:rsid w:val="00B17E08"/>
    <w:rsid w:val="00B17F07"/>
    <w:rsid w:val="00B211B2"/>
    <w:rsid w:val="00B21C12"/>
    <w:rsid w:val="00B21EEC"/>
    <w:rsid w:val="00B22725"/>
    <w:rsid w:val="00B22993"/>
    <w:rsid w:val="00B2324B"/>
    <w:rsid w:val="00B233DC"/>
    <w:rsid w:val="00B235CB"/>
    <w:rsid w:val="00B23F00"/>
    <w:rsid w:val="00B251A6"/>
    <w:rsid w:val="00B34263"/>
    <w:rsid w:val="00B348DB"/>
    <w:rsid w:val="00B34A70"/>
    <w:rsid w:val="00B354A7"/>
    <w:rsid w:val="00B3560E"/>
    <w:rsid w:val="00B4008A"/>
    <w:rsid w:val="00B40C19"/>
    <w:rsid w:val="00B41C4F"/>
    <w:rsid w:val="00B42D20"/>
    <w:rsid w:val="00B43C50"/>
    <w:rsid w:val="00B443B2"/>
    <w:rsid w:val="00B45781"/>
    <w:rsid w:val="00B45B51"/>
    <w:rsid w:val="00B45B95"/>
    <w:rsid w:val="00B47144"/>
    <w:rsid w:val="00B47203"/>
    <w:rsid w:val="00B50AC1"/>
    <w:rsid w:val="00B5256F"/>
    <w:rsid w:val="00B53E74"/>
    <w:rsid w:val="00B54398"/>
    <w:rsid w:val="00B54407"/>
    <w:rsid w:val="00B565A2"/>
    <w:rsid w:val="00B609F2"/>
    <w:rsid w:val="00B61970"/>
    <w:rsid w:val="00B636BC"/>
    <w:rsid w:val="00B65127"/>
    <w:rsid w:val="00B663C9"/>
    <w:rsid w:val="00B674B5"/>
    <w:rsid w:val="00B7155E"/>
    <w:rsid w:val="00B718A7"/>
    <w:rsid w:val="00B71E9D"/>
    <w:rsid w:val="00B7308D"/>
    <w:rsid w:val="00B73F96"/>
    <w:rsid w:val="00B743FE"/>
    <w:rsid w:val="00B74429"/>
    <w:rsid w:val="00B75A0C"/>
    <w:rsid w:val="00B76CAC"/>
    <w:rsid w:val="00B76EB9"/>
    <w:rsid w:val="00B771CC"/>
    <w:rsid w:val="00B778A1"/>
    <w:rsid w:val="00B80738"/>
    <w:rsid w:val="00B8244D"/>
    <w:rsid w:val="00B8396A"/>
    <w:rsid w:val="00B84525"/>
    <w:rsid w:val="00B861F1"/>
    <w:rsid w:val="00B86480"/>
    <w:rsid w:val="00B87249"/>
    <w:rsid w:val="00B9060B"/>
    <w:rsid w:val="00B914B9"/>
    <w:rsid w:val="00B91CA0"/>
    <w:rsid w:val="00B92806"/>
    <w:rsid w:val="00B94EB1"/>
    <w:rsid w:val="00BA098A"/>
    <w:rsid w:val="00BA1155"/>
    <w:rsid w:val="00BA1938"/>
    <w:rsid w:val="00BA2DBB"/>
    <w:rsid w:val="00BA2F01"/>
    <w:rsid w:val="00BA3031"/>
    <w:rsid w:val="00BA3A66"/>
    <w:rsid w:val="00BA40B5"/>
    <w:rsid w:val="00BA4706"/>
    <w:rsid w:val="00BA4BB7"/>
    <w:rsid w:val="00BA7445"/>
    <w:rsid w:val="00BB0532"/>
    <w:rsid w:val="00BB0AC2"/>
    <w:rsid w:val="00BB12CB"/>
    <w:rsid w:val="00BB2C51"/>
    <w:rsid w:val="00BB4740"/>
    <w:rsid w:val="00BB539D"/>
    <w:rsid w:val="00BB6DF9"/>
    <w:rsid w:val="00BB7387"/>
    <w:rsid w:val="00BC1337"/>
    <w:rsid w:val="00BC1361"/>
    <w:rsid w:val="00BC3CD5"/>
    <w:rsid w:val="00BC4810"/>
    <w:rsid w:val="00BC4CAF"/>
    <w:rsid w:val="00BC55E6"/>
    <w:rsid w:val="00BC56F7"/>
    <w:rsid w:val="00BC7FF9"/>
    <w:rsid w:val="00BD0060"/>
    <w:rsid w:val="00BD0251"/>
    <w:rsid w:val="00BD03BA"/>
    <w:rsid w:val="00BD2295"/>
    <w:rsid w:val="00BD381F"/>
    <w:rsid w:val="00BD3F95"/>
    <w:rsid w:val="00BD5CBA"/>
    <w:rsid w:val="00BE1393"/>
    <w:rsid w:val="00BE1D84"/>
    <w:rsid w:val="00BE21E4"/>
    <w:rsid w:val="00BE23AC"/>
    <w:rsid w:val="00BE2B73"/>
    <w:rsid w:val="00BE2DDA"/>
    <w:rsid w:val="00BE31D3"/>
    <w:rsid w:val="00BE3581"/>
    <w:rsid w:val="00BE4AC8"/>
    <w:rsid w:val="00BE525B"/>
    <w:rsid w:val="00BE6144"/>
    <w:rsid w:val="00BE6241"/>
    <w:rsid w:val="00BE63C5"/>
    <w:rsid w:val="00BF0749"/>
    <w:rsid w:val="00BF1DB7"/>
    <w:rsid w:val="00BF235F"/>
    <w:rsid w:val="00BF35BD"/>
    <w:rsid w:val="00BF387C"/>
    <w:rsid w:val="00BF44AB"/>
    <w:rsid w:val="00BF7103"/>
    <w:rsid w:val="00BF7DD1"/>
    <w:rsid w:val="00C00E2F"/>
    <w:rsid w:val="00C02B8B"/>
    <w:rsid w:val="00C02C61"/>
    <w:rsid w:val="00C035CC"/>
    <w:rsid w:val="00C05778"/>
    <w:rsid w:val="00C058D3"/>
    <w:rsid w:val="00C07527"/>
    <w:rsid w:val="00C1160E"/>
    <w:rsid w:val="00C12C47"/>
    <w:rsid w:val="00C13915"/>
    <w:rsid w:val="00C154EC"/>
    <w:rsid w:val="00C161D6"/>
    <w:rsid w:val="00C17ACA"/>
    <w:rsid w:val="00C20CE3"/>
    <w:rsid w:val="00C20D86"/>
    <w:rsid w:val="00C2124E"/>
    <w:rsid w:val="00C228F7"/>
    <w:rsid w:val="00C22AEE"/>
    <w:rsid w:val="00C23131"/>
    <w:rsid w:val="00C24D54"/>
    <w:rsid w:val="00C25009"/>
    <w:rsid w:val="00C25915"/>
    <w:rsid w:val="00C26055"/>
    <w:rsid w:val="00C278FE"/>
    <w:rsid w:val="00C27E13"/>
    <w:rsid w:val="00C30AB4"/>
    <w:rsid w:val="00C33968"/>
    <w:rsid w:val="00C3418F"/>
    <w:rsid w:val="00C34D55"/>
    <w:rsid w:val="00C3554C"/>
    <w:rsid w:val="00C36174"/>
    <w:rsid w:val="00C3703D"/>
    <w:rsid w:val="00C40590"/>
    <w:rsid w:val="00C4115A"/>
    <w:rsid w:val="00C41603"/>
    <w:rsid w:val="00C41689"/>
    <w:rsid w:val="00C424DF"/>
    <w:rsid w:val="00C433FF"/>
    <w:rsid w:val="00C46A57"/>
    <w:rsid w:val="00C46EAF"/>
    <w:rsid w:val="00C47246"/>
    <w:rsid w:val="00C47BF4"/>
    <w:rsid w:val="00C507BB"/>
    <w:rsid w:val="00C51314"/>
    <w:rsid w:val="00C51886"/>
    <w:rsid w:val="00C51B76"/>
    <w:rsid w:val="00C54EE1"/>
    <w:rsid w:val="00C55862"/>
    <w:rsid w:val="00C55DA5"/>
    <w:rsid w:val="00C56B46"/>
    <w:rsid w:val="00C56C24"/>
    <w:rsid w:val="00C57278"/>
    <w:rsid w:val="00C57405"/>
    <w:rsid w:val="00C57599"/>
    <w:rsid w:val="00C60BDE"/>
    <w:rsid w:val="00C620E3"/>
    <w:rsid w:val="00C62960"/>
    <w:rsid w:val="00C630F3"/>
    <w:rsid w:val="00C64B3C"/>
    <w:rsid w:val="00C64CEF"/>
    <w:rsid w:val="00C661E1"/>
    <w:rsid w:val="00C665E6"/>
    <w:rsid w:val="00C6797A"/>
    <w:rsid w:val="00C70953"/>
    <w:rsid w:val="00C70A87"/>
    <w:rsid w:val="00C70C60"/>
    <w:rsid w:val="00C71C54"/>
    <w:rsid w:val="00C7435B"/>
    <w:rsid w:val="00C745DB"/>
    <w:rsid w:val="00C807FF"/>
    <w:rsid w:val="00C80898"/>
    <w:rsid w:val="00C8105E"/>
    <w:rsid w:val="00C823F3"/>
    <w:rsid w:val="00C82E4A"/>
    <w:rsid w:val="00C830CE"/>
    <w:rsid w:val="00C83EE6"/>
    <w:rsid w:val="00C8709C"/>
    <w:rsid w:val="00C87B99"/>
    <w:rsid w:val="00C903F1"/>
    <w:rsid w:val="00C90EEF"/>
    <w:rsid w:val="00C92BB1"/>
    <w:rsid w:val="00C94A8A"/>
    <w:rsid w:val="00C94D41"/>
    <w:rsid w:val="00C96285"/>
    <w:rsid w:val="00C97F9E"/>
    <w:rsid w:val="00C97FBE"/>
    <w:rsid w:val="00CA03C1"/>
    <w:rsid w:val="00CA0A46"/>
    <w:rsid w:val="00CA1309"/>
    <w:rsid w:val="00CA30F9"/>
    <w:rsid w:val="00CA31A2"/>
    <w:rsid w:val="00CA419D"/>
    <w:rsid w:val="00CA4E55"/>
    <w:rsid w:val="00CA50BB"/>
    <w:rsid w:val="00CA5EEE"/>
    <w:rsid w:val="00CA666A"/>
    <w:rsid w:val="00CA6ED1"/>
    <w:rsid w:val="00CA7A56"/>
    <w:rsid w:val="00CB2571"/>
    <w:rsid w:val="00CB2B25"/>
    <w:rsid w:val="00CB3A51"/>
    <w:rsid w:val="00CB3D55"/>
    <w:rsid w:val="00CB5101"/>
    <w:rsid w:val="00CB636F"/>
    <w:rsid w:val="00CB69C4"/>
    <w:rsid w:val="00CB71EE"/>
    <w:rsid w:val="00CB7BFE"/>
    <w:rsid w:val="00CC0368"/>
    <w:rsid w:val="00CC1CEA"/>
    <w:rsid w:val="00CC1F34"/>
    <w:rsid w:val="00CC21BB"/>
    <w:rsid w:val="00CC26D9"/>
    <w:rsid w:val="00CC3ABF"/>
    <w:rsid w:val="00CC5FDE"/>
    <w:rsid w:val="00CC6B12"/>
    <w:rsid w:val="00CD1153"/>
    <w:rsid w:val="00CD1759"/>
    <w:rsid w:val="00CD4516"/>
    <w:rsid w:val="00CD5B67"/>
    <w:rsid w:val="00CD68E1"/>
    <w:rsid w:val="00CD69DD"/>
    <w:rsid w:val="00CE02FB"/>
    <w:rsid w:val="00CE0A54"/>
    <w:rsid w:val="00CE0F1D"/>
    <w:rsid w:val="00CE29AA"/>
    <w:rsid w:val="00CE399F"/>
    <w:rsid w:val="00CE4148"/>
    <w:rsid w:val="00CE4929"/>
    <w:rsid w:val="00CE5046"/>
    <w:rsid w:val="00CE68DD"/>
    <w:rsid w:val="00CE6CEA"/>
    <w:rsid w:val="00CF366C"/>
    <w:rsid w:val="00CF3BB2"/>
    <w:rsid w:val="00CF533B"/>
    <w:rsid w:val="00CF70AA"/>
    <w:rsid w:val="00D0121C"/>
    <w:rsid w:val="00D015BB"/>
    <w:rsid w:val="00D017A9"/>
    <w:rsid w:val="00D0190A"/>
    <w:rsid w:val="00D0284C"/>
    <w:rsid w:val="00D036AA"/>
    <w:rsid w:val="00D041EB"/>
    <w:rsid w:val="00D04CD2"/>
    <w:rsid w:val="00D05A74"/>
    <w:rsid w:val="00D07085"/>
    <w:rsid w:val="00D10DCF"/>
    <w:rsid w:val="00D119ED"/>
    <w:rsid w:val="00D1292C"/>
    <w:rsid w:val="00D14326"/>
    <w:rsid w:val="00D14544"/>
    <w:rsid w:val="00D15114"/>
    <w:rsid w:val="00D1679B"/>
    <w:rsid w:val="00D178FE"/>
    <w:rsid w:val="00D179A1"/>
    <w:rsid w:val="00D2073C"/>
    <w:rsid w:val="00D2097B"/>
    <w:rsid w:val="00D20BD2"/>
    <w:rsid w:val="00D21B97"/>
    <w:rsid w:val="00D220C9"/>
    <w:rsid w:val="00D23901"/>
    <w:rsid w:val="00D24110"/>
    <w:rsid w:val="00D254E7"/>
    <w:rsid w:val="00D25FEA"/>
    <w:rsid w:val="00D303D3"/>
    <w:rsid w:val="00D3258B"/>
    <w:rsid w:val="00D34D6F"/>
    <w:rsid w:val="00D34EAD"/>
    <w:rsid w:val="00D34F23"/>
    <w:rsid w:val="00D3527C"/>
    <w:rsid w:val="00D3679D"/>
    <w:rsid w:val="00D37C85"/>
    <w:rsid w:val="00D40178"/>
    <w:rsid w:val="00D40967"/>
    <w:rsid w:val="00D40CB9"/>
    <w:rsid w:val="00D42641"/>
    <w:rsid w:val="00D4277E"/>
    <w:rsid w:val="00D43036"/>
    <w:rsid w:val="00D446E3"/>
    <w:rsid w:val="00D50912"/>
    <w:rsid w:val="00D52006"/>
    <w:rsid w:val="00D52C9C"/>
    <w:rsid w:val="00D54D4D"/>
    <w:rsid w:val="00D55BF2"/>
    <w:rsid w:val="00D5628B"/>
    <w:rsid w:val="00D563C6"/>
    <w:rsid w:val="00D579CC"/>
    <w:rsid w:val="00D60EA1"/>
    <w:rsid w:val="00D60F76"/>
    <w:rsid w:val="00D611BD"/>
    <w:rsid w:val="00D6155B"/>
    <w:rsid w:val="00D62105"/>
    <w:rsid w:val="00D625C4"/>
    <w:rsid w:val="00D6268A"/>
    <w:rsid w:val="00D636D5"/>
    <w:rsid w:val="00D6673C"/>
    <w:rsid w:val="00D66BA9"/>
    <w:rsid w:val="00D67A58"/>
    <w:rsid w:val="00D72164"/>
    <w:rsid w:val="00D74B11"/>
    <w:rsid w:val="00D753F6"/>
    <w:rsid w:val="00D76720"/>
    <w:rsid w:val="00D772F6"/>
    <w:rsid w:val="00D77493"/>
    <w:rsid w:val="00D80ACD"/>
    <w:rsid w:val="00D80F0F"/>
    <w:rsid w:val="00D810F8"/>
    <w:rsid w:val="00D81B30"/>
    <w:rsid w:val="00D82125"/>
    <w:rsid w:val="00D8295F"/>
    <w:rsid w:val="00D83437"/>
    <w:rsid w:val="00D8346F"/>
    <w:rsid w:val="00D84C17"/>
    <w:rsid w:val="00D85D7F"/>
    <w:rsid w:val="00D860B2"/>
    <w:rsid w:val="00D870E8"/>
    <w:rsid w:val="00D9114B"/>
    <w:rsid w:val="00D91B80"/>
    <w:rsid w:val="00D9205B"/>
    <w:rsid w:val="00D92E5D"/>
    <w:rsid w:val="00D94027"/>
    <w:rsid w:val="00D97D99"/>
    <w:rsid w:val="00DA05E5"/>
    <w:rsid w:val="00DA08A8"/>
    <w:rsid w:val="00DA0C4A"/>
    <w:rsid w:val="00DA0CBD"/>
    <w:rsid w:val="00DA17CA"/>
    <w:rsid w:val="00DA200B"/>
    <w:rsid w:val="00DA2F19"/>
    <w:rsid w:val="00DA6E89"/>
    <w:rsid w:val="00DA6F2B"/>
    <w:rsid w:val="00DA7371"/>
    <w:rsid w:val="00DB02B6"/>
    <w:rsid w:val="00DB2BA1"/>
    <w:rsid w:val="00DB34D9"/>
    <w:rsid w:val="00DB3C77"/>
    <w:rsid w:val="00DB436F"/>
    <w:rsid w:val="00DB6B7E"/>
    <w:rsid w:val="00DC07DD"/>
    <w:rsid w:val="00DC0865"/>
    <w:rsid w:val="00DC209A"/>
    <w:rsid w:val="00DC225E"/>
    <w:rsid w:val="00DC2D1B"/>
    <w:rsid w:val="00DC42C1"/>
    <w:rsid w:val="00DC493E"/>
    <w:rsid w:val="00DC5359"/>
    <w:rsid w:val="00DC5F5A"/>
    <w:rsid w:val="00DC798E"/>
    <w:rsid w:val="00DD0389"/>
    <w:rsid w:val="00DD09F5"/>
    <w:rsid w:val="00DD1C6C"/>
    <w:rsid w:val="00DD21B5"/>
    <w:rsid w:val="00DD25B0"/>
    <w:rsid w:val="00DD35A9"/>
    <w:rsid w:val="00DD3CF2"/>
    <w:rsid w:val="00DD4399"/>
    <w:rsid w:val="00DD54D8"/>
    <w:rsid w:val="00DD577F"/>
    <w:rsid w:val="00DE07A8"/>
    <w:rsid w:val="00DE0C4D"/>
    <w:rsid w:val="00DE0D69"/>
    <w:rsid w:val="00DE1360"/>
    <w:rsid w:val="00DE2804"/>
    <w:rsid w:val="00DE2B55"/>
    <w:rsid w:val="00DE32DE"/>
    <w:rsid w:val="00DE3712"/>
    <w:rsid w:val="00DE58B6"/>
    <w:rsid w:val="00DE5AA6"/>
    <w:rsid w:val="00DE6074"/>
    <w:rsid w:val="00DE6A07"/>
    <w:rsid w:val="00DE750E"/>
    <w:rsid w:val="00DE7DB5"/>
    <w:rsid w:val="00DF136F"/>
    <w:rsid w:val="00DF27A8"/>
    <w:rsid w:val="00DF4253"/>
    <w:rsid w:val="00DF5408"/>
    <w:rsid w:val="00E00F32"/>
    <w:rsid w:val="00E01B43"/>
    <w:rsid w:val="00E026CE"/>
    <w:rsid w:val="00E028DE"/>
    <w:rsid w:val="00E03313"/>
    <w:rsid w:val="00E039D8"/>
    <w:rsid w:val="00E048E8"/>
    <w:rsid w:val="00E118C5"/>
    <w:rsid w:val="00E1197D"/>
    <w:rsid w:val="00E12331"/>
    <w:rsid w:val="00E125DB"/>
    <w:rsid w:val="00E127AB"/>
    <w:rsid w:val="00E12F98"/>
    <w:rsid w:val="00E1380C"/>
    <w:rsid w:val="00E1426F"/>
    <w:rsid w:val="00E155E6"/>
    <w:rsid w:val="00E1731C"/>
    <w:rsid w:val="00E1786E"/>
    <w:rsid w:val="00E17EF4"/>
    <w:rsid w:val="00E216D4"/>
    <w:rsid w:val="00E22166"/>
    <w:rsid w:val="00E2267C"/>
    <w:rsid w:val="00E2323A"/>
    <w:rsid w:val="00E237F6"/>
    <w:rsid w:val="00E23A18"/>
    <w:rsid w:val="00E246FD"/>
    <w:rsid w:val="00E247F1"/>
    <w:rsid w:val="00E254E6"/>
    <w:rsid w:val="00E25A20"/>
    <w:rsid w:val="00E27BC9"/>
    <w:rsid w:val="00E30579"/>
    <w:rsid w:val="00E30C48"/>
    <w:rsid w:val="00E33AD3"/>
    <w:rsid w:val="00E33F33"/>
    <w:rsid w:val="00E3433E"/>
    <w:rsid w:val="00E35554"/>
    <w:rsid w:val="00E36BB7"/>
    <w:rsid w:val="00E405B7"/>
    <w:rsid w:val="00E417EA"/>
    <w:rsid w:val="00E4183D"/>
    <w:rsid w:val="00E429D1"/>
    <w:rsid w:val="00E42BA0"/>
    <w:rsid w:val="00E42BFE"/>
    <w:rsid w:val="00E436EB"/>
    <w:rsid w:val="00E45BB9"/>
    <w:rsid w:val="00E45FA1"/>
    <w:rsid w:val="00E463BD"/>
    <w:rsid w:val="00E479DB"/>
    <w:rsid w:val="00E47F48"/>
    <w:rsid w:val="00E50E00"/>
    <w:rsid w:val="00E5129E"/>
    <w:rsid w:val="00E51D81"/>
    <w:rsid w:val="00E53DDC"/>
    <w:rsid w:val="00E569EF"/>
    <w:rsid w:val="00E56F05"/>
    <w:rsid w:val="00E5701C"/>
    <w:rsid w:val="00E6217D"/>
    <w:rsid w:val="00E637E9"/>
    <w:rsid w:val="00E6453C"/>
    <w:rsid w:val="00E653B7"/>
    <w:rsid w:val="00E6594D"/>
    <w:rsid w:val="00E65CEA"/>
    <w:rsid w:val="00E66797"/>
    <w:rsid w:val="00E67635"/>
    <w:rsid w:val="00E67885"/>
    <w:rsid w:val="00E70194"/>
    <w:rsid w:val="00E72540"/>
    <w:rsid w:val="00E73763"/>
    <w:rsid w:val="00E73AAA"/>
    <w:rsid w:val="00E73B66"/>
    <w:rsid w:val="00E75E90"/>
    <w:rsid w:val="00E765FF"/>
    <w:rsid w:val="00E76FC3"/>
    <w:rsid w:val="00E7744A"/>
    <w:rsid w:val="00E810EA"/>
    <w:rsid w:val="00E815E8"/>
    <w:rsid w:val="00E8367D"/>
    <w:rsid w:val="00E83997"/>
    <w:rsid w:val="00E84061"/>
    <w:rsid w:val="00E85D3B"/>
    <w:rsid w:val="00E9031E"/>
    <w:rsid w:val="00E9297C"/>
    <w:rsid w:val="00E92F39"/>
    <w:rsid w:val="00E95799"/>
    <w:rsid w:val="00E968AD"/>
    <w:rsid w:val="00E976D0"/>
    <w:rsid w:val="00EA153C"/>
    <w:rsid w:val="00EA1C69"/>
    <w:rsid w:val="00EA296E"/>
    <w:rsid w:val="00EA3046"/>
    <w:rsid w:val="00EA3267"/>
    <w:rsid w:val="00EA67FA"/>
    <w:rsid w:val="00EA6C7E"/>
    <w:rsid w:val="00EA6CEA"/>
    <w:rsid w:val="00EB0148"/>
    <w:rsid w:val="00EB022D"/>
    <w:rsid w:val="00EB2E0D"/>
    <w:rsid w:val="00EB336F"/>
    <w:rsid w:val="00EB3DA9"/>
    <w:rsid w:val="00EB3E06"/>
    <w:rsid w:val="00EB544F"/>
    <w:rsid w:val="00EB746B"/>
    <w:rsid w:val="00EB75A5"/>
    <w:rsid w:val="00EB7AB5"/>
    <w:rsid w:val="00EC18B6"/>
    <w:rsid w:val="00EC37E9"/>
    <w:rsid w:val="00EC45B7"/>
    <w:rsid w:val="00EC6DC2"/>
    <w:rsid w:val="00EC744B"/>
    <w:rsid w:val="00EC75E8"/>
    <w:rsid w:val="00ED0823"/>
    <w:rsid w:val="00ED37D1"/>
    <w:rsid w:val="00ED7495"/>
    <w:rsid w:val="00EE1AC0"/>
    <w:rsid w:val="00EE2FD9"/>
    <w:rsid w:val="00EE3571"/>
    <w:rsid w:val="00EE3C47"/>
    <w:rsid w:val="00EE442F"/>
    <w:rsid w:val="00EE4BF7"/>
    <w:rsid w:val="00EE514A"/>
    <w:rsid w:val="00EE528F"/>
    <w:rsid w:val="00EE5CD6"/>
    <w:rsid w:val="00EE66C2"/>
    <w:rsid w:val="00EE7AEE"/>
    <w:rsid w:val="00EF028F"/>
    <w:rsid w:val="00EF097C"/>
    <w:rsid w:val="00EF1666"/>
    <w:rsid w:val="00EF1883"/>
    <w:rsid w:val="00EF1DD8"/>
    <w:rsid w:val="00EF2819"/>
    <w:rsid w:val="00EF2B87"/>
    <w:rsid w:val="00EF2C68"/>
    <w:rsid w:val="00EF4D23"/>
    <w:rsid w:val="00EF5D7D"/>
    <w:rsid w:val="00EF628B"/>
    <w:rsid w:val="00EF638A"/>
    <w:rsid w:val="00EF710A"/>
    <w:rsid w:val="00F003B8"/>
    <w:rsid w:val="00F0129E"/>
    <w:rsid w:val="00F0144F"/>
    <w:rsid w:val="00F0379A"/>
    <w:rsid w:val="00F044C6"/>
    <w:rsid w:val="00F05456"/>
    <w:rsid w:val="00F05D13"/>
    <w:rsid w:val="00F0662C"/>
    <w:rsid w:val="00F072C7"/>
    <w:rsid w:val="00F07AE9"/>
    <w:rsid w:val="00F07E70"/>
    <w:rsid w:val="00F121C1"/>
    <w:rsid w:val="00F12D7B"/>
    <w:rsid w:val="00F14057"/>
    <w:rsid w:val="00F14BEE"/>
    <w:rsid w:val="00F207D8"/>
    <w:rsid w:val="00F21F38"/>
    <w:rsid w:val="00F2237E"/>
    <w:rsid w:val="00F240D4"/>
    <w:rsid w:val="00F24CAC"/>
    <w:rsid w:val="00F25B56"/>
    <w:rsid w:val="00F260F2"/>
    <w:rsid w:val="00F262CF"/>
    <w:rsid w:val="00F26F36"/>
    <w:rsid w:val="00F30097"/>
    <w:rsid w:val="00F315B7"/>
    <w:rsid w:val="00F31B9F"/>
    <w:rsid w:val="00F321F2"/>
    <w:rsid w:val="00F333B0"/>
    <w:rsid w:val="00F336B1"/>
    <w:rsid w:val="00F33973"/>
    <w:rsid w:val="00F34514"/>
    <w:rsid w:val="00F36159"/>
    <w:rsid w:val="00F377B4"/>
    <w:rsid w:val="00F409CE"/>
    <w:rsid w:val="00F40E79"/>
    <w:rsid w:val="00F4123E"/>
    <w:rsid w:val="00F41BA6"/>
    <w:rsid w:val="00F441B7"/>
    <w:rsid w:val="00F44361"/>
    <w:rsid w:val="00F456B7"/>
    <w:rsid w:val="00F51126"/>
    <w:rsid w:val="00F5182F"/>
    <w:rsid w:val="00F521A9"/>
    <w:rsid w:val="00F5232A"/>
    <w:rsid w:val="00F5549D"/>
    <w:rsid w:val="00F55FED"/>
    <w:rsid w:val="00F572F4"/>
    <w:rsid w:val="00F5797F"/>
    <w:rsid w:val="00F57E18"/>
    <w:rsid w:val="00F60B4B"/>
    <w:rsid w:val="00F60B65"/>
    <w:rsid w:val="00F631F8"/>
    <w:rsid w:val="00F6413A"/>
    <w:rsid w:val="00F665FF"/>
    <w:rsid w:val="00F67524"/>
    <w:rsid w:val="00F67EBC"/>
    <w:rsid w:val="00F71F00"/>
    <w:rsid w:val="00F728EA"/>
    <w:rsid w:val="00F72DE7"/>
    <w:rsid w:val="00F748D6"/>
    <w:rsid w:val="00F75765"/>
    <w:rsid w:val="00F75D7E"/>
    <w:rsid w:val="00F76648"/>
    <w:rsid w:val="00F76A1B"/>
    <w:rsid w:val="00F76B4B"/>
    <w:rsid w:val="00F76EFB"/>
    <w:rsid w:val="00F77A30"/>
    <w:rsid w:val="00F803F5"/>
    <w:rsid w:val="00F806FF"/>
    <w:rsid w:val="00F81A42"/>
    <w:rsid w:val="00F81D93"/>
    <w:rsid w:val="00F827CA"/>
    <w:rsid w:val="00F837B2"/>
    <w:rsid w:val="00F839D2"/>
    <w:rsid w:val="00F85A31"/>
    <w:rsid w:val="00F85ECF"/>
    <w:rsid w:val="00F86515"/>
    <w:rsid w:val="00F86A58"/>
    <w:rsid w:val="00F86AAC"/>
    <w:rsid w:val="00F87698"/>
    <w:rsid w:val="00F90674"/>
    <w:rsid w:val="00F93E27"/>
    <w:rsid w:val="00F94762"/>
    <w:rsid w:val="00F94DA1"/>
    <w:rsid w:val="00F95735"/>
    <w:rsid w:val="00F965AB"/>
    <w:rsid w:val="00F97AB9"/>
    <w:rsid w:val="00FA0236"/>
    <w:rsid w:val="00FA4111"/>
    <w:rsid w:val="00FB0BC2"/>
    <w:rsid w:val="00FB0CC5"/>
    <w:rsid w:val="00FB1121"/>
    <w:rsid w:val="00FB145A"/>
    <w:rsid w:val="00FB15C3"/>
    <w:rsid w:val="00FB1742"/>
    <w:rsid w:val="00FB1749"/>
    <w:rsid w:val="00FB253D"/>
    <w:rsid w:val="00FB2E79"/>
    <w:rsid w:val="00FB32F9"/>
    <w:rsid w:val="00FB359F"/>
    <w:rsid w:val="00FB3A29"/>
    <w:rsid w:val="00FB6C84"/>
    <w:rsid w:val="00FB74FE"/>
    <w:rsid w:val="00FB7E56"/>
    <w:rsid w:val="00FC0341"/>
    <w:rsid w:val="00FC200A"/>
    <w:rsid w:val="00FC4D69"/>
    <w:rsid w:val="00FC5764"/>
    <w:rsid w:val="00FC5876"/>
    <w:rsid w:val="00FC5E37"/>
    <w:rsid w:val="00FC6371"/>
    <w:rsid w:val="00FC66FA"/>
    <w:rsid w:val="00FC6B6E"/>
    <w:rsid w:val="00FC6FE0"/>
    <w:rsid w:val="00FD07A4"/>
    <w:rsid w:val="00FD1742"/>
    <w:rsid w:val="00FD1A7D"/>
    <w:rsid w:val="00FD27A3"/>
    <w:rsid w:val="00FD3471"/>
    <w:rsid w:val="00FD457F"/>
    <w:rsid w:val="00FD631E"/>
    <w:rsid w:val="00FD6B5D"/>
    <w:rsid w:val="00FD6EB9"/>
    <w:rsid w:val="00FD6FA7"/>
    <w:rsid w:val="00FE0843"/>
    <w:rsid w:val="00FE16DB"/>
    <w:rsid w:val="00FE2046"/>
    <w:rsid w:val="00FE292B"/>
    <w:rsid w:val="00FE404E"/>
    <w:rsid w:val="00FE49DA"/>
    <w:rsid w:val="00FE67C3"/>
    <w:rsid w:val="00FE6C0D"/>
    <w:rsid w:val="00FF0064"/>
    <w:rsid w:val="00FF066F"/>
    <w:rsid w:val="00FF1D29"/>
    <w:rsid w:val="00FF3B84"/>
    <w:rsid w:val="00FF4DF7"/>
    <w:rsid w:val="00FF5F76"/>
    <w:rsid w:val="00FF712F"/>
    <w:rsid w:val="00FF74FA"/>
    <w:rsid w:val="0A3D7E7F"/>
    <w:rsid w:val="0DB5BC24"/>
    <w:rsid w:val="167BC665"/>
    <w:rsid w:val="1BDFFE6F"/>
    <w:rsid w:val="1D7F1775"/>
    <w:rsid w:val="1DBF2352"/>
    <w:rsid w:val="20CFE031"/>
    <w:rsid w:val="26015F94"/>
    <w:rsid w:val="2826423B"/>
    <w:rsid w:val="29D90840"/>
    <w:rsid w:val="2B7DC79F"/>
    <w:rsid w:val="2FD619E1"/>
    <w:rsid w:val="2FDE8388"/>
    <w:rsid w:val="2FE7B33F"/>
    <w:rsid w:val="2FE9A708"/>
    <w:rsid w:val="37DDED7E"/>
    <w:rsid w:val="37FFEB81"/>
    <w:rsid w:val="38DC7EC1"/>
    <w:rsid w:val="3A4F494F"/>
    <w:rsid w:val="3CE6EAF6"/>
    <w:rsid w:val="3D66EEF1"/>
    <w:rsid w:val="3EECEF68"/>
    <w:rsid w:val="3EFF5C45"/>
    <w:rsid w:val="3FAE1E1D"/>
    <w:rsid w:val="456602DB"/>
    <w:rsid w:val="49410BBC"/>
    <w:rsid w:val="4EBDE1B7"/>
    <w:rsid w:val="4FC65073"/>
    <w:rsid w:val="52DFBD3E"/>
    <w:rsid w:val="5BFD9AF8"/>
    <w:rsid w:val="5FDF1A76"/>
    <w:rsid w:val="623478F5"/>
    <w:rsid w:val="65FFF95E"/>
    <w:rsid w:val="668FD748"/>
    <w:rsid w:val="6BFD805D"/>
    <w:rsid w:val="6D6F607C"/>
    <w:rsid w:val="6F7BABF0"/>
    <w:rsid w:val="6FBA834C"/>
    <w:rsid w:val="6FFFBF76"/>
    <w:rsid w:val="76FB4162"/>
    <w:rsid w:val="76FFB931"/>
    <w:rsid w:val="7A77148B"/>
    <w:rsid w:val="7BDCA698"/>
    <w:rsid w:val="7BDDC754"/>
    <w:rsid w:val="7DAF4EFE"/>
    <w:rsid w:val="7DCE4DEB"/>
    <w:rsid w:val="7E4AB298"/>
    <w:rsid w:val="7EBF5C44"/>
    <w:rsid w:val="7F9E577A"/>
    <w:rsid w:val="7FB6EAA5"/>
    <w:rsid w:val="7FD92958"/>
    <w:rsid w:val="7FF2746D"/>
    <w:rsid w:val="7FFA613C"/>
    <w:rsid w:val="7FFF3A03"/>
    <w:rsid w:val="8DDFB7BB"/>
    <w:rsid w:val="A3EE0934"/>
    <w:rsid w:val="AF4B1D6C"/>
    <w:rsid w:val="B39EAFC5"/>
    <w:rsid w:val="B8F3E088"/>
    <w:rsid w:val="BBFAF7D3"/>
    <w:rsid w:val="BBFB59E2"/>
    <w:rsid w:val="BFCFDFEA"/>
    <w:rsid w:val="BFDF8E74"/>
    <w:rsid w:val="BFF98EF6"/>
    <w:rsid w:val="BFFCAB3C"/>
    <w:rsid w:val="C9FF3E20"/>
    <w:rsid w:val="CFB2BAFD"/>
    <w:rsid w:val="DBBE6EF5"/>
    <w:rsid w:val="DE5FB7FA"/>
    <w:rsid w:val="DE77FB92"/>
    <w:rsid w:val="DECF7A76"/>
    <w:rsid w:val="E5F53787"/>
    <w:rsid w:val="EAF77AC9"/>
    <w:rsid w:val="ECBA606C"/>
    <w:rsid w:val="ED3F5266"/>
    <w:rsid w:val="EFDF324D"/>
    <w:rsid w:val="EFFA380D"/>
    <w:rsid w:val="F21CB87B"/>
    <w:rsid w:val="F3FE82B0"/>
    <w:rsid w:val="FC4E8634"/>
    <w:rsid w:val="FC7BBB8E"/>
    <w:rsid w:val="FDBD07CF"/>
    <w:rsid w:val="FDDEFA1D"/>
    <w:rsid w:val="FF9F8449"/>
    <w:rsid w:val="FFD74E78"/>
    <w:rsid w:val="FFDE4FEA"/>
    <w:rsid w:val="FFF798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qFormat="1" w:unhideWhenUsed="0" w:uiPriority="39" w:semiHidden="0" w:name="toc 1"/>
    <w:lsdException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semiHidden="0" w:name="Salutation"/>
    <w:lsdException w:uiPriority="99" w:semiHidden="0" w:name="Date"/>
    <w:lsdException w:uiPriority="99" w:semiHidden="0" w:name="Body Text First Indent"/>
    <w:lsdException w:qFormat="1" w:unhideWhenUsed="0" w:uiPriority="99" w:semiHidden="0" w:name="Body Text First Indent 2"/>
    <w:lsdException w:uiPriority="99" w:name="Note Heading"/>
    <w:lsdException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sz w:val="21"/>
      <w:szCs w:val="22"/>
      <w:lang w:val="en-US" w:eastAsia="zh-CN" w:bidi="ar-SA"/>
    </w:rPr>
  </w:style>
  <w:style w:type="paragraph" w:styleId="4">
    <w:name w:val="heading 1"/>
    <w:basedOn w:val="1"/>
    <w:next w:val="1"/>
    <w:link w:val="37"/>
    <w:qFormat/>
    <w:uiPriority w:val="99"/>
    <w:pPr>
      <w:keepNext/>
      <w:keepLines/>
      <w:spacing w:before="340" w:after="330" w:line="576" w:lineRule="auto"/>
      <w:outlineLvl w:val="0"/>
    </w:pPr>
    <w:rPr>
      <w:b/>
      <w:kern w:val="44"/>
      <w:sz w:val="44"/>
      <w:szCs w:val="24"/>
    </w:rPr>
  </w:style>
  <w:style w:type="paragraph" w:styleId="5">
    <w:name w:val="heading 2"/>
    <w:basedOn w:val="1"/>
    <w:next w:val="1"/>
    <w:link w:val="38"/>
    <w:qFormat/>
    <w:uiPriority w:val="0"/>
    <w:pPr>
      <w:keepNext/>
      <w:keepLines/>
      <w:widowControl/>
      <w:spacing w:before="260" w:after="260" w:line="415" w:lineRule="auto"/>
      <w:jc w:val="left"/>
      <w:outlineLvl w:val="1"/>
    </w:pPr>
    <w:rPr>
      <w:rFonts w:ascii="Cambria" w:hAnsi="Cambria"/>
      <w:b/>
      <w:sz w:val="32"/>
      <w:szCs w:val="32"/>
    </w:rPr>
  </w:style>
  <w:style w:type="paragraph" w:styleId="6">
    <w:name w:val="heading 3"/>
    <w:basedOn w:val="1"/>
    <w:next w:val="1"/>
    <w:link w:val="39"/>
    <w:qFormat/>
    <w:uiPriority w:val="0"/>
    <w:pPr>
      <w:keepNext/>
      <w:keepLines/>
      <w:widowControl/>
      <w:spacing w:before="260" w:after="260" w:line="415" w:lineRule="auto"/>
      <w:jc w:val="left"/>
      <w:outlineLvl w:val="2"/>
    </w:pPr>
    <w:rPr>
      <w:rFonts w:hint="eastAsia" w:ascii="宋体" w:hAnsi="宋体"/>
      <w:b/>
      <w:sz w:val="30"/>
      <w:szCs w:val="32"/>
    </w:rPr>
  </w:style>
  <w:style w:type="paragraph" w:styleId="7">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30">
    <w:name w:val="Default Paragraph Font"/>
    <w:unhideWhenUsed/>
    <w:uiPriority w:val="1"/>
  </w:style>
  <w:style w:type="table" w:default="1" w:styleId="28">
    <w:name w:val="Normal Table"/>
    <w:unhideWhenUsed/>
    <w:qFormat/>
    <w:uiPriority w:val="99"/>
    <w:tblPr>
      <w:tblStyle w:val="28"/>
      <w:tblCellMar>
        <w:top w:w="0" w:type="dxa"/>
        <w:left w:w="108" w:type="dxa"/>
        <w:bottom w:w="0" w:type="dxa"/>
        <w:right w:w="108" w:type="dxa"/>
      </w:tblCellMar>
    </w:tblPr>
  </w:style>
  <w:style w:type="paragraph" w:styleId="2">
    <w:name w:val="Body Text"/>
    <w:basedOn w:val="1"/>
    <w:next w:val="3"/>
    <w:link w:val="35"/>
    <w:qFormat/>
    <w:uiPriority w:val="0"/>
    <w:pPr>
      <w:spacing w:beforeLines="100" w:afterLines="100"/>
      <w:jc w:val="center"/>
      <w:outlineLvl w:val="0"/>
    </w:pPr>
    <w:rPr>
      <w:rFonts w:ascii="Arial" w:hAnsi="Arial" w:eastAsia="黑体" w:cs="Arial"/>
      <w:bCs/>
      <w:kern w:val="2"/>
      <w:sz w:val="32"/>
      <w:szCs w:val="32"/>
    </w:rPr>
  </w:style>
  <w:style w:type="paragraph" w:styleId="3">
    <w:name w:val="Title"/>
    <w:basedOn w:val="1"/>
    <w:next w:val="1"/>
    <w:link w:val="36"/>
    <w:qFormat/>
    <w:uiPriority w:val="0"/>
    <w:pPr>
      <w:spacing w:before="240" w:after="60"/>
      <w:jc w:val="center"/>
      <w:outlineLvl w:val="0"/>
    </w:pPr>
    <w:rPr>
      <w:rFonts w:ascii="Cambria" w:hAnsi="Cambria" w:cs="Times New Roman"/>
      <w:b/>
      <w:bCs/>
      <w:sz w:val="32"/>
      <w:szCs w:val="32"/>
    </w:rPr>
  </w:style>
  <w:style w:type="paragraph" w:styleId="8">
    <w:name w:val="Normal Indent"/>
    <w:basedOn w:val="1"/>
    <w:unhideWhenUsed/>
    <w:qFormat/>
    <w:uiPriority w:val="0"/>
    <w:pPr>
      <w:ind w:firstLine="420" w:firstLineChars="200"/>
    </w:pPr>
    <w:rPr>
      <w:kern w:val="2"/>
      <w:szCs w:val="24"/>
    </w:rPr>
  </w:style>
  <w:style w:type="paragraph" w:styleId="9">
    <w:name w:val="annotation text"/>
    <w:basedOn w:val="1"/>
    <w:link w:val="40"/>
    <w:qFormat/>
    <w:uiPriority w:val="0"/>
    <w:pPr>
      <w:jc w:val="left"/>
    </w:pPr>
    <w:rPr>
      <w:kern w:val="2"/>
      <w:szCs w:val="21"/>
    </w:rPr>
  </w:style>
  <w:style w:type="paragraph" w:styleId="10">
    <w:name w:val="index 6"/>
    <w:basedOn w:val="1"/>
    <w:next w:val="1"/>
    <w:unhideWhenUsed/>
    <w:qFormat/>
    <w:uiPriority w:val="99"/>
    <w:pPr>
      <w:ind w:left="1000" w:leftChars="1000"/>
    </w:pPr>
  </w:style>
  <w:style w:type="paragraph" w:styleId="11">
    <w:name w:val="Salutation"/>
    <w:basedOn w:val="1"/>
    <w:next w:val="1"/>
    <w:link w:val="41"/>
    <w:unhideWhenUsed/>
    <w:uiPriority w:val="99"/>
    <w:rPr>
      <w:rFonts w:ascii="仿宋_GB2312" w:hAnsi="仿宋_GB2312" w:eastAsia="仿宋_GB2312" w:cs="仿宋_GB2312"/>
      <w:kern w:val="2"/>
      <w:sz w:val="32"/>
      <w:szCs w:val="32"/>
      <w:lang w:val="zh-TW" w:eastAsia="zh-TW"/>
    </w:rPr>
  </w:style>
  <w:style w:type="paragraph" w:styleId="12">
    <w:name w:val="Body Text Indent"/>
    <w:basedOn w:val="1"/>
    <w:link w:val="42"/>
    <w:unhideWhenUsed/>
    <w:uiPriority w:val="99"/>
    <w:pPr>
      <w:spacing w:after="120"/>
      <w:ind w:left="420" w:leftChars="200"/>
    </w:pPr>
  </w:style>
  <w:style w:type="paragraph" w:styleId="13">
    <w:name w:val="Plain Text"/>
    <w:link w:val="43"/>
    <w:qFormat/>
    <w:uiPriority w:val="99"/>
    <w:pPr>
      <w:widowControl w:val="0"/>
      <w:spacing w:line="560" w:lineRule="exact"/>
      <w:jc w:val="both"/>
    </w:pPr>
    <w:rPr>
      <w:rFonts w:ascii="宋体" w:cs="Courier New"/>
      <w:kern w:val="2"/>
      <w:sz w:val="21"/>
      <w:szCs w:val="21"/>
      <w:lang w:val="en-US" w:eastAsia="zh-CN" w:bidi="ar-SA"/>
    </w:rPr>
  </w:style>
  <w:style w:type="paragraph" w:styleId="14">
    <w:name w:val="Date"/>
    <w:basedOn w:val="1"/>
    <w:next w:val="1"/>
    <w:link w:val="44"/>
    <w:unhideWhenUsed/>
    <w:uiPriority w:val="99"/>
    <w:pPr>
      <w:ind w:left="100" w:leftChars="2500"/>
    </w:pPr>
  </w:style>
  <w:style w:type="paragraph" w:styleId="15">
    <w:name w:val="Body Text Indent 2"/>
    <w:basedOn w:val="1"/>
    <w:link w:val="45"/>
    <w:qFormat/>
    <w:uiPriority w:val="0"/>
    <w:pPr>
      <w:spacing w:after="120" w:line="480" w:lineRule="auto"/>
      <w:ind w:left="420" w:leftChars="200"/>
    </w:pPr>
    <w:rPr>
      <w:kern w:val="2"/>
      <w:szCs w:val="24"/>
    </w:rPr>
  </w:style>
  <w:style w:type="paragraph" w:styleId="16">
    <w:name w:val="Balloon Text"/>
    <w:basedOn w:val="1"/>
    <w:link w:val="46"/>
    <w:unhideWhenUsed/>
    <w:uiPriority w:val="99"/>
    <w:rPr>
      <w:sz w:val="18"/>
      <w:szCs w:val="18"/>
    </w:rPr>
  </w:style>
  <w:style w:type="paragraph" w:styleId="17">
    <w:name w:val="footer"/>
    <w:basedOn w:val="1"/>
    <w:link w:val="47"/>
    <w:unhideWhenUsed/>
    <w:qFormat/>
    <w:uiPriority w:val="99"/>
    <w:pPr>
      <w:tabs>
        <w:tab w:val="center" w:pos="4153"/>
        <w:tab w:val="right" w:pos="8306"/>
      </w:tabs>
      <w:snapToGrid w:val="0"/>
      <w:jc w:val="left"/>
    </w:pPr>
    <w:rPr>
      <w:sz w:val="18"/>
    </w:rPr>
  </w:style>
  <w:style w:type="paragraph" w:styleId="18">
    <w:name w:val="header"/>
    <w:basedOn w:val="1"/>
    <w:link w:val="48"/>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pPr>
      <w:pBdr>
        <w:top w:val="none" w:color="auto" w:sz="0" w:space="0"/>
        <w:left w:val="none" w:color="auto" w:sz="0" w:space="0"/>
        <w:bottom w:val="none" w:color="auto" w:sz="0" w:space="0"/>
        <w:right w:val="none" w:color="auto" w:sz="0" w:space="0"/>
        <w:between w:val="none" w:color="auto" w:sz="0" w:space="0"/>
      </w:pBdr>
      <w:shd w:val="clear" w:color="auto" w:fill="auto"/>
      <w:jc w:val="both"/>
    </w:pPr>
    <w:rPr>
      <w:lang w:val="en-US" w:eastAsia="zh-CN"/>
    </w:rPr>
  </w:style>
  <w:style w:type="paragraph" w:styleId="20">
    <w:name w:val="Subtitle"/>
    <w:basedOn w:val="1"/>
    <w:next w:val="1"/>
    <w:link w:val="53"/>
    <w:qFormat/>
    <w:uiPriority w:val="99"/>
    <w:pPr>
      <w:adjustRightInd w:val="0"/>
      <w:snapToGrid w:val="0"/>
      <w:spacing w:before="120" w:after="60" w:line="600" w:lineRule="exact"/>
      <w:ind w:firstLine="200" w:firstLineChars="200"/>
      <w:outlineLvl w:val="1"/>
    </w:pPr>
    <w:rPr>
      <w:rFonts w:ascii="Cambria" w:hAnsi="Cambria" w:eastAsia="仿宋_GB2312" w:cs="宋体"/>
      <w:b/>
      <w:bCs/>
      <w:kern w:val="28"/>
      <w:sz w:val="32"/>
      <w:szCs w:val="32"/>
    </w:rPr>
  </w:style>
  <w:style w:type="paragraph" w:styleId="21">
    <w:name w:val="footnote text"/>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napToGrid w:val="0"/>
      <w:jc w:val="left"/>
    </w:pPr>
    <w:rPr>
      <w:sz w:val="18"/>
      <w:lang w:val="en-US" w:eastAsia="zh-CN"/>
    </w:rPr>
  </w:style>
  <w:style w:type="paragraph" w:styleId="22">
    <w:name w:val="toc 2"/>
    <w:basedOn w:val="1"/>
    <w:next w:val="1"/>
    <w:uiPriority w:val="99"/>
    <w:pPr>
      <w:adjustRightInd w:val="0"/>
      <w:snapToGrid w:val="0"/>
      <w:spacing w:line="570" w:lineRule="exact"/>
      <w:ind w:firstLine="640" w:firstLineChars="200"/>
      <w:jc w:val="right"/>
    </w:pPr>
    <w:rPr>
      <w:rFonts w:ascii="方正楷体_GBK" w:hAnsi="Times New Roman" w:eastAsia="方正楷体_GBK" w:cs="方正楷体_GBK"/>
      <w:color w:val="FF00FF"/>
      <w:kern w:val="32"/>
      <w:sz w:val="32"/>
      <w:szCs w:val="32"/>
    </w:rPr>
  </w:style>
  <w:style w:type="paragraph" w:styleId="23">
    <w:name w:val="Body Text 2"/>
    <w:basedOn w:val="1"/>
    <w:link w:val="50"/>
    <w:unhideWhenUsed/>
    <w:uiPriority w:val="99"/>
    <w:pPr>
      <w:spacing w:after="120" w:line="480" w:lineRule="auto"/>
    </w:pPr>
  </w:style>
  <w:style w:type="paragraph" w:styleId="24">
    <w:name w:val="HTML Preformatted"/>
    <w:basedOn w:val="1"/>
    <w:link w:val="5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25">
    <w:name w:val="Normal (Web)"/>
    <w:basedOn w:val="1"/>
    <w:qFormat/>
    <w:uiPriority w:val="0"/>
    <w:pPr>
      <w:spacing w:before="100" w:beforeAutospacing="1" w:after="100" w:afterAutospacing="1"/>
      <w:jc w:val="left"/>
    </w:pPr>
    <w:rPr>
      <w:rFonts w:ascii="Times New Roman" w:hAnsi="Times New Roman"/>
      <w:sz w:val="24"/>
      <w:szCs w:val="20"/>
    </w:rPr>
  </w:style>
  <w:style w:type="paragraph" w:styleId="26">
    <w:name w:val="Body Text First Indent"/>
    <w:basedOn w:val="2"/>
    <w:link w:val="52"/>
    <w:unhideWhenUsed/>
    <w:uiPriority w:val="99"/>
    <w:pPr>
      <w:spacing w:beforeLines="0" w:after="120" w:afterLines="0"/>
      <w:ind w:firstLine="420" w:firstLineChars="100"/>
      <w:jc w:val="both"/>
      <w:outlineLvl w:val="9"/>
    </w:pPr>
    <w:rPr>
      <w:rFonts w:ascii="Calibri" w:hAnsi="Calibri" w:eastAsia="宋体" w:cs="宋体"/>
      <w:bCs w:val="0"/>
      <w:sz w:val="21"/>
      <w:szCs w:val="22"/>
    </w:rPr>
  </w:style>
  <w:style w:type="paragraph" w:styleId="27">
    <w:name w:val="Body Text First Indent 2"/>
    <w:basedOn w:val="12"/>
    <w:qFormat/>
    <w:uiPriority w:val="99"/>
    <w:pPr>
      <w:pBdr>
        <w:top w:val="none" w:color="auto" w:sz="0" w:space="0"/>
        <w:left w:val="none" w:color="auto" w:sz="0" w:space="0"/>
        <w:bottom w:val="none" w:color="auto" w:sz="0" w:space="0"/>
        <w:right w:val="none" w:color="auto" w:sz="0" w:space="0"/>
        <w:between w:val="none" w:color="auto" w:sz="0" w:space="0"/>
      </w:pBdr>
      <w:shd w:val="clear" w:color="auto" w:fill="auto"/>
      <w:ind w:firstLine="420"/>
      <w:jc w:val="both"/>
    </w:pPr>
    <w:rPr>
      <w:lang w:val="en-US" w:eastAsia="zh-CN"/>
    </w:rPr>
  </w:style>
  <w:style w:type="table" w:styleId="29">
    <w:name w:val="Table Grid"/>
    <w:basedOn w:val="28"/>
    <w:qFormat/>
    <w:uiPriority w:val="0"/>
    <w:pPr>
      <w:widowControl w:val="0"/>
      <w:jc w:val="both"/>
    </w:pPr>
    <w:rPr>
      <w:rFonts w:ascii="Calibri" w:hAnsi="Calibri"/>
    </w:rPr>
    <w:tblPr>
      <w:tblStyle w:val="2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page number"/>
    <w:basedOn w:val="30"/>
    <w:qFormat/>
    <w:uiPriority w:val="0"/>
  </w:style>
  <w:style w:type="character" w:styleId="33">
    <w:name w:val="Hyperlink"/>
    <w:basedOn w:val="30"/>
    <w:uiPriority w:val="0"/>
    <w:rPr>
      <w:color w:val="0000FF"/>
      <w:u w:val="single"/>
    </w:rPr>
  </w:style>
  <w:style w:type="character" w:styleId="34">
    <w:name w:val="footnote reference"/>
    <w:qFormat/>
    <w:uiPriority w:val="0"/>
    <w:rPr>
      <w:vertAlign w:val="superscript"/>
    </w:rPr>
  </w:style>
  <w:style w:type="character" w:customStyle="1" w:styleId="35">
    <w:name w:val="正文文本 Char"/>
    <w:basedOn w:val="30"/>
    <w:link w:val="2"/>
    <w:semiHidden/>
    <w:uiPriority w:val="99"/>
    <w:rPr>
      <w:rFonts w:ascii="Calibri" w:hAnsi="Calibri"/>
      <w:sz w:val="21"/>
      <w:szCs w:val="22"/>
    </w:rPr>
  </w:style>
  <w:style w:type="character" w:customStyle="1" w:styleId="36">
    <w:name w:val="标题 Char"/>
    <w:basedOn w:val="30"/>
    <w:link w:val="3"/>
    <w:qFormat/>
    <w:uiPriority w:val="0"/>
    <w:rPr>
      <w:rFonts w:ascii="Cambria" w:hAnsi="Cambria" w:cs="Times New Roman"/>
      <w:b/>
      <w:bCs/>
      <w:sz w:val="32"/>
      <w:szCs w:val="32"/>
    </w:rPr>
  </w:style>
  <w:style w:type="character" w:customStyle="1" w:styleId="37">
    <w:name w:val="标题 1 Char"/>
    <w:basedOn w:val="30"/>
    <w:link w:val="4"/>
    <w:uiPriority w:val="0"/>
    <w:rPr>
      <w:rFonts w:ascii="Calibri" w:hAnsi="Calibri"/>
      <w:b/>
      <w:kern w:val="44"/>
      <w:sz w:val="44"/>
      <w:szCs w:val="24"/>
    </w:rPr>
  </w:style>
  <w:style w:type="character" w:customStyle="1" w:styleId="38">
    <w:name w:val="标题 2 Char"/>
    <w:basedOn w:val="30"/>
    <w:link w:val="5"/>
    <w:uiPriority w:val="0"/>
    <w:rPr>
      <w:rFonts w:ascii="Cambria" w:hAnsi="Cambria"/>
      <w:b/>
      <w:sz w:val="32"/>
      <w:szCs w:val="32"/>
    </w:rPr>
  </w:style>
  <w:style w:type="character" w:customStyle="1" w:styleId="39">
    <w:name w:val="标题 3 Char"/>
    <w:basedOn w:val="30"/>
    <w:link w:val="6"/>
    <w:uiPriority w:val="0"/>
    <w:rPr>
      <w:rFonts w:ascii="宋体" w:hAnsi="宋体"/>
      <w:b/>
      <w:sz w:val="30"/>
      <w:szCs w:val="32"/>
    </w:rPr>
  </w:style>
  <w:style w:type="character" w:customStyle="1" w:styleId="40">
    <w:name w:val="批注文字 Char"/>
    <w:basedOn w:val="30"/>
    <w:link w:val="9"/>
    <w:uiPriority w:val="0"/>
    <w:rPr>
      <w:rFonts w:ascii="Calibri" w:hAnsi="Calibri"/>
      <w:kern w:val="2"/>
      <w:sz w:val="21"/>
      <w:szCs w:val="21"/>
    </w:rPr>
  </w:style>
  <w:style w:type="character" w:customStyle="1" w:styleId="41">
    <w:name w:val="称呼 Char"/>
    <w:basedOn w:val="30"/>
    <w:link w:val="11"/>
    <w:uiPriority w:val="99"/>
    <w:rPr>
      <w:rFonts w:ascii="仿宋_GB2312" w:hAnsi="仿宋_GB2312" w:eastAsia="仿宋_GB2312" w:cs="仿宋_GB2312"/>
      <w:kern w:val="2"/>
      <w:sz w:val="32"/>
      <w:szCs w:val="32"/>
      <w:lang w:val="zh-TW" w:eastAsia="zh-TW"/>
    </w:rPr>
  </w:style>
  <w:style w:type="character" w:customStyle="1" w:styleId="42">
    <w:name w:val="正文文本缩进 Char"/>
    <w:basedOn w:val="30"/>
    <w:link w:val="12"/>
    <w:semiHidden/>
    <w:uiPriority w:val="99"/>
    <w:rPr>
      <w:rFonts w:ascii="Calibri" w:hAnsi="Calibri"/>
      <w:sz w:val="21"/>
      <w:szCs w:val="22"/>
    </w:rPr>
  </w:style>
  <w:style w:type="character" w:customStyle="1" w:styleId="43">
    <w:name w:val="纯文本 Char"/>
    <w:aliases w:val="普通文字 Char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纯文本 Char Char1 Char"/>
    <w:basedOn w:val="30"/>
    <w:link w:val="13"/>
    <w:uiPriority w:val="99"/>
    <w:rPr>
      <w:rFonts w:ascii="宋体" w:cs="Courier New"/>
      <w:kern w:val="2"/>
      <w:sz w:val="21"/>
      <w:szCs w:val="21"/>
      <w:lang w:val="en-US" w:eastAsia="zh-CN" w:bidi="ar-SA"/>
    </w:rPr>
  </w:style>
  <w:style w:type="character" w:customStyle="1" w:styleId="44">
    <w:name w:val="日期 Char"/>
    <w:basedOn w:val="30"/>
    <w:link w:val="14"/>
    <w:semiHidden/>
    <w:uiPriority w:val="99"/>
    <w:rPr>
      <w:rFonts w:ascii="Calibri" w:hAnsi="Calibri"/>
      <w:sz w:val="21"/>
      <w:szCs w:val="22"/>
    </w:rPr>
  </w:style>
  <w:style w:type="character" w:customStyle="1" w:styleId="45">
    <w:name w:val="正文文本缩进 2 Char"/>
    <w:basedOn w:val="30"/>
    <w:link w:val="15"/>
    <w:qFormat/>
    <w:uiPriority w:val="0"/>
    <w:rPr>
      <w:rFonts w:ascii="Calibri" w:hAnsi="Calibri"/>
      <w:kern w:val="2"/>
      <w:sz w:val="21"/>
      <w:szCs w:val="24"/>
    </w:rPr>
  </w:style>
  <w:style w:type="character" w:customStyle="1" w:styleId="46">
    <w:name w:val="批注框文本 Char"/>
    <w:basedOn w:val="30"/>
    <w:link w:val="16"/>
    <w:semiHidden/>
    <w:uiPriority w:val="99"/>
    <w:rPr>
      <w:rFonts w:ascii="Calibri" w:hAnsi="Calibri"/>
      <w:sz w:val="18"/>
      <w:szCs w:val="18"/>
    </w:rPr>
  </w:style>
  <w:style w:type="character" w:customStyle="1" w:styleId="47">
    <w:name w:val="页脚 Char1"/>
    <w:link w:val="17"/>
    <w:uiPriority w:val="99"/>
    <w:rPr>
      <w:rFonts w:ascii="Calibri" w:hAnsi="Calibri"/>
      <w:sz w:val="18"/>
      <w:szCs w:val="22"/>
    </w:rPr>
  </w:style>
  <w:style w:type="character" w:customStyle="1" w:styleId="48">
    <w:name w:val="页眉 Char"/>
    <w:basedOn w:val="30"/>
    <w:link w:val="18"/>
    <w:uiPriority w:val="0"/>
    <w:rPr>
      <w:rFonts w:ascii="Calibri" w:hAnsi="Calibri"/>
      <w:sz w:val="18"/>
      <w:szCs w:val="22"/>
    </w:rPr>
  </w:style>
  <w:style w:type="character" w:customStyle="1" w:styleId="49">
    <w:name w:val="副标题 Char"/>
    <w:basedOn w:val="30"/>
    <w:link w:val="20"/>
    <w:qFormat/>
    <w:uiPriority w:val="99"/>
    <w:rPr>
      <w:rFonts w:ascii="Cambria" w:hAnsi="Cambria" w:eastAsia="仿宋_GB2312" w:cs="宋体"/>
      <w:b/>
      <w:bCs/>
      <w:kern w:val="28"/>
      <w:sz w:val="32"/>
      <w:szCs w:val="32"/>
    </w:rPr>
  </w:style>
  <w:style w:type="character" w:customStyle="1" w:styleId="50">
    <w:name w:val="正文文本 2 Char"/>
    <w:basedOn w:val="30"/>
    <w:link w:val="23"/>
    <w:semiHidden/>
    <w:uiPriority w:val="99"/>
    <w:rPr>
      <w:rFonts w:ascii="Calibri" w:hAnsi="Calibri"/>
      <w:sz w:val="21"/>
      <w:szCs w:val="22"/>
    </w:rPr>
  </w:style>
  <w:style w:type="character" w:customStyle="1" w:styleId="51">
    <w:name w:val="HTML 预设格式 Char"/>
    <w:basedOn w:val="30"/>
    <w:link w:val="24"/>
    <w:uiPriority w:val="99"/>
    <w:rPr>
      <w:rFonts w:ascii="宋体" w:hAnsi="宋体" w:cs="宋体"/>
      <w:sz w:val="24"/>
      <w:szCs w:val="24"/>
    </w:rPr>
  </w:style>
  <w:style w:type="character" w:customStyle="1" w:styleId="52">
    <w:name w:val="正文首行缩进 Char"/>
    <w:basedOn w:val="35"/>
    <w:link w:val="26"/>
    <w:semiHidden/>
    <w:uiPriority w:val="99"/>
    <w:rPr>
      <w:rFonts w:cs="宋体"/>
      <w:kern w:val="2"/>
    </w:rPr>
  </w:style>
  <w:style w:type="character" w:customStyle="1" w:styleId="53">
    <w:name w:val="副标题 Char1"/>
    <w:basedOn w:val="30"/>
    <w:link w:val="20"/>
    <w:uiPriority w:val="11"/>
    <w:rPr>
      <w:rFonts w:ascii="Cambria" w:hAnsi="Cambria" w:cs="Times New Roman"/>
      <w:b/>
      <w:bCs/>
      <w:kern w:val="28"/>
      <w:sz w:val="32"/>
      <w:szCs w:val="32"/>
    </w:rPr>
  </w:style>
  <w:style w:type="paragraph" w:customStyle="1" w:styleId="54">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55">
    <w:name w:val="Char"/>
    <w:basedOn w:val="1"/>
    <w:uiPriority w:val="0"/>
    <w:pPr>
      <w:widowControl/>
      <w:spacing w:after="160" w:line="240" w:lineRule="exact"/>
      <w:jc w:val="left"/>
    </w:pPr>
    <w:rPr>
      <w:rFonts w:ascii="Verdana" w:hAnsi="Verdana" w:eastAsia="仿宋_GB2312" w:cs="Verdana"/>
      <w:sz w:val="24"/>
      <w:lang w:eastAsia="en-US"/>
    </w:rPr>
  </w:style>
  <w:style w:type="paragraph" w:customStyle="1" w:styleId="56">
    <w:name w:val="p0"/>
    <w:basedOn w:val="1"/>
    <w:qFormat/>
    <w:uiPriority w:val="0"/>
    <w:pPr>
      <w:widowControl/>
    </w:pPr>
    <w:rPr>
      <w:rFonts w:ascii="Times New Roman" w:hAnsi="Times New Roman"/>
      <w:szCs w:val="21"/>
    </w:rPr>
  </w:style>
  <w:style w:type="paragraph" w:customStyle="1" w:styleId="57">
    <w:name w:val="列出段落1"/>
    <w:basedOn w:val="1"/>
    <w:qFormat/>
    <w:uiPriority w:val="0"/>
    <w:pPr>
      <w:ind w:firstLine="420" w:firstLineChars="200"/>
    </w:pPr>
    <w:rPr>
      <w:rFonts w:ascii="Times New Roman" w:hAnsi="Times New Roman"/>
      <w:kern w:val="2"/>
      <w:szCs w:val="20"/>
    </w:rPr>
  </w:style>
  <w:style w:type="paragraph" w:customStyle="1" w:styleId="58">
    <w:name w:val="默认段落字体 Para Char"/>
    <w:basedOn w:val="1"/>
    <w:uiPriority w:val="0"/>
    <w:pPr>
      <w:spacing w:line="360" w:lineRule="auto"/>
    </w:pPr>
    <w:rPr>
      <w:rFonts w:ascii="Tahoma" w:hAnsi="Tahoma"/>
      <w:kern w:val="2"/>
      <w:sz w:val="24"/>
      <w:szCs w:val="20"/>
    </w:rPr>
  </w:style>
  <w:style w:type="paragraph" w:styleId="59">
    <w:name w:val="List Paragraph"/>
    <w:basedOn w:val="1"/>
    <w:qFormat/>
    <w:uiPriority w:val="99"/>
    <w:pPr>
      <w:ind w:firstLine="420" w:firstLineChars="200"/>
    </w:pPr>
    <w:rPr>
      <w:kern w:val="2"/>
    </w:rPr>
  </w:style>
  <w:style w:type="paragraph" w:customStyle="1" w:styleId="60">
    <w:name w:val="_Style 1"/>
    <w:basedOn w:val="1"/>
    <w:qFormat/>
    <w:uiPriority w:val="0"/>
    <w:pPr>
      <w:ind w:firstLine="420" w:firstLineChars="200"/>
    </w:pPr>
    <w:rPr>
      <w:kern w:val="2"/>
    </w:rPr>
  </w:style>
  <w:style w:type="character" w:customStyle="1" w:styleId="61">
    <w:name w:val="List Paragraph Char"/>
    <w:link w:val="62"/>
    <w:locked/>
    <w:uiPriority w:val="0"/>
    <w:rPr>
      <w:rFonts w:ascii="Calibri" w:hAnsi="Calibri" w:eastAsia="仿宋_GB2312"/>
      <w:kern w:val="2"/>
      <w:sz w:val="28"/>
      <w:szCs w:val="22"/>
    </w:rPr>
  </w:style>
  <w:style w:type="paragraph" w:customStyle="1" w:styleId="62">
    <w:name w:val="List Paragraph"/>
    <w:basedOn w:val="1"/>
    <w:link w:val="61"/>
    <w:uiPriority w:val="0"/>
    <w:pPr>
      <w:ind w:firstLine="420" w:firstLineChars="200"/>
    </w:pPr>
    <w:rPr>
      <w:rFonts w:eastAsia="仿宋_GB2312"/>
      <w:kern w:val="2"/>
      <w:sz w:val="28"/>
    </w:rPr>
  </w:style>
  <w:style w:type="paragraph" w:customStyle="1" w:styleId="63">
    <w:name w:val="Heading 1"/>
    <w:basedOn w:val="1"/>
    <w:qFormat/>
    <w:uiPriority w:val="1"/>
    <w:pPr>
      <w:ind w:left="264"/>
      <w:outlineLvl w:val="1"/>
    </w:pPr>
    <w:rPr>
      <w:kern w:val="2"/>
      <w:sz w:val="31"/>
      <w:szCs w:val="31"/>
    </w:rPr>
  </w:style>
  <w:style w:type="paragraph" w:customStyle="1" w:styleId="64">
    <w:name w:val="p17"/>
    <w:basedOn w:val="1"/>
    <w:uiPriority w:val="99"/>
    <w:pPr>
      <w:widowControl/>
    </w:pPr>
    <w:rPr>
      <w:rFonts w:ascii="Times New Roman" w:hAnsi="Times New Roman"/>
      <w:szCs w:val="21"/>
    </w:rPr>
  </w:style>
  <w:style w:type="character" w:customStyle="1" w:styleId="65">
    <w:name w:val="fontstyle01"/>
    <w:uiPriority w:val="0"/>
    <w:rPr>
      <w:rFonts w:hint="eastAsia" w:ascii="仿宋_GB2312" w:eastAsia="仿宋_GB2312"/>
      <w:color w:val="000000"/>
      <w:sz w:val="32"/>
      <w:szCs w:val="32"/>
    </w:rPr>
  </w:style>
  <w:style w:type="paragraph" w:customStyle="1" w:styleId="66">
    <w:name w:val="正文 A"/>
    <w:qFormat/>
    <w:uiPriority w:val="0"/>
    <w:pPr>
      <w:framePr w:wrap="around" w:vAnchor="margin" w:hAnchor="text" w:yAlign="top"/>
      <w:widowControl w:val="0"/>
      <w:jc w:val="both"/>
    </w:pPr>
    <w:rPr>
      <w:rFonts w:eastAsia="Calibri" w:cs="Calibri"/>
      <w:color w:val="000000"/>
      <w:kern w:val="2"/>
      <w:sz w:val="21"/>
      <w:szCs w:val="21"/>
      <w:lang w:val="en-US" w:eastAsia="zh-CN" w:bidi="ar-SA"/>
    </w:rPr>
  </w:style>
  <w:style w:type="character" w:customStyle="1" w:styleId="67">
    <w:name w:val="NormalCharacter"/>
    <w:qFormat/>
    <w:uiPriority w:val="0"/>
  </w:style>
  <w:style w:type="paragraph" w:customStyle="1" w:styleId="68">
    <w:name w:val="UserStyle_0"/>
    <w:basedOn w:val="1"/>
    <w:uiPriority w:val="0"/>
    <w:pPr>
      <w:spacing w:line="360" w:lineRule="auto"/>
      <w:ind w:firstLine="200" w:firstLineChars="200"/>
      <w:jc w:val="left"/>
      <w:textAlignment w:val="baseline"/>
    </w:pPr>
    <w:rPr>
      <w:rFonts w:ascii="仿宋" w:hAnsi="仿宋" w:eastAsia="仿宋"/>
      <w:sz w:val="28"/>
      <w:szCs w:val="20"/>
      <w:lang w:val="zh-CN" w:bidi="zh-CN"/>
    </w:rPr>
  </w:style>
  <w:style w:type="paragraph" w:customStyle="1" w:styleId="69">
    <w:name w:val="Body text|1"/>
    <w:basedOn w:val="1"/>
    <w:uiPriority w:val="0"/>
    <w:pPr>
      <w:spacing w:line="415" w:lineRule="auto"/>
      <w:ind w:firstLine="400"/>
      <w:jc w:val="left"/>
    </w:pPr>
    <w:rPr>
      <w:rFonts w:ascii="宋体" w:hAnsi="Times New Roman" w:eastAsia="仿宋" w:cs="宋体"/>
      <w:sz w:val="19"/>
      <w:szCs w:val="19"/>
      <w:lang w:val="zh-TW" w:eastAsia="zh-TW" w:bidi="zh-TW"/>
    </w:rPr>
  </w:style>
  <w:style w:type="character" w:customStyle="1" w:styleId="70">
    <w:name w:val="页脚 Char"/>
    <w:basedOn w:val="30"/>
    <w:qFormat/>
    <w:uiPriority w:val="0"/>
    <w:rPr>
      <w:sz w:val="18"/>
      <w:szCs w:val="18"/>
    </w:rPr>
  </w:style>
  <w:style w:type="paragraph" w:customStyle="1" w:styleId="71">
    <w:name w:val="paragraph"/>
    <w:basedOn w:val="1"/>
    <w:uiPriority w:val="0"/>
    <w:pPr>
      <w:widowControl/>
      <w:spacing w:before="100" w:beforeAutospacing="1" w:after="100" w:afterAutospacing="1"/>
      <w:jc w:val="left"/>
    </w:pPr>
    <w:rPr>
      <w:rFonts w:ascii="宋体" w:hAnsi="宋体" w:cs="宋体"/>
      <w:sz w:val="24"/>
      <w:szCs w:val="24"/>
    </w:rPr>
  </w:style>
  <w:style w:type="paragraph" w:customStyle="1" w:styleId="72">
    <w:name w:val="文件格式"/>
    <w:unhideWhenUsed/>
    <w:qFormat/>
    <w:uiPriority w:val="99"/>
    <w:pPr>
      <w:spacing w:line="460" w:lineRule="atLeast"/>
      <w:ind w:left="1" w:firstLine="419"/>
      <w:jc w:val="both"/>
      <w:textAlignment w:val="bottom"/>
    </w:pPr>
    <w:rPr>
      <w:rFonts w:hint="eastAsia" w:eastAsia="仿宋_GB2312"/>
      <w:sz w:val="32"/>
      <w:lang w:val="en-US" w:eastAsia="zh-CN" w:bidi="ar-SA"/>
    </w:rPr>
  </w:style>
  <w:style w:type="paragraph" w:customStyle="1" w:styleId="73">
    <w:name w:val="仿宋三号"/>
    <w:basedOn w:val="1"/>
    <w:uiPriority w:val="0"/>
    <w:pPr>
      <w:jc w:val="left"/>
    </w:pPr>
    <w:rPr>
      <w:rFonts w:eastAsia="仿宋_GB2312"/>
      <w:kern w:val="2"/>
      <w:sz w:val="32"/>
      <w:szCs w:val="30"/>
    </w:rPr>
  </w:style>
  <w:style w:type="character" w:customStyle="1" w:styleId="74">
    <w:name w:val="ca-11"/>
    <w:qFormat/>
    <w:uiPriority w:val="0"/>
    <w:rPr>
      <w:rFonts w:hint="eastAsia" w:ascii="仿宋_GB2312" w:hAnsi="Times New Roman" w:eastAsia="仿宋_GB2312" w:cs="Times New Roman"/>
      <w:sz w:val="32"/>
      <w:szCs w:val="32"/>
    </w:rPr>
  </w:style>
  <w:style w:type="paragraph" w:customStyle="1" w:styleId="75">
    <w:name w:val="TOC2"/>
    <w:basedOn w:val="1"/>
    <w:next w:val="1"/>
    <w:qFormat/>
    <w:uiPriority w:val="0"/>
    <w:pPr>
      <w:widowControl/>
      <w:tabs>
        <w:tab w:val="right" w:leader="dot" w:pos="9060"/>
      </w:tabs>
      <w:snapToGrid w:val="0"/>
      <w:spacing w:after="200" w:line="560" w:lineRule="exact"/>
      <w:ind w:left="200" w:leftChars="200"/>
      <w:textAlignment w:val="baseline"/>
    </w:pPr>
    <w:rPr>
      <w:rFonts w:ascii="Tahoma" w:hAnsi="Tahoma" w:eastAsia="微软雅黑"/>
      <w:kern w:val="2"/>
      <w:sz w:val="24"/>
      <w:szCs w:val="20"/>
    </w:rPr>
  </w:style>
  <w:style w:type="character" w:customStyle="1" w:styleId="76">
    <w:name w:val="页眉 Char1"/>
    <w:locked/>
    <w:uiPriority w:val="0"/>
    <w:rPr>
      <w:rFonts w:eastAsia="宋体"/>
      <w:kern w:val="2"/>
      <w:sz w:val="18"/>
      <w:szCs w:val="18"/>
      <w:lang w:val="en-US" w:eastAsia="zh-CN" w:bidi="ar-SA"/>
    </w:rPr>
  </w:style>
  <w:style w:type="paragraph" w:customStyle="1" w:styleId="77">
    <w:name w:val="TableOfAuthoring"/>
    <w:basedOn w:val="1"/>
    <w:next w:val="1"/>
    <w:qFormat/>
    <w:uiPriority w:val="0"/>
    <w:pPr>
      <w:widowControl/>
      <w:ind w:left="420" w:leftChars="200"/>
      <w:jc w:val="both"/>
      <w:textAlignment w:val="baseline"/>
    </w:pPr>
  </w:style>
  <w:style w:type="paragraph" w:customStyle="1" w:styleId="7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样式 2 10 磅"/>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258</Words>
  <Characters>1472</Characters>
  <Lines>12</Lines>
  <Paragraphs>3</Paragraphs>
  <TotalTime>31.6666666666667</TotalTime>
  <ScaleCrop>false</ScaleCrop>
  <LinksUpToDate>false</LinksUpToDate>
  <CharactersWithSpaces>1727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2022-01-16T01:13:00Z</dcterms:created>
  <dc:creator>microsoft</dc:creator>
  <cp:lastModifiedBy>gxxc</cp:lastModifiedBy>
  <cp:lastPrinted>2022-04-15T01:10:39Z</cp:lastPrinted>
  <dcterms:modified xsi:type="dcterms:W3CDTF">2022-05-17T16:07:28Z</dcterms:modified>
  <dc:title>防城港市人民政府  广西北部湾国际港务集团有限公司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