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60" w:lineRule="exact"/>
        <w:ind w:left="-105" w:leftChars="-50" w:right="382" w:rightChars="182" w:firstLine="464" w:firstLineChars="86"/>
        <w:jc w:val="distribute"/>
        <w:rPr>
          <w:rFonts w:hint="eastAsia" w:ascii="方正小标宋简体" w:eastAsia="方正小标宋简体"/>
          <w:color w:val="FF0000"/>
          <w:spacing w:val="-60"/>
          <w:sz w:val="66"/>
          <w:szCs w:val="66"/>
        </w:rPr>
      </w:pPr>
      <w:bookmarkStart w:id="3" w:name="_GoBack"/>
      <w:bookmarkEnd w:id="3"/>
      <w:bookmarkStart w:id="0" w:name="_GoBack"/>
      <w:bookmarkEnd w:id="0"/>
      <w:r>
        <w:rPr>
          <w:rFonts w:hint="eastAsia" w:ascii="方正小标宋简体" w:eastAsia="方正小标宋简体"/>
          <w:color w:val="FF0000"/>
          <w:spacing w:val="-60"/>
          <w:sz w:val="66"/>
          <w:szCs w:val="66"/>
        </w:rPr>
        <mc:AlternateContent>
          <mc:Choice Requires="wps">
            <w:drawing>
              <wp:anchor distT="0" distB="0" distL="114300" distR="114300" simplePos="0" relativeHeight="251659264" behindDoc="0" locked="0" layoutInCell="1" allowOverlap="1">
                <wp:simplePos x="0" y="0"/>
                <wp:positionH relativeFrom="column">
                  <wp:posOffset>-277495</wp:posOffset>
                </wp:positionH>
                <wp:positionV relativeFrom="paragraph">
                  <wp:posOffset>-702945</wp:posOffset>
                </wp:positionV>
                <wp:extent cx="2106295" cy="504825"/>
                <wp:effectExtent l="0" t="0" r="8255" b="9525"/>
                <wp:wrapNone/>
                <wp:docPr id="2" name="文本框 321"/>
                <wp:cNvGraphicFramePr/>
                <a:graphic xmlns:a="http://schemas.openxmlformats.org/drawingml/2006/main">
                  <a:graphicData uri="http://schemas.microsoft.com/office/word/2010/wordprocessingShape">
                    <wps:wsp>
                      <wps:cNvSpPr txBox="true"/>
                      <wps:spPr>
                        <a:xfrm>
                          <a:off x="0" y="0"/>
                          <a:ext cx="2106295" cy="504825"/>
                        </a:xfrm>
                        <a:prstGeom prst="rect">
                          <a:avLst/>
                        </a:prstGeom>
                        <a:solidFill>
                          <a:srgbClr val="FFFFFF"/>
                        </a:solidFill>
                        <a:ln>
                          <a:noFill/>
                        </a:ln>
                      </wps:spPr>
                      <wps:txbx>
                        <w:txbxContent>
                          <w:p>
                            <w:pPr>
                              <w:rPr>
                                <w:rFonts w:hint="eastAsia" w:ascii="黑体" w:eastAsia="黑体"/>
                                <w:sz w:val="32"/>
                                <w:szCs w:val="32"/>
                              </w:rPr>
                            </w:pPr>
                          </w:p>
                        </w:txbxContent>
                      </wps:txbx>
                      <wps:bodyPr wrap="square" upright="true"/>
                    </wps:wsp>
                  </a:graphicData>
                </a:graphic>
              </wp:anchor>
            </w:drawing>
          </mc:Choice>
          <mc:Fallback>
            <w:pict>
              <v:shape id="文本框 321" o:spid="_x0000_s1026" o:spt="202" type="#_x0000_t202" style="position:absolute;left:0pt;margin-left:-21.85pt;margin-top:-55.35pt;height:39.75pt;width:165.85pt;z-index:251659264;mso-width-relative:page;mso-height-relative:page;" fillcolor="#FFFFFF" filled="t" stroked="f" coordsize="21600,21600" o:gfxdata="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W&#10;AAAAZHJzL1BLAQIUABQAAAAIAIdO4kAn8pTP2QAAAAwBAAAPAAAAAAAAAAEAIAAAADgAAABkcnMv&#10;ZG93bnJldi54bWxQSwECFAAUAAAACACHTuJAip04K7MBAAA/AwAADgAAAAAAAAABACAAAAA+AQAA&#10;ZHJzL2Uyb0RvYy54bWxQSwUGAAAAAAYABgBZAQAAYwUAAAAA&#10;">
                <v:fill on="t" focussize="0,0"/>
                <v:stroke on="f"/>
                <v:imagedata o:title=""/>
                <o:lock v:ext="edit" aspectratio="f"/>
                <v:textbox>
                  <w:txbxContent>
                    <w:p>
                      <w:pPr>
                        <w:rPr>
                          <w:rFonts w:hint="eastAsia" w:ascii="黑体" w:eastAsia="黑体"/>
                          <w:sz w:val="32"/>
                          <w:szCs w:val="32"/>
                        </w:rPr>
                      </w:pPr>
                    </w:p>
                  </w:txbxContent>
                </v:textbox>
              </v:shape>
            </w:pict>
          </mc:Fallback>
        </mc:AlternateContent>
      </w:r>
      <w:r>
        <w:rPr>
          <w:rFonts w:hint="eastAsia" w:ascii="方正小标宋简体" w:eastAsia="方正小标宋简体"/>
          <w:color w:val="FF0000"/>
          <w:spacing w:val="-60"/>
          <w:sz w:val="66"/>
          <w:szCs w:val="66"/>
        </w:rPr>
        <w:t>防城港市人民政府办公室</w:t>
      </w:r>
    </w:p>
    <w:p>
      <w:pPr>
        <w:tabs>
          <w:tab w:val="right" w:pos="8999"/>
        </w:tabs>
        <w:spacing w:before="312" w:beforeLines="100"/>
        <w:ind w:right="-155" w:rightChars="-74"/>
        <w:rPr>
          <w:rFonts w:hint="eastAsia" w:ascii="仿宋_GB2312" w:eastAsia="仿宋_GB2312"/>
          <w:sz w:val="32"/>
          <w:szCs w:val="32"/>
        </w:rPr>
      </w:pPr>
      <w:r>
        <w:rPr>
          <w:rFonts w:ascii="仿宋_GB2312" w:eastAsia="仿宋_GB2312"/>
          <w:sz w:val="32"/>
          <w:szCs w:val="32"/>
        </w:rPr>
        <w:tab/>
      </w:r>
      <w:r>
        <w:rPr>
          <w:rFonts w:hint="eastAsia"/>
          <w:sz w:val="32"/>
          <w:szCs w:val="32"/>
        </w:rPr>
        <mc:AlternateContent>
          <mc:Choice Requires="wps">
            <w:drawing>
              <wp:anchor distT="0" distB="0" distL="114300" distR="114300" simplePos="0" relativeHeight="251658240" behindDoc="0" locked="0" layoutInCell="1" allowOverlap="1">
                <wp:simplePos x="0" y="0"/>
                <wp:positionH relativeFrom="column">
                  <wp:posOffset>-228600</wp:posOffset>
                </wp:positionH>
                <wp:positionV relativeFrom="paragraph">
                  <wp:posOffset>114300</wp:posOffset>
                </wp:positionV>
                <wp:extent cx="6120130" cy="0"/>
                <wp:effectExtent l="0" t="28575" r="13970" b="28575"/>
                <wp:wrapNone/>
                <wp:docPr id="1" name="直线 322"/>
                <wp:cNvGraphicFramePr/>
                <a:graphic xmlns:a="http://schemas.openxmlformats.org/drawingml/2006/main">
                  <a:graphicData uri="http://schemas.microsoft.com/office/word/2010/wordprocessingShape">
                    <wps:wsp>
                      <wps:cNvSpPr/>
                      <wps:spPr>
                        <a:xfrm>
                          <a:off x="0" y="0"/>
                          <a:ext cx="6120130" cy="0"/>
                        </a:xfrm>
                        <a:prstGeom prst="line">
                          <a:avLst/>
                        </a:prstGeom>
                        <a:ln w="57150" cap="flat" cmpd="thickThin">
                          <a:solidFill>
                            <a:srgbClr val="FF0000"/>
                          </a:solidFill>
                          <a:prstDash val="solid"/>
                          <a:headEnd type="none" w="med" len="med"/>
                          <a:tailEnd type="none" w="med" len="med"/>
                        </a:ln>
                      </wps:spPr>
                      <wps:bodyPr upright="true"/>
                    </wps:wsp>
                  </a:graphicData>
                </a:graphic>
              </wp:anchor>
            </w:drawing>
          </mc:Choice>
          <mc:Fallback>
            <w:pict>
              <v:line id="直线 322" o:spid="_x0000_s1026" o:spt="20" style="position:absolute;left:0pt;margin-left:-18pt;margin-top:9pt;height:0pt;width:481.9pt;z-index:251658240;mso-width-relative:page;mso-height-relative:page;" filled="f" stroked="t" coordsize="21600,21600" o:gfxdata="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AF9hd6&#10;1AAAAAkBAAAPAAAAAAAAAAEAIAAAADgAAABkcnMvZG93bnJldi54bWxQSwECFAAUAAAACACHTuJA&#10;bHsckNYBAACZAwAADgAAAAAAAAABACAAAAA5AQAAZHJzL2Uyb0RvYy54bWxQSwUGAAAAAAYABgBZ&#10;AQAAgQUAAAAA&#10;">
                <v:fill on="f" focussize="0,0"/>
                <v:stroke weight="4.5pt" color="#FF0000" linestyle="thickThin" joinstyle="round"/>
                <v:imagedata o:title=""/>
                <o:lock v:ext="edit" aspectratio="f"/>
              </v:line>
            </w:pict>
          </mc:Fallback>
        </mc:AlternateContent>
      </w:r>
      <w:r>
        <w:rPr>
          <w:rFonts w:hint="eastAsia" w:ascii="仿宋_GB2312" w:eastAsia="仿宋_GB2312"/>
          <w:sz w:val="32"/>
          <w:szCs w:val="32"/>
        </w:rPr>
        <w:t>防政办函〔202</w:t>
      </w: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eastAsia="仿宋_GB2312"/>
          <w:sz w:val="32"/>
          <w:szCs w:val="32"/>
          <w:lang w:val="en-US" w:eastAsia="zh-CN"/>
        </w:rPr>
        <w:t>10</w:t>
      </w:r>
      <w:r>
        <w:rPr>
          <w:rFonts w:hint="eastAsia" w:ascii="仿宋_GB2312"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color w:val="auto"/>
          <w:spacing w:val="0"/>
          <w:sz w:val="44"/>
          <w:szCs w:val="44"/>
          <w:highlight w:val="none"/>
          <w:u w:val="none" w:color="auto"/>
          <w:lang w:val="en-US" w:eastAsia="zh-CN"/>
        </w:rPr>
        <w:t>防城港市人民政府办公室关于印发《</w:t>
      </w:r>
      <w:r>
        <w:rPr>
          <w:rFonts w:hint="eastAsia" w:ascii="方正小标宋简体" w:hAnsi="方正小标宋简体" w:eastAsia="方正小标宋简体" w:cs="方正小标宋简体"/>
          <w:spacing w:val="0"/>
          <w:sz w:val="44"/>
          <w:szCs w:val="44"/>
        </w:rPr>
        <w:t>推动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u w:val="none" w:color="auto"/>
          <w:lang w:val="en-US" w:eastAsia="zh-CN"/>
        </w:rPr>
      </w:pPr>
      <w:r>
        <w:rPr>
          <w:rFonts w:hint="eastAsia" w:ascii="方正小标宋简体" w:hAnsi="方正小标宋简体" w:eastAsia="方正小标宋简体" w:cs="方正小标宋简体"/>
          <w:spacing w:val="0"/>
          <w:sz w:val="44"/>
          <w:szCs w:val="44"/>
        </w:rPr>
        <w:t>现代物流业高质量发展的实施意见</w:t>
      </w:r>
      <w:r>
        <w:rPr>
          <w:rFonts w:hint="eastAsia" w:ascii="方正小标宋简体" w:hAnsi="方正小标宋简体" w:eastAsia="方正小标宋简体" w:cs="方正小标宋简体"/>
          <w:color w:val="auto"/>
          <w:spacing w:val="0"/>
          <w:sz w:val="44"/>
          <w:szCs w:val="44"/>
          <w:highlight w:val="none"/>
          <w:u w:val="none" w:color="auto"/>
          <w:lang w:val="en-US" w:eastAsia="zh-CN"/>
        </w:rPr>
        <w:t>》的通知</w:t>
      </w:r>
    </w:p>
    <w:p>
      <w:pPr>
        <w:pStyle w:val="25"/>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center"/>
        <w:textAlignment w:val="auto"/>
        <w:rPr>
          <w:rFonts w:hint="eastAsia" w:ascii="方正小标宋简体" w:hAnsi="方正小标宋简体" w:eastAsia="方正小标宋简体" w:cs="方正小标宋简体"/>
          <w:color w:val="auto"/>
          <w:spacing w:val="-6"/>
          <w:sz w:val="44"/>
          <w:szCs w:val="44"/>
          <w:highlight w:val="none"/>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u w:val="none" w:color="auto"/>
          <w:lang w:eastAsia="zh-CN"/>
        </w:rPr>
      </w:pPr>
      <w:r>
        <w:rPr>
          <w:rFonts w:hint="eastAsia" w:ascii="仿宋_GB2312" w:eastAsia="仿宋_GB2312"/>
          <w:color w:val="000000"/>
          <w:sz w:val="32"/>
          <w:szCs w:val="32"/>
          <w:lang w:val="en-US" w:eastAsia="zh-CN"/>
        </w:rPr>
        <w:t>各县（市、区）人民政府，市人民政府各工作部门，市人民政府各直属企事业单位，驻港各单位：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u w:val="none" w:color="auto"/>
          <w:lang w:val="en-US" w:eastAsia="zh-CN" w:bidi="ar-SA"/>
        </w:rPr>
      </w:pP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sz w:val="32"/>
          <w:szCs w:val="32"/>
          <w:lang w:val="en-US" w:eastAsia="zh-CN"/>
        </w:rPr>
        <w:t>推动</w:t>
      </w:r>
      <w:r>
        <w:rPr>
          <w:rFonts w:hint="eastAsia" w:ascii="仿宋_GB2312" w:hAnsi="仿宋_GB2312" w:eastAsia="仿宋_GB2312" w:cs="仿宋_GB2312"/>
          <w:sz w:val="32"/>
          <w:szCs w:val="32"/>
          <w:lang w:eastAsia="zh-CN"/>
        </w:rPr>
        <w:t>现代物流业高质量发展的实施意见</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sz w:val="32"/>
          <w:szCs w:val="32"/>
          <w:lang w:eastAsia="zh-CN"/>
        </w:rPr>
        <w:t>已经</w:t>
      </w:r>
      <w:r>
        <w:rPr>
          <w:rFonts w:hint="eastAsia" w:ascii="仿宋_GB2312" w:hAnsi="仿宋_GB2312" w:eastAsia="仿宋_GB2312" w:cs="仿宋_GB2312"/>
          <w:sz w:val="32"/>
          <w:szCs w:val="32"/>
          <w:lang w:val="en-US" w:eastAsia="zh-CN"/>
        </w:rPr>
        <w:t>2022年6月8</w:t>
      </w:r>
      <w:r>
        <w:rPr>
          <w:rFonts w:hint="eastAsia" w:ascii="仿宋_GB2312" w:hAnsi="仿宋_GB2312" w:eastAsia="仿宋_GB2312" w:cs="仿宋_GB2312"/>
          <w:color w:val="auto"/>
          <w:sz w:val="32"/>
          <w:szCs w:val="32"/>
          <w:highlight w:val="none"/>
          <w:u w:val="none" w:color="auto"/>
          <w:lang w:val="en-US" w:eastAsia="zh-CN"/>
        </w:rPr>
        <w:t>日</w:t>
      </w:r>
      <w:r>
        <w:rPr>
          <w:rFonts w:hint="eastAsia" w:ascii="仿宋_GB2312" w:hAnsi="仿宋_GB2312" w:eastAsia="仿宋_GB2312" w:cs="仿宋_GB2312"/>
          <w:sz w:val="32"/>
          <w:szCs w:val="32"/>
          <w:lang w:eastAsia="zh-CN"/>
        </w:rPr>
        <w:t>市七届人民政府第</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lang w:eastAsia="zh-CN"/>
        </w:rPr>
        <w:t>次常务会议</w:t>
      </w:r>
      <w:r>
        <w:rPr>
          <w:rFonts w:hint="eastAsia" w:ascii="仿宋_GB2312" w:hAnsi="仿宋_GB2312" w:eastAsia="仿宋_GB2312" w:cs="仿宋_GB2312"/>
          <w:color w:val="auto"/>
          <w:sz w:val="32"/>
          <w:szCs w:val="32"/>
          <w:highlight w:val="none"/>
          <w:u w:val="none" w:color="auto"/>
          <w:lang w:eastAsia="zh-CN"/>
        </w:rPr>
        <w:t>审议原则通过，现印发给你们</w:t>
      </w:r>
      <w:r>
        <w:rPr>
          <w:rFonts w:hint="eastAsia" w:ascii="仿宋_GB2312" w:hAnsi="仿宋_GB2312" w:eastAsia="仿宋_GB2312" w:cs="仿宋_GB2312"/>
          <w:color w:val="auto"/>
          <w:sz w:val="32"/>
          <w:szCs w:val="32"/>
          <w:highlight w:val="none"/>
          <w:u w:val="none" w:color="auto"/>
        </w:rPr>
        <w:t>，</w:t>
      </w:r>
      <w:r>
        <w:rPr>
          <w:rFonts w:hint="eastAsia" w:ascii="仿宋_GB2312" w:hAnsi="仿宋_GB2312" w:eastAsia="仿宋_GB2312" w:cs="仿宋_GB2312"/>
          <w:color w:val="auto"/>
          <w:sz w:val="32"/>
          <w:szCs w:val="32"/>
          <w:highlight w:val="none"/>
          <w:u w:val="none" w:color="auto"/>
          <w:lang w:eastAsia="zh-CN"/>
        </w:rPr>
        <w:t>请认真组织实施。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kern w:val="2"/>
          <w:sz w:val="32"/>
          <w:szCs w:val="32"/>
          <w:highlight w:val="none"/>
          <w:u w:val="none" w:color="auto"/>
          <w:lang w:val="en-US" w:eastAsia="zh-CN" w:bidi="ar-SA"/>
        </w:rPr>
      </w:pPr>
      <w:r>
        <w:rPr>
          <w:rFonts w:hint="eastAsia" w:ascii="仿宋_GB2312" w:hAnsi="仿宋_GB2312" w:eastAsia="仿宋_GB2312" w:cs="仿宋_GB2312"/>
          <w:color w:val="auto"/>
          <w:kern w:val="2"/>
          <w:sz w:val="32"/>
          <w:szCs w:val="32"/>
          <w:highlight w:val="none"/>
          <w:u w:val="none" w:color="auto"/>
          <w:lang w:val="en-US" w:eastAsia="zh-CN" w:bidi="ar-SA"/>
        </w:rPr>
        <w:t xml:space="preserve">    </w:t>
      </w:r>
    </w:p>
    <w:p>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32"/>
          <w:szCs w:val="32"/>
          <w:highlight w:val="none"/>
          <w:u w:val="none" w:color="auto"/>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right="1283" w:rightChars="611"/>
        <w:jc w:val="right"/>
        <w:textAlignment w:val="auto"/>
        <w:rPr>
          <w:rFonts w:hint="eastAsia" w:ascii="仿宋_GB2312" w:hAnsi="仿宋_GB2312" w:eastAsia="仿宋_GB2312" w:cs="仿宋_GB2312"/>
          <w:color w:val="auto"/>
          <w:kern w:val="2"/>
          <w:sz w:val="32"/>
          <w:szCs w:val="32"/>
          <w:highlight w:val="none"/>
          <w:u w:val="none" w:color="auto"/>
          <w:lang w:val="en-US" w:eastAsia="zh-CN" w:bidi="ar-SA"/>
        </w:rPr>
      </w:pPr>
      <w:r>
        <w:rPr>
          <w:rFonts w:hint="eastAsia" w:ascii="仿宋_GB2312" w:hAnsi="仿宋_GB2312" w:eastAsia="仿宋_GB2312" w:cs="仿宋_GB2312"/>
          <w:color w:val="auto"/>
          <w:kern w:val="2"/>
          <w:sz w:val="32"/>
          <w:szCs w:val="32"/>
          <w:highlight w:val="none"/>
          <w:u w:val="none" w:color="auto"/>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1283" w:rightChars="611"/>
        <w:jc w:val="right"/>
        <w:textAlignment w:val="auto"/>
        <w:rPr>
          <w:rFonts w:hint="eastAsia" w:ascii="仿宋_GB2312" w:hAnsi="仿宋_GB2312" w:eastAsia="仿宋_GB2312" w:cs="仿宋_GB2312"/>
          <w:color w:val="auto"/>
          <w:kern w:val="2"/>
          <w:sz w:val="32"/>
          <w:szCs w:val="32"/>
          <w:highlight w:val="none"/>
          <w:u w:val="none" w:color="auto"/>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right="1283" w:rightChars="611"/>
        <w:jc w:val="right"/>
        <w:textAlignment w:val="auto"/>
        <w:rPr>
          <w:rFonts w:hint="default" w:ascii="仿宋_GB2312" w:hAnsi="仿宋_GB2312" w:eastAsia="仿宋_GB2312" w:cs="仿宋_GB2312"/>
          <w:color w:val="auto"/>
          <w:kern w:val="2"/>
          <w:sz w:val="32"/>
          <w:szCs w:val="32"/>
          <w:highlight w:val="none"/>
          <w:u w:val="none" w:color="auto"/>
          <w:lang w:val="en-US" w:eastAsia="zh-CN" w:bidi="ar-SA"/>
        </w:rPr>
      </w:pPr>
      <w:r>
        <w:rPr>
          <w:rFonts w:hint="eastAsia" w:ascii="仿宋_GB2312" w:hAnsi="仿宋_GB2312" w:eastAsia="仿宋_GB2312" w:cs="仿宋_GB2312"/>
          <w:color w:val="auto"/>
          <w:kern w:val="2"/>
          <w:sz w:val="32"/>
          <w:szCs w:val="32"/>
          <w:highlight w:val="none"/>
          <w:u w:val="none" w:color="auto"/>
          <w:lang w:val="en-US" w:eastAsia="zh-CN" w:bidi="ar-SA"/>
        </w:rPr>
        <w:t>2022年7月11日</w:t>
      </w:r>
    </w:p>
    <w:p>
      <w:pPr>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黑体" w:hAnsi="黑体" w:eastAsia="黑体" w:cs="黑体"/>
          <w:sz w:val="32"/>
          <w:szCs w:val="32"/>
          <w:lang w:eastAsia="zh-CN"/>
        </w:rPr>
        <w:t>公开方式：公开</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rPr>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rPr>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rPr>
          <w:sz w:val="32"/>
          <w:szCs w:val="32"/>
          <w:lang w:val="en-US" w:eastAsia="zh-CN"/>
        </w:rPr>
      </w:pPr>
      <w:r>
        <w:rPr>
          <w:rFonts w:hint="eastAsia"/>
          <w:sz w:val="32"/>
          <w:szCs w:val="32"/>
        </w:rPr>
        <mc:AlternateContent>
          <mc:Choice Requires="wps">
            <w:drawing>
              <wp:anchor distT="0" distB="0" distL="114300" distR="114300" simplePos="0" relativeHeight="251660288" behindDoc="0" locked="0" layoutInCell="1" allowOverlap="1">
                <wp:simplePos x="0" y="0"/>
                <wp:positionH relativeFrom="column">
                  <wp:posOffset>-231140</wp:posOffset>
                </wp:positionH>
                <wp:positionV relativeFrom="paragraph">
                  <wp:posOffset>339725</wp:posOffset>
                </wp:positionV>
                <wp:extent cx="6120130" cy="0"/>
                <wp:effectExtent l="0" t="28575" r="13970" b="28575"/>
                <wp:wrapNone/>
                <wp:docPr id="3" name="直线 325"/>
                <wp:cNvGraphicFramePr/>
                <a:graphic xmlns:a="http://schemas.openxmlformats.org/drawingml/2006/main">
                  <a:graphicData uri="http://schemas.microsoft.com/office/word/2010/wordprocessingShape">
                    <wps:wsp>
                      <wps:cNvSpPr/>
                      <wps:spPr>
                        <a:xfrm>
                          <a:off x="0" y="0"/>
                          <a:ext cx="6120130" cy="0"/>
                        </a:xfrm>
                        <a:prstGeom prst="line">
                          <a:avLst/>
                        </a:prstGeom>
                        <a:ln w="57150" cap="flat" cmpd="thinThick">
                          <a:solidFill>
                            <a:srgbClr val="FF0000"/>
                          </a:solidFill>
                          <a:prstDash val="solid"/>
                          <a:headEnd type="none" w="med" len="med"/>
                          <a:tailEnd type="none" w="med" len="med"/>
                        </a:ln>
                      </wps:spPr>
                      <wps:bodyPr upright="true"/>
                    </wps:wsp>
                  </a:graphicData>
                </a:graphic>
              </wp:anchor>
            </w:drawing>
          </mc:Choice>
          <mc:Fallback>
            <w:pict>
              <v:line id="直线 325" o:spid="_x0000_s1026" o:spt="20" style="position:absolute;left:0pt;margin-left:-18.2pt;margin-top:26.75pt;height:0pt;width:481.9pt;z-index:251660288;mso-width-relative:page;mso-height-relative:page;" filled="f" stroked="t" coordsize="21600,21600" o:gfxdata="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qSMQ6NcAAAAJAQAADwAAAAAAAAABACAAAAA4AAAAZHJzL2Rvd25yZXYueG1sUEsBAhQAFAAAAAgA&#10;h07iQIXqeJ/XAQAAmQMAAA4AAAAAAAAAAQAgAAAAPAEAAGRycy9lMm9Eb2MueG1sUEsFBgAAAAAG&#10;AAYAWQEAAIUFAAAAAA==&#10;">
                <v:fill on="f" focussize="0,0"/>
                <v:stroke weight="4.5pt" color="#FF0000" linestyle="thinThick"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推动现代物流业高质量发展的实施意见</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仿宋_GB2312"/>
          <w:color w:val="auto"/>
        </w:rPr>
      </w:pP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eastAsia="仿宋_GB2312"/>
          <w:color w:val="auto"/>
          <w:sz w:val="32"/>
          <w:szCs w:val="32"/>
        </w:rPr>
      </w:pPr>
      <w:r>
        <w:rPr>
          <w:rFonts w:eastAsia="仿宋_GB2312"/>
          <w:color w:val="auto"/>
          <w:sz w:val="32"/>
          <w:szCs w:val="32"/>
        </w:rPr>
        <w:t>为深入贯彻落实</w:t>
      </w:r>
      <w:r>
        <w:rPr>
          <w:rFonts w:hint="eastAsia" w:eastAsia="仿宋_GB2312"/>
          <w:color w:val="auto"/>
          <w:sz w:val="32"/>
          <w:szCs w:val="32"/>
        </w:rPr>
        <w:t>自治区第十二次党代会和</w:t>
      </w:r>
      <w:r>
        <w:rPr>
          <w:rFonts w:eastAsia="仿宋_GB2312"/>
          <w:color w:val="auto"/>
          <w:sz w:val="32"/>
          <w:szCs w:val="32"/>
        </w:rPr>
        <w:t>防城港市第七次党代会精神，加快推动现代物流业高质量发展，</w:t>
      </w:r>
      <w:r>
        <w:rPr>
          <w:rFonts w:hint="eastAsia" w:eastAsia="仿宋_GB2312"/>
          <w:color w:val="auto"/>
          <w:sz w:val="32"/>
          <w:szCs w:val="32"/>
        </w:rPr>
        <w:t>全力</w:t>
      </w:r>
      <w:r>
        <w:rPr>
          <w:rFonts w:eastAsia="仿宋_GB2312"/>
          <w:color w:val="auto"/>
          <w:sz w:val="32"/>
          <w:szCs w:val="32"/>
        </w:rPr>
        <w:t>构建</w:t>
      </w:r>
      <w:r>
        <w:rPr>
          <w:rFonts w:hint="eastAsia" w:eastAsia="仿宋_GB2312"/>
          <w:color w:val="auto"/>
          <w:sz w:val="32"/>
          <w:szCs w:val="32"/>
        </w:rPr>
        <w:t>中国—东盟国际现代物流中心</w:t>
      </w:r>
      <w:r>
        <w:rPr>
          <w:rFonts w:eastAsia="仿宋_GB2312"/>
          <w:color w:val="auto"/>
          <w:sz w:val="32"/>
          <w:szCs w:val="32"/>
        </w:rPr>
        <w:t>，</w:t>
      </w:r>
      <w:r>
        <w:rPr>
          <w:rFonts w:hint="eastAsia" w:eastAsia="仿宋_GB2312"/>
          <w:color w:val="auto"/>
          <w:sz w:val="32"/>
          <w:szCs w:val="32"/>
        </w:rPr>
        <w:t>助力建设现代化临港工业城市，</w:t>
      </w:r>
      <w:r>
        <w:rPr>
          <w:rFonts w:eastAsia="仿宋_GB2312"/>
          <w:color w:val="auto"/>
          <w:sz w:val="32"/>
          <w:szCs w:val="32"/>
        </w:rPr>
        <w:t>结合防城港市实际，特制定本实施意见。</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方正黑体_GBK" w:hAnsi="方正黑体_GBK" w:eastAsia="方正黑体_GBK" w:cs="方正黑体_GBK"/>
          <w:color w:val="auto"/>
          <w:sz w:val="32"/>
          <w:szCs w:val="32"/>
        </w:rPr>
      </w:pPr>
      <w:r>
        <w:rPr>
          <w:rFonts w:hint="eastAsia" w:ascii="黑体" w:hAnsi="黑体" w:eastAsia="黑体" w:cs="黑体"/>
          <w:color w:val="auto"/>
          <w:sz w:val="32"/>
          <w:szCs w:val="32"/>
        </w:rPr>
        <w:t>一、总体要求</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（一）指导思想</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以习近平新时代中国特色社会主义思想为指导，全面贯彻落实党的十九大和十九届历次全会精神，深入贯彻习近平总书记对广西及防城港市工作系列重要指示精神，贯彻落实自治区第十二次党代会和防城港市第七次党代会精神，立足服务现代化临港工业城市建设，围绕加快构建</w:t>
      </w:r>
      <w:bookmarkStart w:id="1" w:name="baidusnap7"/>
      <w:bookmarkEnd w:id="1"/>
      <w:r>
        <w:rPr>
          <w:rFonts w:hint="eastAsia" w:ascii="仿宋_GB2312" w:hAnsi="仿宋_GB2312" w:eastAsia="仿宋_GB2312" w:cs="仿宋_GB2312"/>
          <w:color w:val="auto"/>
          <w:sz w:val="32"/>
          <w:szCs w:val="32"/>
        </w:rPr>
        <w:t>边海国际大通道、建设开放开发先行区、建成产业集群新高地、建好边疆民族地区共同富裕示范市的努力方向，紧扣“12345”经济社会发展思路，不断发展壮大现代物流业。坚持</w:t>
      </w:r>
      <w:bookmarkStart w:id="2" w:name="baidusnap4"/>
      <w:bookmarkEnd w:id="2"/>
      <w:r>
        <w:rPr>
          <w:rFonts w:hint="eastAsia" w:ascii="仿宋_GB2312" w:hAnsi="仿宋_GB2312" w:eastAsia="仿宋_GB2312" w:cs="仿宋_GB2312"/>
          <w:color w:val="auto"/>
          <w:sz w:val="32"/>
          <w:szCs w:val="32"/>
        </w:rPr>
        <w:t>政策为大、项目为王、环境为本、创新为要，全力以赴建设中国—东盟国际现代物流中心，打造“三区、多园、一中心”全域物流网络，推动现代制造业物流、大宗商品物流、冷链物流、电商物流等多业态现代物流业蓬勃发展，促进大数据、云计算等新一代信息技术与物流业深度融合，推进物流社会化、标准化、信息化、专业化，实现制造业与物流业的高效联动发展，助力建设现代化临港工业城市，奋力谱写防城港市现代物流业发展新篇章。</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eastAsia="楷体_GB2312"/>
          <w:b w:val="0"/>
          <w:bCs/>
          <w:color w:val="auto"/>
          <w:sz w:val="32"/>
          <w:szCs w:val="32"/>
        </w:rPr>
      </w:pPr>
      <w:r>
        <w:rPr>
          <w:rFonts w:eastAsia="楷体_GB2312"/>
          <w:b w:val="0"/>
          <w:bCs/>
          <w:color w:val="auto"/>
          <w:sz w:val="32"/>
          <w:szCs w:val="32"/>
        </w:rPr>
        <w:t>（二）基本原则</w:t>
      </w:r>
    </w:p>
    <w:p>
      <w:pPr>
        <w:keepNext w:val="0"/>
        <w:keepLines w:val="0"/>
        <w:pageBreakBefore w:val="0"/>
        <w:widowControl w:val="0"/>
        <w:kinsoku/>
        <w:wordWrap/>
        <w:overflowPunct/>
        <w:topLinePunct w:val="0"/>
        <w:autoSpaceDE/>
        <w:autoSpaceDN/>
        <w:bidi w:val="0"/>
        <w:adjustRightInd/>
        <w:snapToGrid/>
        <w:spacing w:line="560" w:lineRule="exact"/>
        <w:ind w:firstLine="629" w:firstLineChars="196"/>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政府引导，市场引领。</w:t>
      </w:r>
      <w:r>
        <w:rPr>
          <w:rFonts w:hint="eastAsia" w:ascii="仿宋_GB2312" w:hAnsi="仿宋_GB2312" w:eastAsia="仿宋_GB2312" w:cs="仿宋_GB2312"/>
          <w:color w:val="auto"/>
          <w:sz w:val="32"/>
          <w:szCs w:val="32"/>
        </w:rPr>
        <w:t>充分发挥市场配置资源的决定性作用，更好发挥政府的引导推动作用，加强战略规划和政策引导，优化营商环境，激发市场主体创新发展活力，提高物流要素配置效率、效益。</w:t>
      </w:r>
    </w:p>
    <w:p>
      <w:pPr>
        <w:keepNext w:val="0"/>
        <w:keepLines w:val="0"/>
        <w:pageBreakBefore w:val="0"/>
        <w:widowControl w:val="0"/>
        <w:kinsoku/>
        <w:wordWrap/>
        <w:overflowPunct/>
        <w:topLinePunct w:val="0"/>
        <w:autoSpaceDE/>
        <w:autoSpaceDN/>
        <w:bidi w:val="0"/>
        <w:adjustRightInd/>
        <w:snapToGrid/>
        <w:spacing w:line="560" w:lineRule="exact"/>
        <w:ind w:firstLine="629" w:firstLineChars="196"/>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陆海联动，系统推进。</w:t>
      </w:r>
      <w:r>
        <w:rPr>
          <w:rFonts w:hint="eastAsia" w:ascii="仿宋_GB2312" w:hAnsi="仿宋_GB2312" w:eastAsia="仿宋_GB2312" w:cs="仿宋_GB2312"/>
          <w:color w:val="auto"/>
          <w:sz w:val="32"/>
          <w:szCs w:val="32"/>
        </w:rPr>
        <w:t>依托沿海沿边优势，融入共建“一带一路”，推动陆海内外</w:t>
      </w:r>
      <w:r>
        <w:rPr>
          <w:rFonts w:hint="eastAsia" w:ascii="仿宋_GB2312" w:hAnsi="仿宋_GB2312" w:eastAsia="仿宋_GB2312" w:cs="仿宋_GB2312"/>
          <w:color w:val="auto"/>
          <w:sz w:val="32"/>
          <w:szCs w:val="32"/>
          <w:lang w:eastAsia="zh-CN"/>
        </w:rPr>
        <w:t>衔接</w:t>
      </w:r>
      <w:r>
        <w:rPr>
          <w:rFonts w:hint="eastAsia" w:ascii="仿宋_GB2312" w:hAnsi="仿宋_GB2312" w:eastAsia="仿宋_GB2312" w:cs="仿宋_GB2312"/>
          <w:color w:val="auto"/>
          <w:sz w:val="32"/>
          <w:szCs w:val="32"/>
        </w:rPr>
        <w:t>，主动融入西部陆海新通道，</w:t>
      </w:r>
      <w:r>
        <w:rPr>
          <w:rFonts w:hint="eastAsia" w:ascii="仿宋_GB2312" w:hAnsi="仿宋_GB2312" w:eastAsia="仿宋_GB2312" w:cs="仿宋_GB2312"/>
          <w:color w:val="auto"/>
          <w:sz w:val="32"/>
          <w:szCs w:val="32"/>
          <w:lang w:eastAsia="zh-CN"/>
        </w:rPr>
        <w:t>与</w:t>
      </w:r>
      <w:r>
        <w:rPr>
          <w:rFonts w:hint="eastAsia" w:ascii="仿宋_GB2312" w:hAnsi="仿宋_GB2312" w:eastAsia="仿宋_GB2312" w:cs="仿宋_GB2312"/>
          <w:color w:val="auto"/>
          <w:sz w:val="32"/>
          <w:szCs w:val="32"/>
        </w:rPr>
        <w:t>国内国际物流网络高效联动。系统谋划物流基础设施和服务网络建设，统筹物流与区域、产业、消费、城乡、冷链协同布局，推进现代物流高质量发展。</w:t>
      </w:r>
    </w:p>
    <w:p>
      <w:pPr>
        <w:keepNext w:val="0"/>
        <w:keepLines w:val="0"/>
        <w:pageBreakBefore w:val="0"/>
        <w:widowControl w:val="0"/>
        <w:kinsoku/>
        <w:wordWrap/>
        <w:overflowPunct/>
        <w:topLinePunct w:val="0"/>
        <w:autoSpaceDE/>
        <w:autoSpaceDN/>
        <w:bidi w:val="0"/>
        <w:adjustRightInd/>
        <w:snapToGrid/>
        <w:spacing w:line="560" w:lineRule="exact"/>
        <w:ind w:firstLine="629" w:firstLineChars="196"/>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目标引领，融合发展。</w:t>
      </w:r>
      <w:r>
        <w:rPr>
          <w:rFonts w:hint="eastAsia" w:ascii="仿宋_GB2312" w:hAnsi="仿宋_GB2312" w:eastAsia="仿宋_GB2312" w:cs="仿宋_GB2312"/>
          <w:color w:val="auto"/>
          <w:sz w:val="32"/>
          <w:szCs w:val="32"/>
        </w:rPr>
        <w:t>围绕加快现代物流业发展、助力建设现代化临港工业城市的目标要求，持续聚焦发力，以社会化、标准化、信息化、专业化为牵引，推动提质增效，增强发展的协同性、联动性和整体性，实现现代物流业与现代化临港工业深度融合发展。</w:t>
      </w:r>
    </w:p>
    <w:p>
      <w:pPr>
        <w:keepNext w:val="0"/>
        <w:keepLines w:val="0"/>
        <w:pageBreakBefore w:val="0"/>
        <w:widowControl w:val="0"/>
        <w:kinsoku/>
        <w:wordWrap/>
        <w:overflowPunct/>
        <w:topLinePunct w:val="0"/>
        <w:autoSpaceDE/>
        <w:autoSpaceDN/>
        <w:bidi w:val="0"/>
        <w:adjustRightInd/>
        <w:snapToGrid/>
        <w:spacing w:line="560" w:lineRule="exact"/>
        <w:ind w:firstLine="629" w:firstLineChars="196"/>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盘活存量，做大增量。</w:t>
      </w:r>
      <w:r>
        <w:rPr>
          <w:rFonts w:hint="eastAsia" w:ascii="仿宋_GB2312" w:hAnsi="仿宋_GB2312" w:eastAsia="仿宋_GB2312" w:cs="仿宋_GB2312"/>
          <w:color w:val="auto"/>
          <w:sz w:val="32"/>
          <w:szCs w:val="32"/>
        </w:rPr>
        <w:t>聚合资源要素，推动临港沿边制造业、贸易、物流等企业强强联合，做活做大现代物流业规模，延伸现代物流业产业链、价值链，持续提升我市作为</w:t>
      </w:r>
      <w:r>
        <w:rPr>
          <w:rFonts w:hint="eastAsia" w:ascii="仿宋_GB2312" w:hAnsi="仿宋_GB2312" w:eastAsia="仿宋_GB2312" w:cs="仿宋_GB2312"/>
          <w:color w:val="auto"/>
          <w:sz w:val="32"/>
          <w:szCs w:val="32"/>
          <w:shd w:val="clear" w:color="auto" w:fill="FFFFFF"/>
        </w:rPr>
        <w:t>西部陆海新通道重要节点城市、港口型和陆上边境口岸型国家物流枢纽承载城市的竞争力和影响力</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二、发展目标</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（一）近期目标</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shd w:val="clear" w:color="auto" w:fill="FFFFFF"/>
          <w:lang w:eastAsia="zh-CN" w:bidi="ar-SA"/>
        </w:rPr>
      </w:pPr>
      <w:r>
        <w:rPr>
          <w:rFonts w:hint="eastAsia" w:ascii="仿宋_GB2312" w:hAnsi="仿宋_GB2312" w:eastAsia="仿宋_GB2312" w:cs="仿宋_GB2312"/>
          <w:b w:val="0"/>
          <w:bCs w:val="0"/>
          <w:color w:val="auto"/>
          <w:kern w:val="2"/>
          <w:sz w:val="32"/>
          <w:szCs w:val="32"/>
          <w:shd w:val="clear" w:color="auto" w:fill="FFFFFF"/>
          <w:lang w:eastAsia="zh-CN" w:bidi="ar-SA"/>
        </w:rPr>
        <w:t>“十四五”中期（即2023年），港口货物吞吐量和集装箱吞吐量分别达到1.7亿吨和100万标箱，铁路到发量达5500万吨，公路货运量达6000万吨。培育我市交通运输业规上企业达到45家以上，运输代理、装卸搬运和仓储业规上企业达到38家以上，邮政快递业规上企业达到3家以上，大宗商品交易企业5家。其中培育3A级以上物流企业达到5家。</w:t>
      </w:r>
      <w:r>
        <w:rPr>
          <w:rFonts w:hint="eastAsia" w:ascii="仿宋_GB2312" w:hAnsi="仿宋_GB2312" w:eastAsia="仿宋_GB2312" w:cs="仿宋_GB2312"/>
          <w:b w:val="0"/>
          <w:bCs w:val="0"/>
          <w:color w:val="auto"/>
          <w:sz w:val="32"/>
          <w:szCs w:val="32"/>
          <w:lang w:eastAsia="zh-CN"/>
        </w:rPr>
        <w:t>中国—东盟国际现代物流中心建设取得阶段性进展</w:t>
      </w:r>
      <w:r>
        <w:rPr>
          <w:rFonts w:hint="eastAsia" w:ascii="仿宋_GB2312" w:hAnsi="仿宋_GB2312" w:eastAsia="仿宋_GB2312" w:cs="仿宋_GB2312"/>
          <w:b w:val="0"/>
          <w:bCs w:val="0"/>
          <w:color w:val="auto"/>
          <w:kern w:val="2"/>
          <w:sz w:val="32"/>
          <w:szCs w:val="32"/>
          <w:shd w:val="clear" w:color="auto" w:fill="FFFFFF"/>
          <w:lang w:eastAsia="zh-CN" w:bidi="ar-SA"/>
        </w:rPr>
        <w:t>，获批设立防城港综合保税区并建成封关运营，获批建设防城港国家骨干型冷链物流基地，建成北部湾金属材料交易中心、东兴口岸国际快件监管中心、广西北部湾国际生鲜冷链园区（一期）、北部湾（防城港）航运贸易金融服务中心、物流信息平台等重点项目，物流整体运行效率显著提高，物流企业竞争力明显增强，物流基础设施及运作方式衔接更加顺畅，物流信息化、专业化水平显著提升，物流业与制造业、商贸</w:t>
      </w:r>
      <w:r>
        <w:rPr>
          <w:rFonts w:hint="eastAsia" w:ascii="仿宋_GB2312" w:hAnsi="仿宋_GB2312" w:eastAsia="仿宋_GB2312" w:cs="仿宋_GB2312"/>
          <w:b w:val="0"/>
          <w:bCs w:val="0"/>
          <w:color w:val="auto"/>
          <w:spacing w:val="-6"/>
          <w:kern w:val="2"/>
          <w:sz w:val="32"/>
          <w:szCs w:val="32"/>
          <w:shd w:val="clear" w:color="auto" w:fill="FFFFFF"/>
          <w:lang w:eastAsia="zh-CN" w:bidi="ar-SA"/>
        </w:rPr>
        <w:t>业进一步融合发展，初步形成“通道+枢纽+网络”的物流运行体系。</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（二）中长期目标</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shd w:val="clear" w:color="auto" w:fill="FFFFFF"/>
          <w:lang w:eastAsia="zh-CN" w:bidi="ar-SA"/>
        </w:rPr>
      </w:pPr>
      <w:r>
        <w:rPr>
          <w:rFonts w:hint="eastAsia" w:ascii="仿宋_GB2312" w:hAnsi="仿宋_GB2312" w:eastAsia="仿宋_GB2312" w:cs="仿宋_GB2312"/>
          <w:b w:val="0"/>
          <w:bCs w:val="0"/>
          <w:color w:val="auto"/>
          <w:kern w:val="2"/>
          <w:sz w:val="32"/>
          <w:szCs w:val="32"/>
          <w:shd w:val="clear" w:color="auto" w:fill="FFFFFF"/>
          <w:lang w:eastAsia="zh-CN" w:bidi="ar-SA"/>
        </w:rPr>
        <w:t>“十四五”期末（即2025年），港口货物吞吐量和集装箱吞吐量分别达到</w:t>
      </w:r>
      <w:r>
        <w:rPr>
          <w:rFonts w:hint="eastAsia" w:ascii="仿宋_GB2312" w:hAnsi="仿宋_GB2312" w:eastAsia="仿宋_GB2312" w:cs="仿宋_GB2312"/>
          <w:b w:val="0"/>
          <w:bCs w:val="0"/>
          <w:color w:val="auto"/>
          <w:sz w:val="32"/>
          <w:szCs w:val="32"/>
          <w:lang w:eastAsia="zh-CN"/>
        </w:rPr>
        <w:t>2.5亿</w:t>
      </w:r>
      <w:r>
        <w:rPr>
          <w:rFonts w:hint="eastAsia" w:ascii="仿宋_GB2312" w:hAnsi="仿宋_GB2312" w:eastAsia="仿宋_GB2312" w:cs="仿宋_GB2312"/>
          <w:b w:val="0"/>
          <w:bCs w:val="0"/>
          <w:color w:val="auto"/>
          <w:kern w:val="2"/>
          <w:sz w:val="32"/>
          <w:szCs w:val="32"/>
          <w:shd w:val="clear" w:color="auto" w:fill="FFFFFF"/>
          <w:lang w:eastAsia="zh-CN" w:bidi="ar-SA"/>
        </w:rPr>
        <w:t>吨和120万标箱，铁路到发量达8000万吨，公路货运量达</w:t>
      </w:r>
      <w:r>
        <w:rPr>
          <w:rFonts w:hint="eastAsia" w:ascii="仿宋_GB2312" w:hAnsi="仿宋_GB2312" w:eastAsia="仿宋_GB2312" w:cs="仿宋_GB2312"/>
          <w:b w:val="0"/>
          <w:bCs w:val="0"/>
          <w:color w:val="auto"/>
          <w:kern w:val="2"/>
          <w:sz w:val="32"/>
          <w:szCs w:val="32"/>
          <w:shd w:val="clear" w:color="auto" w:fill="FFFFFF"/>
          <w:lang w:val="en" w:eastAsia="zh-CN" w:bidi="ar-SA"/>
        </w:rPr>
        <w:t>7550</w:t>
      </w:r>
      <w:r>
        <w:rPr>
          <w:rFonts w:hint="eastAsia" w:ascii="仿宋_GB2312" w:hAnsi="仿宋_GB2312" w:eastAsia="仿宋_GB2312" w:cs="仿宋_GB2312"/>
          <w:b w:val="0"/>
          <w:bCs w:val="0"/>
          <w:color w:val="auto"/>
          <w:kern w:val="2"/>
          <w:sz w:val="32"/>
          <w:szCs w:val="32"/>
          <w:shd w:val="clear" w:color="auto" w:fill="FFFFFF"/>
          <w:lang w:eastAsia="zh-CN" w:bidi="ar-SA"/>
        </w:rPr>
        <w:t>万吨，全市保税进出库货物总量超过3000万吨。培育我市交通运输业规上企业达到55家以上，运输代理、装卸搬运和仓储业规上企业达到45家以上，邮政快递业规上企业达到4家以上，大宗商品交易企业7家。其中培育本土3A级以上物流企业达到8家。防城港国家骨干型冷链物流基地、西南有色金属·矿产品交割交易中心、企沙铁路物流园、东湾和企沙货车危化品车辆服务中心、防城港市电商快递物流园、防城港国际公共卫生合作保障基地等重点项目投入运营，物流社会化、专业化、组织化水平进一步提升，服务临港沿边制造业和西部陆海新通道的运输能力更强、枢纽布局更合理、多式联运更便捷，高效物流运行网络基本形成，物流枢纽组织效率大幅提升，物流综合服务能力显著增强，基本建成中国—东盟国际现代物流中心和港口型、陆上边境口岸型国家物流枢纽承载城市，西部陆海新通道重要节点城市功能作用和地位更加凸显。</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shd w:val="clear" w:color="auto" w:fill="FFFFFF"/>
          <w:lang w:eastAsia="zh-CN" w:bidi="ar-SA"/>
        </w:rPr>
      </w:pPr>
      <w:r>
        <w:rPr>
          <w:rFonts w:hint="eastAsia" w:ascii="仿宋_GB2312" w:hAnsi="仿宋_GB2312" w:eastAsia="仿宋_GB2312" w:cs="仿宋_GB2312"/>
          <w:b w:val="0"/>
          <w:bCs w:val="0"/>
          <w:color w:val="auto"/>
          <w:kern w:val="2"/>
          <w:sz w:val="32"/>
          <w:szCs w:val="32"/>
          <w:shd w:val="clear" w:color="auto" w:fill="FFFFFF"/>
          <w:lang w:eastAsia="zh-CN" w:bidi="ar-SA"/>
        </w:rPr>
        <w:t>到2035年，建成具有防城港特色的现代物流业体系和全域物流网络，成为服务现代化临港工业城市的重要支撑。物流业提质降本增效成果显著，物流服务与通关能力达到西部地区领先水平，海陆联运顺畅衔接、协同发展，通道运输能力充分释放，物流社会化、标准化、信息化、专业化水平全面提升，成为我国中西部地区与东盟国家经贸合作的临港沿边区域性国际物流中心。</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三、主要任务</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（一）全力建设中国—东盟国际现代物流中心</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firstLine="642"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bCs w:val="0"/>
          <w:color w:val="auto"/>
          <w:kern w:val="0"/>
          <w:sz w:val="32"/>
          <w:szCs w:val="32"/>
          <w:lang w:val="en-US" w:eastAsia="zh-CN" w:bidi="en-US"/>
        </w:rPr>
        <w:t>1.高标准规划布局。</w:t>
      </w:r>
      <w:r>
        <w:rPr>
          <w:rFonts w:hint="eastAsia" w:ascii="仿宋_GB2312" w:hAnsi="仿宋_GB2312" w:eastAsia="仿宋_GB2312" w:cs="仿宋_GB2312"/>
          <w:b w:val="0"/>
          <w:bCs w:val="0"/>
          <w:color w:val="auto"/>
          <w:sz w:val="32"/>
          <w:szCs w:val="32"/>
          <w:lang w:eastAsia="zh-CN"/>
        </w:rPr>
        <w:t>高水平编制《中国—东盟国际现代物流中心专项规划》，围绕服务临港沿边制造业和西部陆海新通道，规划布局以东湾国家级示范物流园为核心区，以高新区和企沙物流片区为拓展区，边境和县域物流片区为联动区的“三区、多园、一中心”全域物流网络，明确建设发展目标、产业策划、用地规划、重点任务、运行模式、保障措施、项目清单以及产业和项目布局图、用地规划图、配套设施规划图。提出通过物流组织、口岸通关、多式联运、区域分拨、供应链管理等功能提升，以及各片区之间有效联动，服务临港沿边制造业、西部陆海新通道的具体组织模式。</w:t>
      </w:r>
      <w:r>
        <w:rPr>
          <w:rFonts w:hint="eastAsia" w:ascii="仿宋_GB2312" w:hAnsi="仿宋_GB2312" w:eastAsia="仿宋_GB2312" w:cs="仿宋_GB2312"/>
          <w:b/>
          <w:bCs/>
          <w:color w:val="auto"/>
          <w:sz w:val="32"/>
          <w:szCs w:val="32"/>
          <w:lang w:eastAsia="zh-CN"/>
        </w:rPr>
        <w:t>﹝牵头单位：市北部湾办（市港口和物流发展局），配合单位：市发展改革委、市自然资源局、市工业和信息化局、市农业农村局、市交通运输局、医学试验区筹备办、市邮政管理局，市投资集团（高新区管委会）、市港发集团、经开区管委会、市文旅集团（江山旅管委）﹞</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firstLine="642"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bCs w:val="0"/>
          <w:color w:val="auto"/>
          <w:kern w:val="0"/>
          <w:sz w:val="32"/>
          <w:szCs w:val="32"/>
          <w:lang w:val="en-US" w:eastAsia="zh-CN" w:bidi="en-US"/>
        </w:rPr>
        <w:t>2.完善配套设施。</w:t>
      </w:r>
      <w:r>
        <w:rPr>
          <w:rFonts w:hint="eastAsia" w:ascii="仿宋_GB2312" w:hAnsi="仿宋_GB2312" w:eastAsia="仿宋_GB2312" w:cs="仿宋_GB2312"/>
          <w:b w:val="0"/>
          <w:bCs w:val="0"/>
          <w:color w:val="auto"/>
          <w:sz w:val="32"/>
          <w:szCs w:val="32"/>
          <w:lang w:eastAsia="zh-CN"/>
        </w:rPr>
        <w:t>推进中国—东盟国际现代物流中心各功能区的基础设施建设，加快完善水、电、路网、排污等基础设施配套。加快建设西部陆海新通道钦州至防城港增建二线，“十四五”期间建成竣工，突破铁路疏港能力瓶颈。打通渔澫港区公铁水联运衔接“最后一公里”，实现铁路货运场站与港口码头、前方堆场等的无缝衔接。推动云约江铁路站扩区建设，打造为钢铜铝临港工业提供生产性物流服务为主的公铁联运物流园。谋划建设企沙铁路复线和企沙南站，为企沙南港区的大规模开发建设配套完善的铁路集疏运体系。加快推动防东铁路东兴货运站建设，满足沿边制造业物流“公转铁”需求。加快建设40万吨级码头泊位，赤沙作业区1、2、3、6号泊位和30万吨单向、20万吨双向航道，积极推动智慧港口建设，提升港口码头作业信息化、智能化水平和装卸工艺，建成防城港渔澫港区散货专业化中心堆场工程，解决港口吞吐能力不足，结构性矛盾突出等问题，提升港口核心竞争力。开展皇城坳联通水道建设可行性研究和平陆运河防城港江海联运方案研究，打通东湾连接平陆运河航运，全面融入平陆运河经济带发展，提升港口辐射集聚能力和发展空间。推动潭油作业区、榕木江西港点、白龙港点等中小港点开发建设，为后方产业园和临港工业项目提供便捷高效的港口服务。建设完善多式联运转运、装卸场站等物流设施，提高一体化转运衔接能力，推进大宗货物及中长距离货物运输“公转铁”“公转水”，提高运转效率、降低物流成本。</w:t>
      </w:r>
      <w:r>
        <w:rPr>
          <w:rFonts w:hint="eastAsia" w:ascii="仿宋_GB2312" w:hAnsi="仿宋_GB2312" w:eastAsia="仿宋_GB2312" w:cs="仿宋_GB2312"/>
          <w:b/>
          <w:bCs/>
          <w:color w:val="auto"/>
          <w:sz w:val="32"/>
          <w:szCs w:val="32"/>
          <w:lang w:eastAsia="zh-CN"/>
        </w:rPr>
        <w:t>﹝牵头单位：市交通运输局、市北部湾办（市港口和物流发展局）、市城市管理监督局，各县（市、区）人民政府，配合单位：市自然资源局，防城港供电局、市投资集团（高新区管委会）、市港发集团、经开区管委会、广西沿海铁路股份有限公司防城港车站、防城港北投环保水务有限公司﹞</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firstLine="642"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val="0"/>
          <w:color w:val="auto"/>
          <w:kern w:val="0"/>
          <w:sz w:val="32"/>
          <w:szCs w:val="32"/>
          <w:lang w:val="en-US" w:eastAsia="zh-CN" w:bidi="en-US"/>
        </w:rPr>
        <w:t>3.培育壮大市场主体。</w:t>
      </w:r>
      <w:r>
        <w:rPr>
          <w:rFonts w:hint="eastAsia" w:ascii="仿宋_GB2312" w:hAnsi="仿宋_GB2312" w:eastAsia="仿宋_GB2312" w:cs="仿宋_GB2312"/>
          <w:b w:val="0"/>
          <w:bCs w:val="0"/>
          <w:color w:val="auto"/>
          <w:sz w:val="32"/>
          <w:szCs w:val="32"/>
          <w:lang w:eastAsia="zh-CN"/>
        </w:rPr>
        <w:t>紧抓产业聚集发展和区域合作的机遇，努力引进国内外知名物流企业落户，重点培育引进综合性物流、供应链管理、冷链物流、大宗商品交易物流、保税物流、医药物流、电商快递、国际货代、航空货运等3A级以上现代物流企业。支持企业在我市设立区域性物流总部基地，在项目用地、财政资金奖励、银行融资等方面给予政策支持。鼓励支持本地龙头物流企业加大投入，做大做强，壮大企业规模，形成物流企业集团。培育一批成长性物流企业成为新的规上企业，夯实产业基础。</w:t>
      </w:r>
      <w:r>
        <w:rPr>
          <w:rFonts w:hint="eastAsia" w:ascii="仿宋_GB2312" w:hAnsi="仿宋_GB2312" w:eastAsia="仿宋_GB2312" w:cs="仿宋_GB2312"/>
          <w:b/>
          <w:bCs/>
          <w:color w:val="auto"/>
          <w:sz w:val="32"/>
          <w:szCs w:val="32"/>
          <w:lang w:eastAsia="zh-CN"/>
        </w:rPr>
        <w:t>﹝牵头单位：市投资促进局、市发展改革委、市北部湾办（市港口和物流发展局），配合单位：市工业和信息化局、市农业农村局、市交通运输局、市邮政管理局、医学试验区筹备办、市商务局，市投资集团（高新区管委会）、市港发集团、经开区管委会、市文</w:t>
      </w:r>
      <w:r>
        <w:rPr>
          <w:rFonts w:hint="eastAsia" w:ascii="仿宋_GB2312" w:hAnsi="仿宋_GB2312" w:eastAsia="仿宋_GB2312" w:cs="仿宋_GB2312"/>
          <w:b/>
          <w:bCs/>
          <w:color w:val="auto"/>
          <w:kern w:val="2"/>
          <w:sz w:val="32"/>
          <w:szCs w:val="32"/>
          <w:lang w:val="en-US" w:eastAsia="zh-CN" w:bidi="ar-SA"/>
        </w:rPr>
        <w:t>旅集团（江山旅管委）、市兴港集团﹞</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楷体_GB2312" w:hAnsi="楷体_GB2312" w:eastAsia="楷体_GB2312" w:cs="楷体_GB2312"/>
          <w:b w:val="0"/>
          <w:bCs/>
          <w:color w:val="auto"/>
          <w:kern w:val="2"/>
          <w:sz w:val="32"/>
          <w:szCs w:val="32"/>
          <w:lang w:val="en-US" w:eastAsia="zh-CN" w:bidi="ar-SA"/>
        </w:rPr>
      </w:pPr>
      <w:r>
        <w:rPr>
          <w:rFonts w:hint="eastAsia" w:ascii="楷体_GB2312" w:hAnsi="楷体_GB2312" w:eastAsia="楷体_GB2312" w:cs="楷体_GB2312"/>
          <w:b w:val="0"/>
          <w:bCs/>
          <w:color w:val="auto"/>
          <w:kern w:val="2"/>
          <w:sz w:val="32"/>
          <w:szCs w:val="32"/>
          <w:lang w:val="en-US" w:eastAsia="zh-CN" w:bidi="ar-SA"/>
        </w:rPr>
        <w:t>（二）奋力推动多业态物流业蓬勃发展</w:t>
      </w:r>
    </w:p>
    <w:p>
      <w:pPr>
        <w:keepNext w:val="0"/>
        <w:keepLines w:val="0"/>
        <w:pageBreakBefore w:val="0"/>
        <w:widowControl w:val="0"/>
        <w:kinsoku/>
        <w:wordWrap/>
        <w:overflowPunct/>
        <w:topLinePunct w:val="0"/>
        <w:autoSpaceDE/>
        <w:autoSpaceDN/>
        <w:bidi w:val="0"/>
        <w:adjustRightInd/>
        <w:snapToGrid/>
        <w:spacing w:line="560" w:lineRule="exact"/>
        <w:ind w:firstLine="629" w:firstLineChars="196"/>
        <w:textAlignment w:val="auto"/>
        <w:rPr>
          <w:rFonts w:hint="eastAsia" w:ascii="仿宋_GB2312" w:hAnsi="仿宋_GB2312" w:eastAsia="仿宋_GB2312" w:cs="仿宋_GB2312"/>
          <w:b w:val="0"/>
          <w:bCs w:val="0"/>
          <w:color w:val="auto"/>
          <w:sz w:val="32"/>
          <w:szCs w:val="32"/>
          <w:shd w:val="clear" w:color="auto" w:fill="FFFFFF"/>
        </w:rPr>
      </w:pPr>
      <w:r>
        <w:rPr>
          <w:rFonts w:hint="eastAsia" w:ascii="仿宋_GB2312" w:hAnsi="仿宋_GB2312" w:eastAsia="仿宋_GB2312" w:cs="仿宋_GB2312"/>
          <w:b/>
          <w:bCs w:val="0"/>
          <w:color w:val="auto"/>
          <w:kern w:val="0"/>
          <w:sz w:val="32"/>
          <w:szCs w:val="32"/>
          <w:lang w:bidi="en-US"/>
        </w:rPr>
        <w:t>4.发展现代制造业物流。</w:t>
      </w:r>
      <w:r>
        <w:rPr>
          <w:rFonts w:hint="eastAsia" w:ascii="仿宋_GB2312" w:hAnsi="仿宋_GB2312" w:eastAsia="仿宋_GB2312" w:cs="仿宋_GB2312"/>
          <w:bCs/>
          <w:color w:val="auto"/>
          <w:sz w:val="32"/>
          <w:szCs w:val="32"/>
          <w:shd w:val="clear" w:color="auto" w:fill="FFFFFF"/>
        </w:rPr>
        <w:t>围绕服务钢铜铝和粮油加工等传统制造业以及生物医药、新材料等新兴制造业，推动物流业与制造业在标准、平台、作业衔接环节上的融合。鼓励物流企业为制造企业量身定做供应链一体化服务、综合物流管理等物流解决方案，提高物流企业本地化、专业化、集约化水平，提升全物流链条的价值创造能力。加快建设一批为制造业提供定制化、专业化服务的生产服务型物流设施和园区，</w:t>
      </w:r>
      <w:r>
        <w:rPr>
          <w:rFonts w:hint="eastAsia" w:ascii="仿宋_GB2312" w:hAnsi="仿宋_GB2312" w:eastAsia="仿宋_GB2312" w:cs="仿宋_GB2312"/>
          <w:bCs/>
          <w:color w:val="auto"/>
          <w:sz w:val="32"/>
          <w:szCs w:val="32"/>
          <w:shd w:val="clear" w:color="auto" w:fill="FFFFFF"/>
          <w:lang w:eastAsia="zh-CN"/>
        </w:rPr>
        <w:t>建成</w:t>
      </w:r>
      <w:r>
        <w:rPr>
          <w:rFonts w:hint="eastAsia" w:ascii="仿宋_GB2312" w:hAnsi="仿宋_GB2312" w:eastAsia="仿宋_GB2312" w:cs="仿宋_GB2312"/>
          <w:bCs/>
          <w:color w:val="auto"/>
          <w:sz w:val="32"/>
          <w:szCs w:val="32"/>
          <w:shd w:val="clear" w:color="auto" w:fill="FFFFFF"/>
        </w:rPr>
        <w:t>东湾、企沙、高新区三大多式联运基地，支持物流企业投资运营公路港、货车综合服务基地、危化品车辆服务中心，为制造</w:t>
      </w:r>
      <w:r>
        <w:rPr>
          <w:rFonts w:hint="eastAsia" w:ascii="仿宋_GB2312" w:hAnsi="仿宋_GB2312" w:eastAsia="仿宋_GB2312" w:cs="仿宋_GB2312"/>
          <w:bCs/>
          <w:color w:val="auto"/>
          <w:sz w:val="32"/>
          <w:szCs w:val="32"/>
          <w:shd w:val="clear" w:color="auto" w:fill="FFFFFF"/>
          <w:lang w:eastAsia="zh-CN"/>
        </w:rPr>
        <w:t>业</w:t>
      </w:r>
      <w:r>
        <w:rPr>
          <w:rFonts w:hint="eastAsia" w:ascii="仿宋_GB2312" w:hAnsi="仿宋_GB2312" w:eastAsia="仿宋_GB2312" w:cs="仿宋_GB2312"/>
          <w:bCs/>
          <w:color w:val="auto"/>
          <w:sz w:val="32"/>
          <w:szCs w:val="32"/>
          <w:shd w:val="clear" w:color="auto" w:fill="FFFFFF"/>
        </w:rPr>
        <w:t>企业提供库存管理、入厂物流、调运配送、应急储备、逆向物流等一体化供应链服务。</w:t>
      </w:r>
      <w:r>
        <w:rPr>
          <w:rFonts w:hint="eastAsia" w:ascii="仿宋_GB2312" w:hAnsi="仿宋_GB2312" w:eastAsia="仿宋_GB2312" w:cs="仿宋_GB2312"/>
          <w:b/>
          <w:bCs/>
          <w:color w:val="auto"/>
          <w:sz w:val="32"/>
          <w:szCs w:val="32"/>
        </w:rPr>
        <w:t>﹝牵头单位：市北部湾办（市港口和物流发展局）、市工业</w:t>
      </w:r>
      <w:r>
        <w:rPr>
          <w:rFonts w:hint="eastAsia" w:ascii="仿宋_GB2312" w:hAnsi="仿宋_GB2312" w:eastAsia="仿宋_GB2312" w:cs="仿宋_GB2312"/>
          <w:b/>
          <w:bCs/>
          <w:color w:val="auto"/>
          <w:sz w:val="32"/>
          <w:szCs w:val="32"/>
          <w:lang w:eastAsia="zh-CN"/>
        </w:rPr>
        <w:t>和</w:t>
      </w:r>
      <w:r>
        <w:rPr>
          <w:rFonts w:hint="eastAsia" w:ascii="仿宋_GB2312" w:hAnsi="仿宋_GB2312" w:eastAsia="仿宋_GB2312" w:cs="仿宋_GB2312"/>
          <w:b/>
          <w:bCs/>
          <w:color w:val="auto"/>
          <w:sz w:val="32"/>
          <w:szCs w:val="32"/>
        </w:rPr>
        <w:t>信息化局，配合单位：市交通运输局、市发展改革委、市自然资源局、市应急局</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市港发集团</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经开区管委会、市兴港集团、广西沿海铁路股份有限公司防城港车站﹞</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firstLine="642" w:firstLineChars="200"/>
        <w:jc w:val="both"/>
        <w:textAlignment w:val="auto"/>
        <w:rPr>
          <w:rFonts w:hint="eastAsia" w:ascii="仿宋_GB2312" w:hAnsi="仿宋_GB2312" w:eastAsia="仿宋_GB2312" w:cs="仿宋_GB2312"/>
          <w:b w:val="0"/>
          <w:bCs w:val="0"/>
          <w:color w:val="auto"/>
          <w:kern w:val="2"/>
          <w:sz w:val="32"/>
          <w:szCs w:val="32"/>
          <w:shd w:val="clear" w:color="auto" w:fill="FFFFFF"/>
          <w:lang w:eastAsia="zh-CN" w:bidi="ar-SA"/>
        </w:rPr>
      </w:pPr>
      <w:r>
        <w:rPr>
          <w:rFonts w:hint="eastAsia" w:ascii="仿宋_GB2312" w:hAnsi="仿宋_GB2312" w:eastAsia="仿宋_GB2312" w:cs="仿宋_GB2312"/>
          <w:b/>
          <w:bCs w:val="0"/>
          <w:color w:val="auto"/>
          <w:kern w:val="0"/>
          <w:sz w:val="32"/>
          <w:szCs w:val="32"/>
          <w:lang w:val="en-US" w:eastAsia="zh-CN" w:bidi="en-US"/>
        </w:rPr>
        <w:t>5.发展大宗商品物流。</w:t>
      </w:r>
      <w:r>
        <w:rPr>
          <w:rFonts w:hint="eastAsia" w:ascii="仿宋_GB2312" w:hAnsi="仿宋_GB2312" w:eastAsia="仿宋_GB2312" w:cs="仿宋_GB2312"/>
          <w:b w:val="0"/>
          <w:bCs/>
          <w:color w:val="auto"/>
          <w:kern w:val="0"/>
          <w:sz w:val="32"/>
          <w:szCs w:val="32"/>
          <w:lang w:val="en-US" w:eastAsia="zh-CN" w:bidi="en-US"/>
        </w:rPr>
        <w:t>2</w:t>
      </w:r>
      <w:r>
        <w:rPr>
          <w:rFonts w:hint="eastAsia" w:ascii="仿宋_GB2312" w:hAnsi="仿宋_GB2312" w:eastAsia="仿宋_GB2312" w:cs="仿宋_GB2312"/>
          <w:b w:val="0"/>
          <w:bCs w:val="0"/>
          <w:color w:val="auto"/>
          <w:kern w:val="2"/>
          <w:sz w:val="32"/>
          <w:szCs w:val="32"/>
          <w:shd w:val="clear" w:color="auto" w:fill="FFFFFF"/>
          <w:lang w:eastAsia="zh-CN" w:bidi="ar-SA"/>
        </w:rPr>
        <w:t>023年建成防城港综合保税区，引导发展进口大宗资源类农产品加工产业。大力发展金属、矿石、煤炭、粮油等大宗商品供应链业务，鼓励临港工业企业、贸易企业在防城港开展大宗商品现货交易、期货交割业务；支持北部湾金属材料交易中心、西南有色金属仓储交割中心建设黑色金属、有色金属和矿石大宗商品交易平台，吸引中西部地区金属产品、矿石集聚防城港交易交割，培育冶金产业、金融业和现代物流业融合发展的新业态，形成区域性大宗商品集散交易物流基地，打造西部陆海新通道大宗商品集散枢纽港。</w:t>
      </w:r>
      <w:r>
        <w:rPr>
          <w:rFonts w:hint="eastAsia" w:ascii="仿宋_GB2312" w:hAnsi="仿宋_GB2312" w:eastAsia="仿宋_GB2312" w:cs="仿宋_GB2312"/>
          <w:b/>
          <w:bCs/>
          <w:color w:val="auto"/>
          <w:sz w:val="32"/>
          <w:szCs w:val="32"/>
          <w:lang w:eastAsia="zh-CN"/>
        </w:rPr>
        <w:t>﹝牵头单位：市商务局、市北部湾办（市港口和物流发展局），配合单位：市财政局（市金融办），港口区人民政府，市发展改革委、市工业和信息化局、市科技局、市大数据和行政审批局，防城海关、市文旅集团（江山旅管委）﹞</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firstLine="642" w:firstLineChars="200"/>
        <w:jc w:val="both"/>
        <w:textAlignment w:val="auto"/>
        <w:rPr>
          <w:rFonts w:hint="eastAsia" w:ascii="仿宋_GB2312" w:hAnsi="仿宋_GB2312" w:eastAsia="仿宋_GB2312" w:cs="仿宋_GB2312"/>
          <w:b w:val="0"/>
          <w:bCs w:val="0"/>
          <w:color w:val="auto"/>
          <w:kern w:val="2"/>
          <w:sz w:val="32"/>
          <w:szCs w:val="32"/>
          <w:shd w:val="clear" w:color="auto" w:fill="FFFFFF"/>
          <w:lang w:eastAsia="zh-CN" w:bidi="ar-SA"/>
        </w:rPr>
      </w:pPr>
      <w:r>
        <w:rPr>
          <w:rFonts w:hint="eastAsia" w:ascii="仿宋_GB2312" w:hAnsi="仿宋_GB2312" w:eastAsia="仿宋_GB2312" w:cs="仿宋_GB2312"/>
          <w:b/>
          <w:bCs w:val="0"/>
          <w:color w:val="auto"/>
          <w:kern w:val="0"/>
          <w:sz w:val="32"/>
          <w:szCs w:val="32"/>
          <w:lang w:val="en-US" w:eastAsia="zh-CN" w:bidi="en-US"/>
        </w:rPr>
        <w:t>6.发展冷链物流。</w:t>
      </w:r>
      <w:r>
        <w:rPr>
          <w:rFonts w:hint="eastAsia" w:ascii="仿宋_GB2312" w:hAnsi="仿宋_GB2312" w:eastAsia="仿宋_GB2312" w:cs="仿宋_GB2312"/>
          <w:b w:val="0"/>
          <w:bCs w:val="0"/>
          <w:color w:val="auto"/>
          <w:kern w:val="2"/>
          <w:sz w:val="32"/>
          <w:szCs w:val="32"/>
          <w:shd w:val="clear" w:color="auto" w:fill="FFFFFF"/>
          <w:lang w:eastAsia="zh-CN" w:bidi="ar-SA"/>
        </w:rPr>
        <w:t>推动皇城坳、云约江等铁路站场完善冷链设施，建设冷链专列始发站。鼓励企业依托冷链专列始发站持续开行防城港至西部陆海新通道节点城市的铁路冷链专列，依托东兴、峒中、里火等沿边口岸持续开行中越、中泰跨境冷链公路运输线路。加快建设医药产品冷链物流集配中心，发展高端医药物流。支持开通防城港至香港、新加坡及东盟其他国家主要港口的冷链集装箱直航航线。推进海港口岸、边境口岸、渔港经济区冷链通道建设，加快申报获批进境肉类、冰鲜水产品等口岸和指定监管场所，打造口岸（渔港）冷链加工物流集聚区。支持广西北部湾国际生鲜冷链园区和企沙、双墩、天鹅湾渔港经济区等冷链龙头项目发展壮大，鼓励企业进驻开展生鲜农产品冷链加工、物流、交易业务，发展中转换装、区域分拨，构建干支线运输和两端集配一体化运作的区域冷链物流服务网络，打造区域性国际冷链物流门户枢纽。</w:t>
      </w:r>
      <w:r>
        <w:rPr>
          <w:rFonts w:hint="eastAsia" w:ascii="仿宋_GB2312" w:hAnsi="仿宋_GB2312" w:eastAsia="仿宋_GB2312" w:cs="仿宋_GB2312"/>
          <w:b/>
          <w:bCs/>
          <w:color w:val="auto"/>
          <w:kern w:val="2"/>
          <w:sz w:val="32"/>
          <w:szCs w:val="32"/>
          <w:shd w:val="clear" w:color="auto" w:fill="FFFFFF"/>
          <w:lang w:eastAsia="zh-CN" w:bidi="ar-SA"/>
        </w:rPr>
        <w:t>﹝牵头单位：市商务局、市北部湾办（市港口和物流发展局）、市发展改革委，配合单位：东兴市人民政府、防城区人民政府，市工业和信息化局、市农业农村局，防城海关、东兴海关、峒中海关、东兴口岸国际道路运输管理处、市投资集团（高新区管委会）、市港发集团、经开区管委会、市文旅集团（江山旅管委）、医学试验区筹备办﹞</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firstLine="642" w:firstLineChars="200"/>
        <w:jc w:val="both"/>
        <w:textAlignment w:val="auto"/>
        <w:rPr>
          <w:rFonts w:hint="eastAsia" w:ascii="仿宋_GB2312" w:hAnsi="仿宋_GB2312" w:eastAsia="仿宋_GB2312" w:cs="仿宋_GB2312"/>
          <w:b w:val="0"/>
          <w:bCs w:val="0"/>
          <w:color w:val="auto"/>
          <w:kern w:val="2"/>
          <w:sz w:val="32"/>
          <w:szCs w:val="32"/>
          <w:shd w:val="clear" w:color="auto" w:fill="FFFFFF"/>
          <w:lang w:eastAsia="zh-CN" w:bidi="ar-SA"/>
        </w:rPr>
      </w:pPr>
      <w:r>
        <w:rPr>
          <w:rFonts w:hint="eastAsia" w:ascii="仿宋_GB2312" w:hAnsi="仿宋_GB2312" w:eastAsia="仿宋_GB2312" w:cs="仿宋_GB2312"/>
          <w:b/>
          <w:bCs w:val="0"/>
          <w:color w:val="auto"/>
          <w:kern w:val="0"/>
          <w:sz w:val="32"/>
          <w:szCs w:val="32"/>
          <w:lang w:val="en-US" w:eastAsia="zh-CN" w:bidi="en-US"/>
        </w:rPr>
        <w:t>7.发展电商物流。</w:t>
      </w:r>
      <w:r>
        <w:rPr>
          <w:rFonts w:hint="eastAsia" w:ascii="仿宋_GB2312" w:hAnsi="仿宋_GB2312" w:eastAsia="仿宋_GB2312" w:cs="仿宋_GB2312"/>
          <w:b w:val="0"/>
          <w:bCs w:val="0"/>
          <w:color w:val="auto"/>
          <w:kern w:val="2"/>
          <w:sz w:val="32"/>
          <w:szCs w:val="32"/>
          <w:shd w:val="clear" w:color="auto" w:fill="FFFFFF"/>
          <w:lang w:eastAsia="zh-CN" w:bidi="ar-SA"/>
        </w:rPr>
        <w:t>加快建设电商快递物流园，引导电商、快递企业进驻园区开展电子商务、快递分拨和配送等业务，形成区域性电商快递物流集散中心。推动建设电子商务产业园区，引进市内外与电商产业相关的服务商入驻，搭建电子商务产业综合性服务平台，解决企业信息共享、通关报检、物流、结算缴税等问题，提高专业化程度，降低电商运营成本，做大做强电子商务产业。推进“快递下乡”工程，强化交邮合作、快邮合作，加快农村物流快递综合服务站建设，完善城乡快递物流网络节点。建设东兴口岸国际快件监管中心，加快申报获批跨境电商综合试验区和市场采购贸易方式试点，鼓励企业进驻防城港保税物流中心（B型）、东兴口岸国际快件监管中心开展跨境电商业务，构建</w:t>
      </w:r>
      <w:r>
        <w:rPr>
          <w:rFonts w:hint="eastAsia" w:ascii="仿宋_GB2312" w:hAnsi="仿宋_GB2312" w:eastAsia="仿宋_GB2312" w:cs="仿宋_GB2312"/>
          <w:b w:val="0"/>
          <w:bCs w:val="0"/>
          <w:color w:val="auto"/>
          <w:sz w:val="32"/>
          <w:szCs w:val="32"/>
          <w:lang w:eastAsia="zh-CN"/>
        </w:rPr>
        <w:t>完善</w:t>
      </w:r>
      <w:r>
        <w:rPr>
          <w:rFonts w:hint="eastAsia" w:ascii="仿宋_GB2312" w:hAnsi="仿宋_GB2312" w:eastAsia="仿宋_GB2312" w:cs="仿宋_GB2312"/>
          <w:b w:val="0"/>
          <w:bCs w:val="0"/>
          <w:color w:val="auto"/>
          <w:kern w:val="2"/>
          <w:sz w:val="32"/>
          <w:szCs w:val="32"/>
          <w:shd w:val="clear" w:color="auto" w:fill="FFFFFF"/>
          <w:lang w:eastAsia="zh-CN" w:bidi="ar-SA"/>
        </w:rPr>
        <w:t>跨境电商网络。</w:t>
      </w:r>
      <w:r>
        <w:rPr>
          <w:rFonts w:hint="eastAsia" w:ascii="仿宋_GB2312" w:hAnsi="仿宋_GB2312" w:eastAsia="仿宋_GB2312" w:cs="仿宋_GB2312"/>
          <w:b/>
          <w:bCs/>
          <w:color w:val="auto"/>
          <w:kern w:val="2"/>
          <w:sz w:val="32"/>
          <w:szCs w:val="32"/>
          <w:shd w:val="clear" w:color="auto" w:fill="FFFFFF"/>
          <w:lang w:eastAsia="zh-CN" w:bidi="ar-SA"/>
        </w:rPr>
        <w:t>﹝牵头单位：市商务局，东兴市人民政府，市邮政管理局，配合单位：市北部湾办（市港口和物流发展局）、市发展改革委、市乡村振兴局、市农业农村局、市供销社，上思县人民政府、防城区人民政府、港口区人民政府，防城海关、东兴海关、市港发集团、经开区管委会、市文旅集团（江山旅管委）﹞</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（三）发力提高物流业信息化智能化绿色化水平</w:t>
      </w:r>
    </w:p>
    <w:p>
      <w:pPr>
        <w:keepNext w:val="0"/>
        <w:keepLines w:val="0"/>
        <w:pageBreakBefore w:val="0"/>
        <w:widowControl w:val="0"/>
        <w:kinsoku/>
        <w:wordWrap/>
        <w:overflowPunct/>
        <w:topLinePunct w:val="0"/>
        <w:autoSpaceDE/>
        <w:autoSpaceDN/>
        <w:bidi w:val="0"/>
        <w:adjustRightInd/>
        <w:snapToGrid/>
        <w:spacing w:line="560" w:lineRule="exact"/>
        <w:ind w:firstLine="629" w:firstLineChars="196"/>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val="0"/>
          <w:color w:val="auto"/>
          <w:kern w:val="0"/>
          <w:sz w:val="32"/>
          <w:szCs w:val="32"/>
          <w:lang w:val="en-US" w:eastAsia="zh-CN" w:bidi="en-US"/>
        </w:rPr>
        <w:t>8.加快发展智慧物流。</w:t>
      </w:r>
      <w:r>
        <w:rPr>
          <w:rStyle w:val="63"/>
          <w:rFonts w:hint="eastAsia" w:ascii="仿宋_GB2312" w:hAnsi="仿宋_GB2312" w:eastAsia="仿宋_GB2312" w:cs="仿宋_GB2312"/>
          <w:color w:val="auto"/>
          <w:sz w:val="32"/>
          <w:szCs w:val="32"/>
          <w:lang w:eastAsia="zh-CN"/>
        </w:rPr>
        <w:t>强化</w:t>
      </w:r>
      <w:r>
        <w:rPr>
          <w:rStyle w:val="63"/>
          <w:rFonts w:hint="eastAsia" w:ascii="仿宋_GB2312" w:hAnsi="仿宋_GB2312" w:eastAsia="仿宋_GB2312" w:cs="仿宋_GB2312"/>
          <w:color w:val="auto"/>
          <w:sz w:val="32"/>
          <w:szCs w:val="32"/>
        </w:rPr>
        <w:t>现代信息技术和交通运输技术在物流体系中的应用，推进全程透明、可视、可追踪、智能管理。</w:t>
      </w:r>
      <w:r>
        <w:rPr>
          <w:rFonts w:hint="eastAsia" w:ascii="仿宋_GB2312" w:hAnsi="仿宋_GB2312" w:eastAsia="仿宋_GB2312" w:cs="仿宋_GB2312"/>
          <w:bCs/>
          <w:color w:val="auto"/>
          <w:sz w:val="32"/>
          <w:szCs w:val="32"/>
        </w:rPr>
        <w:t>鼓励企业投资建设运营物流信息平台、</w:t>
      </w:r>
      <w:r>
        <w:rPr>
          <w:rFonts w:hint="eastAsia" w:ascii="仿宋_GB2312" w:hAnsi="仿宋_GB2312" w:eastAsia="仿宋_GB2312" w:cs="仿宋_GB2312"/>
          <w:color w:val="auto"/>
          <w:sz w:val="32"/>
          <w:szCs w:val="32"/>
          <w:shd w:val="clear" w:color="auto" w:fill="FFFFFF"/>
        </w:rPr>
        <w:t>多式联运信息平台、货车后服务综合信息平台，</w:t>
      </w:r>
      <w:r>
        <w:rPr>
          <w:rFonts w:hint="eastAsia" w:ascii="仿宋_GB2312" w:hAnsi="仿宋_GB2312" w:eastAsia="仿宋_GB2312" w:cs="仿宋_GB2312"/>
          <w:bCs/>
          <w:color w:val="auto"/>
          <w:sz w:val="32"/>
          <w:szCs w:val="32"/>
        </w:rPr>
        <w:t>发展网络货运、无车承运人等新业态，打造平台经济和物流税源新洼地。</w:t>
      </w:r>
      <w:r>
        <w:rPr>
          <w:rStyle w:val="63"/>
          <w:rFonts w:hint="eastAsia" w:ascii="仿宋_GB2312" w:hAnsi="仿宋_GB2312" w:eastAsia="仿宋_GB2312" w:cs="仿宋_GB2312"/>
          <w:color w:val="auto"/>
          <w:sz w:val="32"/>
          <w:szCs w:val="32"/>
        </w:rPr>
        <w:t>加快建设北部湾（防城港）航运贸易金融服务中心平台，培育发展集物流服务、航运交易、融资、结算、保险服务、信息咨询等功能为一体的航运贸易物流</w:t>
      </w:r>
      <w:r>
        <w:rPr>
          <w:rFonts w:hint="eastAsia" w:ascii="仿宋_GB2312" w:hAnsi="仿宋_GB2312" w:eastAsia="仿宋_GB2312" w:cs="仿宋_GB2312"/>
          <w:color w:val="auto"/>
          <w:sz w:val="32"/>
          <w:szCs w:val="32"/>
          <w:shd w:val="clear" w:color="auto" w:fill="FFFFFF"/>
        </w:rPr>
        <w:t>供应链金融服务。</w:t>
      </w:r>
      <w:r>
        <w:rPr>
          <w:rFonts w:hint="eastAsia" w:ascii="仿宋_GB2312" w:hAnsi="仿宋_GB2312" w:eastAsia="仿宋_GB2312" w:cs="仿宋_GB2312"/>
          <w:b/>
          <w:bCs/>
          <w:color w:val="auto"/>
          <w:sz w:val="32"/>
          <w:szCs w:val="32"/>
        </w:rPr>
        <w:t>﹝牵头单位：市北部湾办（市港口和物流发展局），配合单位：市财政局（市金融办</w:t>
      </w:r>
      <w:r>
        <w:rPr>
          <w:rStyle w:val="63"/>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rPr>
        <w:t>、市科技局、市大数据和行政审批局</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市兴港集团、防城港码头公司﹞</w:t>
      </w:r>
    </w:p>
    <w:p>
      <w:pPr>
        <w:keepNext w:val="0"/>
        <w:keepLines w:val="0"/>
        <w:pageBreakBefore w:val="0"/>
        <w:widowControl w:val="0"/>
        <w:kinsoku/>
        <w:wordWrap/>
        <w:overflowPunct/>
        <w:topLinePunct w:val="0"/>
        <w:autoSpaceDE/>
        <w:autoSpaceDN/>
        <w:bidi w:val="0"/>
        <w:adjustRightInd/>
        <w:snapToGrid/>
        <w:spacing w:line="560" w:lineRule="exact"/>
        <w:ind w:firstLine="629" w:firstLineChars="196"/>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bCs w:val="0"/>
          <w:color w:val="auto"/>
          <w:kern w:val="0"/>
          <w:sz w:val="32"/>
          <w:szCs w:val="32"/>
          <w:lang w:val="en-US" w:eastAsia="zh-CN" w:bidi="en-US"/>
        </w:rPr>
        <w:t>9.大力发展绿色物流。</w:t>
      </w:r>
      <w:r>
        <w:rPr>
          <w:rFonts w:hint="eastAsia" w:ascii="仿宋_GB2312" w:hAnsi="仿宋_GB2312" w:eastAsia="仿宋_GB2312" w:cs="仿宋_GB2312"/>
          <w:bCs/>
          <w:color w:val="auto"/>
          <w:sz w:val="32"/>
          <w:szCs w:val="32"/>
        </w:rPr>
        <w:t>加快推广绿色低碳技术，加快车用LNG加气站、充电桩等布局，</w:t>
      </w:r>
      <w:r>
        <w:rPr>
          <w:rFonts w:hint="eastAsia" w:ascii="仿宋_GB2312" w:hAnsi="仿宋_GB2312" w:eastAsia="仿宋_GB2312" w:cs="仿宋_GB2312"/>
          <w:bCs/>
          <w:color w:val="auto"/>
          <w:sz w:val="32"/>
          <w:szCs w:val="32"/>
          <w:lang w:eastAsia="zh-CN"/>
        </w:rPr>
        <w:t>完善新能源车辆</w:t>
      </w:r>
      <w:r>
        <w:rPr>
          <w:rFonts w:hint="eastAsia" w:ascii="仿宋_GB2312" w:hAnsi="仿宋_GB2312" w:eastAsia="仿宋_GB2312" w:cs="仿宋_GB2312"/>
          <w:bCs/>
          <w:color w:val="auto"/>
          <w:sz w:val="32"/>
          <w:szCs w:val="32"/>
        </w:rPr>
        <w:t>充电基础设施。鼓励企业采用节能和清洁能源运输工具与物流装备，推广应用节能型绿色仓储设施和绿色包装。加快发展回收物流，提高逆向物流服务水平。</w:t>
      </w:r>
      <w:r>
        <w:rPr>
          <w:rFonts w:hint="eastAsia" w:ascii="仿宋_GB2312" w:hAnsi="仿宋_GB2312" w:eastAsia="仿宋_GB2312" w:cs="仿宋_GB2312"/>
          <w:b/>
          <w:bCs w:val="0"/>
          <w:color w:val="auto"/>
          <w:sz w:val="32"/>
          <w:szCs w:val="32"/>
          <w:lang w:eastAsia="zh-CN"/>
        </w:rPr>
        <w:t>〔</w:t>
      </w:r>
      <w:r>
        <w:rPr>
          <w:rFonts w:hint="eastAsia" w:ascii="仿宋_GB2312" w:hAnsi="仿宋_GB2312" w:eastAsia="仿宋_GB2312" w:cs="仿宋_GB2312"/>
          <w:b/>
          <w:bCs w:val="0"/>
          <w:color w:val="auto"/>
          <w:sz w:val="32"/>
          <w:szCs w:val="32"/>
        </w:rPr>
        <w:t>牵头单位：市</w:t>
      </w:r>
      <w:r>
        <w:rPr>
          <w:rFonts w:hint="eastAsia" w:ascii="仿宋_GB2312" w:hAnsi="仿宋_GB2312" w:eastAsia="仿宋_GB2312" w:cs="仿宋_GB2312"/>
          <w:b/>
          <w:bCs w:val="0"/>
          <w:color w:val="auto"/>
          <w:sz w:val="32"/>
          <w:szCs w:val="32"/>
          <w:lang w:eastAsia="zh-CN"/>
        </w:rPr>
        <w:t>发展改革</w:t>
      </w:r>
      <w:r>
        <w:rPr>
          <w:rFonts w:hint="eastAsia" w:ascii="仿宋_GB2312" w:hAnsi="仿宋_GB2312" w:eastAsia="仿宋_GB2312" w:cs="仿宋_GB2312"/>
          <w:b/>
          <w:bCs w:val="0"/>
          <w:color w:val="auto"/>
          <w:sz w:val="32"/>
          <w:szCs w:val="32"/>
        </w:rPr>
        <w:t>委、市交通运输局、市商务局、市城市管理监督局，配合单位：市北部湾办（市港口和物流发展局）、市自然资源局、市工业</w:t>
      </w:r>
      <w:r>
        <w:rPr>
          <w:rFonts w:hint="eastAsia" w:ascii="仿宋_GB2312" w:hAnsi="仿宋_GB2312" w:eastAsia="仿宋_GB2312" w:cs="仿宋_GB2312"/>
          <w:b/>
          <w:bCs w:val="0"/>
          <w:color w:val="auto"/>
          <w:sz w:val="32"/>
          <w:szCs w:val="32"/>
          <w:lang w:eastAsia="zh-CN"/>
        </w:rPr>
        <w:t>和</w:t>
      </w:r>
      <w:r>
        <w:rPr>
          <w:rFonts w:hint="eastAsia" w:ascii="仿宋_GB2312" w:hAnsi="仿宋_GB2312" w:eastAsia="仿宋_GB2312" w:cs="仿宋_GB2312"/>
          <w:b/>
          <w:bCs w:val="0"/>
          <w:color w:val="auto"/>
          <w:sz w:val="32"/>
          <w:szCs w:val="32"/>
        </w:rPr>
        <w:t>信息化局、市生态环境局</w:t>
      </w:r>
      <w:r>
        <w:rPr>
          <w:rFonts w:hint="eastAsia" w:ascii="仿宋_GB2312" w:hAnsi="仿宋_GB2312" w:eastAsia="仿宋_GB2312" w:cs="仿宋_GB2312"/>
          <w:b/>
          <w:bCs w:val="0"/>
          <w:color w:val="auto"/>
          <w:sz w:val="32"/>
          <w:szCs w:val="32"/>
          <w:lang w:eastAsia="zh-CN"/>
        </w:rPr>
        <w:t>，</w:t>
      </w:r>
      <w:r>
        <w:rPr>
          <w:rFonts w:hint="eastAsia" w:ascii="仿宋_GB2312" w:hAnsi="仿宋_GB2312" w:eastAsia="仿宋_GB2312" w:cs="仿宋_GB2312"/>
          <w:b/>
          <w:bCs w:val="0"/>
          <w:color w:val="auto"/>
          <w:sz w:val="32"/>
          <w:szCs w:val="32"/>
        </w:rPr>
        <w:t>市投资集团（高新区管委会）、市港发集团</w:t>
      </w:r>
      <w:r>
        <w:rPr>
          <w:rFonts w:hint="eastAsia" w:ascii="仿宋_GB2312" w:hAnsi="仿宋_GB2312" w:eastAsia="仿宋_GB2312" w:cs="仿宋_GB2312"/>
          <w:b/>
          <w:bCs w:val="0"/>
          <w:color w:val="auto"/>
          <w:sz w:val="32"/>
          <w:szCs w:val="32"/>
          <w:lang w:eastAsia="zh-CN"/>
        </w:rPr>
        <w:t>、</w:t>
      </w:r>
      <w:r>
        <w:rPr>
          <w:rFonts w:hint="eastAsia" w:ascii="仿宋_GB2312" w:hAnsi="仿宋_GB2312" w:eastAsia="仿宋_GB2312" w:cs="仿宋_GB2312"/>
          <w:b/>
          <w:bCs w:val="0"/>
          <w:color w:val="auto"/>
          <w:sz w:val="32"/>
          <w:szCs w:val="32"/>
        </w:rPr>
        <w:t>经开区管委会、市文旅集团（江山旅管委）、市兴港集团</w:t>
      </w:r>
      <w:r>
        <w:rPr>
          <w:rFonts w:hint="eastAsia" w:ascii="仿宋_GB2312" w:hAnsi="仿宋_GB2312" w:eastAsia="仿宋_GB2312" w:cs="仿宋_GB2312"/>
          <w:b/>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eastAsia="黑体"/>
          <w:color w:val="auto"/>
          <w:sz w:val="32"/>
          <w:szCs w:val="32"/>
        </w:rPr>
      </w:pPr>
      <w:r>
        <w:rPr>
          <w:rFonts w:eastAsia="黑体"/>
          <w:color w:val="auto"/>
          <w:sz w:val="32"/>
          <w:szCs w:val="32"/>
        </w:rPr>
        <w:t>四、保障措施</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（一）加强组织领导。</w:t>
      </w:r>
      <w:r>
        <w:rPr>
          <w:rFonts w:hint="eastAsia" w:ascii="仿宋_GB2312" w:hAnsi="仿宋_GB2312" w:eastAsia="仿宋_GB2312" w:cs="仿宋_GB2312"/>
          <w:b w:val="0"/>
          <w:bCs w:val="0"/>
          <w:color w:val="auto"/>
          <w:sz w:val="32"/>
          <w:szCs w:val="32"/>
          <w:lang w:eastAsia="zh-CN"/>
        </w:rPr>
        <w:t>依托已成立的市现代物流业发展工作联席会议制度，明确职责，形成工作合力，监测分析全市物流发展状况，协调加快项目建设，研究解决现代物流业发展工作中存在的问题。联席会议办公室设在市北部湾办（市港口和物流发展局），负责牵头承办联席会议日常工作和牵头开展现代物流业扶持政策申报动员、联合会审、向上报送等工作，并定期将扶持政策落实情况向联席会议汇报。</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hAnsi="仿宋_GB2312" w:eastAsia="仿宋_GB2312" w:cs="仿宋_GB2312"/>
          <w:bCs/>
          <w:color w:val="auto"/>
          <w:kern w:val="0"/>
          <w:sz w:val="32"/>
          <w:szCs w:val="32"/>
          <w:lang w:bidi="en-US"/>
        </w:rPr>
      </w:pPr>
      <w:r>
        <w:rPr>
          <w:rFonts w:eastAsia="楷体_GB2312"/>
          <w:b w:val="0"/>
          <w:bCs w:val="0"/>
          <w:color w:val="auto"/>
          <w:kern w:val="0"/>
          <w:sz w:val="32"/>
          <w:szCs w:val="32"/>
          <w:lang w:bidi="en-US"/>
        </w:rPr>
        <w:t>（二）加强要素保障。</w:t>
      </w:r>
      <w:r>
        <w:rPr>
          <w:rFonts w:hint="eastAsia" w:ascii="仿宋_GB2312" w:hAnsi="仿宋_GB2312" w:eastAsia="仿宋_GB2312" w:cs="仿宋_GB2312"/>
          <w:bCs/>
          <w:color w:val="auto"/>
          <w:kern w:val="0"/>
          <w:sz w:val="32"/>
          <w:szCs w:val="32"/>
          <w:lang w:bidi="en-US"/>
        </w:rPr>
        <w:t>对纳入《防城港市物流业发展“十四五”规划》《中国</w:t>
      </w:r>
      <w:r>
        <w:rPr>
          <w:rFonts w:hint="eastAsia" w:ascii="仿宋_GB2312" w:hAnsi="仿宋_GB2312" w:eastAsia="仿宋_GB2312" w:cs="仿宋_GB2312"/>
          <w:bCs/>
          <w:color w:val="auto"/>
          <w:kern w:val="0"/>
          <w:sz w:val="32"/>
          <w:szCs w:val="32"/>
          <w:lang w:eastAsia="zh-CN" w:bidi="en-US"/>
        </w:rPr>
        <w:t>—</w:t>
      </w:r>
      <w:r>
        <w:rPr>
          <w:rFonts w:hint="eastAsia" w:ascii="仿宋_GB2312" w:hAnsi="仿宋_GB2312" w:eastAsia="仿宋_GB2312" w:cs="仿宋_GB2312"/>
          <w:bCs/>
          <w:color w:val="auto"/>
          <w:kern w:val="0"/>
          <w:sz w:val="32"/>
          <w:szCs w:val="32"/>
          <w:lang w:bidi="en-US"/>
        </w:rPr>
        <w:t>东盟国际现代物流中心专项规划》的重点物流园区、物流中心建设项目，在政策支持、规划审批、土地供应</w:t>
      </w:r>
      <w:r>
        <w:rPr>
          <w:rFonts w:hint="eastAsia" w:ascii="仿宋_GB2312" w:hAnsi="仿宋_GB2312" w:eastAsia="仿宋_GB2312" w:cs="仿宋_GB2312"/>
          <w:bCs/>
          <w:color w:val="auto"/>
          <w:kern w:val="0"/>
          <w:sz w:val="32"/>
          <w:szCs w:val="32"/>
          <w:lang w:eastAsia="zh-CN" w:bidi="en-US"/>
        </w:rPr>
        <w:t>、要素保障等方面</w:t>
      </w:r>
      <w:r>
        <w:rPr>
          <w:rFonts w:hint="eastAsia" w:ascii="仿宋_GB2312" w:hAnsi="仿宋_GB2312" w:eastAsia="仿宋_GB2312" w:cs="仿宋_GB2312"/>
          <w:bCs/>
          <w:color w:val="auto"/>
          <w:kern w:val="0"/>
          <w:sz w:val="32"/>
          <w:szCs w:val="32"/>
          <w:lang w:bidi="en-US"/>
        </w:rPr>
        <w:t>依法依规予以优先安排，对企业利用原有土地进行物流基础设施建设的，在办理规划条件、规划许可等方面予以支持。</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eastAsia="仿宋_GB2312"/>
          <w:bCs/>
          <w:color w:val="auto"/>
          <w:kern w:val="0"/>
          <w:sz w:val="32"/>
          <w:szCs w:val="32"/>
          <w:lang w:bidi="en-US"/>
        </w:rPr>
      </w:pPr>
      <w:r>
        <w:rPr>
          <w:rFonts w:hint="eastAsia" w:ascii="楷体_GB2312" w:hAnsi="楷体_GB2312" w:eastAsia="楷体_GB2312" w:cs="楷体_GB2312"/>
          <w:b w:val="0"/>
          <w:bCs w:val="0"/>
          <w:color w:val="auto"/>
          <w:kern w:val="0"/>
          <w:sz w:val="32"/>
          <w:szCs w:val="32"/>
          <w:lang w:bidi="en-US"/>
        </w:rPr>
        <w:t>（三）加大金融支持。</w:t>
      </w:r>
      <w:r>
        <w:rPr>
          <w:rFonts w:eastAsia="仿宋_GB2312"/>
          <w:bCs/>
          <w:color w:val="auto"/>
          <w:kern w:val="0"/>
          <w:sz w:val="32"/>
          <w:szCs w:val="32"/>
          <w:lang w:bidi="en-US"/>
        </w:rPr>
        <w:t>创新完善金融保障手段，多渠道增加对物流业的投入，鼓励民间资本进入物流领域。完善金融支持体系，鼓励有条件的企业开展仓单质押、保税仓、存货质押、融资租赁等物流金融业务。引导金融机构对接供应链核心企业，支持开展供应链金融业务，切实减轻中小企业流动资金压力和融资成本负担。引导银行业金融机构加大对物流企业的信贷支持力度。支持大型现代物流企业进入资本市场融资，拓宽融资渠道。</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eastAsia="仿宋_GB2312"/>
          <w:bCs/>
          <w:color w:val="auto"/>
          <w:kern w:val="0"/>
          <w:sz w:val="32"/>
          <w:szCs w:val="32"/>
          <w:lang w:bidi="en-US"/>
        </w:rPr>
      </w:pPr>
      <w:r>
        <w:rPr>
          <w:rFonts w:eastAsia="楷体_GB2312"/>
          <w:b w:val="0"/>
          <w:bCs w:val="0"/>
          <w:color w:val="auto"/>
          <w:kern w:val="0"/>
          <w:sz w:val="32"/>
          <w:szCs w:val="32"/>
          <w:lang w:bidi="en-US"/>
        </w:rPr>
        <w:t>（四）提供人才支撑。</w:t>
      </w:r>
      <w:r>
        <w:rPr>
          <w:rFonts w:eastAsia="仿宋_GB2312"/>
          <w:bCs/>
          <w:color w:val="auto"/>
          <w:kern w:val="0"/>
          <w:sz w:val="32"/>
          <w:szCs w:val="32"/>
          <w:lang w:bidi="en-US"/>
        </w:rPr>
        <w:t>积极开展产学研合作，建立校企合作的物流行业培训和实验基地，加强</w:t>
      </w:r>
      <w:r>
        <w:rPr>
          <w:rFonts w:hint="eastAsia" w:eastAsia="仿宋_GB2312"/>
          <w:bCs/>
          <w:color w:val="auto"/>
          <w:kern w:val="0"/>
          <w:sz w:val="32"/>
          <w:szCs w:val="32"/>
          <w:lang w:bidi="en-US"/>
        </w:rPr>
        <w:t>物流</w:t>
      </w:r>
      <w:r>
        <w:rPr>
          <w:rFonts w:eastAsia="仿宋_GB2312"/>
          <w:bCs/>
          <w:color w:val="auto"/>
          <w:kern w:val="0"/>
          <w:sz w:val="32"/>
          <w:szCs w:val="32"/>
          <w:lang w:bidi="en-US"/>
        </w:rPr>
        <w:t>企业从业人员的在职培训</w:t>
      </w:r>
      <w:r>
        <w:rPr>
          <w:rFonts w:hint="eastAsia" w:eastAsia="仿宋_GB2312"/>
          <w:bCs/>
          <w:color w:val="auto"/>
          <w:kern w:val="0"/>
          <w:sz w:val="32"/>
          <w:szCs w:val="32"/>
          <w:lang w:bidi="en-US"/>
        </w:rPr>
        <w:t>，</w:t>
      </w:r>
      <w:r>
        <w:rPr>
          <w:rFonts w:eastAsia="仿宋_GB2312"/>
          <w:bCs/>
          <w:color w:val="auto"/>
          <w:kern w:val="0"/>
          <w:sz w:val="32"/>
          <w:szCs w:val="32"/>
          <w:lang w:bidi="en-US"/>
        </w:rPr>
        <w:t>着力培养物流企业所需人才。落实人才引进和激励政策，</w:t>
      </w:r>
      <w:r>
        <w:rPr>
          <w:rFonts w:hint="eastAsia" w:eastAsia="仿宋_GB2312"/>
          <w:bCs/>
          <w:color w:val="auto"/>
          <w:kern w:val="0"/>
          <w:sz w:val="32"/>
          <w:szCs w:val="32"/>
          <w:lang w:bidi="en-US"/>
        </w:rPr>
        <w:t>多渠道多方式积极引进物流领域高层次及紧缺急需人才，对引进的国内外高层次物流从业人员，给予我市引进人才政策规定的相关待遇。鼓励各类人才通过顾问指导、技术合作、培训讲学等方式为我市物流发展提供智力支持。</w:t>
      </w:r>
    </w:p>
    <w:p>
      <w:pPr>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pPr>
        <w:spacing w:line="560" w:lineRule="exact"/>
        <w:rPr>
          <w:rFonts w:hint="eastAsia" w:ascii="仿宋_GB2312" w:hAnsi="仿宋_GB2312" w:eastAsia="仿宋_GB2312" w:cs="仿宋_GB2312"/>
        </w:rPr>
      </w:pPr>
    </w:p>
    <w:p>
      <w:pPr>
        <w:pStyle w:val="2"/>
        <w:rPr>
          <w:rFonts w:hint="eastAsia" w:ascii="仿宋_GB2312" w:hAnsi="仿宋_GB2312" w:eastAsia="仿宋_GB2312" w:cs="仿宋_GB2312"/>
        </w:rPr>
      </w:pPr>
    </w:p>
    <w:p>
      <w:pPr>
        <w:pStyle w:val="3"/>
        <w:rPr>
          <w:rFonts w:hint="eastAsia" w:ascii="仿宋_GB2312" w:hAnsi="仿宋_GB2312" w:eastAsia="仿宋_GB2312" w:cs="仿宋_GB2312"/>
        </w:rPr>
      </w:pPr>
    </w:p>
    <w:p>
      <w:pPr>
        <w:rPr>
          <w:rFonts w:hint="eastAsia" w:ascii="仿宋_GB2312" w:hAnsi="仿宋_GB2312" w:eastAsia="仿宋_GB2312" w:cs="仿宋_GB2312"/>
        </w:rPr>
      </w:pPr>
    </w:p>
    <w:p>
      <w:pPr>
        <w:pStyle w:val="2"/>
        <w:rPr>
          <w:rFonts w:hint="eastAsia" w:ascii="仿宋_GB2312" w:hAnsi="仿宋_GB2312" w:eastAsia="仿宋_GB2312" w:cs="仿宋_GB2312"/>
        </w:rPr>
      </w:pPr>
    </w:p>
    <w:p>
      <w:pPr>
        <w:pStyle w:val="3"/>
        <w:rPr>
          <w:rFonts w:hint="eastAsia" w:ascii="仿宋_GB2312" w:hAnsi="仿宋_GB2312" w:eastAsia="仿宋_GB2312" w:cs="仿宋_GB2312"/>
        </w:rPr>
      </w:pPr>
    </w:p>
    <w:p>
      <w:pPr>
        <w:rPr>
          <w:rFonts w:hint="eastAsia" w:ascii="仿宋_GB2312" w:hAnsi="仿宋_GB2312" w:eastAsia="仿宋_GB2312" w:cs="仿宋_GB2312"/>
        </w:rPr>
      </w:pPr>
    </w:p>
    <w:p>
      <w:pPr>
        <w:pStyle w:val="2"/>
        <w:rPr>
          <w:rFonts w:hint="eastAsia" w:ascii="仿宋_GB2312" w:hAnsi="仿宋_GB2312" w:eastAsia="仿宋_GB2312" w:cs="仿宋_GB2312"/>
        </w:rPr>
      </w:pPr>
    </w:p>
    <w:p>
      <w:pPr>
        <w:pStyle w:val="3"/>
        <w:rPr>
          <w:rFonts w:hint="eastAsia" w:ascii="仿宋_GB2312" w:hAnsi="仿宋_GB2312" w:eastAsia="仿宋_GB2312" w:cs="仿宋_GB2312"/>
        </w:rPr>
      </w:pPr>
    </w:p>
    <w:p>
      <w:pPr>
        <w:rPr>
          <w:rFonts w:hint="eastAsia" w:ascii="仿宋_GB2312" w:hAnsi="仿宋_GB2312" w:eastAsia="仿宋_GB2312" w:cs="仿宋_GB2312"/>
        </w:rPr>
      </w:pPr>
    </w:p>
    <w:p>
      <w:pPr>
        <w:pStyle w:val="2"/>
        <w:rPr>
          <w:rFonts w:hint="eastAsia" w:ascii="仿宋_GB2312" w:hAnsi="仿宋_GB2312" w:eastAsia="仿宋_GB2312" w:cs="仿宋_GB2312"/>
        </w:rPr>
      </w:pPr>
    </w:p>
    <w:p>
      <w:pPr>
        <w:pStyle w:val="3"/>
        <w:rPr>
          <w:rFonts w:hint="eastAsia" w:ascii="仿宋_GB2312" w:hAnsi="仿宋_GB2312" w:eastAsia="仿宋_GB2312" w:cs="仿宋_GB2312"/>
        </w:rPr>
      </w:pPr>
    </w:p>
    <w:p>
      <w:pPr>
        <w:rPr>
          <w:rFonts w:hint="eastAsia" w:ascii="仿宋_GB2312" w:hAnsi="仿宋_GB2312" w:eastAsia="仿宋_GB2312" w:cs="仿宋_GB2312"/>
        </w:rPr>
      </w:pPr>
    </w:p>
    <w:p>
      <w:pPr>
        <w:pStyle w:val="2"/>
        <w:rPr>
          <w:rFonts w:hint="eastAsia" w:ascii="仿宋_GB2312" w:hAnsi="仿宋_GB2312" w:eastAsia="仿宋_GB2312" w:cs="仿宋_GB2312"/>
        </w:rPr>
      </w:pPr>
    </w:p>
    <w:p>
      <w:pPr>
        <w:pStyle w:val="3"/>
        <w:rPr>
          <w:rFonts w:hint="eastAsia" w:ascii="仿宋_GB2312" w:hAnsi="仿宋_GB2312" w:eastAsia="仿宋_GB2312" w:cs="仿宋_GB2312"/>
        </w:rPr>
      </w:pPr>
    </w:p>
    <w:p>
      <w:pPr>
        <w:rPr>
          <w:rFonts w:hint="eastAsia" w:ascii="仿宋_GB2312" w:hAnsi="仿宋_GB2312" w:eastAsia="仿宋_GB2312" w:cs="仿宋_GB2312"/>
        </w:rPr>
      </w:pPr>
    </w:p>
    <w:p>
      <w:pPr>
        <w:pStyle w:val="2"/>
        <w:rPr>
          <w:rFonts w:hint="eastAsia" w:ascii="仿宋_GB2312" w:hAnsi="仿宋_GB2312" w:eastAsia="仿宋_GB2312" w:cs="仿宋_GB2312"/>
        </w:rPr>
      </w:pPr>
    </w:p>
    <w:p>
      <w:pPr>
        <w:pStyle w:val="3"/>
        <w:rPr>
          <w:rFonts w:hint="eastAsia" w:ascii="仿宋_GB2312" w:hAnsi="仿宋_GB2312" w:eastAsia="仿宋_GB2312" w:cs="仿宋_GB2312"/>
        </w:rPr>
      </w:pPr>
    </w:p>
    <w:p>
      <w:pPr>
        <w:rPr>
          <w:rFonts w:hint="eastAsia" w:ascii="仿宋_GB2312" w:hAnsi="仿宋_GB2312" w:eastAsia="仿宋_GB2312" w:cs="仿宋_GB2312"/>
        </w:rPr>
      </w:pPr>
    </w:p>
    <w:p>
      <w:pPr>
        <w:pStyle w:val="2"/>
        <w:rPr>
          <w:rFonts w:hint="eastAsia" w:ascii="仿宋_GB2312" w:hAnsi="仿宋_GB2312" w:eastAsia="仿宋_GB2312" w:cs="仿宋_GB2312"/>
        </w:rPr>
      </w:pPr>
    </w:p>
    <w:p>
      <w:pPr>
        <w:pStyle w:val="3"/>
        <w:rPr>
          <w:rFonts w:hint="eastAsia" w:ascii="仿宋_GB2312" w:hAnsi="仿宋_GB2312" w:eastAsia="仿宋_GB2312" w:cs="仿宋_GB2312"/>
        </w:rPr>
      </w:pPr>
    </w:p>
    <w:p>
      <w:pPr>
        <w:rPr>
          <w:rFonts w:hint="eastAsia" w:ascii="仿宋_GB2312" w:hAnsi="仿宋_GB2312" w:eastAsia="仿宋_GB2312" w:cs="仿宋_GB2312"/>
        </w:rPr>
      </w:pPr>
    </w:p>
    <w:p>
      <w:pPr>
        <w:spacing w:line="560" w:lineRule="exact"/>
        <w:rPr>
          <w:rFonts w:hint="eastAsia" w:ascii="仿宋_GB2312" w:hAnsi="仿宋_GB2312" w:eastAsia="仿宋_GB2312" w:cs="仿宋_GB2312"/>
        </w:rPr>
      </w:pPr>
    </w:p>
    <w:p>
      <w:pPr>
        <w:pStyle w:val="2"/>
        <w:rPr>
          <w:rFonts w:hint="eastAsia"/>
        </w:rPr>
      </w:pPr>
    </w:p>
    <w:p>
      <w:pPr>
        <w:spacing w:line="560" w:lineRule="exact"/>
        <w:rPr>
          <w:rFonts w:hint="eastAsia" w:ascii="仿宋_GB2312" w:hAnsi="仿宋_GB2312" w:eastAsia="仿宋_GB2312" w:cs="仿宋_GB2312"/>
        </w:rPr>
      </w:pPr>
    </w:p>
    <w:p>
      <w:pPr>
        <w:spacing w:line="560" w:lineRule="exact"/>
        <w:rPr>
          <w:rFonts w:hint="eastAsia" w:ascii="仿宋_GB2312" w:hAnsi="仿宋_GB2312" w:eastAsia="仿宋_GB2312" w:cs="仿宋_GB2312"/>
        </w:rPr>
      </w:pPr>
    </w:p>
    <w:p>
      <w:pPr>
        <w:pStyle w:val="11"/>
        <w:pBdr>
          <w:top w:val="single" w:color="auto" w:sz="12" w:space="1"/>
          <w:bottom w:val="single" w:color="auto" w:sz="12" w:space="1"/>
        </w:pBdr>
        <w:spacing w:line="440" w:lineRule="exact"/>
        <w:ind w:firstLine="313" w:firstLineChars="112"/>
        <w:jc w:val="both"/>
        <w:rPr>
          <w:rFonts w:hint="eastAsia" w:ascii="仿宋_GB2312" w:eastAsia="仿宋_GB2312"/>
          <w:color w:val="000000"/>
          <w:spacing w:val="0"/>
          <w:w w:val="100"/>
          <w:sz w:val="28"/>
          <w:szCs w:val="28"/>
        </w:rPr>
      </w:pPr>
      <w:r>
        <w:rPr>
          <w:rFonts w:hint="eastAsia" w:ascii="仿宋_GB2312" w:eastAsia="仿宋_GB2312"/>
          <w:color w:val="000000"/>
          <w:spacing w:val="0"/>
          <w:w w:val="100"/>
          <w:sz w:val="28"/>
          <w:szCs w:val="28"/>
        </w:rPr>
        <w:t>防城港市人民政府办公室                 202</w:t>
      </w:r>
      <w:r>
        <w:rPr>
          <w:rFonts w:hint="eastAsia" w:ascii="仿宋_GB2312" w:eastAsia="仿宋_GB2312"/>
          <w:color w:val="000000"/>
          <w:spacing w:val="0"/>
          <w:w w:val="100"/>
          <w:sz w:val="28"/>
          <w:szCs w:val="28"/>
          <w:lang w:val="en-US" w:eastAsia="zh-CN"/>
        </w:rPr>
        <w:t>2</w:t>
      </w:r>
      <w:r>
        <w:rPr>
          <w:rFonts w:hint="eastAsia" w:ascii="仿宋_GB2312" w:eastAsia="仿宋_GB2312"/>
          <w:color w:val="000000"/>
          <w:spacing w:val="0"/>
          <w:w w:val="100"/>
          <w:sz w:val="28"/>
          <w:szCs w:val="28"/>
        </w:rPr>
        <w:t>年</w:t>
      </w:r>
      <w:r>
        <w:rPr>
          <w:rFonts w:hint="eastAsia" w:ascii="仿宋_GB2312" w:eastAsia="仿宋_GB2312"/>
          <w:color w:val="000000"/>
          <w:spacing w:val="0"/>
          <w:w w:val="100"/>
          <w:sz w:val="28"/>
          <w:szCs w:val="28"/>
          <w:lang w:val="en-US" w:eastAsia="zh-CN"/>
        </w:rPr>
        <w:t>7</w:t>
      </w:r>
      <w:r>
        <w:rPr>
          <w:rFonts w:hint="eastAsia" w:ascii="仿宋_GB2312" w:eastAsia="仿宋_GB2312"/>
          <w:color w:val="000000"/>
          <w:spacing w:val="0"/>
          <w:w w:val="100"/>
          <w:sz w:val="28"/>
          <w:szCs w:val="28"/>
        </w:rPr>
        <w:t>月</w:t>
      </w:r>
      <w:r>
        <w:rPr>
          <w:rFonts w:hint="eastAsia" w:ascii="仿宋_GB2312" w:eastAsia="仿宋_GB2312"/>
          <w:color w:val="000000"/>
          <w:spacing w:val="0"/>
          <w:w w:val="100"/>
          <w:sz w:val="28"/>
          <w:szCs w:val="28"/>
          <w:lang w:val="en-US" w:eastAsia="zh-CN"/>
        </w:rPr>
        <w:t>12</w:t>
      </w:r>
      <w:r>
        <w:rPr>
          <w:rFonts w:hint="eastAsia" w:ascii="仿宋_GB2312" w:eastAsia="仿宋_GB2312"/>
          <w:color w:val="000000"/>
          <w:spacing w:val="0"/>
          <w:w w:val="100"/>
          <w:sz w:val="28"/>
          <w:szCs w:val="28"/>
        </w:rPr>
        <w:t>日印发</w:t>
      </w:r>
    </w:p>
    <w:sectPr>
      <w:footerReference r:id="rId3" w:type="default"/>
      <w:footerReference r:id="rId4" w:type="even"/>
      <w:pgSz w:w="11906" w:h="16838"/>
      <w:pgMar w:top="2098" w:right="1474" w:bottom="1984" w:left="1588" w:header="1418" w:footer="1417" w:gutter="0"/>
      <w:paperSrc/>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E00002FF" w:usb1="400004FF" w:usb2="00000000" w:usb3="00000000" w:csb0="0000019F" w:csb1="00000000"/>
  </w:font>
  <w:font w:name="Arial">
    <w:altName w:val="DejaVu Sans"/>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ourier New">
    <w:altName w:val="DejaVu Sans"/>
    <w:panose1 w:val="02070309020205020404"/>
    <w:charset w:val="00"/>
    <w:family w:val="modern"/>
    <w:pitch w:val="default"/>
    <w:sig w:usb0="E0002AFF" w:usb1="C0007843" w:usb2="00000009" w:usb3="00000000" w:csb0="000001FF" w:csb1="00000000"/>
  </w:font>
  <w:font w:name="方正楷体_GBK">
    <w:panose1 w:val="02000000000000000000"/>
    <w:charset w:val="86"/>
    <w:family w:val="script"/>
    <w:pitch w:val="default"/>
    <w:sig w:usb0="00000001" w:usb1="08000000" w:usb2="00000000" w:usb3="00000000" w:csb0="00040000" w:csb1="00000000"/>
  </w:font>
  <w:font w:name="Verdana">
    <w:altName w:val="DejaVu Sans"/>
    <w:panose1 w:val="020B0604030504040204"/>
    <w:charset w:val="00"/>
    <w:family w:val="swiss"/>
    <w:pitch w:val="default"/>
    <w:sig w:usb0="A10006FF" w:usb1="4000205B" w:usb2="00000010" w:usb3="00000000" w:csb0="0000019F" w:csb1="00000000"/>
  </w:font>
  <w:font w:name="Tahoma">
    <w:altName w:val="DejaVu Sans"/>
    <w:panose1 w:val="020B0604030504040204"/>
    <w:charset w:val="00"/>
    <w:family w:val="swiss"/>
    <w:pitch w:val="default"/>
    <w:sig w:usb0="E1002EFF" w:usb1="C000605B" w:usb2="00000029" w:usb3="00000000" w:csb0="000101FF" w:csb1="00000000"/>
  </w:font>
  <w:font w:name="仿宋">
    <w:altName w:val="方正仿宋_GBK"/>
    <w:panose1 w:val="02010609060101010101"/>
    <w:charset w:val="00"/>
    <w:family w:val="modern"/>
    <w:pitch w:val="default"/>
    <w:sig w:usb0="800002BF" w:usb1="38CF7CFA" w:usb2="00000016" w:usb3="00000000" w:csb0="00040001" w:csb1="00000000"/>
  </w:font>
  <w:font w:name="微软雅黑">
    <w:altName w:val="方正黑体_GBK"/>
    <w:panose1 w:val="020B0503020204020204"/>
    <w:charset w:val="00"/>
    <w:family w:val="swiss"/>
    <w:pitch w:val="default"/>
    <w:sig w:usb0="80000287" w:usb1="280F3C52"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outside" w:y="1"/>
      <w:rPr>
        <w:rStyle w:val="30"/>
        <w:rFonts w:hint="eastAsia" w:ascii="宋体" w:hAnsi="宋体"/>
        <w:sz w:val="28"/>
        <w:szCs w:val="28"/>
      </w:rPr>
    </w:pPr>
    <w:r>
      <w:rPr>
        <w:rStyle w:val="30"/>
        <w:rFonts w:hint="eastAsia" w:ascii="宋体" w:hAnsi="宋体"/>
        <w:sz w:val="28"/>
        <w:szCs w:val="28"/>
      </w:rPr>
      <w:t xml:space="preserve">— </w:t>
    </w:r>
    <w:r>
      <w:rPr>
        <w:rStyle w:val="30"/>
        <w:rFonts w:ascii="宋体" w:hAnsi="宋体"/>
        <w:sz w:val="28"/>
        <w:szCs w:val="28"/>
      </w:rPr>
      <w:fldChar w:fldCharType="begin"/>
    </w:r>
    <w:r>
      <w:rPr>
        <w:rStyle w:val="30"/>
        <w:rFonts w:ascii="宋体" w:hAnsi="宋体"/>
        <w:sz w:val="28"/>
        <w:szCs w:val="28"/>
      </w:rPr>
      <w:instrText xml:space="preserve">PAGE  </w:instrText>
    </w:r>
    <w:r>
      <w:rPr>
        <w:rStyle w:val="30"/>
        <w:rFonts w:ascii="宋体" w:hAnsi="宋体"/>
        <w:sz w:val="28"/>
        <w:szCs w:val="28"/>
      </w:rPr>
      <w:fldChar w:fldCharType="separate"/>
    </w:r>
    <w:r>
      <w:rPr>
        <w:rStyle w:val="30"/>
        <w:rFonts w:ascii="宋体" w:hAnsi="宋体"/>
        <w:sz w:val="28"/>
        <w:szCs w:val="28"/>
      </w:rPr>
      <w:t>10</w:t>
    </w:r>
    <w:r>
      <w:rPr>
        <w:rStyle w:val="30"/>
        <w:rFonts w:ascii="宋体" w:hAnsi="宋体"/>
        <w:sz w:val="28"/>
        <w:szCs w:val="28"/>
      </w:rPr>
      <w:fldChar w:fldCharType="end"/>
    </w:r>
    <w:r>
      <w:rPr>
        <w:rStyle w:val="30"/>
        <w:rFonts w:hint="eastAsia" w:ascii="宋体" w:hAnsi="宋体"/>
        <w:sz w:val="28"/>
        <w:szCs w:val="28"/>
      </w:rPr>
      <w:t xml:space="preserve"> —</w:t>
    </w:r>
  </w:p>
  <w:p>
    <w:pPr>
      <w:pStyle w:val="1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outside" w:y="1"/>
      <w:rPr>
        <w:rStyle w:val="30"/>
      </w:rPr>
    </w:pPr>
    <w:r>
      <w:rPr>
        <w:rStyle w:val="30"/>
      </w:rPr>
      <w:fldChar w:fldCharType="begin"/>
    </w:r>
    <w:r>
      <w:rPr>
        <w:rStyle w:val="30"/>
      </w:rPr>
      <w:instrText xml:space="preserve">PAGE  </w:instrText>
    </w:r>
    <w:r>
      <w:rPr>
        <w:rStyle w:val="30"/>
      </w:rPr>
      <w:fldChar w:fldCharType="separate"/>
    </w:r>
    <w:r>
      <w:rPr>
        <w:rStyle w:val="30"/>
      </w:rPr>
      <w:t>6</w:t>
    </w:r>
    <w:r>
      <w:rPr>
        <w:rStyle w:val="30"/>
      </w:rPr>
      <w:fldChar w:fldCharType="end"/>
    </w:r>
  </w:p>
  <w:p>
    <w:pPr>
      <w:pStyle w:val="1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hyphenationZone w:val="360"/>
  <w:drawingGridHorizontalSpacing w:val="105"/>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B8B"/>
    <w:rsid w:val="000001AB"/>
    <w:rsid w:val="00001253"/>
    <w:rsid w:val="000013AF"/>
    <w:rsid w:val="00004A54"/>
    <w:rsid w:val="00004D03"/>
    <w:rsid w:val="00005DEF"/>
    <w:rsid w:val="00007AEE"/>
    <w:rsid w:val="000106AF"/>
    <w:rsid w:val="0001084F"/>
    <w:rsid w:val="00010AB6"/>
    <w:rsid w:val="0001113D"/>
    <w:rsid w:val="0001172F"/>
    <w:rsid w:val="00011763"/>
    <w:rsid w:val="000129A2"/>
    <w:rsid w:val="000134F7"/>
    <w:rsid w:val="000143DE"/>
    <w:rsid w:val="00014512"/>
    <w:rsid w:val="00014A88"/>
    <w:rsid w:val="00014ECF"/>
    <w:rsid w:val="000150C5"/>
    <w:rsid w:val="00015BB5"/>
    <w:rsid w:val="00015E37"/>
    <w:rsid w:val="000200D5"/>
    <w:rsid w:val="000219DD"/>
    <w:rsid w:val="00024374"/>
    <w:rsid w:val="00024DA8"/>
    <w:rsid w:val="00025F07"/>
    <w:rsid w:val="00025FE3"/>
    <w:rsid w:val="00026CC7"/>
    <w:rsid w:val="00026E6A"/>
    <w:rsid w:val="00027573"/>
    <w:rsid w:val="000305D0"/>
    <w:rsid w:val="000312B9"/>
    <w:rsid w:val="00031B31"/>
    <w:rsid w:val="0003241B"/>
    <w:rsid w:val="00034A00"/>
    <w:rsid w:val="000359A3"/>
    <w:rsid w:val="00035BE7"/>
    <w:rsid w:val="00036A41"/>
    <w:rsid w:val="00036D5B"/>
    <w:rsid w:val="00040339"/>
    <w:rsid w:val="000408B2"/>
    <w:rsid w:val="000421F2"/>
    <w:rsid w:val="00042DF7"/>
    <w:rsid w:val="0004305F"/>
    <w:rsid w:val="00043981"/>
    <w:rsid w:val="00044038"/>
    <w:rsid w:val="000444D4"/>
    <w:rsid w:val="00045C7B"/>
    <w:rsid w:val="00045D33"/>
    <w:rsid w:val="00046507"/>
    <w:rsid w:val="000475A2"/>
    <w:rsid w:val="00047D50"/>
    <w:rsid w:val="00050C45"/>
    <w:rsid w:val="00052B72"/>
    <w:rsid w:val="000548CA"/>
    <w:rsid w:val="00054B2D"/>
    <w:rsid w:val="00055021"/>
    <w:rsid w:val="00055253"/>
    <w:rsid w:val="000559A4"/>
    <w:rsid w:val="00056B36"/>
    <w:rsid w:val="00057A3A"/>
    <w:rsid w:val="00057B4D"/>
    <w:rsid w:val="00057F82"/>
    <w:rsid w:val="00060BA2"/>
    <w:rsid w:val="00061137"/>
    <w:rsid w:val="00063203"/>
    <w:rsid w:val="0006507F"/>
    <w:rsid w:val="00065739"/>
    <w:rsid w:val="00065C43"/>
    <w:rsid w:val="00067D7D"/>
    <w:rsid w:val="00067E46"/>
    <w:rsid w:val="0007014C"/>
    <w:rsid w:val="00070404"/>
    <w:rsid w:val="000716A5"/>
    <w:rsid w:val="0007229A"/>
    <w:rsid w:val="00076847"/>
    <w:rsid w:val="00077D20"/>
    <w:rsid w:val="00080889"/>
    <w:rsid w:val="00083BF3"/>
    <w:rsid w:val="00083DA2"/>
    <w:rsid w:val="00083F2E"/>
    <w:rsid w:val="0008454D"/>
    <w:rsid w:val="00084DE5"/>
    <w:rsid w:val="000851E4"/>
    <w:rsid w:val="0008777A"/>
    <w:rsid w:val="00090BC5"/>
    <w:rsid w:val="00093CB9"/>
    <w:rsid w:val="00094939"/>
    <w:rsid w:val="00094A46"/>
    <w:rsid w:val="00094F92"/>
    <w:rsid w:val="0009560F"/>
    <w:rsid w:val="000968A0"/>
    <w:rsid w:val="000968E6"/>
    <w:rsid w:val="00096C0F"/>
    <w:rsid w:val="000A0142"/>
    <w:rsid w:val="000A0C9B"/>
    <w:rsid w:val="000A1521"/>
    <w:rsid w:val="000A1864"/>
    <w:rsid w:val="000A323A"/>
    <w:rsid w:val="000A32A2"/>
    <w:rsid w:val="000A7991"/>
    <w:rsid w:val="000B0B9C"/>
    <w:rsid w:val="000B0E42"/>
    <w:rsid w:val="000B3120"/>
    <w:rsid w:val="000B387F"/>
    <w:rsid w:val="000B3DF2"/>
    <w:rsid w:val="000B3E32"/>
    <w:rsid w:val="000B510E"/>
    <w:rsid w:val="000B5E79"/>
    <w:rsid w:val="000B7971"/>
    <w:rsid w:val="000C0F3F"/>
    <w:rsid w:val="000C4ACF"/>
    <w:rsid w:val="000C7C1F"/>
    <w:rsid w:val="000D049B"/>
    <w:rsid w:val="000D2930"/>
    <w:rsid w:val="000D33BA"/>
    <w:rsid w:val="000D4184"/>
    <w:rsid w:val="000D4985"/>
    <w:rsid w:val="000D4C1F"/>
    <w:rsid w:val="000D580E"/>
    <w:rsid w:val="000D73DB"/>
    <w:rsid w:val="000E0744"/>
    <w:rsid w:val="000E07F2"/>
    <w:rsid w:val="000E108F"/>
    <w:rsid w:val="000E23D7"/>
    <w:rsid w:val="000E36B3"/>
    <w:rsid w:val="000E4D94"/>
    <w:rsid w:val="000E515D"/>
    <w:rsid w:val="000E540B"/>
    <w:rsid w:val="000E5BC3"/>
    <w:rsid w:val="000E5D4C"/>
    <w:rsid w:val="000E6C26"/>
    <w:rsid w:val="000E7620"/>
    <w:rsid w:val="000F078C"/>
    <w:rsid w:val="000F24C8"/>
    <w:rsid w:val="000F2701"/>
    <w:rsid w:val="000F276B"/>
    <w:rsid w:val="000F3A7E"/>
    <w:rsid w:val="000F47CC"/>
    <w:rsid w:val="000F4B2E"/>
    <w:rsid w:val="000F4B89"/>
    <w:rsid w:val="000F4CF1"/>
    <w:rsid w:val="000F540A"/>
    <w:rsid w:val="00101B4F"/>
    <w:rsid w:val="00101D26"/>
    <w:rsid w:val="00103E84"/>
    <w:rsid w:val="00104343"/>
    <w:rsid w:val="00104FA5"/>
    <w:rsid w:val="0011039F"/>
    <w:rsid w:val="00111D26"/>
    <w:rsid w:val="001123DA"/>
    <w:rsid w:val="0011325C"/>
    <w:rsid w:val="001135CF"/>
    <w:rsid w:val="00113CE3"/>
    <w:rsid w:val="001144DF"/>
    <w:rsid w:val="001147DD"/>
    <w:rsid w:val="00115204"/>
    <w:rsid w:val="00115F2D"/>
    <w:rsid w:val="00116F3A"/>
    <w:rsid w:val="00117948"/>
    <w:rsid w:val="00117981"/>
    <w:rsid w:val="00117A67"/>
    <w:rsid w:val="00120C51"/>
    <w:rsid w:val="0012144C"/>
    <w:rsid w:val="00122B31"/>
    <w:rsid w:val="001241FD"/>
    <w:rsid w:val="0012433E"/>
    <w:rsid w:val="001249D1"/>
    <w:rsid w:val="00124EFE"/>
    <w:rsid w:val="00126A93"/>
    <w:rsid w:val="00126BE4"/>
    <w:rsid w:val="00126D05"/>
    <w:rsid w:val="00127214"/>
    <w:rsid w:val="00130A9C"/>
    <w:rsid w:val="001314F6"/>
    <w:rsid w:val="0013208A"/>
    <w:rsid w:val="00135131"/>
    <w:rsid w:val="001357BB"/>
    <w:rsid w:val="00136D01"/>
    <w:rsid w:val="001374E6"/>
    <w:rsid w:val="001417A2"/>
    <w:rsid w:val="00141840"/>
    <w:rsid w:val="001418FC"/>
    <w:rsid w:val="00143E4E"/>
    <w:rsid w:val="00143E5A"/>
    <w:rsid w:val="00144591"/>
    <w:rsid w:val="00146BD0"/>
    <w:rsid w:val="00147ECF"/>
    <w:rsid w:val="00147EE0"/>
    <w:rsid w:val="0015059F"/>
    <w:rsid w:val="001514DB"/>
    <w:rsid w:val="001521E2"/>
    <w:rsid w:val="0015281D"/>
    <w:rsid w:val="00154028"/>
    <w:rsid w:val="00154230"/>
    <w:rsid w:val="001544CB"/>
    <w:rsid w:val="00155928"/>
    <w:rsid w:val="00156E95"/>
    <w:rsid w:val="00157B1F"/>
    <w:rsid w:val="0016127E"/>
    <w:rsid w:val="001616BD"/>
    <w:rsid w:val="001618AD"/>
    <w:rsid w:val="00163B37"/>
    <w:rsid w:val="00163FA7"/>
    <w:rsid w:val="0016434F"/>
    <w:rsid w:val="001646E7"/>
    <w:rsid w:val="00167112"/>
    <w:rsid w:val="00170CBC"/>
    <w:rsid w:val="00171691"/>
    <w:rsid w:val="00171B4D"/>
    <w:rsid w:val="00171F2C"/>
    <w:rsid w:val="00173ACA"/>
    <w:rsid w:val="00175051"/>
    <w:rsid w:val="00175392"/>
    <w:rsid w:val="001759B4"/>
    <w:rsid w:val="0017607C"/>
    <w:rsid w:val="001818D6"/>
    <w:rsid w:val="00181EB5"/>
    <w:rsid w:val="00182193"/>
    <w:rsid w:val="0018223F"/>
    <w:rsid w:val="00182BEC"/>
    <w:rsid w:val="00183D87"/>
    <w:rsid w:val="001844BB"/>
    <w:rsid w:val="00184876"/>
    <w:rsid w:val="00186627"/>
    <w:rsid w:val="00186649"/>
    <w:rsid w:val="00186F4C"/>
    <w:rsid w:val="00190BE8"/>
    <w:rsid w:val="0019211E"/>
    <w:rsid w:val="00192B6E"/>
    <w:rsid w:val="00193EBE"/>
    <w:rsid w:val="00194231"/>
    <w:rsid w:val="00194360"/>
    <w:rsid w:val="0019466A"/>
    <w:rsid w:val="0019509C"/>
    <w:rsid w:val="00195CF7"/>
    <w:rsid w:val="00196D00"/>
    <w:rsid w:val="00196EEE"/>
    <w:rsid w:val="001A045D"/>
    <w:rsid w:val="001A1616"/>
    <w:rsid w:val="001A29A5"/>
    <w:rsid w:val="001A29B6"/>
    <w:rsid w:val="001A3624"/>
    <w:rsid w:val="001A3DD3"/>
    <w:rsid w:val="001A71A3"/>
    <w:rsid w:val="001A7CA4"/>
    <w:rsid w:val="001B076D"/>
    <w:rsid w:val="001B177E"/>
    <w:rsid w:val="001B3EAB"/>
    <w:rsid w:val="001B5654"/>
    <w:rsid w:val="001B6EDC"/>
    <w:rsid w:val="001B7B4E"/>
    <w:rsid w:val="001C0151"/>
    <w:rsid w:val="001C143D"/>
    <w:rsid w:val="001C243D"/>
    <w:rsid w:val="001C31CF"/>
    <w:rsid w:val="001C3561"/>
    <w:rsid w:val="001C3734"/>
    <w:rsid w:val="001C3974"/>
    <w:rsid w:val="001C3EBE"/>
    <w:rsid w:val="001C469E"/>
    <w:rsid w:val="001C6BF1"/>
    <w:rsid w:val="001D0169"/>
    <w:rsid w:val="001D05D8"/>
    <w:rsid w:val="001D116F"/>
    <w:rsid w:val="001D204B"/>
    <w:rsid w:val="001D3265"/>
    <w:rsid w:val="001D3759"/>
    <w:rsid w:val="001D436D"/>
    <w:rsid w:val="001D4D64"/>
    <w:rsid w:val="001D5B05"/>
    <w:rsid w:val="001D6681"/>
    <w:rsid w:val="001D7795"/>
    <w:rsid w:val="001E2C88"/>
    <w:rsid w:val="001E2FD2"/>
    <w:rsid w:val="001E3757"/>
    <w:rsid w:val="001E491F"/>
    <w:rsid w:val="001E584C"/>
    <w:rsid w:val="001E5F83"/>
    <w:rsid w:val="001E6207"/>
    <w:rsid w:val="001E62A5"/>
    <w:rsid w:val="001E743D"/>
    <w:rsid w:val="001F08D4"/>
    <w:rsid w:val="001F14EE"/>
    <w:rsid w:val="001F1D51"/>
    <w:rsid w:val="001F21CC"/>
    <w:rsid w:val="001F3D92"/>
    <w:rsid w:val="001F4729"/>
    <w:rsid w:val="001F4C7B"/>
    <w:rsid w:val="001F4E01"/>
    <w:rsid w:val="001F57C7"/>
    <w:rsid w:val="001F5AF1"/>
    <w:rsid w:val="001F5B75"/>
    <w:rsid w:val="001F6A71"/>
    <w:rsid w:val="001F70CF"/>
    <w:rsid w:val="00200421"/>
    <w:rsid w:val="0020152A"/>
    <w:rsid w:val="0020177C"/>
    <w:rsid w:val="00201843"/>
    <w:rsid w:val="00202618"/>
    <w:rsid w:val="002033E9"/>
    <w:rsid w:val="002034FD"/>
    <w:rsid w:val="0020388D"/>
    <w:rsid w:val="00203AEC"/>
    <w:rsid w:val="00204541"/>
    <w:rsid w:val="00204CA7"/>
    <w:rsid w:val="0020517C"/>
    <w:rsid w:val="00205D10"/>
    <w:rsid w:val="00205DCD"/>
    <w:rsid w:val="002066B5"/>
    <w:rsid w:val="00206B5A"/>
    <w:rsid w:val="002109B8"/>
    <w:rsid w:val="00210DC6"/>
    <w:rsid w:val="002112C7"/>
    <w:rsid w:val="00211740"/>
    <w:rsid w:val="00213233"/>
    <w:rsid w:val="00213DCD"/>
    <w:rsid w:val="00213E62"/>
    <w:rsid w:val="00213E9C"/>
    <w:rsid w:val="00216E40"/>
    <w:rsid w:val="00221082"/>
    <w:rsid w:val="002228EF"/>
    <w:rsid w:val="00223028"/>
    <w:rsid w:val="00223680"/>
    <w:rsid w:val="00224DD3"/>
    <w:rsid w:val="00225A25"/>
    <w:rsid w:val="00226219"/>
    <w:rsid w:val="0022651D"/>
    <w:rsid w:val="0022675E"/>
    <w:rsid w:val="00232968"/>
    <w:rsid w:val="00234A95"/>
    <w:rsid w:val="00236F6A"/>
    <w:rsid w:val="00240D1D"/>
    <w:rsid w:val="002412C7"/>
    <w:rsid w:val="00241B67"/>
    <w:rsid w:val="00241FA2"/>
    <w:rsid w:val="00243175"/>
    <w:rsid w:val="002435B8"/>
    <w:rsid w:val="002444C7"/>
    <w:rsid w:val="0024646D"/>
    <w:rsid w:val="00247F3C"/>
    <w:rsid w:val="002516FC"/>
    <w:rsid w:val="002524A0"/>
    <w:rsid w:val="00252518"/>
    <w:rsid w:val="00252DD1"/>
    <w:rsid w:val="00253280"/>
    <w:rsid w:val="0025452F"/>
    <w:rsid w:val="00254F7A"/>
    <w:rsid w:val="00255FB3"/>
    <w:rsid w:val="002562F4"/>
    <w:rsid w:val="00257430"/>
    <w:rsid w:val="00260BF2"/>
    <w:rsid w:val="00261360"/>
    <w:rsid w:val="00262911"/>
    <w:rsid w:val="002636E2"/>
    <w:rsid w:val="00264F9D"/>
    <w:rsid w:val="00265469"/>
    <w:rsid w:val="002667AF"/>
    <w:rsid w:val="002676B3"/>
    <w:rsid w:val="002678F1"/>
    <w:rsid w:val="0027062E"/>
    <w:rsid w:val="00271955"/>
    <w:rsid w:val="00271B21"/>
    <w:rsid w:val="00271E20"/>
    <w:rsid w:val="0027286D"/>
    <w:rsid w:val="00273B69"/>
    <w:rsid w:val="00273FD2"/>
    <w:rsid w:val="00274163"/>
    <w:rsid w:val="002760E6"/>
    <w:rsid w:val="00276286"/>
    <w:rsid w:val="00276859"/>
    <w:rsid w:val="002768A0"/>
    <w:rsid w:val="0027711B"/>
    <w:rsid w:val="0028129F"/>
    <w:rsid w:val="00281304"/>
    <w:rsid w:val="0028372E"/>
    <w:rsid w:val="002844BD"/>
    <w:rsid w:val="0028523E"/>
    <w:rsid w:val="0028549B"/>
    <w:rsid w:val="00285FF0"/>
    <w:rsid w:val="00286A3E"/>
    <w:rsid w:val="00286A5E"/>
    <w:rsid w:val="00286CC0"/>
    <w:rsid w:val="00290D5C"/>
    <w:rsid w:val="00290D6F"/>
    <w:rsid w:val="00290E9B"/>
    <w:rsid w:val="00291C8D"/>
    <w:rsid w:val="00292B5E"/>
    <w:rsid w:val="00293667"/>
    <w:rsid w:val="00294FD0"/>
    <w:rsid w:val="00296613"/>
    <w:rsid w:val="00297BE8"/>
    <w:rsid w:val="002A17FD"/>
    <w:rsid w:val="002A18F7"/>
    <w:rsid w:val="002A1DCA"/>
    <w:rsid w:val="002A2136"/>
    <w:rsid w:val="002A34C4"/>
    <w:rsid w:val="002A40DC"/>
    <w:rsid w:val="002A4D8B"/>
    <w:rsid w:val="002A53E4"/>
    <w:rsid w:val="002A585B"/>
    <w:rsid w:val="002A7ADA"/>
    <w:rsid w:val="002B018B"/>
    <w:rsid w:val="002B0766"/>
    <w:rsid w:val="002B10F8"/>
    <w:rsid w:val="002B37F1"/>
    <w:rsid w:val="002B4E09"/>
    <w:rsid w:val="002B6B36"/>
    <w:rsid w:val="002B6D31"/>
    <w:rsid w:val="002B71A4"/>
    <w:rsid w:val="002C3DA0"/>
    <w:rsid w:val="002C5104"/>
    <w:rsid w:val="002C5CBC"/>
    <w:rsid w:val="002D12F3"/>
    <w:rsid w:val="002D3517"/>
    <w:rsid w:val="002D40D3"/>
    <w:rsid w:val="002D57BC"/>
    <w:rsid w:val="002E0444"/>
    <w:rsid w:val="002E0562"/>
    <w:rsid w:val="002E1395"/>
    <w:rsid w:val="002E1558"/>
    <w:rsid w:val="002E1C93"/>
    <w:rsid w:val="002E3EFC"/>
    <w:rsid w:val="002E5273"/>
    <w:rsid w:val="002E5960"/>
    <w:rsid w:val="002E5998"/>
    <w:rsid w:val="002E6A7B"/>
    <w:rsid w:val="002F0500"/>
    <w:rsid w:val="002F0576"/>
    <w:rsid w:val="002F09A2"/>
    <w:rsid w:val="002F1490"/>
    <w:rsid w:val="002F3BC1"/>
    <w:rsid w:val="002F3BEC"/>
    <w:rsid w:val="002F3CBA"/>
    <w:rsid w:val="002F4238"/>
    <w:rsid w:val="002F4C84"/>
    <w:rsid w:val="002F64E0"/>
    <w:rsid w:val="002F697B"/>
    <w:rsid w:val="002F69C9"/>
    <w:rsid w:val="003018FF"/>
    <w:rsid w:val="0030224B"/>
    <w:rsid w:val="00302DA7"/>
    <w:rsid w:val="00310E05"/>
    <w:rsid w:val="0031237E"/>
    <w:rsid w:val="00312C9B"/>
    <w:rsid w:val="0031388A"/>
    <w:rsid w:val="0031443E"/>
    <w:rsid w:val="00314E41"/>
    <w:rsid w:val="00316E09"/>
    <w:rsid w:val="00317C92"/>
    <w:rsid w:val="00317D54"/>
    <w:rsid w:val="00320BC4"/>
    <w:rsid w:val="00321B80"/>
    <w:rsid w:val="00322145"/>
    <w:rsid w:val="003226B4"/>
    <w:rsid w:val="00322A10"/>
    <w:rsid w:val="00322E5F"/>
    <w:rsid w:val="00324AA3"/>
    <w:rsid w:val="00325A02"/>
    <w:rsid w:val="00326B49"/>
    <w:rsid w:val="00327161"/>
    <w:rsid w:val="00327B8A"/>
    <w:rsid w:val="00330267"/>
    <w:rsid w:val="003312E2"/>
    <w:rsid w:val="00331897"/>
    <w:rsid w:val="00331FDB"/>
    <w:rsid w:val="00332007"/>
    <w:rsid w:val="00332370"/>
    <w:rsid w:val="00332541"/>
    <w:rsid w:val="003325B2"/>
    <w:rsid w:val="00333D87"/>
    <w:rsid w:val="003341FD"/>
    <w:rsid w:val="003346B2"/>
    <w:rsid w:val="00335149"/>
    <w:rsid w:val="00335387"/>
    <w:rsid w:val="00337741"/>
    <w:rsid w:val="00340E06"/>
    <w:rsid w:val="0034212C"/>
    <w:rsid w:val="00342355"/>
    <w:rsid w:val="00342BB2"/>
    <w:rsid w:val="00343D50"/>
    <w:rsid w:val="00345E0C"/>
    <w:rsid w:val="00346A02"/>
    <w:rsid w:val="0034702C"/>
    <w:rsid w:val="003473BB"/>
    <w:rsid w:val="003478AF"/>
    <w:rsid w:val="00347F1A"/>
    <w:rsid w:val="00351225"/>
    <w:rsid w:val="00351980"/>
    <w:rsid w:val="00351A6E"/>
    <w:rsid w:val="00352A6A"/>
    <w:rsid w:val="00353520"/>
    <w:rsid w:val="00355B42"/>
    <w:rsid w:val="00357631"/>
    <w:rsid w:val="003578F6"/>
    <w:rsid w:val="003605D6"/>
    <w:rsid w:val="00363115"/>
    <w:rsid w:val="0036397D"/>
    <w:rsid w:val="003673FA"/>
    <w:rsid w:val="00370E65"/>
    <w:rsid w:val="00371FD0"/>
    <w:rsid w:val="0037206C"/>
    <w:rsid w:val="003721D4"/>
    <w:rsid w:val="00372267"/>
    <w:rsid w:val="00372607"/>
    <w:rsid w:val="00372A87"/>
    <w:rsid w:val="00373695"/>
    <w:rsid w:val="00373FE3"/>
    <w:rsid w:val="00374241"/>
    <w:rsid w:val="00374651"/>
    <w:rsid w:val="00374EBA"/>
    <w:rsid w:val="00375678"/>
    <w:rsid w:val="0037643D"/>
    <w:rsid w:val="00376547"/>
    <w:rsid w:val="00376E7E"/>
    <w:rsid w:val="00377317"/>
    <w:rsid w:val="00377F79"/>
    <w:rsid w:val="0038061E"/>
    <w:rsid w:val="00380E1E"/>
    <w:rsid w:val="003819B7"/>
    <w:rsid w:val="003826CA"/>
    <w:rsid w:val="00384B77"/>
    <w:rsid w:val="00385439"/>
    <w:rsid w:val="00385E94"/>
    <w:rsid w:val="00386ABE"/>
    <w:rsid w:val="00386FB1"/>
    <w:rsid w:val="00390FE7"/>
    <w:rsid w:val="00391131"/>
    <w:rsid w:val="00392A0D"/>
    <w:rsid w:val="00393031"/>
    <w:rsid w:val="00396E11"/>
    <w:rsid w:val="003A159C"/>
    <w:rsid w:val="003A1646"/>
    <w:rsid w:val="003A407E"/>
    <w:rsid w:val="003A4909"/>
    <w:rsid w:val="003A4C03"/>
    <w:rsid w:val="003A4E06"/>
    <w:rsid w:val="003A555C"/>
    <w:rsid w:val="003A5E9F"/>
    <w:rsid w:val="003A622E"/>
    <w:rsid w:val="003A7DF1"/>
    <w:rsid w:val="003B11AD"/>
    <w:rsid w:val="003B15DE"/>
    <w:rsid w:val="003B162F"/>
    <w:rsid w:val="003B3945"/>
    <w:rsid w:val="003B5128"/>
    <w:rsid w:val="003B523E"/>
    <w:rsid w:val="003B5636"/>
    <w:rsid w:val="003B67B4"/>
    <w:rsid w:val="003B7B4D"/>
    <w:rsid w:val="003C026B"/>
    <w:rsid w:val="003C059F"/>
    <w:rsid w:val="003C06F4"/>
    <w:rsid w:val="003C0BE1"/>
    <w:rsid w:val="003C2570"/>
    <w:rsid w:val="003C2A02"/>
    <w:rsid w:val="003C7A86"/>
    <w:rsid w:val="003D0FB4"/>
    <w:rsid w:val="003D16E7"/>
    <w:rsid w:val="003D18CD"/>
    <w:rsid w:val="003D1C9C"/>
    <w:rsid w:val="003D737D"/>
    <w:rsid w:val="003E177D"/>
    <w:rsid w:val="003E2D9E"/>
    <w:rsid w:val="003E48DB"/>
    <w:rsid w:val="003E55B0"/>
    <w:rsid w:val="003E5C92"/>
    <w:rsid w:val="003E72D1"/>
    <w:rsid w:val="003F001F"/>
    <w:rsid w:val="003F1917"/>
    <w:rsid w:val="003F227C"/>
    <w:rsid w:val="003F33AC"/>
    <w:rsid w:val="003F3548"/>
    <w:rsid w:val="003F3A1B"/>
    <w:rsid w:val="003F3D8D"/>
    <w:rsid w:val="003F61D6"/>
    <w:rsid w:val="003F6313"/>
    <w:rsid w:val="003F7BA3"/>
    <w:rsid w:val="003F7D6B"/>
    <w:rsid w:val="004032EA"/>
    <w:rsid w:val="00405723"/>
    <w:rsid w:val="00405AB3"/>
    <w:rsid w:val="00406770"/>
    <w:rsid w:val="00406DBD"/>
    <w:rsid w:val="0040722C"/>
    <w:rsid w:val="00407981"/>
    <w:rsid w:val="00411686"/>
    <w:rsid w:val="00411E86"/>
    <w:rsid w:val="004128E2"/>
    <w:rsid w:val="004146B1"/>
    <w:rsid w:val="004163A4"/>
    <w:rsid w:val="00417128"/>
    <w:rsid w:val="004175A1"/>
    <w:rsid w:val="004178D3"/>
    <w:rsid w:val="00420128"/>
    <w:rsid w:val="00420980"/>
    <w:rsid w:val="00420B61"/>
    <w:rsid w:val="00421474"/>
    <w:rsid w:val="00422E01"/>
    <w:rsid w:val="0042357E"/>
    <w:rsid w:val="00426132"/>
    <w:rsid w:val="004274AF"/>
    <w:rsid w:val="00430D32"/>
    <w:rsid w:val="004312C9"/>
    <w:rsid w:val="00431A6D"/>
    <w:rsid w:val="00432ABE"/>
    <w:rsid w:val="00433174"/>
    <w:rsid w:val="00433F35"/>
    <w:rsid w:val="00434098"/>
    <w:rsid w:val="004355E0"/>
    <w:rsid w:val="00437A28"/>
    <w:rsid w:val="0044096F"/>
    <w:rsid w:val="00440B65"/>
    <w:rsid w:val="00442123"/>
    <w:rsid w:val="00444CB5"/>
    <w:rsid w:val="004451F5"/>
    <w:rsid w:val="0044592E"/>
    <w:rsid w:val="00446455"/>
    <w:rsid w:val="004471E4"/>
    <w:rsid w:val="0044730E"/>
    <w:rsid w:val="00452414"/>
    <w:rsid w:val="004539BB"/>
    <w:rsid w:val="00455D11"/>
    <w:rsid w:val="00456DFD"/>
    <w:rsid w:val="004575A4"/>
    <w:rsid w:val="00457930"/>
    <w:rsid w:val="00460D43"/>
    <w:rsid w:val="00461C14"/>
    <w:rsid w:val="00463114"/>
    <w:rsid w:val="00463637"/>
    <w:rsid w:val="00465F99"/>
    <w:rsid w:val="00467237"/>
    <w:rsid w:val="00467926"/>
    <w:rsid w:val="00467BDD"/>
    <w:rsid w:val="004700CE"/>
    <w:rsid w:val="00471692"/>
    <w:rsid w:val="00472FAC"/>
    <w:rsid w:val="004743D2"/>
    <w:rsid w:val="00474FFA"/>
    <w:rsid w:val="00480476"/>
    <w:rsid w:val="0048095C"/>
    <w:rsid w:val="004827F9"/>
    <w:rsid w:val="00482861"/>
    <w:rsid w:val="00482D82"/>
    <w:rsid w:val="00483135"/>
    <w:rsid w:val="00483270"/>
    <w:rsid w:val="004842C6"/>
    <w:rsid w:val="004844C4"/>
    <w:rsid w:val="004849A2"/>
    <w:rsid w:val="00484D4E"/>
    <w:rsid w:val="00485696"/>
    <w:rsid w:val="00485FC6"/>
    <w:rsid w:val="00486DA5"/>
    <w:rsid w:val="0049255F"/>
    <w:rsid w:val="00494A16"/>
    <w:rsid w:val="00495E0C"/>
    <w:rsid w:val="00496267"/>
    <w:rsid w:val="004963D2"/>
    <w:rsid w:val="00497337"/>
    <w:rsid w:val="004A0831"/>
    <w:rsid w:val="004A23C5"/>
    <w:rsid w:val="004A2CE9"/>
    <w:rsid w:val="004A4773"/>
    <w:rsid w:val="004A477B"/>
    <w:rsid w:val="004A6EE6"/>
    <w:rsid w:val="004A7BEF"/>
    <w:rsid w:val="004A7C21"/>
    <w:rsid w:val="004B0B37"/>
    <w:rsid w:val="004B0CA0"/>
    <w:rsid w:val="004B0EFC"/>
    <w:rsid w:val="004B11D5"/>
    <w:rsid w:val="004B1662"/>
    <w:rsid w:val="004B1AD5"/>
    <w:rsid w:val="004B217A"/>
    <w:rsid w:val="004B2D53"/>
    <w:rsid w:val="004B3A9B"/>
    <w:rsid w:val="004B48DB"/>
    <w:rsid w:val="004B5376"/>
    <w:rsid w:val="004B6FB0"/>
    <w:rsid w:val="004C13DE"/>
    <w:rsid w:val="004C39C1"/>
    <w:rsid w:val="004C3F78"/>
    <w:rsid w:val="004C45EA"/>
    <w:rsid w:val="004C45FD"/>
    <w:rsid w:val="004C5BC2"/>
    <w:rsid w:val="004C6E85"/>
    <w:rsid w:val="004C7504"/>
    <w:rsid w:val="004C76B3"/>
    <w:rsid w:val="004D1120"/>
    <w:rsid w:val="004D114E"/>
    <w:rsid w:val="004D2A43"/>
    <w:rsid w:val="004D320D"/>
    <w:rsid w:val="004D3D4B"/>
    <w:rsid w:val="004D3DCF"/>
    <w:rsid w:val="004D4386"/>
    <w:rsid w:val="004D5468"/>
    <w:rsid w:val="004D57A5"/>
    <w:rsid w:val="004D63EB"/>
    <w:rsid w:val="004D7C81"/>
    <w:rsid w:val="004E2F23"/>
    <w:rsid w:val="004E40E7"/>
    <w:rsid w:val="004E6872"/>
    <w:rsid w:val="004F03EE"/>
    <w:rsid w:val="004F059D"/>
    <w:rsid w:val="004F073E"/>
    <w:rsid w:val="004F07A8"/>
    <w:rsid w:val="004F1455"/>
    <w:rsid w:val="004F1CE9"/>
    <w:rsid w:val="004F2999"/>
    <w:rsid w:val="004F4B83"/>
    <w:rsid w:val="004F532B"/>
    <w:rsid w:val="004F7CAE"/>
    <w:rsid w:val="004F7F0F"/>
    <w:rsid w:val="00500E5B"/>
    <w:rsid w:val="00503F61"/>
    <w:rsid w:val="005056E9"/>
    <w:rsid w:val="00507BDF"/>
    <w:rsid w:val="00510F78"/>
    <w:rsid w:val="0051236F"/>
    <w:rsid w:val="005123C9"/>
    <w:rsid w:val="00512A0A"/>
    <w:rsid w:val="00512A0B"/>
    <w:rsid w:val="00512C99"/>
    <w:rsid w:val="00512FF7"/>
    <w:rsid w:val="0051580C"/>
    <w:rsid w:val="00515C94"/>
    <w:rsid w:val="00515FBD"/>
    <w:rsid w:val="00516A3E"/>
    <w:rsid w:val="00516C67"/>
    <w:rsid w:val="00517270"/>
    <w:rsid w:val="005203C3"/>
    <w:rsid w:val="00520857"/>
    <w:rsid w:val="00520944"/>
    <w:rsid w:val="00521C53"/>
    <w:rsid w:val="00523391"/>
    <w:rsid w:val="005243F0"/>
    <w:rsid w:val="00524B57"/>
    <w:rsid w:val="00525DF5"/>
    <w:rsid w:val="00526D82"/>
    <w:rsid w:val="00530235"/>
    <w:rsid w:val="00530C5A"/>
    <w:rsid w:val="005322B3"/>
    <w:rsid w:val="00534090"/>
    <w:rsid w:val="00536954"/>
    <w:rsid w:val="00540EE5"/>
    <w:rsid w:val="00541E75"/>
    <w:rsid w:val="00544403"/>
    <w:rsid w:val="00544A0D"/>
    <w:rsid w:val="00544F0B"/>
    <w:rsid w:val="00545305"/>
    <w:rsid w:val="00547211"/>
    <w:rsid w:val="00547B73"/>
    <w:rsid w:val="00551289"/>
    <w:rsid w:val="0055232D"/>
    <w:rsid w:val="00552B1A"/>
    <w:rsid w:val="00553F07"/>
    <w:rsid w:val="00554555"/>
    <w:rsid w:val="005548E3"/>
    <w:rsid w:val="00555680"/>
    <w:rsid w:val="00555C23"/>
    <w:rsid w:val="00556BF7"/>
    <w:rsid w:val="005571CF"/>
    <w:rsid w:val="00557463"/>
    <w:rsid w:val="00563140"/>
    <w:rsid w:val="00563E77"/>
    <w:rsid w:val="005660A2"/>
    <w:rsid w:val="005663DF"/>
    <w:rsid w:val="005666E6"/>
    <w:rsid w:val="005668E6"/>
    <w:rsid w:val="0056787C"/>
    <w:rsid w:val="005701F7"/>
    <w:rsid w:val="00570C53"/>
    <w:rsid w:val="00570D47"/>
    <w:rsid w:val="00570E4D"/>
    <w:rsid w:val="0057179C"/>
    <w:rsid w:val="00573014"/>
    <w:rsid w:val="00573F7A"/>
    <w:rsid w:val="00574C55"/>
    <w:rsid w:val="00574DBA"/>
    <w:rsid w:val="0057515D"/>
    <w:rsid w:val="005754CC"/>
    <w:rsid w:val="00576039"/>
    <w:rsid w:val="005777F9"/>
    <w:rsid w:val="00580EC7"/>
    <w:rsid w:val="00586591"/>
    <w:rsid w:val="00586ACC"/>
    <w:rsid w:val="00590CBB"/>
    <w:rsid w:val="00590ED6"/>
    <w:rsid w:val="00594B87"/>
    <w:rsid w:val="0059640A"/>
    <w:rsid w:val="005966C7"/>
    <w:rsid w:val="005A1601"/>
    <w:rsid w:val="005A187C"/>
    <w:rsid w:val="005A224E"/>
    <w:rsid w:val="005A2424"/>
    <w:rsid w:val="005A3A5A"/>
    <w:rsid w:val="005A49D7"/>
    <w:rsid w:val="005A4F10"/>
    <w:rsid w:val="005A6D00"/>
    <w:rsid w:val="005B232A"/>
    <w:rsid w:val="005B2A78"/>
    <w:rsid w:val="005B2D51"/>
    <w:rsid w:val="005B473D"/>
    <w:rsid w:val="005B503B"/>
    <w:rsid w:val="005B553F"/>
    <w:rsid w:val="005B6EED"/>
    <w:rsid w:val="005B6F3C"/>
    <w:rsid w:val="005B711E"/>
    <w:rsid w:val="005C0173"/>
    <w:rsid w:val="005C2031"/>
    <w:rsid w:val="005C2E33"/>
    <w:rsid w:val="005C6206"/>
    <w:rsid w:val="005C650C"/>
    <w:rsid w:val="005C6C72"/>
    <w:rsid w:val="005C75CD"/>
    <w:rsid w:val="005D15BC"/>
    <w:rsid w:val="005D2DCE"/>
    <w:rsid w:val="005D5E19"/>
    <w:rsid w:val="005D74ED"/>
    <w:rsid w:val="005D765B"/>
    <w:rsid w:val="005E0F0E"/>
    <w:rsid w:val="005E5D21"/>
    <w:rsid w:val="005E634F"/>
    <w:rsid w:val="005E7E0D"/>
    <w:rsid w:val="005F03D2"/>
    <w:rsid w:val="005F0AFE"/>
    <w:rsid w:val="005F14F9"/>
    <w:rsid w:val="005F17D6"/>
    <w:rsid w:val="005F1933"/>
    <w:rsid w:val="005F3F25"/>
    <w:rsid w:val="005F54FD"/>
    <w:rsid w:val="005F5B8B"/>
    <w:rsid w:val="005F793A"/>
    <w:rsid w:val="00601D6B"/>
    <w:rsid w:val="00601EF0"/>
    <w:rsid w:val="006028BC"/>
    <w:rsid w:val="00602BCF"/>
    <w:rsid w:val="00603510"/>
    <w:rsid w:val="006040AD"/>
    <w:rsid w:val="00604D48"/>
    <w:rsid w:val="00604F1D"/>
    <w:rsid w:val="0060514B"/>
    <w:rsid w:val="00606E23"/>
    <w:rsid w:val="00611D2C"/>
    <w:rsid w:val="00611D3F"/>
    <w:rsid w:val="00612469"/>
    <w:rsid w:val="006127FD"/>
    <w:rsid w:val="00613313"/>
    <w:rsid w:val="00614273"/>
    <w:rsid w:val="00614E50"/>
    <w:rsid w:val="0061602D"/>
    <w:rsid w:val="00617FA3"/>
    <w:rsid w:val="006203A4"/>
    <w:rsid w:val="00621293"/>
    <w:rsid w:val="00621DAF"/>
    <w:rsid w:val="00625A30"/>
    <w:rsid w:val="006261F8"/>
    <w:rsid w:val="0062682C"/>
    <w:rsid w:val="00627274"/>
    <w:rsid w:val="00630F6D"/>
    <w:rsid w:val="0063128D"/>
    <w:rsid w:val="006325F6"/>
    <w:rsid w:val="006332D4"/>
    <w:rsid w:val="00634109"/>
    <w:rsid w:val="00634158"/>
    <w:rsid w:val="00634727"/>
    <w:rsid w:val="00635B23"/>
    <w:rsid w:val="00636C8A"/>
    <w:rsid w:val="00637B85"/>
    <w:rsid w:val="0064077F"/>
    <w:rsid w:val="00641903"/>
    <w:rsid w:val="00642EB5"/>
    <w:rsid w:val="00642F7D"/>
    <w:rsid w:val="00644062"/>
    <w:rsid w:val="006443AE"/>
    <w:rsid w:val="0064471F"/>
    <w:rsid w:val="00644EA6"/>
    <w:rsid w:val="00646469"/>
    <w:rsid w:val="006467C1"/>
    <w:rsid w:val="006504A8"/>
    <w:rsid w:val="00650FF1"/>
    <w:rsid w:val="00652896"/>
    <w:rsid w:val="0065526E"/>
    <w:rsid w:val="00655653"/>
    <w:rsid w:val="00656408"/>
    <w:rsid w:val="00657DBD"/>
    <w:rsid w:val="0066029B"/>
    <w:rsid w:val="00660EE3"/>
    <w:rsid w:val="006615FF"/>
    <w:rsid w:val="00662892"/>
    <w:rsid w:val="0066425D"/>
    <w:rsid w:val="006648F7"/>
    <w:rsid w:val="006649E0"/>
    <w:rsid w:val="00666286"/>
    <w:rsid w:val="00667316"/>
    <w:rsid w:val="00670146"/>
    <w:rsid w:val="0067092E"/>
    <w:rsid w:val="00670D15"/>
    <w:rsid w:val="006712DE"/>
    <w:rsid w:val="00671DA4"/>
    <w:rsid w:val="006728CD"/>
    <w:rsid w:val="00672C32"/>
    <w:rsid w:val="0067354C"/>
    <w:rsid w:val="00673C35"/>
    <w:rsid w:val="00675579"/>
    <w:rsid w:val="006758CC"/>
    <w:rsid w:val="00675981"/>
    <w:rsid w:val="00675D57"/>
    <w:rsid w:val="00677851"/>
    <w:rsid w:val="006847E5"/>
    <w:rsid w:val="006850CF"/>
    <w:rsid w:val="00685A38"/>
    <w:rsid w:val="00685F93"/>
    <w:rsid w:val="00687350"/>
    <w:rsid w:val="0068738F"/>
    <w:rsid w:val="006876EA"/>
    <w:rsid w:val="00687F11"/>
    <w:rsid w:val="00691809"/>
    <w:rsid w:val="00692A6B"/>
    <w:rsid w:val="006933A9"/>
    <w:rsid w:val="0069374A"/>
    <w:rsid w:val="0069426C"/>
    <w:rsid w:val="00696452"/>
    <w:rsid w:val="00697435"/>
    <w:rsid w:val="006A063E"/>
    <w:rsid w:val="006A0B5A"/>
    <w:rsid w:val="006A1B8D"/>
    <w:rsid w:val="006A50F2"/>
    <w:rsid w:val="006A5226"/>
    <w:rsid w:val="006A5324"/>
    <w:rsid w:val="006A5D87"/>
    <w:rsid w:val="006A7009"/>
    <w:rsid w:val="006B034A"/>
    <w:rsid w:val="006B0CFF"/>
    <w:rsid w:val="006B1066"/>
    <w:rsid w:val="006B179A"/>
    <w:rsid w:val="006B23BB"/>
    <w:rsid w:val="006B269D"/>
    <w:rsid w:val="006B2794"/>
    <w:rsid w:val="006B283D"/>
    <w:rsid w:val="006B28A7"/>
    <w:rsid w:val="006B406A"/>
    <w:rsid w:val="006B4AD3"/>
    <w:rsid w:val="006B4E8D"/>
    <w:rsid w:val="006B59EC"/>
    <w:rsid w:val="006B5DE4"/>
    <w:rsid w:val="006B708B"/>
    <w:rsid w:val="006B7D2E"/>
    <w:rsid w:val="006B7EF6"/>
    <w:rsid w:val="006C0338"/>
    <w:rsid w:val="006C17AD"/>
    <w:rsid w:val="006C35A1"/>
    <w:rsid w:val="006C42F3"/>
    <w:rsid w:val="006C4476"/>
    <w:rsid w:val="006C4E69"/>
    <w:rsid w:val="006C53F2"/>
    <w:rsid w:val="006C6228"/>
    <w:rsid w:val="006C67DB"/>
    <w:rsid w:val="006C7C1D"/>
    <w:rsid w:val="006C7FB7"/>
    <w:rsid w:val="006D051C"/>
    <w:rsid w:val="006D326B"/>
    <w:rsid w:val="006D3F66"/>
    <w:rsid w:val="006D46F2"/>
    <w:rsid w:val="006D7831"/>
    <w:rsid w:val="006E3666"/>
    <w:rsid w:val="006E4F5B"/>
    <w:rsid w:val="006E51D1"/>
    <w:rsid w:val="006E5D18"/>
    <w:rsid w:val="006E6CA7"/>
    <w:rsid w:val="006E778E"/>
    <w:rsid w:val="006E78DF"/>
    <w:rsid w:val="006E78E5"/>
    <w:rsid w:val="006F0918"/>
    <w:rsid w:val="006F0A66"/>
    <w:rsid w:val="006F0CEE"/>
    <w:rsid w:val="006F2575"/>
    <w:rsid w:val="006F2829"/>
    <w:rsid w:val="006F2933"/>
    <w:rsid w:val="006F408E"/>
    <w:rsid w:val="006F437F"/>
    <w:rsid w:val="006F67CE"/>
    <w:rsid w:val="006F6D93"/>
    <w:rsid w:val="006F6E57"/>
    <w:rsid w:val="006F73A5"/>
    <w:rsid w:val="006F7A2D"/>
    <w:rsid w:val="006F7D7B"/>
    <w:rsid w:val="00704F21"/>
    <w:rsid w:val="00706179"/>
    <w:rsid w:val="0070786B"/>
    <w:rsid w:val="0070787A"/>
    <w:rsid w:val="00707FAB"/>
    <w:rsid w:val="0071008E"/>
    <w:rsid w:val="00710DA2"/>
    <w:rsid w:val="00712010"/>
    <w:rsid w:val="0071306D"/>
    <w:rsid w:val="00713B8F"/>
    <w:rsid w:val="00714590"/>
    <w:rsid w:val="0071564B"/>
    <w:rsid w:val="007160B8"/>
    <w:rsid w:val="007175C5"/>
    <w:rsid w:val="007177D3"/>
    <w:rsid w:val="00717AC5"/>
    <w:rsid w:val="00721603"/>
    <w:rsid w:val="007219D4"/>
    <w:rsid w:val="007228B9"/>
    <w:rsid w:val="00722DC3"/>
    <w:rsid w:val="00723447"/>
    <w:rsid w:val="0072418C"/>
    <w:rsid w:val="007241CE"/>
    <w:rsid w:val="007244B2"/>
    <w:rsid w:val="0072719E"/>
    <w:rsid w:val="00730D1D"/>
    <w:rsid w:val="007326F8"/>
    <w:rsid w:val="00733286"/>
    <w:rsid w:val="0073359D"/>
    <w:rsid w:val="00734FC8"/>
    <w:rsid w:val="00735419"/>
    <w:rsid w:val="00735875"/>
    <w:rsid w:val="00736953"/>
    <w:rsid w:val="007372EB"/>
    <w:rsid w:val="00737E04"/>
    <w:rsid w:val="00740808"/>
    <w:rsid w:val="007427AF"/>
    <w:rsid w:val="007430E9"/>
    <w:rsid w:val="00743908"/>
    <w:rsid w:val="00743B83"/>
    <w:rsid w:val="007443EF"/>
    <w:rsid w:val="00744732"/>
    <w:rsid w:val="00744F20"/>
    <w:rsid w:val="00745388"/>
    <w:rsid w:val="007455E6"/>
    <w:rsid w:val="007456F8"/>
    <w:rsid w:val="00745AFD"/>
    <w:rsid w:val="0074707D"/>
    <w:rsid w:val="00747976"/>
    <w:rsid w:val="007501A1"/>
    <w:rsid w:val="00751041"/>
    <w:rsid w:val="00754264"/>
    <w:rsid w:val="007559D0"/>
    <w:rsid w:val="00756E12"/>
    <w:rsid w:val="0075712B"/>
    <w:rsid w:val="00760BBE"/>
    <w:rsid w:val="00760D9A"/>
    <w:rsid w:val="007623F2"/>
    <w:rsid w:val="00762451"/>
    <w:rsid w:val="007639B6"/>
    <w:rsid w:val="00765895"/>
    <w:rsid w:val="00767688"/>
    <w:rsid w:val="0077153A"/>
    <w:rsid w:val="00771DAC"/>
    <w:rsid w:val="0077258C"/>
    <w:rsid w:val="00773291"/>
    <w:rsid w:val="0077409C"/>
    <w:rsid w:val="00774B3B"/>
    <w:rsid w:val="00775F49"/>
    <w:rsid w:val="00776281"/>
    <w:rsid w:val="00777070"/>
    <w:rsid w:val="007772AC"/>
    <w:rsid w:val="00777544"/>
    <w:rsid w:val="00777897"/>
    <w:rsid w:val="00780E88"/>
    <w:rsid w:val="00781447"/>
    <w:rsid w:val="00781E88"/>
    <w:rsid w:val="00783BEA"/>
    <w:rsid w:val="00784D4D"/>
    <w:rsid w:val="00787D62"/>
    <w:rsid w:val="007918A3"/>
    <w:rsid w:val="007919C0"/>
    <w:rsid w:val="00791FE3"/>
    <w:rsid w:val="00792125"/>
    <w:rsid w:val="0079272B"/>
    <w:rsid w:val="007937B0"/>
    <w:rsid w:val="0079625A"/>
    <w:rsid w:val="00796C93"/>
    <w:rsid w:val="00796F5A"/>
    <w:rsid w:val="00797F91"/>
    <w:rsid w:val="007A0878"/>
    <w:rsid w:val="007A1C14"/>
    <w:rsid w:val="007A38C1"/>
    <w:rsid w:val="007A5462"/>
    <w:rsid w:val="007A748B"/>
    <w:rsid w:val="007B09C8"/>
    <w:rsid w:val="007B1873"/>
    <w:rsid w:val="007B1F96"/>
    <w:rsid w:val="007B1FD9"/>
    <w:rsid w:val="007B2ACA"/>
    <w:rsid w:val="007B3B15"/>
    <w:rsid w:val="007B3E9E"/>
    <w:rsid w:val="007B5A00"/>
    <w:rsid w:val="007B63B8"/>
    <w:rsid w:val="007B6F82"/>
    <w:rsid w:val="007B7897"/>
    <w:rsid w:val="007B7AC7"/>
    <w:rsid w:val="007C16E5"/>
    <w:rsid w:val="007C1B8B"/>
    <w:rsid w:val="007C48B2"/>
    <w:rsid w:val="007C719E"/>
    <w:rsid w:val="007C7385"/>
    <w:rsid w:val="007C7CF8"/>
    <w:rsid w:val="007D0617"/>
    <w:rsid w:val="007D1639"/>
    <w:rsid w:val="007D2BA2"/>
    <w:rsid w:val="007D42E7"/>
    <w:rsid w:val="007D5091"/>
    <w:rsid w:val="007D50D5"/>
    <w:rsid w:val="007D55AF"/>
    <w:rsid w:val="007D5E18"/>
    <w:rsid w:val="007D6B68"/>
    <w:rsid w:val="007D6E0D"/>
    <w:rsid w:val="007D779F"/>
    <w:rsid w:val="007E0915"/>
    <w:rsid w:val="007E0A7B"/>
    <w:rsid w:val="007E12C9"/>
    <w:rsid w:val="007E2088"/>
    <w:rsid w:val="007E4A5E"/>
    <w:rsid w:val="007E4B75"/>
    <w:rsid w:val="007E4C23"/>
    <w:rsid w:val="007E51BF"/>
    <w:rsid w:val="007E59B2"/>
    <w:rsid w:val="007E6DB3"/>
    <w:rsid w:val="007E7149"/>
    <w:rsid w:val="007E75F5"/>
    <w:rsid w:val="007F062D"/>
    <w:rsid w:val="007F0AEC"/>
    <w:rsid w:val="007F139E"/>
    <w:rsid w:val="007F18B0"/>
    <w:rsid w:val="007F1A0C"/>
    <w:rsid w:val="007F21EE"/>
    <w:rsid w:val="007F3541"/>
    <w:rsid w:val="007F59BE"/>
    <w:rsid w:val="007F692F"/>
    <w:rsid w:val="00800F7E"/>
    <w:rsid w:val="008014D3"/>
    <w:rsid w:val="0080191A"/>
    <w:rsid w:val="00804EE4"/>
    <w:rsid w:val="00805025"/>
    <w:rsid w:val="0080533E"/>
    <w:rsid w:val="008067BF"/>
    <w:rsid w:val="0080714A"/>
    <w:rsid w:val="00810516"/>
    <w:rsid w:val="00810751"/>
    <w:rsid w:val="00811487"/>
    <w:rsid w:val="00812A1C"/>
    <w:rsid w:val="0081734F"/>
    <w:rsid w:val="008174E0"/>
    <w:rsid w:val="0082004A"/>
    <w:rsid w:val="00820B67"/>
    <w:rsid w:val="00823511"/>
    <w:rsid w:val="00823882"/>
    <w:rsid w:val="00824C60"/>
    <w:rsid w:val="00825525"/>
    <w:rsid w:val="008258F0"/>
    <w:rsid w:val="00825991"/>
    <w:rsid w:val="00825B5C"/>
    <w:rsid w:val="00825B9D"/>
    <w:rsid w:val="008262C0"/>
    <w:rsid w:val="0082662B"/>
    <w:rsid w:val="0083047E"/>
    <w:rsid w:val="008320AD"/>
    <w:rsid w:val="0083294B"/>
    <w:rsid w:val="00832DFC"/>
    <w:rsid w:val="0083460B"/>
    <w:rsid w:val="008346AA"/>
    <w:rsid w:val="00836D6A"/>
    <w:rsid w:val="008371FC"/>
    <w:rsid w:val="00837F8D"/>
    <w:rsid w:val="00840CD9"/>
    <w:rsid w:val="008414A2"/>
    <w:rsid w:val="008415F0"/>
    <w:rsid w:val="00842428"/>
    <w:rsid w:val="00842A7E"/>
    <w:rsid w:val="00843AF6"/>
    <w:rsid w:val="00844A2D"/>
    <w:rsid w:val="0084546E"/>
    <w:rsid w:val="0084680E"/>
    <w:rsid w:val="00847871"/>
    <w:rsid w:val="00850BDB"/>
    <w:rsid w:val="00850CEC"/>
    <w:rsid w:val="008526CB"/>
    <w:rsid w:val="0086033D"/>
    <w:rsid w:val="008610CA"/>
    <w:rsid w:val="008611A2"/>
    <w:rsid w:val="008616BF"/>
    <w:rsid w:val="00861CC2"/>
    <w:rsid w:val="00862620"/>
    <w:rsid w:val="008627DC"/>
    <w:rsid w:val="00863832"/>
    <w:rsid w:val="00866874"/>
    <w:rsid w:val="0086724F"/>
    <w:rsid w:val="00867BE6"/>
    <w:rsid w:val="00867C1D"/>
    <w:rsid w:val="008709FA"/>
    <w:rsid w:val="00870A6C"/>
    <w:rsid w:val="00870EA7"/>
    <w:rsid w:val="008723A7"/>
    <w:rsid w:val="00873890"/>
    <w:rsid w:val="00876BAC"/>
    <w:rsid w:val="0088042E"/>
    <w:rsid w:val="00882ECF"/>
    <w:rsid w:val="008831D5"/>
    <w:rsid w:val="008839A7"/>
    <w:rsid w:val="008840B5"/>
    <w:rsid w:val="00885228"/>
    <w:rsid w:val="008853CB"/>
    <w:rsid w:val="00886896"/>
    <w:rsid w:val="00886DC2"/>
    <w:rsid w:val="00886F63"/>
    <w:rsid w:val="00887B2B"/>
    <w:rsid w:val="00890AB2"/>
    <w:rsid w:val="00892B6C"/>
    <w:rsid w:val="00892FF3"/>
    <w:rsid w:val="00893596"/>
    <w:rsid w:val="008943C0"/>
    <w:rsid w:val="0089601F"/>
    <w:rsid w:val="008A0C5E"/>
    <w:rsid w:val="008A4679"/>
    <w:rsid w:val="008A4BE7"/>
    <w:rsid w:val="008A4D29"/>
    <w:rsid w:val="008A5F53"/>
    <w:rsid w:val="008A783F"/>
    <w:rsid w:val="008A7A61"/>
    <w:rsid w:val="008B0A5D"/>
    <w:rsid w:val="008B119F"/>
    <w:rsid w:val="008B1504"/>
    <w:rsid w:val="008B1C16"/>
    <w:rsid w:val="008B393A"/>
    <w:rsid w:val="008B50A8"/>
    <w:rsid w:val="008B6E3F"/>
    <w:rsid w:val="008B7442"/>
    <w:rsid w:val="008B7520"/>
    <w:rsid w:val="008C0E4F"/>
    <w:rsid w:val="008C166E"/>
    <w:rsid w:val="008C31D2"/>
    <w:rsid w:val="008C336E"/>
    <w:rsid w:val="008C3FF7"/>
    <w:rsid w:val="008C4C71"/>
    <w:rsid w:val="008C590D"/>
    <w:rsid w:val="008C7BDC"/>
    <w:rsid w:val="008D0EBD"/>
    <w:rsid w:val="008D1260"/>
    <w:rsid w:val="008D1493"/>
    <w:rsid w:val="008D296E"/>
    <w:rsid w:val="008D3625"/>
    <w:rsid w:val="008D5BCF"/>
    <w:rsid w:val="008D6FE3"/>
    <w:rsid w:val="008D77E9"/>
    <w:rsid w:val="008E0A76"/>
    <w:rsid w:val="008E46D0"/>
    <w:rsid w:val="008E55DB"/>
    <w:rsid w:val="008F1443"/>
    <w:rsid w:val="008F25AC"/>
    <w:rsid w:val="008F2CB4"/>
    <w:rsid w:val="008F40D3"/>
    <w:rsid w:val="008F4DA5"/>
    <w:rsid w:val="008F6175"/>
    <w:rsid w:val="008F61AB"/>
    <w:rsid w:val="008F7319"/>
    <w:rsid w:val="00900F78"/>
    <w:rsid w:val="009013FF"/>
    <w:rsid w:val="0090355E"/>
    <w:rsid w:val="00904905"/>
    <w:rsid w:val="009053DB"/>
    <w:rsid w:val="009054CF"/>
    <w:rsid w:val="00905F42"/>
    <w:rsid w:val="00906341"/>
    <w:rsid w:val="009069DF"/>
    <w:rsid w:val="00906D73"/>
    <w:rsid w:val="00906E6C"/>
    <w:rsid w:val="00907B62"/>
    <w:rsid w:val="009122E3"/>
    <w:rsid w:val="00913C3C"/>
    <w:rsid w:val="00913CB7"/>
    <w:rsid w:val="009142AE"/>
    <w:rsid w:val="009144A2"/>
    <w:rsid w:val="0091610F"/>
    <w:rsid w:val="00916DFE"/>
    <w:rsid w:val="009175BF"/>
    <w:rsid w:val="00921566"/>
    <w:rsid w:val="00922E3D"/>
    <w:rsid w:val="00923DE8"/>
    <w:rsid w:val="00926A9D"/>
    <w:rsid w:val="00927B15"/>
    <w:rsid w:val="0093034C"/>
    <w:rsid w:val="009308AD"/>
    <w:rsid w:val="009310D4"/>
    <w:rsid w:val="00931B8A"/>
    <w:rsid w:val="0093211C"/>
    <w:rsid w:val="009323C3"/>
    <w:rsid w:val="009324E4"/>
    <w:rsid w:val="00932DB4"/>
    <w:rsid w:val="00932EE0"/>
    <w:rsid w:val="00935321"/>
    <w:rsid w:val="0093541E"/>
    <w:rsid w:val="009364FA"/>
    <w:rsid w:val="009368AB"/>
    <w:rsid w:val="009369E4"/>
    <w:rsid w:val="00940CCE"/>
    <w:rsid w:val="00941FF0"/>
    <w:rsid w:val="009428F2"/>
    <w:rsid w:val="00944C48"/>
    <w:rsid w:val="0094691E"/>
    <w:rsid w:val="00946BBA"/>
    <w:rsid w:val="0094721C"/>
    <w:rsid w:val="00950110"/>
    <w:rsid w:val="009521A2"/>
    <w:rsid w:val="00953AF8"/>
    <w:rsid w:val="00953BD8"/>
    <w:rsid w:val="00953D66"/>
    <w:rsid w:val="009546CE"/>
    <w:rsid w:val="009548A1"/>
    <w:rsid w:val="00955AE5"/>
    <w:rsid w:val="00956187"/>
    <w:rsid w:val="009577EA"/>
    <w:rsid w:val="009578D9"/>
    <w:rsid w:val="009615C5"/>
    <w:rsid w:val="00961BA8"/>
    <w:rsid w:val="0096286D"/>
    <w:rsid w:val="009639A0"/>
    <w:rsid w:val="00964E71"/>
    <w:rsid w:val="00965D57"/>
    <w:rsid w:val="009709AE"/>
    <w:rsid w:val="00971918"/>
    <w:rsid w:val="00971B2B"/>
    <w:rsid w:val="009735A7"/>
    <w:rsid w:val="00974B9D"/>
    <w:rsid w:val="00975BC2"/>
    <w:rsid w:val="00976709"/>
    <w:rsid w:val="0097673E"/>
    <w:rsid w:val="00976B7B"/>
    <w:rsid w:val="0097715C"/>
    <w:rsid w:val="009809A8"/>
    <w:rsid w:val="00980F7F"/>
    <w:rsid w:val="009811F7"/>
    <w:rsid w:val="00981995"/>
    <w:rsid w:val="00981E2E"/>
    <w:rsid w:val="00982022"/>
    <w:rsid w:val="009827A0"/>
    <w:rsid w:val="00983728"/>
    <w:rsid w:val="00983FA5"/>
    <w:rsid w:val="009842A2"/>
    <w:rsid w:val="00986AEB"/>
    <w:rsid w:val="009919DA"/>
    <w:rsid w:val="00991E86"/>
    <w:rsid w:val="00991F0C"/>
    <w:rsid w:val="00992110"/>
    <w:rsid w:val="00992414"/>
    <w:rsid w:val="00993E15"/>
    <w:rsid w:val="00994B28"/>
    <w:rsid w:val="00994D64"/>
    <w:rsid w:val="00995538"/>
    <w:rsid w:val="00996C4F"/>
    <w:rsid w:val="00996E86"/>
    <w:rsid w:val="00997125"/>
    <w:rsid w:val="009A03BF"/>
    <w:rsid w:val="009A03EB"/>
    <w:rsid w:val="009A151F"/>
    <w:rsid w:val="009A1E34"/>
    <w:rsid w:val="009A2432"/>
    <w:rsid w:val="009A3857"/>
    <w:rsid w:val="009A421C"/>
    <w:rsid w:val="009A4E88"/>
    <w:rsid w:val="009A5688"/>
    <w:rsid w:val="009A60E3"/>
    <w:rsid w:val="009A63FD"/>
    <w:rsid w:val="009A67EB"/>
    <w:rsid w:val="009A6ED9"/>
    <w:rsid w:val="009B0F57"/>
    <w:rsid w:val="009B19EB"/>
    <w:rsid w:val="009B2654"/>
    <w:rsid w:val="009B3718"/>
    <w:rsid w:val="009B4A3B"/>
    <w:rsid w:val="009B60C3"/>
    <w:rsid w:val="009B6490"/>
    <w:rsid w:val="009B6B49"/>
    <w:rsid w:val="009B7620"/>
    <w:rsid w:val="009C01AF"/>
    <w:rsid w:val="009C02FD"/>
    <w:rsid w:val="009C1A6B"/>
    <w:rsid w:val="009C250A"/>
    <w:rsid w:val="009C274E"/>
    <w:rsid w:val="009C39C9"/>
    <w:rsid w:val="009C4F20"/>
    <w:rsid w:val="009C5AD4"/>
    <w:rsid w:val="009C7483"/>
    <w:rsid w:val="009C7685"/>
    <w:rsid w:val="009D0555"/>
    <w:rsid w:val="009D08A2"/>
    <w:rsid w:val="009D105C"/>
    <w:rsid w:val="009D1260"/>
    <w:rsid w:val="009D1B87"/>
    <w:rsid w:val="009D2A4F"/>
    <w:rsid w:val="009D4B47"/>
    <w:rsid w:val="009D5A58"/>
    <w:rsid w:val="009D71FB"/>
    <w:rsid w:val="009D74A2"/>
    <w:rsid w:val="009E05D3"/>
    <w:rsid w:val="009E1207"/>
    <w:rsid w:val="009E2D74"/>
    <w:rsid w:val="009E3213"/>
    <w:rsid w:val="009E38C2"/>
    <w:rsid w:val="009E4A41"/>
    <w:rsid w:val="009E4A82"/>
    <w:rsid w:val="009E5937"/>
    <w:rsid w:val="009E6DF5"/>
    <w:rsid w:val="009E78E7"/>
    <w:rsid w:val="009F04E0"/>
    <w:rsid w:val="009F1ABB"/>
    <w:rsid w:val="009F225F"/>
    <w:rsid w:val="009F27D5"/>
    <w:rsid w:val="009F29B8"/>
    <w:rsid w:val="009F361D"/>
    <w:rsid w:val="009F3F47"/>
    <w:rsid w:val="009F5555"/>
    <w:rsid w:val="009F7046"/>
    <w:rsid w:val="009F774C"/>
    <w:rsid w:val="009F794D"/>
    <w:rsid w:val="009F7E80"/>
    <w:rsid w:val="00A01B4D"/>
    <w:rsid w:val="00A0202D"/>
    <w:rsid w:val="00A02D4C"/>
    <w:rsid w:val="00A055F8"/>
    <w:rsid w:val="00A05E85"/>
    <w:rsid w:val="00A05EC5"/>
    <w:rsid w:val="00A06234"/>
    <w:rsid w:val="00A12158"/>
    <w:rsid w:val="00A1319F"/>
    <w:rsid w:val="00A1380D"/>
    <w:rsid w:val="00A14C4E"/>
    <w:rsid w:val="00A15187"/>
    <w:rsid w:val="00A20F78"/>
    <w:rsid w:val="00A21B89"/>
    <w:rsid w:val="00A220D1"/>
    <w:rsid w:val="00A230EB"/>
    <w:rsid w:val="00A2326A"/>
    <w:rsid w:val="00A24246"/>
    <w:rsid w:val="00A24D62"/>
    <w:rsid w:val="00A270E5"/>
    <w:rsid w:val="00A274BF"/>
    <w:rsid w:val="00A278FF"/>
    <w:rsid w:val="00A30E52"/>
    <w:rsid w:val="00A31571"/>
    <w:rsid w:val="00A3274B"/>
    <w:rsid w:val="00A331B9"/>
    <w:rsid w:val="00A33986"/>
    <w:rsid w:val="00A356A0"/>
    <w:rsid w:val="00A36FB5"/>
    <w:rsid w:val="00A373FB"/>
    <w:rsid w:val="00A42C4F"/>
    <w:rsid w:val="00A42D82"/>
    <w:rsid w:val="00A43D6B"/>
    <w:rsid w:val="00A43FAC"/>
    <w:rsid w:val="00A446A4"/>
    <w:rsid w:val="00A4704E"/>
    <w:rsid w:val="00A50BF3"/>
    <w:rsid w:val="00A527ED"/>
    <w:rsid w:val="00A53D21"/>
    <w:rsid w:val="00A5472D"/>
    <w:rsid w:val="00A54B35"/>
    <w:rsid w:val="00A55324"/>
    <w:rsid w:val="00A555E3"/>
    <w:rsid w:val="00A568A7"/>
    <w:rsid w:val="00A57086"/>
    <w:rsid w:val="00A573B3"/>
    <w:rsid w:val="00A60A6D"/>
    <w:rsid w:val="00A61409"/>
    <w:rsid w:val="00A614D1"/>
    <w:rsid w:val="00A620EF"/>
    <w:rsid w:val="00A62D20"/>
    <w:rsid w:val="00A63A89"/>
    <w:rsid w:val="00A665C9"/>
    <w:rsid w:val="00A665F3"/>
    <w:rsid w:val="00A66C34"/>
    <w:rsid w:val="00A676DF"/>
    <w:rsid w:val="00A700F8"/>
    <w:rsid w:val="00A70456"/>
    <w:rsid w:val="00A7069A"/>
    <w:rsid w:val="00A70D2D"/>
    <w:rsid w:val="00A71AB1"/>
    <w:rsid w:val="00A71BCB"/>
    <w:rsid w:val="00A7283A"/>
    <w:rsid w:val="00A7338F"/>
    <w:rsid w:val="00A746A5"/>
    <w:rsid w:val="00A74F30"/>
    <w:rsid w:val="00A7693A"/>
    <w:rsid w:val="00A7701C"/>
    <w:rsid w:val="00A770C2"/>
    <w:rsid w:val="00A77969"/>
    <w:rsid w:val="00A77A45"/>
    <w:rsid w:val="00A803E2"/>
    <w:rsid w:val="00A8119B"/>
    <w:rsid w:val="00A816C0"/>
    <w:rsid w:val="00A8269B"/>
    <w:rsid w:val="00A82C61"/>
    <w:rsid w:val="00A83913"/>
    <w:rsid w:val="00A850EE"/>
    <w:rsid w:val="00A857AB"/>
    <w:rsid w:val="00A85AD7"/>
    <w:rsid w:val="00A85B79"/>
    <w:rsid w:val="00A86DBB"/>
    <w:rsid w:val="00A87881"/>
    <w:rsid w:val="00A87F73"/>
    <w:rsid w:val="00A90473"/>
    <w:rsid w:val="00A90ED6"/>
    <w:rsid w:val="00A92569"/>
    <w:rsid w:val="00A92940"/>
    <w:rsid w:val="00A92CC5"/>
    <w:rsid w:val="00A92D38"/>
    <w:rsid w:val="00A93929"/>
    <w:rsid w:val="00A957FF"/>
    <w:rsid w:val="00A97B0A"/>
    <w:rsid w:val="00AA046D"/>
    <w:rsid w:val="00AA098B"/>
    <w:rsid w:val="00AA1601"/>
    <w:rsid w:val="00AA3243"/>
    <w:rsid w:val="00AA3A6C"/>
    <w:rsid w:val="00AA3AD6"/>
    <w:rsid w:val="00AA425B"/>
    <w:rsid w:val="00AA468E"/>
    <w:rsid w:val="00AA4B87"/>
    <w:rsid w:val="00AA53F8"/>
    <w:rsid w:val="00AA630D"/>
    <w:rsid w:val="00AA673B"/>
    <w:rsid w:val="00AA67E7"/>
    <w:rsid w:val="00AA7903"/>
    <w:rsid w:val="00AB2F5C"/>
    <w:rsid w:val="00AB36F0"/>
    <w:rsid w:val="00AB3F06"/>
    <w:rsid w:val="00AB4709"/>
    <w:rsid w:val="00AB7EA7"/>
    <w:rsid w:val="00AC00B7"/>
    <w:rsid w:val="00AC0363"/>
    <w:rsid w:val="00AC0463"/>
    <w:rsid w:val="00AC0803"/>
    <w:rsid w:val="00AC2DC6"/>
    <w:rsid w:val="00AC3F8B"/>
    <w:rsid w:val="00AC4765"/>
    <w:rsid w:val="00AC5280"/>
    <w:rsid w:val="00AD02CF"/>
    <w:rsid w:val="00AD0361"/>
    <w:rsid w:val="00AD069C"/>
    <w:rsid w:val="00AD088A"/>
    <w:rsid w:val="00AD0F3B"/>
    <w:rsid w:val="00AD1297"/>
    <w:rsid w:val="00AD4135"/>
    <w:rsid w:val="00AD6010"/>
    <w:rsid w:val="00AD6223"/>
    <w:rsid w:val="00AD6892"/>
    <w:rsid w:val="00AD767A"/>
    <w:rsid w:val="00AD7CEB"/>
    <w:rsid w:val="00AE1588"/>
    <w:rsid w:val="00AE2200"/>
    <w:rsid w:val="00AE2497"/>
    <w:rsid w:val="00AE2BD0"/>
    <w:rsid w:val="00AE3C3B"/>
    <w:rsid w:val="00AE550B"/>
    <w:rsid w:val="00AE61C9"/>
    <w:rsid w:val="00AE679E"/>
    <w:rsid w:val="00AE6C2B"/>
    <w:rsid w:val="00AF0EDB"/>
    <w:rsid w:val="00AF1D30"/>
    <w:rsid w:val="00AF4211"/>
    <w:rsid w:val="00AF4722"/>
    <w:rsid w:val="00AF4D96"/>
    <w:rsid w:val="00AF4EF3"/>
    <w:rsid w:val="00AF7CBB"/>
    <w:rsid w:val="00AF7F68"/>
    <w:rsid w:val="00B017FA"/>
    <w:rsid w:val="00B02311"/>
    <w:rsid w:val="00B023E6"/>
    <w:rsid w:val="00B03A94"/>
    <w:rsid w:val="00B03D49"/>
    <w:rsid w:val="00B05235"/>
    <w:rsid w:val="00B0603E"/>
    <w:rsid w:val="00B0613F"/>
    <w:rsid w:val="00B06870"/>
    <w:rsid w:val="00B06B4F"/>
    <w:rsid w:val="00B07262"/>
    <w:rsid w:val="00B077AB"/>
    <w:rsid w:val="00B077B6"/>
    <w:rsid w:val="00B07856"/>
    <w:rsid w:val="00B078F9"/>
    <w:rsid w:val="00B1006C"/>
    <w:rsid w:val="00B10918"/>
    <w:rsid w:val="00B116A4"/>
    <w:rsid w:val="00B11BEE"/>
    <w:rsid w:val="00B12397"/>
    <w:rsid w:val="00B148F4"/>
    <w:rsid w:val="00B15DD1"/>
    <w:rsid w:val="00B16062"/>
    <w:rsid w:val="00B16FD7"/>
    <w:rsid w:val="00B17E08"/>
    <w:rsid w:val="00B17F07"/>
    <w:rsid w:val="00B211B2"/>
    <w:rsid w:val="00B21C12"/>
    <w:rsid w:val="00B21EEC"/>
    <w:rsid w:val="00B22725"/>
    <w:rsid w:val="00B22993"/>
    <w:rsid w:val="00B2324B"/>
    <w:rsid w:val="00B233DC"/>
    <w:rsid w:val="00B235CB"/>
    <w:rsid w:val="00B23F00"/>
    <w:rsid w:val="00B251A6"/>
    <w:rsid w:val="00B34263"/>
    <w:rsid w:val="00B348DB"/>
    <w:rsid w:val="00B34A70"/>
    <w:rsid w:val="00B354A7"/>
    <w:rsid w:val="00B3560E"/>
    <w:rsid w:val="00B4008A"/>
    <w:rsid w:val="00B40C19"/>
    <w:rsid w:val="00B41C4F"/>
    <w:rsid w:val="00B42D20"/>
    <w:rsid w:val="00B43C50"/>
    <w:rsid w:val="00B443B2"/>
    <w:rsid w:val="00B45781"/>
    <w:rsid w:val="00B45B51"/>
    <w:rsid w:val="00B45B95"/>
    <w:rsid w:val="00B47144"/>
    <w:rsid w:val="00B47203"/>
    <w:rsid w:val="00B50AC1"/>
    <w:rsid w:val="00B5256F"/>
    <w:rsid w:val="00B53E74"/>
    <w:rsid w:val="00B54398"/>
    <w:rsid w:val="00B54407"/>
    <w:rsid w:val="00B565A2"/>
    <w:rsid w:val="00B609F2"/>
    <w:rsid w:val="00B61970"/>
    <w:rsid w:val="00B636BC"/>
    <w:rsid w:val="00B65127"/>
    <w:rsid w:val="00B663C9"/>
    <w:rsid w:val="00B674B5"/>
    <w:rsid w:val="00B7155E"/>
    <w:rsid w:val="00B718A7"/>
    <w:rsid w:val="00B71E9D"/>
    <w:rsid w:val="00B7308D"/>
    <w:rsid w:val="00B73F96"/>
    <w:rsid w:val="00B743FE"/>
    <w:rsid w:val="00B74429"/>
    <w:rsid w:val="00B75A0C"/>
    <w:rsid w:val="00B76CAC"/>
    <w:rsid w:val="00B76EB9"/>
    <w:rsid w:val="00B771CC"/>
    <w:rsid w:val="00B778A1"/>
    <w:rsid w:val="00B80738"/>
    <w:rsid w:val="00B8244D"/>
    <w:rsid w:val="00B8396A"/>
    <w:rsid w:val="00B84525"/>
    <w:rsid w:val="00B861F1"/>
    <w:rsid w:val="00B86480"/>
    <w:rsid w:val="00B87249"/>
    <w:rsid w:val="00B9060B"/>
    <w:rsid w:val="00B914B9"/>
    <w:rsid w:val="00B91CA0"/>
    <w:rsid w:val="00B92806"/>
    <w:rsid w:val="00B94EB1"/>
    <w:rsid w:val="00BA098A"/>
    <w:rsid w:val="00BA1155"/>
    <w:rsid w:val="00BA1938"/>
    <w:rsid w:val="00BA2DBB"/>
    <w:rsid w:val="00BA2F01"/>
    <w:rsid w:val="00BA3031"/>
    <w:rsid w:val="00BA3A66"/>
    <w:rsid w:val="00BA40B5"/>
    <w:rsid w:val="00BA4706"/>
    <w:rsid w:val="00BA4BB7"/>
    <w:rsid w:val="00BA7445"/>
    <w:rsid w:val="00BB0532"/>
    <w:rsid w:val="00BB0AC2"/>
    <w:rsid w:val="00BB12CB"/>
    <w:rsid w:val="00BB2C51"/>
    <w:rsid w:val="00BB4740"/>
    <w:rsid w:val="00BB539D"/>
    <w:rsid w:val="00BB6DF9"/>
    <w:rsid w:val="00BB7387"/>
    <w:rsid w:val="00BC1337"/>
    <w:rsid w:val="00BC1361"/>
    <w:rsid w:val="00BC3CD5"/>
    <w:rsid w:val="00BC4810"/>
    <w:rsid w:val="00BC4CAF"/>
    <w:rsid w:val="00BC55E6"/>
    <w:rsid w:val="00BC56F7"/>
    <w:rsid w:val="00BC7FF9"/>
    <w:rsid w:val="00BD0060"/>
    <w:rsid w:val="00BD0251"/>
    <w:rsid w:val="00BD03BA"/>
    <w:rsid w:val="00BD2295"/>
    <w:rsid w:val="00BD381F"/>
    <w:rsid w:val="00BD3F95"/>
    <w:rsid w:val="00BD5CBA"/>
    <w:rsid w:val="00BE1393"/>
    <w:rsid w:val="00BE1D84"/>
    <w:rsid w:val="00BE21E4"/>
    <w:rsid w:val="00BE23AC"/>
    <w:rsid w:val="00BE2B73"/>
    <w:rsid w:val="00BE2DDA"/>
    <w:rsid w:val="00BE31D3"/>
    <w:rsid w:val="00BE3581"/>
    <w:rsid w:val="00BE4AC8"/>
    <w:rsid w:val="00BE525B"/>
    <w:rsid w:val="00BE6144"/>
    <w:rsid w:val="00BE6241"/>
    <w:rsid w:val="00BE63C5"/>
    <w:rsid w:val="00BF0749"/>
    <w:rsid w:val="00BF1DB7"/>
    <w:rsid w:val="00BF235F"/>
    <w:rsid w:val="00BF35BD"/>
    <w:rsid w:val="00BF387C"/>
    <w:rsid w:val="00BF44AB"/>
    <w:rsid w:val="00BF7103"/>
    <w:rsid w:val="00BF7DD1"/>
    <w:rsid w:val="00C00E2F"/>
    <w:rsid w:val="00C02B8B"/>
    <w:rsid w:val="00C02C61"/>
    <w:rsid w:val="00C035CC"/>
    <w:rsid w:val="00C05778"/>
    <w:rsid w:val="00C058D3"/>
    <w:rsid w:val="00C07527"/>
    <w:rsid w:val="00C1160E"/>
    <w:rsid w:val="00C12C47"/>
    <w:rsid w:val="00C13915"/>
    <w:rsid w:val="00C154EC"/>
    <w:rsid w:val="00C161D6"/>
    <w:rsid w:val="00C17ACA"/>
    <w:rsid w:val="00C20CE3"/>
    <w:rsid w:val="00C20D86"/>
    <w:rsid w:val="00C2124E"/>
    <w:rsid w:val="00C228F7"/>
    <w:rsid w:val="00C22AEE"/>
    <w:rsid w:val="00C23131"/>
    <w:rsid w:val="00C24D54"/>
    <w:rsid w:val="00C25009"/>
    <w:rsid w:val="00C25915"/>
    <w:rsid w:val="00C26055"/>
    <w:rsid w:val="00C278FE"/>
    <w:rsid w:val="00C27E13"/>
    <w:rsid w:val="00C30AB4"/>
    <w:rsid w:val="00C33968"/>
    <w:rsid w:val="00C3418F"/>
    <w:rsid w:val="00C34D55"/>
    <w:rsid w:val="00C3554C"/>
    <w:rsid w:val="00C36174"/>
    <w:rsid w:val="00C3703D"/>
    <w:rsid w:val="00C40590"/>
    <w:rsid w:val="00C4115A"/>
    <w:rsid w:val="00C41603"/>
    <w:rsid w:val="00C41689"/>
    <w:rsid w:val="00C424DF"/>
    <w:rsid w:val="00C433FF"/>
    <w:rsid w:val="00C445BB"/>
    <w:rsid w:val="00C46A57"/>
    <w:rsid w:val="00C46EAF"/>
    <w:rsid w:val="00C47246"/>
    <w:rsid w:val="00C47BF4"/>
    <w:rsid w:val="00C507BB"/>
    <w:rsid w:val="00C51314"/>
    <w:rsid w:val="00C51886"/>
    <w:rsid w:val="00C51B76"/>
    <w:rsid w:val="00C54EE1"/>
    <w:rsid w:val="00C55862"/>
    <w:rsid w:val="00C55DA5"/>
    <w:rsid w:val="00C56B46"/>
    <w:rsid w:val="00C56C24"/>
    <w:rsid w:val="00C57278"/>
    <w:rsid w:val="00C57405"/>
    <w:rsid w:val="00C57599"/>
    <w:rsid w:val="00C60BDE"/>
    <w:rsid w:val="00C620E3"/>
    <w:rsid w:val="00C62960"/>
    <w:rsid w:val="00C630F3"/>
    <w:rsid w:val="00C64B3C"/>
    <w:rsid w:val="00C64CEF"/>
    <w:rsid w:val="00C661E1"/>
    <w:rsid w:val="00C665E6"/>
    <w:rsid w:val="00C6797A"/>
    <w:rsid w:val="00C70953"/>
    <w:rsid w:val="00C70A87"/>
    <w:rsid w:val="00C70C60"/>
    <w:rsid w:val="00C71C54"/>
    <w:rsid w:val="00C7435B"/>
    <w:rsid w:val="00C745DB"/>
    <w:rsid w:val="00C807FF"/>
    <w:rsid w:val="00C80898"/>
    <w:rsid w:val="00C8105E"/>
    <w:rsid w:val="00C823F3"/>
    <w:rsid w:val="00C82E4A"/>
    <w:rsid w:val="00C830CE"/>
    <w:rsid w:val="00C83EE6"/>
    <w:rsid w:val="00C8709C"/>
    <w:rsid w:val="00C87B99"/>
    <w:rsid w:val="00C903F1"/>
    <w:rsid w:val="00C90EEF"/>
    <w:rsid w:val="00C92BB1"/>
    <w:rsid w:val="00C94A8A"/>
    <w:rsid w:val="00C94D41"/>
    <w:rsid w:val="00C96285"/>
    <w:rsid w:val="00C97F9E"/>
    <w:rsid w:val="00C97FBE"/>
    <w:rsid w:val="00CA03C1"/>
    <w:rsid w:val="00CA0A46"/>
    <w:rsid w:val="00CA1309"/>
    <w:rsid w:val="00CA30F9"/>
    <w:rsid w:val="00CA31A2"/>
    <w:rsid w:val="00CA419D"/>
    <w:rsid w:val="00CA4E55"/>
    <w:rsid w:val="00CA50BB"/>
    <w:rsid w:val="00CA5EEE"/>
    <w:rsid w:val="00CA666A"/>
    <w:rsid w:val="00CA6ED1"/>
    <w:rsid w:val="00CA7A56"/>
    <w:rsid w:val="00CB2571"/>
    <w:rsid w:val="00CB2B25"/>
    <w:rsid w:val="00CB3A51"/>
    <w:rsid w:val="00CB3D55"/>
    <w:rsid w:val="00CB5101"/>
    <w:rsid w:val="00CB636F"/>
    <w:rsid w:val="00CB69C4"/>
    <w:rsid w:val="00CB71EE"/>
    <w:rsid w:val="00CB7BFE"/>
    <w:rsid w:val="00CC0368"/>
    <w:rsid w:val="00CC1CEA"/>
    <w:rsid w:val="00CC1F34"/>
    <w:rsid w:val="00CC21BB"/>
    <w:rsid w:val="00CC26D9"/>
    <w:rsid w:val="00CC3ABF"/>
    <w:rsid w:val="00CC5FDE"/>
    <w:rsid w:val="00CC6B12"/>
    <w:rsid w:val="00CD1153"/>
    <w:rsid w:val="00CD1759"/>
    <w:rsid w:val="00CD4516"/>
    <w:rsid w:val="00CD5B67"/>
    <w:rsid w:val="00CD68E1"/>
    <w:rsid w:val="00CD69DD"/>
    <w:rsid w:val="00CE02FB"/>
    <w:rsid w:val="00CE0A54"/>
    <w:rsid w:val="00CE0F1D"/>
    <w:rsid w:val="00CE29AA"/>
    <w:rsid w:val="00CE399F"/>
    <w:rsid w:val="00CE4148"/>
    <w:rsid w:val="00CE4929"/>
    <w:rsid w:val="00CE5046"/>
    <w:rsid w:val="00CE68DD"/>
    <w:rsid w:val="00CE6CEA"/>
    <w:rsid w:val="00CF366C"/>
    <w:rsid w:val="00CF3BB2"/>
    <w:rsid w:val="00CF533B"/>
    <w:rsid w:val="00CF70AA"/>
    <w:rsid w:val="00D0121C"/>
    <w:rsid w:val="00D015BB"/>
    <w:rsid w:val="00D017A9"/>
    <w:rsid w:val="00D0190A"/>
    <w:rsid w:val="00D0284C"/>
    <w:rsid w:val="00D036AA"/>
    <w:rsid w:val="00D041EB"/>
    <w:rsid w:val="00D04CD2"/>
    <w:rsid w:val="00D05A74"/>
    <w:rsid w:val="00D07085"/>
    <w:rsid w:val="00D10DCF"/>
    <w:rsid w:val="00D119ED"/>
    <w:rsid w:val="00D1292C"/>
    <w:rsid w:val="00D14326"/>
    <w:rsid w:val="00D14544"/>
    <w:rsid w:val="00D15114"/>
    <w:rsid w:val="00D1679B"/>
    <w:rsid w:val="00D178FE"/>
    <w:rsid w:val="00D179A1"/>
    <w:rsid w:val="00D2073C"/>
    <w:rsid w:val="00D2097B"/>
    <w:rsid w:val="00D20BD2"/>
    <w:rsid w:val="00D21B97"/>
    <w:rsid w:val="00D220C9"/>
    <w:rsid w:val="00D23901"/>
    <w:rsid w:val="00D24110"/>
    <w:rsid w:val="00D254E7"/>
    <w:rsid w:val="00D25FEA"/>
    <w:rsid w:val="00D303D3"/>
    <w:rsid w:val="00D3258B"/>
    <w:rsid w:val="00D34D6F"/>
    <w:rsid w:val="00D34EAD"/>
    <w:rsid w:val="00D34F23"/>
    <w:rsid w:val="00D3527C"/>
    <w:rsid w:val="00D3679D"/>
    <w:rsid w:val="00D37C85"/>
    <w:rsid w:val="00D40178"/>
    <w:rsid w:val="00D40967"/>
    <w:rsid w:val="00D40CB9"/>
    <w:rsid w:val="00D42641"/>
    <w:rsid w:val="00D4277E"/>
    <w:rsid w:val="00D43036"/>
    <w:rsid w:val="00D446E3"/>
    <w:rsid w:val="00D50912"/>
    <w:rsid w:val="00D52006"/>
    <w:rsid w:val="00D52C9C"/>
    <w:rsid w:val="00D54D4D"/>
    <w:rsid w:val="00D55BF2"/>
    <w:rsid w:val="00D5628B"/>
    <w:rsid w:val="00D563C6"/>
    <w:rsid w:val="00D579CC"/>
    <w:rsid w:val="00D60EA1"/>
    <w:rsid w:val="00D60F76"/>
    <w:rsid w:val="00D611BD"/>
    <w:rsid w:val="00D6155B"/>
    <w:rsid w:val="00D62105"/>
    <w:rsid w:val="00D625C4"/>
    <w:rsid w:val="00D6268A"/>
    <w:rsid w:val="00D636D5"/>
    <w:rsid w:val="00D6673C"/>
    <w:rsid w:val="00D66BA9"/>
    <w:rsid w:val="00D67A58"/>
    <w:rsid w:val="00D72164"/>
    <w:rsid w:val="00D74B11"/>
    <w:rsid w:val="00D753F6"/>
    <w:rsid w:val="00D76720"/>
    <w:rsid w:val="00D772F6"/>
    <w:rsid w:val="00D77493"/>
    <w:rsid w:val="00D80ACD"/>
    <w:rsid w:val="00D80F0F"/>
    <w:rsid w:val="00D810F8"/>
    <w:rsid w:val="00D81B30"/>
    <w:rsid w:val="00D82125"/>
    <w:rsid w:val="00D8295F"/>
    <w:rsid w:val="00D83437"/>
    <w:rsid w:val="00D8346F"/>
    <w:rsid w:val="00D84C17"/>
    <w:rsid w:val="00D85D7F"/>
    <w:rsid w:val="00D860B2"/>
    <w:rsid w:val="00D870E8"/>
    <w:rsid w:val="00D9114B"/>
    <w:rsid w:val="00D91B80"/>
    <w:rsid w:val="00D9205B"/>
    <w:rsid w:val="00D92E5D"/>
    <w:rsid w:val="00D94027"/>
    <w:rsid w:val="00D97D99"/>
    <w:rsid w:val="00DA05E5"/>
    <w:rsid w:val="00DA08A8"/>
    <w:rsid w:val="00DA0C4A"/>
    <w:rsid w:val="00DA0CBD"/>
    <w:rsid w:val="00DA17CA"/>
    <w:rsid w:val="00DA200B"/>
    <w:rsid w:val="00DA2F19"/>
    <w:rsid w:val="00DA6E89"/>
    <w:rsid w:val="00DA6F2B"/>
    <w:rsid w:val="00DA7371"/>
    <w:rsid w:val="00DB02B6"/>
    <w:rsid w:val="00DB2BA1"/>
    <w:rsid w:val="00DB34D9"/>
    <w:rsid w:val="00DB3C77"/>
    <w:rsid w:val="00DB436F"/>
    <w:rsid w:val="00DB6B7E"/>
    <w:rsid w:val="00DC07DD"/>
    <w:rsid w:val="00DC0865"/>
    <w:rsid w:val="00DC209A"/>
    <w:rsid w:val="00DC225E"/>
    <w:rsid w:val="00DC2D1B"/>
    <w:rsid w:val="00DC42C1"/>
    <w:rsid w:val="00DC493E"/>
    <w:rsid w:val="00DC5359"/>
    <w:rsid w:val="00DC5F5A"/>
    <w:rsid w:val="00DC798E"/>
    <w:rsid w:val="00DD0389"/>
    <w:rsid w:val="00DD09F5"/>
    <w:rsid w:val="00DD1C6C"/>
    <w:rsid w:val="00DD21B5"/>
    <w:rsid w:val="00DD25B0"/>
    <w:rsid w:val="00DD35A9"/>
    <w:rsid w:val="00DD3CF2"/>
    <w:rsid w:val="00DD4399"/>
    <w:rsid w:val="00DD54D8"/>
    <w:rsid w:val="00DD577F"/>
    <w:rsid w:val="00DE07A8"/>
    <w:rsid w:val="00DE0C4D"/>
    <w:rsid w:val="00DE0D69"/>
    <w:rsid w:val="00DE1360"/>
    <w:rsid w:val="00DE2804"/>
    <w:rsid w:val="00DE2B55"/>
    <w:rsid w:val="00DE32DE"/>
    <w:rsid w:val="00DE3712"/>
    <w:rsid w:val="00DE58B6"/>
    <w:rsid w:val="00DE5AA6"/>
    <w:rsid w:val="00DE6074"/>
    <w:rsid w:val="00DE6A07"/>
    <w:rsid w:val="00DE750E"/>
    <w:rsid w:val="00DE7DB5"/>
    <w:rsid w:val="00DF136F"/>
    <w:rsid w:val="00DF27A8"/>
    <w:rsid w:val="00DF4253"/>
    <w:rsid w:val="00DF5408"/>
    <w:rsid w:val="00E00F32"/>
    <w:rsid w:val="00E01B43"/>
    <w:rsid w:val="00E026CE"/>
    <w:rsid w:val="00E028DE"/>
    <w:rsid w:val="00E03313"/>
    <w:rsid w:val="00E039D8"/>
    <w:rsid w:val="00E048E8"/>
    <w:rsid w:val="00E118C5"/>
    <w:rsid w:val="00E1197D"/>
    <w:rsid w:val="00E12331"/>
    <w:rsid w:val="00E125DB"/>
    <w:rsid w:val="00E127AB"/>
    <w:rsid w:val="00E12F98"/>
    <w:rsid w:val="00E1380C"/>
    <w:rsid w:val="00E1426F"/>
    <w:rsid w:val="00E155E6"/>
    <w:rsid w:val="00E1731C"/>
    <w:rsid w:val="00E1786E"/>
    <w:rsid w:val="00E17EF4"/>
    <w:rsid w:val="00E216D4"/>
    <w:rsid w:val="00E22166"/>
    <w:rsid w:val="00E2267C"/>
    <w:rsid w:val="00E2323A"/>
    <w:rsid w:val="00E237F6"/>
    <w:rsid w:val="00E23A18"/>
    <w:rsid w:val="00E246FD"/>
    <w:rsid w:val="00E247F1"/>
    <w:rsid w:val="00E254E6"/>
    <w:rsid w:val="00E25A20"/>
    <w:rsid w:val="00E27BC9"/>
    <w:rsid w:val="00E30579"/>
    <w:rsid w:val="00E30C48"/>
    <w:rsid w:val="00E33AD3"/>
    <w:rsid w:val="00E33F33"/>
    <w:rsid w:val="00E3433E"/>
    <w:rsid w:val="00E35554"/>
    <w:rsid w:val="00E36BB7"/>
    <w:rsid w:val="00E405B7"/>
    <w:rsid w:val="00E417EA"/>
    <w:rsid w:val="00E4183D"/>
    <w:rsid w:val="00E429D1"/>
    <w:rsid w:val="00E42BA0"/>
    <w:rsid w:val="00E42BFE"/>
    <w:rsid w:val="00E436EB"/>
    <w:rsid w:val="00E45BB9"/>
    <w:rsid w:val="00E45FA1"/>
    <w:rsid w:val="00E463BD"/>
    <w:rsid w:val="00E479DB"/>
    <w:rsid w:val="00E47F48"/>
    <w:rsid w:val="00E50E00"/>
    <w:rsid w:val="00E5129E"/>
    <w:rsid w:val="00E51D81"/>
    <w:rsid w:val="00E53DDC"/>
    <w:rsid w:val="00E569EF"/>
    <w:rsid w:val="00E56F05"/>
    <w:rsid w:val="00E5701C"/>
    <w:rsid w:val="00E6217D"/>
    <w:rsid w:val="00E637E9"/>
    <w:rsid w:val="00E6453C"/>
    <w:rsid w:val="00E653B7"/>
    <w:rsid w:val="00E6594D"/>
    <w:rsid w:val="00E65CEA"/>
    <w:rsid w:val="00E66797"/>
    <w:rsid w:val="00E67635"/>
    <w:rsid w:val="00E67885"/>
    <w:rsid w:val="00E70194"/>
    <w:rsid w:val="00E72540"/>
    <w:rsid w:val="00E73763"/>
    <w:rsid w:val="00E73AAA"/>
    <w:rsid w:val="00E73B66"/>
    <w:rsid w:val="00E75E90"/>
    <w:rsid w:val="00E765FF"/>
    <w:rsid w:val="00E76FC3"/>
    <w:rsid w:val="00E7744A"/>
    <w:rsid w:val="00E810EA"/>
    <w:rsid w:val="00E815E8"/>
    <w:rsid w:val="00E8367D"/>
    <w:rsid w:val="00E83997"/>
    <w:rsid w:val="00E84061"/>
    <w:rsid w:val="00E85D3B"/>
    <w:rsid w:val="00E9031E"/>
    <w:rsid w:val="00E9297C"/>
    <w:rsid w:val="00E92F39"/>
    <w:rsid w:val="00E95799"/>
    <w:rsid w:val="00E968AD"/>
    <w:rsid w:val="00E976D0"/>
    <w:rsid w:val="00EA153C"/>
    <w:rsid w:val="00EA1C69"/>
    <w:rsid w:val="00EA296E"/>
    <w:rsid w:val="00EA3046"/>
    <w:rsid w:val="00EA3267"/>
    <w:rsid w:val="00EA67FA"/>
    <w:rsid w:val="00EA6C7E"/>
    <w:rsid w:val="00EA6CEA"/>
    <w:rsid w:val="00EB0148"/>
    <w:rsid w:val="00EB022D"/>
    <w:rsid w:val="00EB2E0D"/>
    <w:rsid w:val="00EB336F"/>
    <w:rsid w:val="00EB3DA9"/>
    <w:rsid w:val="00EB3E06"/>
    <w:rsid w:val="00EB544F"/>
    <w:rsid w:val="00EB746B"/>
    <w:rsid w:val="00EB75A5"/>
    <w:rsid w:val="00EB7AB5"/>
    <w:rsid w:val="00EC18B6"/>
    <w:rsid w:val="00EC37E9"/>
    <w:rsid w:val="00EC45B7"/>
    <w:rsid w:val="00EC6DC2"/>
    <w:rsid w:val="00EC744B"/>
    <w:rsid w:val="00EC75E8"/>
    <w:rsid w:val="00ED0823"/>
    <w:rsid w:val="00ED37D1"/>
    <w:rsid w:val="00ED7495"/>
    <w:rsid w:val="00EE1AC0"/>
    <w:rsid w:val="00EE2FD9"/>
    <w:rsid w:val="00EE3571"/>
    <w:rsid w:val="00EE3C47"/>
    <w:rsid w:val="00EE442F"/>
    <w:rsid w:val="00EE4BF7"/>
    <w:rsid w:val="00EE514A"/>
    <w:rsid w:val="00EE528F"/>
    <w:rsid w:val="00EE5CD6"/>
    <w:rsid w:val="00EE66C2"/>
    <w:rsid w:val="00EE7AEE"/>
    <w:rsid w:val="00EF028F"/>
    <w:rsid w:val="00EF097C"/>
    <w:rsid w:val="00EF1666"/>
    <w:rsid w:val="00EF1883"/>
    <w:rsid w:val="00EF1DD8"/>
    <w:rsid w:val="00EF2819"/>
    <w:rsid w:val="00EF2B87"/>
    <w:rsid w:val="00EF2C68"/>
    <w:rsid w:val="00EF4D23"/>
    <w:rsid w:val="00EF5D7D"/>
    <w:rsid w:val="00EF628B"/>
    <w:rsid w:val="00EF638A"/>
    <w:rsid w:val="00EF710A"/>
    <w:rsid w:val="00F003B8"/>
    <w:rsid w:val="00F0129E"/>
    <w:rsid w:val="00F0144F"/>
    <w:rsid w:val="00F0379A"/>
    <w:rsid w:val="00F044C6"/>
    <w:rsid w:val="00F05456"/>
    <w:rsid w:val="00F05D13"/>
    <w:rsid w:val="00F0662C"/>
    <w:rsid w:val="00F072C7"/>
    <w:rsid w:val="00F07AE9"/>
    <w:rsid w:val="00F07E70"/>
    <w:rsid w:val="00F121C1"/>
    <w:rsid w:val="00F12D7B"/>
    <w:rsid w:val="00F14057"/>
    <w:rsid w:val="00F14BEE"/>
    <w:rsid w:val="00F207D8"/>
    <w:rsid w:val="00F21F38"/>
    <w:rsid w:val="00F2237E"/>
    <w:rsid w:val="00F240D4"/>
    <w:rsid w:val="00F24CAC"/>
    <w:rsid w:val="00F25B56"/>
    <w:rsid w:val="00F260F2"/>
    <w:rsid w:val="00F262CF"/>
    <w:rsid w:val="00F26F36"/>
    <w:rsid w:val="00F30097"/>
    <w:rsid w:val="00F315B7"/>
    <w:rsid w:val="00F31B9F"/>
    <w:rsid w:val="00F321F2"/>
    <w:rsid w:val="00F333B0"/>
    <w:rsid w:val="00F336B1"/>
    <w:rsid w:val="00F33973"/>
    <w:rsid w:val="00F34514"/>
    <w:rsid w:val="00F36159"/>
    <w:rsid w:val="00F377B4"/>
    <w:rsid w:val="00F409CE"/>
    <w:rsid w:val="00F40E79"/>
    <w:rsid w:val="00F4123E"/>
    <w:rsid w:val="00F41BA6"/>
    <w:rsid w:val="00F441B7"/>
    <w:rsid w:val="00F44361"/>
    <w:rsid w:val="00F456B7"/>
    <w:rsid w:val="00F51126"/>
    <w:rsid w:val="00F5182F"/>
    <w:rsid w:val="00F521A9"/>
    <w:rsid w:val="00F5232A"/>
    <w:rsid w:val="00F5549D"/>
    <w:rsid w:val="00F55FED"/>
    <w:rsid w:val="00F572F4"/>
    <w:rsid w:val="00F5797F"/>
    <w:rsid w:val="00F57E18"/>
    <w:rsid w:val="00F60B4B"/>
    <w:rsid w:val="00F60B65"/>
    <w:rsid w:val="00F631F8"/>
    <w:rsid w:val="00F6413A"/>
    <w:rsid w:val="00F665FF"/>
    <w:rsid w:val="00F67524"/>
    <w:rsid w:val="00F67EBC"/>
    <w:rsid w:val="00F71F00"/>
    <w:rsid w:val="00F728EA"/>
    <w:rsid w:val="00F72DE7"/>
    <w:rsid w:val="00F748D6"/>
    <w:rsid w:val="00F75765"/>
    <w:rsid w:val="00F75D7E"/>
    <w:rsid w:val="00F76648"/>
    <w:rsid w:val="00F76A1B"/>
    <w:rsid w:val="00F76B4B"/>
    <w:rsid w:val="00F76EFB"/>
    <w:rsid w:val="00F77A30"/>
    <w:rsid w:val="00F803F5"/>
    <w:rsid w:val="00F806FF"/>
    <w:rsid w:val="00F81A42"/>
    <w:rsid w:val="00F81D93"/>
    <w:rsid w:val="00F827CA"/>
    <w:rsid w:val="00F837B2"/>
    <w:rsid w:val="00F839D2"/>
    <w:rsid w:val="00F85A31"/>
    <w:rsid w:val="00F85ECF"/>
    <w:rsid w:val="00F86515"/>
    <w:rsid w:val="00F86A58"/>
    <w:rsid w:val="00F86AAC"/>
    <w:rsid w:val="00F87698"/>
    <w:rsid w:val="00F90674"/>
    <w:rsid w:val="00F93E27"/>
    <w:rsid w:val="00F94762"/>
    <w:rsid w:val="00F94DA1"/>
    <w:rsid w:val="00F95735"/>
    <w:rsid w:val="00F965AB"/>
    <w:rsid w:val="00F97AB9"/>
    <w:rsid w:val="00FA0236"/>
    <w:rsid w:val="00FA4111"/>
    <w:rsid w:val="00FB0BC2"/>
    <w:rsid w:val="00FB0CC5"/>
    <w:rsid w:val="00FB1121"/>
    <w:rsid w:val="00FB145A"/>
    <w:rsid w:val="00FB15C3"/>
    <w:rsid w:val="00FB1742"/>
    <w:rsid w:val="00FB1749"/>
    <w:rsid w:val="00FB253D"/>
    <w:rsid w:val="00FB2E79"/>
    <w:rsid w:val="00FB32F9"/>
    <w:rsid w:val="00FB359F"/>
    <w:rsid w:val="00FB3A29"/>
    <w:rsid w:val="00FB6C84"/>
    <w:rsid w:val="00FB74FE"/>
    <w:rsid w:val="00FB7E56"/>
    <w:rsid w:val="00FC0341"/>
    <w:rsid w:val="00FC200A"/>
    <w:rsid w:val="00FC4D69"/>
    <w:rsid w:val="00FC5764"/>
    <w:rsid w:val="00FC5876"/>
    <w:rsid w:val="00FC5E37"/>
    <w:rsid w:val="00FC6371"/>
    <w:rsid w:val="00FC66FA"/>
    <w:rsid w:val="00FC6B6E"/>
    <w:rsid w:val="00FC6FE0"/>
    <w:rsid w:val="00FD07A4"/>
    <w:rsid w:val="00FD1742"/>
    <w:rsid w:val="00FD1A7D"/>
    <w:rsid w:val="00FD27A3"/>
    <w:rsid w:val="00FD3471"/>
    <w:rsid w:val="00FD457F"/>
    <w:rsid w:val="00FD631E"/>
    <w:rsid w:val="00FD6B5D"/>
    <w:rsid w:val="00FD6EB9"/>
    <w:rsid w:val="00FD6FA7"/>
    <w:rsid w:val="00FE0843"/>
    <w:rsid w:val="00FE16DB"/>
    <w:rsid w:val="00FE2046"/>
    <w:rsid w:val="00FE292B"/>
    <w:rsid w:val="00FE404E"/>
    <w:rsid w:val="00FE49DA"/>
    <w:rsid w:val="00FE67C3"/>
    <w:rsid w:val="00FE6C0D"/>
    <w:rsid w:val="00FF0064"/>
    <w:rsid w:val="00FF066F"/>
    <w:rsid w:val="00FF1D29"/>
    <w:rsid w:val="00FF3B84"/>
    <w:rsid w:val="00FF4DF7"/>
    <w:rsid w:val="00FF5F76"/>
    <w:rsid w:val="00FF712F"/>
    <w:rsid w:val="00FF74FA"/>
    <w:rsid w:val="0A3D7E7F"/>
    <w:rsid w:val="17BD6123"/>
    <w:rsid w:val="1D7F1775"/>
    <w:rsid w:val="21FE21BE"/>
    <w:rsid w:val="26015F94"/>
    <w:rsid w:val="2826423B"/>
    <w:rsid w:val="29D90840"/>
    <w:rsid w:val="363751FC"/>
    <w:rsid w:val="38CEA2D2"/>
    <w:rsid w:val="38DC7EC1"/>
    <w:rsid w:val="3FFB2108"/>
    <w:rsid w:val="456602DB"/>
    <w:rsid w:val="47FEF21F"/>
    <w:rsid w:val="49410BBC"/>
    <w:rsid w:val="59FF0700"/>
    <w:rsid w:val="5F9BD4AA"/>
    <w:rsid w:val="623478F5"/>
    <w:rsid w:val="6BD5E442"/>
    <w:rsid w:val="74FDB5AA"/>
    <w:rsid w:val="7AFF6235"/>
    <w:rsid w:val="7EB9CB2C"/>
    <w:rsid w:val="7F5F47EF"/>
    <w:rsid w:val="7F6FABA9"/>
    <w:rsid w:val="7FF43D31"/>
    <w:rsid w:val="7FFFBD44"/>
    <w:rsid w:val="ADF7A73B"/>
    <w:rsid w:val="BDE346B8"/>
    <w:rsid w:val="CDF767ED"/>
    <w:rsid w:val="DBFFEB21"/>
    <w:rsid w:val="DFD3A35A"/>
    <w:rsid w:val="F3CEBF64"/>
    <w:rsid w:val="F57FFF67"/>
    <w:rsid w:val="F9FA0F8A"/>
    <w:rsid w:val="FF7BE338"/>
    <w:rsid w:val="FFDFE0AE"/>
    <w:rsid w:val="FFFFE57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nhideWhenUsed="0" w:uiPriority="9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semiHidden="0" w:name="Salutation"/>
    <w:lsdException w:uiPriority="99" w:semiHidden="0" w:name="Date"/>
    <w:lsdException w:uiPriority="99" w:semiHidden="0" w:name="Body Text First Indent"/>
    <w:lsdException w:qFormat="1" w:unhideWhenUsed="0" w:uiPriority="0" w:semiHidden="0" w:name="Body Text First Indent 2"/>
    <w:lsdException w:uiPriority="99" w:name="Note Heading"/>
    <w:lsdException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sz w:val="21"/>
      <w:szCs w:val="22"/>
      <w:lang w:val="en-US" w:eastAsia="zh-CN" w:bidi="ar-SA"/>
    </w:rPr>
  </w:style>
  <w:style w:type="paragraph" w:styleId="4">
    <w:name w:val="heading 1"/>
    <w:basedOn w:val="1"/>
    <w:next w:val="1"/>
    <w:link w:val="33"/>
    <w:qFormat/>
    <w:uiPriority w:val="99"/>
    <w:pPr>
      <w:keepNext/>
      <w:keepLines/>
      <w:spacing w:before="340" w:after="330" w:line="576" w:lineRule="auto"/>
      <w:outlineLvl w:val="0"/>
    </w:pPr>
    <w:rPr>
      <w:b/>
      <w:kern w:val="44"/>
      <w:sz w:val="44"/>
      <w:szCs w:val="24"/>
    </w:rPr>
  </w:style>
  <w:style w:type="paragraph" w:styleId="5">
    <w:name w:val="heading 2"/>
    <w:basedOn w:val="1"/>
    <w:next w:val="1"/>
    <w:link w:val="34"/>
    <w:qFormat/>
    <w:uiPriority w:val="0"/>
    <w:pPr>
      <w:keepNext/>
      <w:keepLines/>
      <w:widowControl/>
      <w:spacing w:before="260" w:after="260" w:line="415" w:lineRule="auto"/>
      <w:jc w:val="left"/>
      <w:outlineLvl w:val="1"/>
    </w:pPr>
    <w:rPr>
      <w:rFonts w:ascii="Cambria" w:hAnsi="Cambria"/>
      <w:b/>
      <w:sz w:val="32"/>
      <w:szCs w:val="32"/>
    </w:rPr>
  </w:style>
  <w:style w:type="paragraph" w:styleId="6">
    <w:name w:val="heading 3"/>
    <w:basedOn w:val="1"/>
    <w:next w:val="1"/>
    <w:link w:val="35"/>
    <w:qFormat/>
    <w:uiPriority w:val="0"/>
    <w:pPr>
      <w:keepNext/>
      <w:keepLines/>
      <w:widowControl/>
      <w:spacing w:before="260" w:after="260" w:line="415" w:lineRule="auto"/>
      <w:jc w:val="left"/>
      <w:outlineLvl w:val="2"/>
    </w:pPr>
    <w:rPr>
      <w:rFonts w:hint="eastAsia" w:ascii="宋体" w:hAnsi="宋体"/>
      <w:b/>
      <w:sz w:val="30"/>
      <w:szCs w:val="32"/>
    </w:rPr>
  </w:style>
  <w:style w:type="character" w:default="1" w:styleId="28">
    <w:name w:val="Default Paragraph Font"/>
    <w:unhideWhenUsed/>
    <w:uiPriority w:val="1"/>
  </w:style>
  <w:style w:type="table" w:default="1" w:styleId="26">
    <w:name w:val="Normal Table"/>
    <w:unhideWhenUsed/>
    <w:qFormat/>
    <w:uiPriority w:val="99"/>
    <w:tblPr>
      <w:tblStyle w:val="26"/>
      <w:tblCellMar>
        <w:top w:w="0" w:type="dxa"/>
        <w:left w:w="108" w:type="dxa"/>
        <w:bottom w:w="0" w:type="dxa"/>
        <w:right w:w="108" w:type="dxa"/>
      </w:tblCellMar>
    </w:tblPr>
  </w:style>
  <w:style w:type="paragraph" w:customStyle="1" w:styleId="2">
    <w:name w:val="BodyText"/>
    <w:basedOn w:val="3"/>
    <w:next w:val="3"/>
    <w:qFormat/>
    <w:uiPriority w:val="0"/>
    <w:pPr>
      <w:widowControl/>
      <w:spacing w:after="120"/>
      <w:jc w:val="left"/>
      <w:textAlignment w:val="baseline"/>
    </w:pPr>
    <w:rPr>
      <w:rFonts w:ascii="Calibri" w:hAnsi="Calibri" w:eastAsia="宋体"/>
      <w:kern w:val="0"/>
      <w:sz w:val="24"/>
      <w:szCs w:val="24"/>
      <w:lang w:eastAsia="en-US" w:bidi="en-US"/>
    </w:rPr>
  </w:style>
  <w:style w:type="paragraph" w:styleId="3">
    <w:name w:val="Title"/>
    <w:basedOn w:val="1"/>
    <w:next w:val="1"/>
    <w:link w:val="32"/>
    <w:qFormat/>
    <w:uiPriority w:val="0"/>
    <w:pPr>
      <w:spacing w:before="240" w:after="60"/>
      <w:jc w:val="center"/>
      <w:outlineLvl w:val="0"/>
    </w:pPr>
    <w:rPr>
      <w:rFonts w:ascii="Cambria" w:hAnsi="Cambria" w:cs="Times New Roman"/>
      <w:b/>
      <w:bCs/>
      <w:sz w:val="32"/>
      <w:szCs w:val="32"/>
    </w:rPr>
  </w:style>
  <w:style w:type="paragraph" w:styleId="7">
    <w:name w:val="Normal Indent"/>
    <w:basedOn w:val="1"/>
    <w:next w:val="1"/>
    <w:unhideWhenUsed/>
    <w:qFormat/>
    <w:uiPriority w:val="0"/>
    <w:pPr>
      <w:ind w:firstLine="420" w:firstLineChars="200"/>
    </w:pPr>
    <w:rPr>
      <w:kern w:val="2"/>
      <w:szCs w:val="24"/>
    </w:rPr>
  </w:style>
  <w:style w:type="paragraph" w:styleId="8">
    <w:name w:val="caption"/>
    <w:basedOn w:val="1"/>
    <w:next w:val="1"/>
    <w:unhideWhenUsed/>
    <w:qFormat/>
    <w:uiPriority w:val="0"/>
    <w:rPr>
      <w:rFonts w:ascii="Arial" w:hAnsi="Arial" w:eastAsia="黑体" w:cs="Times New Roman"/>
      <w:sz w:val="20"/>
    </w:rPr>
  </w:style>
  <w:style w:type="paragraph" w:styleId="9">
    <w:name w:val="annotation text"/>
    <w:basedOn w:val="1"/>
    <w:link w:val="36"/>
    <w:qFormat/>
    <w:uiPriority w:val="0"/>
    <w:pPr>
      <w:jc w:val="left"/>
    </w:pPr>
    <w:rPr>
      <w:kern w:val="2"/>
      <w:szCs w:val="21"/>
    </w:rPr>
  </w:style>
  <w:style w:type="paragraph" w:styleId="10">
    <w:name w:val="Salutation"/>
    <w:basedOn w:val="1"/>
    <w:next w:val="1"/>
    <w:link w:val="37"/>
    <w:unhideWhenUsed/>
    <w:uiPriority w:val="99"/>
    <w:rPr>
      <w:rFonts w:ascii="仿宋_GB2312" w:hAnsi="仿宋_GB2312" w:eastAsia="仿宋_GB2312" w:cs="仿宋_GB2312"/>
      <w:kern w:val="2"/>
      <w:sz w:val="32"/>
      <w:szCs w:val="32"/>
      <w:lang w:val="zh-TW" w:eastAsia="zh-TW"/>
    </w:rPr>
  </w:style>
  <w:style w:type="paragraph" w:styleId="11">
    <w:name w:val="Body Text"/>
    <w:basedOn w:val="1"/>
    <w:link w:val="38"/>
    <w:qFormat/>
    <w:uiPriority w:val="0"/>
    <w:pPr>
      <w:spacing w:beforeLines="100" w:afterLines="100"/>
      <w:jc w:val="center"/>
      <w:outlineLvl w:val="0"/>
    </w:pPr>
    <w:rPr>
      <w:rFonts w:ascii="Arial" w:hAnsi="Arial" w:eastAsia="黑体" w:cs="Arial"/>
      <w:bCs/>
      <w:kern w:val="2"/>
      <w:sz w:val="32"/>
      <w:szCs w:val="32"/>
    </w:rPr>
  </w:style>
  <w:style w:type="paragraph" w:styleId="12">
    <w:name w:val="Body Text Indent"/>
    <w:basedOn w:val="1"/>
    <w:link w:val="39"/>
    <w:unhideWhenUsed/>
    <w:uiPriority w:val="99"/>
    <w:pPr>
      <w:spacing w:after="120"/>
      <w:ind w:left="420" w:leftChars="200"/>
    </w:pPr>
  </w:style>
  <w:style w:type="paragraph" w:styleId="13">
    <w:name w:val="Plain Text"/>
    <w:link w:val="40"/>
    <w:qFormat/>
    <w:uiPriority w:val="99"/>
    <w:pPr>
      <w:widowControl w:val="0"/>
      <w:spacing w:line="560" w:lineRule="exact"/>
      <w:jc w:val="both"/>
    </w:pPr>
    <w:rPr>
      <w:rFonts w:ascii="宋体" w:cs="Courier New"/>
      <w:kern w:val="2"/>
      <w:sz w:val="21"/>
      <w:szCs w:val="21"/>
      <w:lang w:val="en-US" w:eastAsia="zh-CN" w:bidi="ar-SA"/>
    </w:rPr>
  </w:style>
  <w:style w:type="paragraph" w:styleId="14">
    <w:name w:val="Date"/>
    <w:basedOn w:val="1"/>
    <w:next w:val="1"/>
    <w:link w:val="41"/>
    <w:unhideWhenUsed/>
    <w:uiPriority w:val="99"/>
    <w:pPr>
      <w:ind w:left="100" w:leftChars="2500"/>
    </w:pPr>
  </w:style>
  <w:style w:type="paragraph" w:styleId="15">
    <w:name w:val="Body Text Indent 2"/>
    <w:basedOn w:val="1"/>
    <w:link w:val="42"/>
    <w:qFormat/>
    <w:uiPriority w:val="0"/>
    <w:pPr>
      <w:spacing w:after="120" w:line="480" w:lineRule="auto"/>
      <w:ind w:left="420" w:leftChars="200"/>
    </w:pPr>
    <w:rPr>
      <w:kern w:val="2"/>
      <w:szCs w:val="24"/>
    </w:rPr>
  </w:style>
  <w:style w:type="paragraph" w:styleId="16">
    <w:name w:val="Balloon Text"/>
    <w:basedOn w:val="1"/>
    <w:link w:val="43"/>
    <w:unhideWhenUsed/>
    <w:uiPriority w:val="99"/>
    <w:rPr>
      <w:sz w:val="18"/>
      <w:szCs w:val="18"/>
    </w:rPr>
  </w:style>
  <w:style w:type="paragraph" w:styleId="17">
    <w:name w:val="footer"/>
    <w:basedOn w:val="1"/>
    <w:next w:val="14"/>
    <w:link w:val="44"/>
    <w:unhideWhenUsed/>
    <w:qFormat/>
    <w:uiPriority w:val="99"/>
    <w:pPr>
      <w:tabs>
        <w:tab w:val="center" w:pos="4153"/>
        <w:tab w:val="right" w:pos="8306"/>
      </w:tabs>
      <w:snapToGrid w:val="0"/>
      <w:jc w:val="left"/>
    </w:pPr>
    <w:rPr>
      <w:sz w:val="18"/>
    </w:rPr>
  </w:style>
  <w:style w:type="paragraph" w:styleId="18">
    <w:name w:val="header"/>
    <w:basedOn w:val="1"/>
    <w:link w:val="45"/>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Subtitle"/>
    <w:basedOn w:val="1"/>
    <w:next w:val="1"/>
    <w:link w:val="50"/>
    <w:qFormat/>
    <w:uiPriority w:val="99"/>
    <w:pPr>
      <w:adjustRightInd w:val="0"/>
      <w:snapToGrid w:val="0"/>
      <w:spacing w:before="120" w:after="60" w:line="600" w:lineRule="exact"/>
      <w:ind w:firstLine="200" w:firstLineChars="200"/>
      <w:outlineLvl w:val="1"/>
    </w:pPr>
    <w:rPr>
      <w:rFonts w:ascii="Cambria" w:hAnsi="Cambria" w:eastAsia="仿宋_GB2312" w:cs="宋体"/>
      <w:b/>
      <w:bCs/>
      <w:kern w:val="28"/>
      <w:sz w:val="32"/>
      <w:szCs w:val="32"/>
    </w:rPr>
  </w:style>
  <w:style w:type="paragraph" w:styleId="20">
    <w:name w:val="toc 2"/>
    <w:basedOn w:val="1"/>
    <w:next w:val="1"/>
    <w:uiPriority w:val="99"/>
    <w:pPr>
      <w:adjustRightInd w:val="0"/>
      <w:snapToGrid w:val="0"/>
      <w:spacing w:line="570" w:lineRule="exact"/>
      <w:ind w:firstLine="640" w:firstLineChars="200"/>
      <w:jc w:val="right"/>
    </w:pPr>
    <w:rPr>
      <w:rFonts w:ascii="方正楷体_GBK" w:hAnsi="Times New Roman" w:eastAsia="方正楷体_GBK" w:cs="方正楷体_GBK"/>
      <w:color w:val="FF00FF"/>
      <w:kern w:val="32"/>
      <w:sz w:val="32"/>
      <w:szCs w:val="32"/>
    </w:rPr>
  </w:style>
  <w:style w:type="paragraph" w:styleId="21">
    <w:name w:val="Body Text 2"/>
    <w:basedOn w:val="1"/>
    <w:link w:val="47"/>
    <w:unhideWhenUsed/>
    <w:uiPriority w:val="99"/>
    <w:pPr>
      <w:spacing w:after="120" w:line="480" w:lineRule="auto"/>
    </w:pPr>
  </w:style>
  <w:style w:type="paragraph" w:styleId="22">
    <w:name w:val="HTML Preformatted"/>
    <w:basedOn w:val="1"/>
    <w:link w:val="48"/>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szCs w:val="24"/>
    </w:rPr>
  </w:style>
  <w:style w:type="paragraph" w:styleId="23">
    <w:name w:val="Normal (Web)"/>
    <w:basedOn w:val="1"/>
    <w:qFormat/>
    <w:uiPriority w:val="0"/>
    <w:pPr>
      <w:spacing w:before="100" w:beforeAutospacing="1" w:after="100" w:afterAutospacing="1"/>
      <w:jc w:val="left"/>
    </w:pPr>
    <w:rPr>
      <w:rFonts w:ascii="Times New Roman" w:hAnsi="Times New Roman"/>
      <w:sz w:val="24"/>
      <w:szCs w:val="20"/>
    </w:rPr>
  </w:style>
  <w:style w:type="paragraph" w:styleId="24">
    <w:name w:val="Body Text First Indent"/>
    <w:basedOn w:val="11"/>
    <w:link w:val="49"/>
    <w:unhideWhenUsed/>
    <w:uiPriority w:val="99"/>
    <w:pPr>
      <w:spacing w:beforeLines="0" w:after="120" w:afterLines="0"/>
      <w:ind w:firstLine="420" w:firstLineChars="100"/>
      <w:jc w:val="both"/>
      <w:outlineLvl w:val="9"/>
    </w:pPr>
    <w:rPr>
      <w:rFonts w:ascii="Calibri" w:hAnsi="Calibri" w:eastAsia="宋体" w:cs="宋体"/>
      <w:bCs w:val="0"/>
      <w:sz w:val="21"/>
      <w:szCs w:val="22"/>
    </w:rPr>
  </w:style>
  <w:style w:type="paragraph" w:styleId="25">
    <w:name w:val="Body Text First Indent 2"/>
    <w:basedOn w:val="12"/>
    <w:qFormat/>
    <w:uiPriority w:val="0"/>
    <w:pPr>
      <w:spacing w:after="120" w:line="240" w:lineRule="auto"/>
      <w:ind w:left="420" w:leftChars="200" w:firstLine="200"/>
    </w:pPr>
    <w:rPr>
      <w:rFonts w:ascii="Times New Roman"/>
      <w:sz w:val="24"/>
      <w:szCs w:val="24"/>
    </w:rPr>
  </w:style>
  <w:style w:type="table" w:styleId="27">
    <w:name w:val="Table Grid"/>
    <w:basedOn w:val="26"/>
    <w:qFormat/>
    <w:uiPriority w:val="0"/>
    <w:pPr>
      <w:widowControl w:val="0"/>
      <w:jc w:val="both"/>
    </w:pPr>
    <w:rPr>
      <w:rFonts w:ascii="Calibri" w:hAnsi="Calibri"/>
    </w:rPr>
    <w:tblPr>
      <w:tblStyle w:val="2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bCs/>
    </w:rPr>
  </w:style>
  <w:style w:type="character" w:styleId="30">
    <w:name w:val="page number"/>
    <w:basedOn w:val="28"/>
    <w:qFormat/>
    <w:uiPriority w:val="0"/>
  </w:style>
  <w:style w:type="character" w:styleId="31">
    <w:name w:val="Hyperlink"/>
    <w:basedOn w:val="28"/>
    <w:uiPriority w:val="0"/>
    <w:rPr>
      <w:color w:val="0000FF"/>
      <w:u w:val="single"/>
    </w:rPr>
  </w:style>
  <w:style w:type="character" w:customStyle="1" w:styleId="32">
    <w:name w:val="标题 Char"/>
    <w:basedOn w:val="28"/>
    <w:link w:val="3"/>
    <w:qFormat/>
    <w:uiPriority w:val="0"/>
    <w:rPr>
      <w:rFonts w:ascii="Cambria" w:hAnsi="Cambria" w:cs="Times New Roman"/>
      <w:b/>
      <w:bCs/>
      <w:sz w:val="32"/>
      <w:szCs w:val="32"/>
    </w:rPr>
  </w:style>
  <w:style w:type="character" w:customStyle="1" w:styleId="33">
    <w:name w:val="标题 1 Char"/>
    <w:basedOn w:val="28"/>
    <w:link w:val="4"/>
    <w:uiPriority w:val="0"/>
    <w:rPr>
      <w:rFonts w:ascii="Calibri" w:hAnsi="Calibri"/>
      <w:b/>
      <w:kern w:val="44"/>
      <w:sz w:val="44"/>
      <w:szCs w:val="24"/>
    </w:rPr>
  </w:style>
  <w:style w:type="character" w:customStyle="1" w:styleId="34">
    <w:name w:val="标题 2 Char"/>
    <w:basedOn w:val="28"/>
    <w:link w:val="5"/>
    <w:uiPriority w:val="0"/>
    <w:rPr>
      <w:rFonts w:ascii="Cambria" w:hAnsi="Cambria"/>
      <w:b/>
      <w:sz w:val="32"/>
      <w:szCs w:val="32"/>
    </w:rPr>
  </w:style>
  <w:style w:type="character" w:customStyle="1" w:styleId="35">
    <w:name w:val="标题 3 Char"/>
    <w:basedOn w:val="28"/>
    <w:link w:val="6"/>
    <w:uiPriority w:val="0"/>
    <w:rPr>
      <w:rFonts w:ascii="宋体" w:hAnsi="宋体"/>
      <w:b/>
      <w:sz w:val="30"/>
      <w:szCs w:val="32"/>
    </w:rPr>
  </w:style>
  <w:style w:type="character" w:customStyle="1" w:styleId="36">
    <w:name w:val="批注文字 Char"/>
    <w:basedOn w:val="28"/>
    <w:link w:val="9"/>
    <w:uiPriority w:val="0"/>
    <w:rPr>
      <w:rFonts w:ascii="Calibri" w:hAnsi="Calibri"/>
      <w:kern w:val="2"/>
      <w:sz w:val="21"/>
      <w:szCs w:val="21"/>
    </w:rPr>
  </w:style>
  <w:style w:type="character" w:customStyle="1" w:styleId="37">
    <w:name w:val="称呼 Char"/>
    <w:basedOn w:val="28"/>
    <w:link w:val="10"/>
    <w:uiPriority w:val="99"/>
    <w:rPr>
      <w:rFonts w:ascii="仿宋_GB2312" w:hAnsi="仿宋_GB2312" w:eastAsia="仿宋_GB2312" w:cs="仿宋_GB2312"/>
      <w:kern w:val="2"/>
      <w:sz w:val="32"/>
      <w:szCs w:val="32"/>
      <w:lang w:val="zh-TW" w:eastAsia="zh-TW"/>
    </w:rPr>
  </w:style>
  <w:style w:type="character" w:customStyle="1" w:styleId="38">
    <w:name w:val="正文文本 Char"/>
    <w:basedOn w:val="28"/>
    <w:link w:val="11"/>
    <w:semiHidden/>
    <w:uiPriority w:val="99"/>
    <w:rPr>
      <w:rFonts w:ascii="Calibri" w:hAnsi="Calibri"/>
      <w:sz w:val="21"/>
      <w:szCs w:val="22"/>
    </w:rPr>
  </w:style>
  <w:style w:type="character" w:customStyle="1" w:styleId="39">
    <w:name w:val="正文文本缩进 Char"/>
    <w:basedOn w:val="28"/>
    <w:link w:val="12"/>
    <w:semiHidden/>
    <w:uiPriority w:val="99"/>
    <w:rPr>
      <w:rFonts w:ascii="Calibri" w:hAnsi="Calibri"/>
      <w:sz w:val="21"/>
      <w:szCs w:val="22"/>
    </w:rPr>
  </w:style>
  <w:style w:type="character" w:customStyle="1" w:styleId="40">
    <w:name w:val="纯文本 Char"/>
    <w:aliases w:val="普通文字 Char Char1,纯文本 Char Char Char1,普通文字 Char Char Char,正 文 1 Char,普通文字1 Char,普通文字2 Char,普通文字3 Char,普通文字4 Char,普通文字5 Char,普通文字6 Char,普通文字11 Char,普通文字21 Char,普通文字31 Char,普通文字41 Char,普通文字7 Char,纯文本 Char1 Char Char Char,纯文本 Char Char1 Char"/>
    <w:basedOn w:val="28"/>
    <w:link w:val="13"/>
    <w:uiPriority w:val="99"/>
    <w:rPr>
      <w:rFonts w:ascii="宋体" w:cs="Courier New"/>
      <w:kern w:val="2"/>
      <w:sz w:val="21"/>
      <w:szCs w:val="21"/>
      <w:lang w:val="en-US" w:eastAsia="zh-CN" w:bidi="ar-SA"/>
    </w:rPr>
  </w:style>
  <w:style w:type="character" w:customStyle="1" w:styleId="41">
    <w:name w:val="日期 Char"/>
    <w:basedOn w:val="28"/>
    <w:link w:val="14"/>
    <w:semiHidden/>
    <w:uiPriority w:val="99"/>
    <w:rPr>
      <w:rFonts w:ascii="Calibri" w:hAnsi="Calibri"/>
      <w:sz w:val="21"/>
      <w:szCs w:val="22"/>
    </w:rPr>
  </w:style>
  <w:style w:type="character" w:customStyle="1" w:styleId="42">
    <w:name w:val="正文文本缩进 2 Char"/>
    <w:basedOn w:val="28"/>
    <w:link w:val="15"/>
    <w:qFormat/>
    <w:uiPriority w:val="0"/>
    <w:rPr>
      <w:rFonts w:ascii="Calibri" w:hAnsi="Calibri"/>
      <w:kern w:val="2"/>
      <w:sz w:val="21"/>
      <w:szCs w:val="24"/>
    </w:rPr>
  </w:style>
  <w:style w:type="character" w:customStyle="1" w:styleId="43">
    <w:name w:val="批注框文本 Char"/>
    <w:basedOn w:val="28"/>
    <w:link w:val="16"/>
    <w:semiHidden/>
    <w:uiPriority w:val="99"/>
    <w:rPr>
      <w:rFonts w:ascii="Calibri" w:hAnsi="Calibri"/>
      <w:sz w:val="18"/>
      <w:szCs w:val="18"/>
    </w:rPr>
  </w:style>
  <w:style w:type="character" w:customStyle="1" w:styleId="44">
    <w:name w:val="页脚 Char1"/>
    <w:link w:val="17"/>
    <w:uiPriority w:val="99"/>
    <w:rPr>
      <w:rFonts w:ascii="Calibri" w:hAnsi="Calibri"/>
      <w:sz w:val="18"/>
      <w:szCs w:val="22"/>
    </w:rPr>
  </w:style>
  <w:style w:type="character" w:customStyle="1" w:styleId="45">
    <w:name w:val="页眉 Char"/>
    <w:basedOn w:val="28"/>
    <w:link w:val="18"/>
    <w:uiPriority w:val="0"/>
    <w:rPr>
      <w:rFonts w:ascii="Calibri" w:hAnsi="Calibri"/>
      <w:sz w:val="18"/>
      <w:szCs w:val="22"/>
    </w:rPr>
  </w:style>
  <w:style w:type="character" w:customStyle="1" w:styleId="46">
    <w:name w:val="副标题 Char"/>
    <w:basedOn w:val="28"/>
    <w:link w:val="19"/>
    <w:qFormat/>
    <w:uiPriority w:val="99"/>
    <w:rPr>
      <w:rFonts w:ascii="Cambria" w:hAnsi="Cambria" w:eastAsia="仿宋_GB2312" w:cs="宋体"/>
      <w:b/>
      <w:bCs/>
      <w:kern w:val="28"/>
      <w:sz w:val="32"/>
      <w:szCs w:val="32"/>
    </w:rPr>
  </w:style>
  <w:style w:type="character" w:customStyle="1" w:styleId="47">
    <w:name w:val="正文文本 2 Char"/>
    <w:basedOn w:val="28"/>
    <w:link w:val="21"/>
    <w:semiHidden/>
    <w:uiPriority w:val="99"/>
    <w:rPr>
      <w:rFonts w:ascii="Calibri" w:hAnsi="Calibri"/>
      <w:sz w:val="21"/>
      <w:szCs w:val="22"/>
    </w:rPr>
  </w:style>
  <w:style w:type="character" w:customStyle="1" w:styleId="48">
    <w:name w:val="HTML 预设格式 Char"/>
    <w:basedOn w:val="28"/>
    <w:link w:val="22"/>
    <w:uiPriority w:val="99"/>
    <w:rPr>
      <w:rFonts w:ascii="宋体" w:hAnsi="宋体" w:cs="宋体"/>
      <w:sz w:val="24"/>
      <w:szCs w:val="24"/>
    </w:rPr>
  </w:style>
  <w:style w:type="character" w:customStyle="1" w:styleId="49">
    <w:name w:val="正文首行缩进 Char"/>
    <w:basedOn w:val="38"/>
    <w:link w:val="24"/>
    <w:semiHidden/>
    <w:uiPriority w:val="99"/>
    <w:rPr>
      <w:rFonts w:cs="宋体"/>
      <w:kern w:val="2"/>
    </w:rPr>
  </w:style>
  <w:style w:type="character" w:customStyle="1" w:styleId="50">
    <w:name w:val="副标题 Char1"/>
    <w:basedOn w:val="28"/>
    <w:link w:val="19"/>
    <w:uiPriority w:val="11"/>
    <w:rPr>
      <w:rFonts w:ascii="Cambria" w:hAnsi="Cambria" w:cs="Times New Roman"/>
      <w:b/>
      <w:bCs/>
      <w:kern w:val="28"/>
      <w:sz w:val="32"/>
      <w:szCs w:val="32"/>
    </w:rPr>
  </w:style>
  <w:style w:type="paragraph" w:customStyle="1" w:styleId="51">
    <w:name w:val="Char"/>
    <w:basedOn w:val="1"/>
    <w:uiPriority w:val="0"/>
    <w:pPr>
      <w:widowControl/>
      <w:spacing w:after="160" w:line="240" w:lineRule="exact"/>
      <w:jc w:val="left"/>
    </w:pPr>
    <w:rPr>
      <w:rFonts w:ascii="Verdana" w:hAnsi="Verdana" w:eastAsia="仿宋_GB2312" w:cs="Verdana"/>
      <w:sz w:val="24"/>
      <w:lang w:eastAsia="en-US"/>
    </w:rPr>
  </w:style>
  <w:style w:type="paragraph" w:customStyle="1" w:styleId="52">
    <w:name w:val="p0"/>
    <w:basedOn w:val="1"/>
    <w:qFormat/>
    <w:uiPriority w:val="0"/>
    <w:pPr>
      <w:widowControl/>
    </w:pPr>
    <w:rPr>
      <w:rFonts w:ascii="Times New Roman" w:hAnsi="Times New Roman"/>
      <w:szCs w:val="21"/>
    </w:rPr>
  </w:style>
  <w:style w:type="paragraph" w:customStyle="1" w:styleId="53">
    <w:name w:val="列出段落1"/>
    <w:basedOn w:val="1"/>
    <w:qFormat/>
    <w:uiPriority w:val="0"/>
    <w:pPr>
      <w:ind w:firstLine="420" w:firstLineChars="200"/>
    </w:pPr>
    <w:rPr>
      <w:rFonts w:ascii="Times New Roman" w:hAnsi="Times New Roman"/>
      <w:kern w:val="2"/>
      <w:szCs w:val="20"/>
    </w:rPr>
  </w:style>
  <w:style w:type="paragraph" w:customStyle="1" w:styleId="54">
    <w:name w:val="默认段落字体 Para Char"/>
    <w:basedOn w:val="1"/>
    <w:uiPriority w:val="0"/>
    <w:pPr>
      <w:spacing w:line="360" w:lineRule="auto"/>
    </w:pPr>
    <w:rPr>
      <w:rFonts w:ascii="Tahoma" w:hAnsi="Tahoma"/>
      <w:kern w:val="2"/>
      <w:sz w:val="24"/>
      <w:szCs w:val="20"/>
    </w:rPr>
  </w:style>
  <w:style w:type="paragraph" w:styleId="55">
    <w:name w:val="List Paragraph"/>
    <w:basedOn w:val="1"/>
    <w:qFormat/>
    <w:uiPriority w:val="99"/>
    <w:pPr>
      <w:ind w:firstLine="420" w:firstLineChars="200"/>
    </w:pPr>
    <w:rPr>
      <w:kern w:val="2"/>
    </w:rPr>
  </w:style>
  <w:style w:type="paragraph" w:customStyle="1" w:styleId="56">
    <w:name w:val="_Style 1"/>
    <w:basedOn w:val="1"/>
    <w:qFormat/>
    <w:uiPriority w:val="0"/>
    <w:pPr>
      <w:ind w:firstLine="420" w:firstLineChars="200"/>
    </w:pPr>
    <w:rPr>
      <w:kern w:val="2"/>
    </w:rPr>
  </w:style>
  <w:style w:type="character" w:customStyle="1" w:styleId="57">
    <w:name w:val="List Paragraph Char"/>
    <w:link w:val="58"/>
    <w:locked/>
    <w:uiPriority w:val="0"/>
    <w:rPr>
      <w:rFonts w:ascii="Calibri" w:hAnsi="Calibri" w:eastAsia="仿宋_GB2312"/>
      <w:kern w:val="2"/>
      <w:sz w:val="28"/>
      <w:szCs w:val="22"/>
    </w:rPr>
  </w:style>
  <w:style w:type="paragraph" w:customStyle="1" w:styleId="58">
    <w:name w:val="List Paragraph"/>
    <w:basedOn w:val="1"/>
    <w:link w:val="57"/>
    <w:uiPriority w:val="0"/>
    <w:pPr>
      <w:ind w:firstLine="420" w:firstLineChars="200"/>
    </w:pPr>
    <w:rPr>
      <w:rFonts w:eastAsia="仿宋_GB2312"/>
      <w:kern w:val="2"/>
      <w:sz w:val="28"/>
    </w:rPr>
  </w:style>
  <w:style w:type="paragraph" w:customStyle="1" w:styleId="59">
    <w:name w:val="Heading 1"/>
    <w:basedOn w:val="1"/>
    <w:qFormat/>
    <w:uiPriority w:val="1"/>
    <w:pPr>
      <w:ind w:left="264"/>
      <w:outlineLvl w:val="1"/>
    </w:pPr>
    <w:rPr>
      <w:kern w:val="2"/>
      <w:sz w:val="31"/>
      <w:szCs w:val="31"/>
    </w:rPr>
  </w:style>
  <w:style w:type="paragraph" w:customStyle="1" w:styleId="60">
    <w:name w:val="p17"/>
    <w:basedOn w:val="1"/>
    <w:uiPriority w:val="99"/>
    <w:pPr>
      <w:widowControl/>
    </w:pPr>
    <w:rPr>
      <w:rFonts w:ascii="Times New Roman" w:hAnsi="Times New Roman"/>
      <w:szCs w:val="21"/>
    </w:rPr>
  </w:style>
  <w:style w:type="character" w:customStyle="1" w:styleId="61">
    <w:name w:val="fontstyle01"/>
    <w:uiPriority w:val="0"/>
    <w:rPr>
      <w:rFonts w:hint="eastAsia" w:ascii="仿宋_GB2312" w:eastAsia="仿宋_GB2312"/>
      <w:color w:val="000000"/>
      <w:sz w:val="32"/>
      <w:szCs w:val="32"/>
    </w:rPr>
  </w:style>
  <w:style w:type="paragraph" w:customStyle="1" w:styleId="62">
    <w:name w:val="正文 A"/>
    <w:qFormat/>
    <w:uiPriority w:val="0"/>
    <w:pPr>
      <w:framePr w:wrap="around" w:vAnchor="margin" w:hAnchor="text" w:yAlign="top"/>
      <w:widowControl w:val="0"/>
      <w:jc w:val="both"/>
    </w:pPr>
    <w:rPr>
      <w:rFonts w:eastAsia="Calibri" w:cs="Calibri"/>
      <w:color w:val="000000"/>
      <w:kern w:val="2"/>
      <w:sz w:val="21"/>
      <w:szCs w:val="21"/>
      <w:lang w:val="en-US" w:eastAsia="zh-CN" w:bidi="ar-SA"/>
    </w:rPr>
  </w:style>
  <w:style w:type="character" w:customStyle="1" w:styleId="63">
    <w:name w:val="NormalCharacter"/>
    <w:link w:val="64"/>
    <w:qFormat/>
    <w:uiPriority w:val="0"/>
    <w:rPr>
      <w:rFonts w:ascii="Calibri" w:hAnsi="Calibri" w:eastAsia="宋体" w:cs="Times New Roman"/>
      <w:sz w:val="21"/>
      <w:szCs w:val="24"/>
      <w:lang w:val="en-US" w:eastAsia="zh-CN" w:bidi="ar-SA"/>
    </w:rPr>
  </w:style>
  <w:style w:type="paragraph" w:customStyle="1" w:styleId="64">
    <w:name w:val="正文1"/>
    <w:next w:val="65"/>
    <w:link w:val="63"/>
    <w:qFormat/>
    <w:uiPriority w:val="0"/>
    <w:pPr>
      <w:widowControl w:val="0"/>
      <w:jc w:val="both"/>
    </w:pPr>
    <w:rPr>
      <w:rFonts w:ascii="Calibri" w:hAnsi="Calibri" w:eastAsia="宋体" w:cs="Times New Roman"/>
      <w:sz w:val="21"/>
      <w:szCs w:val="24"/>
      <w:lang w:val="en-US" w:eastAsia="zh-CN" w:bidi="ar-SA"/>
    </w:rPr>
  </w:style>
  <w:style w:type="paragraph" w:customStyle="1" w:styleId="65">
    <w:name w:val="标题1"/>
    <w:basedOn w:val="64"/>
    <w:next w:val="64"/>
    <w:qFormat/>
    <w:uiPriority w:val="0"/>
    <w:pPr>
      <w:spacing w:before="240" w:after="60"/>
      <w:jc w:val="center"/>
      <w:outlineLvl w:val="0"/>
    </w:pPr>
    <w:rPr>
      <w:rFonts w:ascii="Cambria" w:hAnsi="Cambria"/>
      <w:b/>
      <w:bCs/>
      <w:sz w:val="32"/>
      <w:szCs w:val="32"/>
    </w:rPr>
  </w:style>
  <w:style w:type="paragraph" w:customStyle="1" w:styleId="66">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67">
    <w:name w:val="UserStyle_0"/>
    <w:basedOn w:val="1"/>
    <w:uiPriority w:val="0"/>
    <w:pPr>
      <w:spacing w:line="360" w:lineRule="auto"/>
      <w:ind w:firstLine="200" w:firstLineChars="200"/>
      <w:jc w:val="left"/>
      <w:textAlignment w:val="baseline"/>
    </w:pPr>
    <w:rPr>
      <w:rFonts w:ascii="仿宋" w:hAnsi="仿宋" w:eastAsia="仿宋"/>
      <w:sz w:val="28"/>
      <w:szCs w:val="20"/>
      <w:lang w:val="zh-CN" w:bidi="zh-CN"/>
    </w:rPr>
  </w:style>
  <w:style w:type="paragraph" w:customStyle="1" w:styleId="68">
    <w:name w:val="Body text|1"/>
    <w:basedOn w:val="1"/>
    <w:uiPriority w:val="0"/>
    <w:pPr>
      <w:spacing w:line="415" w:lineRule="auto"/>
      <w:ind w:firstLine="400"/>
      <w:jc w:val="left"/>
    </w:pPr>
    <w:rPr>
      <w:rFonts w:ascii="宋体" w:hAnsi="Times New Roman" w:eastAsia="仿宋" w:cs="宋体"/>
      <w:sz w:val="19"/>
      <w:szCs w:val="19"/>
      <w:lang w:val="zh-TW" w:eastAsia="zh-TW" w:bidi="zh-TW"/>
    </w:rPr>
  </w:style>
  <w:style w:type="character" w:customStyle="1" w:styleId="69">
    <w:name w:val="页脚 Char"/>
    <w:basedOn w:val="28"/>
    <w:qFormat/>
    <w:uiPriority w:val="0"/>
    <w:rPr>
      <w:sz w:val="18"/>
      <w:szCs w:val="18"/>
    </w:rPr>
  </w:style>
  <w:style w:type="paragraph" w:customStyle="1" w:styleId="70">
    <w:name w:val="paragraph"/>
    <w:basedOn w:val="1"/>
    <w:uiPriority w:val="0"/>
    <w:pPr>
      <w:widowControl/>
      <w:spacing w:before="100" w:beforeAutospacing="1" w:after="100" w:afterAutospacing="1"/>
      <w:jc w:val="left"/>
    </w:pPr>
    <w:rPr>
      <w:rFonts w:ascii="宋体" w:hAnsi="宋体" w:cs="宋体"/>
      <w:sz w:val="24"/>
      <w:szCs w:val="24"/>
    </w:rPr>
  </w:style>
  <w:style w:type="paragraph" w:customStyle="1" w:styleId="71">
    <w:name w:val="文件格式"/>
    <w:unhideWhenUsed/>
    <w:qFormat/>
    <w:uiPriority w:val="99"/>
    <w:pPr>
      <w:spacing w:line="460" w:lineRule="atLeast"/>
      <w:ind w:left="1" w:firstLine="419"/>
      <w:jc w:val="both"/>
      <w:textAlignment w:val="bottom"/>
    </w:pPr>
    <w:rPr>
      <w:rFonts w:hint="eastAsia" w:eastAsia="仿宋_GB2312"/>
      <w:sz w:val="32"/>
      <w:lang w:val="en-US" w:eastAsia="zh-CN" w:bidi="ar-SA"/>
    </w:rPr>
  </w:style>
  <w:style w:type="paragraph" w:customStyle="1" w:styleId="72">
    <w:name w:val="仿宋三号"/>
    <w:basedOn w:val="1"/>
    <w:uiPriority w:val="0"/>
    <w:pPr>
      <w:jc w:val="left"/>
    </w:pPr>
    <w:rPr>
      <w:rFonts w:eastAsia="仿宋_GB2312"/>
      <w:kern w:val="2"/>
      <w:sz w:val="32"/>
      <w:szCs w:val="30"/>
    </w:rPr>
  </w:style>
  <w:style w:type="character" w:customStyle="1" w:styleId="73">
    <w:name w:val="ca-11"/>
    <w:qFormat/>
    <w:uiPriority w:val="0"/>
    <w:rPr>
      <w:rFonts w:hint="eastAsia" w:ascii="仿宋_GB2312" w:hAnsi="Times New Roman" w:eastAsia="仿宋_GB2312" w:cs="Times New Roman"/>
      <w:sz w:val="32"/>
      <w:szCs w:val="32"/>
    </w:rPr>
  </w:style>
  <w:style w:type="paragraph" w:customStyle="1" w:styleId="74">
    <w:name w:val="TOC2"/>
    <w:basedOn w:val="1"/>
    <w:next w:val="1"/>
    <w:qFormat/>
    <w:uiPriority w:val="0"/>
    <w:pPr>
      <w:widowControl/>
      <w:tabs>
        <w:tab w:val="right" w:leader="dot" w:pos="9060"/>
      </w:tabs>
      <w:snapToGrid w:val="0"/>
      <w:spacing w:after="200" w:line="560" w:lineRule="exact"/>
      <w:ind w:left="200" w:leftChars="200"/>
      <w:textAlignment w:val="baseline"/>
    </w:pPr>
    <w:rPr>
      <w:rFonts w:ascii="Tahoma" w:hAnsi="Tahoma" w:eastAsia="微软雅黑"/>
      <w:kern w:val="2"/>
      <w:sz w:val="24"/>
      <w:szCs w:val="20"/>
    </w:rPr>
  </w:style>
  <w:style w:type="character" w:customStyle="1" w:styleId="75">
    <w:name w:val="页眉 Char1"/>
    <w:locked/>
    <w:uiPriority w:val="0"/>
    <w:rPr>
      <w:rFonts w:eastAsia="宋体"/>
      <w:kern w:val="2"/>
      <w:sz w:val="18"/>
      <w:szCs w:val="1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116</Words>
  <Characters>662</Characters>
  <Lines>5</Lines>
  <Paragraphs>1</Paragraphs>
  <TotalTime>2.33333333333333</TotalTime>
  <ScaleCrop>false</ScaleCrop>
  <LinksUpToDate>false</LinksUpToDate>
  <CharactersWithSpaces>777</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2022-01-14T18:48:00Z</dcterms:created>
  <dc:creator>microsoft</dc:creator>
  <cp:lastModifiedBy>gxxc</cp:lastModifiedBy>
  <cp:lastPrinted>2022-07-12T19:35:08Z</cp:lastPrinted>
  <dcterms:modified xsi:type="dcterms:W3CDTF">2022-08-09T10:38:18Z</dcterms:modified>
  <dc:title>防城港市人民政府  广西北部湾国际港务集团有限公司</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